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465"/>
        <w:gridCol w:w="4787"/>
      </w:tblGrid>
      <w:tr w:rsidR="004B0629" w:rsidRPr="004B0629" w14:paraId="74F39D1B" w14:textId="77777777" w:rsidTr="001A583E">
        <w:tc>
          <w:tcPr>
            <w:tcW w:w="4680" w:type="dxa"/>
            <w:shd w:val="clear" w:color="auto" w:fill="auto"/>
          </w:tcPr>
          <w:p w14:paraId="01CD21B9" w14:textId="77777777" w:rsidR="004B0629" w:rsidRPr="004B0629" w:rsidRDefault="004B0629" w:rsidP="004B0629">
            <w:pPr>
              <w:jc w:val="both"/>
              <w:rPr>
                <w:rFonts w:ascii="Arial" w:hAnsi="Arial" w:cs="Arial"/>
                <w:b/>
                <w:lang w:val="en-US"/>
              </w:rPr>
            </w:pPr>
            <w:r w:rsidRPr="004B0629">
              <w:rPr>
                <w:rFonts w:ascii="Arial" w:hAnsi="Arial" w:cs="Arial"/>
                <w:b/>
                <w:noProof/>
                <w:lang w:val="en-CA" w:eastAsia="en-CA"/>
              </w:rPr>
              <w:drawing>
                <wp:inline distT="0" distB="0" distL="0" distR="0" wp14:anchorId="36007E9D" wp14:editId="4C062C6B">
                  <wp:extent cx="26162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359374C6" w14:textId="77777777" w:rsidR="004B0629" w:rsidRPr="004B0629" w:rsidRDefault="004B0629" w:rsidP="004B0629">
            <w:pPr>
              <w:tabs>
                <w:tab w:val="left" w:pos="-1440"/>
                <w:tab w:val="left" w:pos="-720"/>
                <w:tab w:val="left" w:pos="1"/>
              </w:tabs>
              <w:jc w:val="right"/>
              <w:rPr>
                <w:rFonts w:ascii="Arial" w:hAnsi="Arial" w:cs="Calibri"/>
                <w:b/>
                <w:sz w:val="24"/>
                <w:lang w:val="en-US"/>
              </w:rPr>
            </w:pPr>
            <w:r w:rsidRPr="004B0629">
              <w:rPr>
                <w:rFonts w:ascii="Arial" w:hAnsi="Arial" w:cs="Calibri"/>
                <w:b/>
                <w:noProof/>
                <w:sz w:val="24"/>
                <w:lang w:val="en-CA" w:eastAsia="en-CA"/>
              </w:rPr>
              <w:drawing>
                <wp:inline distT="0" distB="0" distL="0" distR="0" wp14:anchorId="23E2E77B" wp14:editId="52D70EA8">
                  <wp:extent cx="2901950" cy="548640"/>
                  <wp:effectExtent l="0" t="0" r="0" b="3810"/>
                  <wp:docPr id="2" name="Picture 2"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a:ln>
                            <a:noFill/>
                          </a:ln>
                        </pic:spPr>
                      </pic:pic>
                    </a:graphicData>
                  </a:graphic>
                </wp:inline>
              </w:drawing>
            </w:r>
          </w:p>
        </w:tc>
      </w:tr>
    </w:tbl>
    <w:p w14:paraId="40DF0919" w14:textId="77777777" w:rsidR="004B0629" w:rsidRPr="004B0629" w:rsidRDefault="004B0629" w:rsidP="004B0629">
      <w:pPr>
        <w:pBdr>
          <w:bottom w:val="single" w:sz="18" w:space="1" w:color="auto"/>
        </w:pBdr>
        <w:tabs>
          <w:tab w:val="left" w:pos="-1440"/>
          <w:tab w:val="left" w:pos="-720"/>
          <w:tab w:val="left" w:pos="1"/>
        </w:tabs>
        <w:jc w:val="both"/>
        <w:rPr>
          <w:rFonts w:ascii="Arial" w:hAnsi="Arial"/>
          <w:b/>
          <w:sz w:val="2"/>
          <w:szCs w:val="2"/>
          <w:lang w:val="en-US"/>
        </w:rPr>
      </w:pPr>
    </w:p>
    <w:p w14:paraId="476CDA53" w14:textId="40293A36" w:rsidR="004B0629" w:rsidRPr="004B0629" w:rsidRDefault="00C46961" w:rsidP="004B0629">
      <w:pPr>
        <w:jc w:val="right"/>
        <w:rPr>
          <w:rFonts w:ascii="Arial" w:hAnsi="Arial"/>
          <w:b/>
          <w:caps/>
          <w:sz w:val="24"/>
          <w:lang w:val="en-US"/>
        </w:rPr>
      </w:pPr>
      <w:r>
        <w:rPr>
          <w:rFonts w:ascii="Arial" w:hAnsi="Arial"/>
          <w:b/>
          <w:caps/>
          <w:sz w:val="24"/>
          <w:lang w:val="en-US"/>
        </w:rPr>
        <w:t>9B19M100</w:t>
      </w:r>
    </w:p>
    <w:p w14:paraId="61BBD9A0" w14:textId="69FD329D" w:rsidR="00C02410" w:rsidRDefault="00C02410" w:rsidP="00C02410">
      <w:pPr>
        <w:pStyle w:val="ProductNumber"/>
      </w:pPr>
    </w:p>
    <w:p w14:paraId="318BA3C0" w14:textId="77777777" w:rsidR="0008720A" w:rsidRPr="000A643A" w:rsidRDefault="0008720A" w:rsidP="00C02410">
      <w:pPr>
        <w:pStyle w:val="ProductNumber"/>
      </w:pPr>
    </w:p>
    <w:p w14:paraId="2F03D26A" w14:textId="7484E481" w:rsidR="00013360" w:rsidRPr="000A643A" w:rsidRDefault="004B6869" w:rsidP="00013360">
      <w:pPr>
        <w:pStyle w:val="CaseTitle"/>
        <w:spacing w:after="0" w:line="240" w:lineRule="auto"/>
        <w:rPr>
          <w:sz w:val="20"/>
          <w:szCs w:val="20"/>
        </w:rPr>
      </w:pPr>
      <w:r w:rsidRPr="000A643A">
        <w:t>SPRUCELAND PROPERTIES: SOCIAL ENTERPRISE THROUGH REAL ESTATE DEVELOPMENT</w:t>
      </w:r>
    </w:p>
    <w:p w14:paraId="40ABF6FD" w14:textId="77777777" w:rsidR="00CA3976" w:rsidRPr="000A643A" w:rsidRDefault="00CA3976" w:rsidP="00013360">
      <w:pPr>
        <w:pStyle w:val="CaseTitle"/>
        <w:spacing w:after="0" w:line="240" w:lineRule="auto"/>
        <w:rPr>
          <w:sz w:val="20"/>
          <w:szCs w:val="20"/>
        </w:rPr>
      </w:pPr>
    </w:p>
    <w:p w14:paraId="202F1085" w14:textId="77777777" w:rsidR="00013360" w:rsidRPr="000A643A" w:rsidRDefault="00013360" w:rsidP="00013360">
      <w:pPr>
        <w:pStyle w:val="CaseTitle"/>
        <w:spacing w:after="0" w:line="240" w:lineRule="auto"/>
        <w:rPr>
          <w:sz w:val="20"/>
          <w:szCs w:val="20"/>
        </w:rPr>
      </w:pPr>
    </w:p>
    <w:p w14:paraId="58B0C73F" w14:textId="67B4EEC7" w:rsidR="00086B26" w:rsidRPr="000A643A" w:rsidRDefault="004B6869" w:rsidP="00086B26">
      <w:pPr>
        <w:pStyle w:val="StyleCopyrightStatementAfter0ptBottomSinglesolidline1"/>
      </w:pPr>
      <w:r w:rsidRPr="000A643A">
        <w:t>Pernille Goodbrand and Thomas Holloway</w:t>
      </w:r>
      <w:r w:rsidR="00ED7922" w:rsidRPr="000A643A">
        <w:rPr>
          <w:rFonts w:cs="Arial"/>
          <w:szCs w:val="16"/>
        </w:rPr>
        <w:t xml:space="preserve"> </w:t>
      </w:r>
      <w:r w:rsidR="00086B26" w:rsidRPr="000A643A">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A643A" w:rsidRDefault="00086B26" w:rsidP="00086B26">
      <w:pPr>
        <w:pStyle w:val="StyleCopyrightStatementAfter0ptBottomSinglesolidline1"/>
      </w:pPr>
    </w:p>
    <w:p w14:paraId="0D9FC9CD" w14:textId="77777777" w:rsidR="004B0629" w:rsidRDefault="004B0629" w:rsidP="004B0629">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60D81BB" w14:textId="77777777" w:rsidR="004B0629" w:rsidRDefault="004B0629" w:rsidP="004B0629">
      <w:pPr>
        <w:jc w:val="both"/>
        <w:rPr>
          <w:rFonts w:ascii="Arial" w:hAnsi="Arial" w:cs="Arial"/>
          <w:i/>
          <w:iCs/>
          <w:sz w:val="16"/>
          <w:szCs w:val="16"/>
          <w:lang w:val="en-CA"/>
        </w:rPr>
      </w:pPr>
    </w:p>
    <w:p w14:paraId="3922E14F" w14:textId="1D077AE8" w:rsidR="00751E0B" w:rsidRPr="000A643A" w:rsidRDefault="004B0629" w:rsidP="004B0629">
      <w:pPr>
        <w:pStyle w:val="StyleStyleCopyrightStatementAfter0ptBottomSinglesolid"/>
        <w:rPr>
          <w:rFonts w:cs="Arial"/>
          <w:szCs w:val="16"/>
        </w:rPr>
      </w:pPr>
      <w:r w:rsidRPr="003C00BC">
        <w:rPr>
          <w:spacing w:val="-6"/>
        </w:rPr>
        <w:t>Copyright © 20</w:t>
      </w:r>
      <w:r>
        <w:rPr>
          <w:spacing w:val="-6"/>
        </w:rPr>
        <w:t>19</w:t>
      </w:r>
      <w:r w:rsidRPr="003C00BC">
        <w:rPr>
          <w:spacing w:val="-6"/>
        </w:rPr>
        <w:t xml:space="preserve">, Ivey </w:t>
      </w:r>
      <w:r>
        <w:rPr>
          <w:spacing w:val="-6"/>
        </w:rPr>
        <w:t>Business School Foundation</w:t>
      </w:r>
      <w:r>
        <w:tab/>
        <w:t>Version: 2019-</w:t>
      </w:r>
      <w:r w:rsidR="0048435D">
        <w:t>10-16</w:t>
      </w:r>
      <w:bookmarkStart w:id="0" w:name="_GoBack"/>
      <w:bookmarkEnd w:id="0"/>
    </w:p>
    <w:p w14:paraId="0A2A54E4" w14:textId="77777777" w:rsidR="00751E0B" w:rsidRPr="000A643A" w:rsidRDefault="00751E0B" w:rsidP="00751E0B">
      <w:pPr>
        <w:pStyle w:val="StyleCopyrightStatementAfter0ptBottomSinglesolidline1"/>
        <w:rPr>
          <w:rFonts w:ascii="Times New Roman" w:hAnsi="Times New Roman"/>
          <w:sz w:val="20"/>
        </w:rPr>
      </w:pPr>
    </w:p>
    <w:p w14:paraId="2C183161" w14:textId="77777777" w:rsidR="00B87DC0" w:rsidRPr="000A643A" w:rsidRDefault="00B87DC0" w:rsidP="004B6869">
      <w:pPr>
        <w:pStyle w:val="BodyTextMain"/>
      </w:pPr>
    </w:p>
    <w:p w14:paraId="2C5AE9C3" w14:textId="1CB2CDCF" w:rsidR="004B6869" w:rsidRPr="000A643A" w:rsidRDefault="004B6869" w:rsidP="00FB734A">
      <w:pPr>
        <w:pStyle w:val="BodyTextMain"/>
      </w:pPr>
      <w:r w:rsidRPr="000A643A">
        <w:t xml:space="preserve">It was February 2016 </w:t>
      </w:r>
      <w:r w:rsidR="00D44748">
        <w:t xml:space="preserve">and </w:t>
      </w:r>
      <w:r w:rsidRPr="000A643A">
        <w:t xml:space="preserve">the </w:t>
      </w:r>
      <w:r w:rsidR="00D44748">
        <w:t>b</w:t>
      </w:r>
      <w:r w:rsidRPr="000A643A">
        <w:t xml:space="preserve">oard of </w:t>
      </w:r>
      <w:proofErr w:type="spellStart"/>
      <w:r w:rsidRPr="000A643A">
        <w:t>SpruceLand</w:t>
      </w:r>
      <w:proofErr w:type="spellEnd"/>
      <w:r w:rsidRPr="000A643A">
        <w:t xml:space="preserve"> Properties Inc.</w:t>
      </w:r>
      <w:r w:rsidR="00D44748">
        <w:t xml:space="preserve"> (</w:t>
      </w:r>
      <w:proofErr w:type="spellStart"/>
      <w:r w:rsidR="00D44748">
        <w:t>SpruceLand</w:t>
      </w:r>
      <w:proofErr w:type="spellEnd"/>
      <w:r w:rsidR="00D44748">
        <w:t>)</w:t>
      </w:r>
      <w:r w:rsidRPr="00243097">
        <w:rPr>
          <w:rStyle w:val="FootnoteReference"/>
        </w:rPr>
        <w:footnoteReference w:id="1"/>
      </w:r>
      <w:r w:rsidRPr="000A643A">
        <w:t xml:space="preserve"> </w:t>
      </w:r>
      <w:r w:rsidR="005C6BFF">
        <w:t>faced</w:t>
      </w:r>
      <w:r w:rsidR="005C6BFF" w:rsidRPr="000A643A">
        <w:t xml:space="preserve"> </w:t>
      </w:r>
      <w:r w:rsidRPr="000A643A">
        <w:t xml:space="preserve">a difficult decision. </w:t>
      </w:r>
      <w:r w:rsidR="00D44748">
        <w:t xml:space="preserve">Since </w:t>
      </w:r>
      <w:proofErr w:type="spellStart"/>
      <w:r w:rsidR="00D44748">
        <w:t>SpruceLand’s</w:t>
      </w:r>
      <w:proofErr w:type="spellEnd"/>
      <w:r w:rsidR="00D44748">
        <w:t xml:space="preserve"> </w:t>
      </w:r>
      <w:r w:rsidRPr="000A643A">
        <w:t xml:space="preserve">inception in 1969 in the northern Alberta </w:t>
      </w:r>
      <w:r w:rsidR="00D44748">
        <w:t>t</w:t>
      </w:r>
      <w:r w:rsidRPr="000A643A">
        <w:t xml:space="preserve">own of Slave Lake, </w:t>
      </w:r>
      <w:r w:rsidR="00D44748">
        <w:t>the company</w:t>
      </w:r>
      <w:r w:rsidR="00D44748" w:rsidRPr="000A643A">
        <w:t xml:space="preserve"> </w:t>
      </w:r>
      <w:r w:rsidRPr="000A643A">
        <w:t>had a two-fold purpose: to earn a financial return and to engage in socially</w:t>
      </w:r>
      <w:r w:rsidR="00D44748">
        <w:t xml:space="preserve"> </w:t>
      </w:r>
      <w:r w:rsidRPr="000A643A">
        <w:t xml:space="preserve">beneficial projects. </w:t>
      </w:r>
      <w:proofErr w:type="spellStart"/>
      <w:r w:rsidRPr="000A643A">
        <w:t>SpruceLand</w:t>
      </w:r>
      <w:proofErr w:type="spellEnd"/>
      <w:r w:rsidRPr="000A643A">
        <w:t xml:space="preserve"> was a community development company owned by individual members of the community</w:t>
      </w:r>
      <w:r w:rsidR="00D44748">
        <w:t>.</w:t>
      </w:r>
      <w:r w:rsidRPr="000A643A">
        <w:t xml:space="preserve"> </w:t>
      </w:r>
      <w:r w:rsidR="00D44748">
        <w:t xml:space="preserve">It had </w:t>
      </w:r>
      <w:r w:rsidRPr="000A643A">
        <w:t xml:space="preserve">started through the sale of shares at </w:t>
      </w:r>
      <w:r w:rsidR="00243097">
        <w:t>CA</w:t>
      </w:r>
      <w:r w:rsidRPr="000A643A">
        <w:t>$1</w:t>
      </w:r>
      <w:r w:rsidRPr="00243097">
        <w:rPr>
          <w:rStyle w:val="FootnoteReference"/>
        </w:rPr>
        <w:footnoteReference w:id="2"/>
      </w:r>
      <w:r w:rsidRPr="000A643A">
        <w:t xml:space="preserve"> </w:t>
      </w:r>
      <w:r w:rsidR="00457757" w:rsidRPr="000A643A">
        <w:t xml:space="preserve">per share </w:t>
      </w:r>
      <w:r w:rsidRPr="000A643A">
        <w:t xml:space="preserve">plus small investments from oil and gas companies entering the </w:t>
      </w:r>
      <w:r w:rsidR="008C0DC9">
        <w:t>n</w:t>
      </w:r>
      <w:r w:rsidRPr="000A643A">
        <w:t xml:space="preserve">orthern Alberta </w:t>
      </w:r>
      <w:r w:rsidR="00457757">
        <w:t>r</w:t>
      </w:r>
      <w:r w:rsidRPr="000A643A">
        <w:t xml:space="preserve">egion as </w:t>
      </w:r>
      <w:r w:rsidR="00457757">
        <w:t>Alberta’s energy</w:t>
      </w:r>
      <w:r w:rsidR="00457757" w:rsidRPr="000A643A">
        <w:t xml:space="preserve"> </w:t>
      </w:r>
      <w:r w:rsidRPr="000A643A">
        <w:t>sector was starting to take off.</w:t>
      </w:r>
    </w:p>
    <w:p w14:paraId="60AF3F0F" w14:textId="77777777" w:rsidR="00804D33" w:rsidRPr="000A643A" w:rsidRDefault="00804D33" w:rsidP="00FB734A">
      <w:pPr>
        <w:pStyle w:val="BodyTextMain"/>
      </w:pPr>
    </w:p>
    <w:p w14:paraId="36C69A28" w14:textId="28DD1767" w:rsidR="004B6869" w:rsidRPr="003730A6" w:rsidRDefault="004B6869" w:rsidP="004C08F8">
      <w:pPr>
        <w:pStyle w:val="BodyTextMain"/>
        <w:rPr>
          <w:spacing w:val="-2"/>
        </w:rPr>
      </w:pPr>
      <w:r w:rsidRPr="003730A6">
        <w:rPr>
          <w:spacing w:val="-2"/>
        </w:rPr>
        <w:t xml:space="preserve">A critical need for infrastructure and real estate development in the region, combined with the </w:t>
      </w:r>
      <w:r w:rsidR="00457757" w:rsidRPr="003730A6">
        <w:rPr>
          <w:spacing w:val="-2"/>
        </w:rPr>
        <w:t xml:space="preserve">opportunities </w:t>
      </w:r>
      <w:r w:rsidRPr="003730A6">
        <w:rPr>
          <w:spacing w:val="-2"/>
        </w:rPr>
        <w:t xml:space="preserve">associated with the increasing presence of oil and gas companies, meant that </w:t>
      </w:r>
      <w:proofErr w:type="spellStart"/>
      <w:r w:rsidRPr="003730A6">
        <w:rPr>
          <w:spacing w:val="-2"/>
        </w:rPr>
        <w:t>SpruceLand</w:t>
      </w:r>
      <w:proofErr w:type="spellEnd"/>
      <w:r w:rsidRPr="003730A6">
        <w:rPr>
          <w:spacing w:val="-2"/>
        </w:rPr>
        <w:t xml:space="preserve"> had grown steadily </w:t>
      </w:r>
      <w:r w:rsidR="004C08F8" w:rsidRPr="003730A6">
        <w:rPr>
          <w:spacing w:val="-2"/>
        </w:rPr>
        <w:t xml:space="preserve">from the </w:t>
      </w:r>
      <w:r w:rsidRPr="003730A6">
        <w:rPr>
          <w:spacing w:val="-2"/>
        </w:rPr>
        <w:t>1970s</w:t>
      </w:r>
      <w:r w:rsidR="00D44748" w:rsidRPr="003730A6">
        <w:rPr>
          <w:spacing w:val="-2"/>
        </w:rPr>
        <w:t xml:space="preserve"> </w:t>
      </w:r>
      <w:r w:rsidR="004C08F8" w:rsidRPr="003730A6">
        <w:rPr>
          <w:spacing w:val="-2"/>
        </w:rPr>
        <w:t xml:space="preserve">through to </w:t>
      </w:r>
      <w:r w:rsidRPr="003730A6">
        <w:rPr>
          <w:spacing w:val="-2"/>
        </w:rPr>
        <w:t xml:space="preserve">2009. The expansion was impressive, but the company </w:t>
      </w:r>
      <w:r w:rsidR="00D44748" w:rsidRPr="003730A6">
        <w:rPr>
          <w:spacing w:val="-2"/>
        </w:rPr>
        <w:t>had not been</w:t>
      </w:r>
      <w:r w:rsidRPr="003730A6">
        <w:rPr>
          <w:spacing w:val="-2"/>
        </w:rPr>
        <w:t xml:space="preserve"> structured to </w:t>
      </w:r>
      <w:r w:rsidR="00457757" w:rsidRPr="003730A6">
        <w:rPr>
          <w:spacing w:val="-2"/>
        </w:rPr>
        <w:t>grow</w:t>
      </w:r>
      <w:r w:rsidR="00D44748" w:rsidRPr="003730A6">
        <w:rPr>
          <w:spacing w:val="-2"/>
        </w:rPr>
        <w:t xml:space="preserve"> </w:t>
      </w:r>
      <w:r w:rsidRPr="003730A6">
        <w:rPr>
          <w:spacing w:val="-2"/>
        </w:rPr>
        <w:t xml:space="preserve">as large as it had </w:t>
      </w:r>
      <w:r w:rsidR="00D44748" w:rsidRPr="003730A6">
        <w:rPr>
          <w:spacing w:val="-2"/>
        </w:rPr>
        <w:t>become</w:t>
      </w:r>
      <w:r w:rsidRPr="003730A6">
        <w:rPr>
          <w:spacing w:val="-2"/>
        </w:rPr>
        <w:t>. Shares would occasionally trade hands privately, mostly between existing shareholders</w:t>
      </w:r>
      <w:r w:rsidR="00D44748" w:rsidRPr="003730A6">
        <w:rPr>
          <w:spacing w:val="-2"/>
        </w:rPr>
        <w:t>;</w:t>
      </w:r>
      <w:r w:rsidRPr="003730A6">
        <w:rPr>
          <w:spacing w:val="-2"/>
        </w:rPr>
        <w:t xml:space="preserve"> by 2016</w:t>
      </w:r>
      <w:r w:rsidR="00D44748" w:rsidRPr="003730A6">
        <w:rPr>
          <w:spacing w:val="-2"/>
        </w:rPr>
        <w:t>, shares</w:t>
      </w:r>
      <w:r w:rsidRPr="003730A6">
        <w:rPr>
          <w:spacing w:val="-2"/>
        </w:rPr>
        <w:t xml:space="preserve"> were trading at about $22 per share</w:t>
      </w:r>
      <w:r w:rsidR="00D44748" w:rsidRPr="003730A6">
        <w:rPr>
          <w:spacing w:val="-2"/>
        </w:rPr>
        <w:t>.</w:t>
      </w:r>
      <w:r w:rsidRPr="003730A6">
        <w:rPr>
          <w:rStyle w:val="FootnoteReference"/>
          <w:spacing w:val="-2"/>
        </w:rPr>
        <w:footnoteReference w:id="3"/>
      </w:r>
      <w:r w:rsidRPr="003730A6">
        <w:rPr>
          <w:spacing w:val="-2"/>
        </w:rPr>
        <w:t xml:space="preserve"> </w:t>
      </w:r>
      <w:r w:rsidR="008C0DC9" w:rsidRPr="003730A6">
        <w:rPr>
          <w:spacing w:val="-2"/>
        </w:rPr>
        <w:t>T</w:t>
      </w:r>
      <w:r w:rsidRPr="003730A6">
        <w:rPr>
          <w:spacing w:val="-2"/>
        </w:rPr>
        <w:t xml:space="preserve">his price was approximately half the net </w:t>
      </w:r>
      <w:proofErr w:type="gramStart"/>
      <w:r w:rsidRPr="003730A6">
        <w:rPr>
          <w:spacing w:val="-2"/>
        </w:rPr>
        <w:t>value</w:t>
      </w:r>
      <w:proofErr w:type="gramEnd"/>
      <w:r w:rsidRPr="003730A6">
        <w:rPr>
          <w:spacing w:val="-2"/>
        </w:rPr>
        <w:t xml:space="preserve"> per share of </w:t>
      </w:r>
      <w:proofErr w:type="spellStart"/>
      <w:r w:rsidRPr="003730A6">
        <w:rPr>
          <w:spacing w:val="-2"/>
        </w:rPr>
        <w:t>SpruceLand’s</w:t>
      </w:r>
      <w:proofErr w:type="spellEnd"/>
      <w:r w:rsidRPr="003730A6">
        <w:rPr>
          <w:spacing w:val="-2"/>
        </w:rPr>
        <w:t xml:space="preserve"> properties themselves, minus debt. </w:t>
      </w:r>
      <w:r w:rsidR="007C1C91" w:rsidRPr="003730A6">
        <w:rPr>
          <w:spacing w:val="-2"/>
        </w:rPr>
        <w:t>T</w:t>
      </w:r>
      <w:r w:rsidRPr="003730A6">
        <w:rPr>
          <w:spacing w:val="-2"/>
        </w:rPr>
        <w:t>he oil-</w:t>
      </w:r>
      <w:r w:rsidR="00457757" w:rsidRPr="003730A6">
        <w:rPr>
          <w:spacing w:val="-2"/>
        </w:rPr>
        <w:t xml:space="preserve"> </w:t>
      </w:r>
      <w:r w:rsidRPr="003730A6">
        <w:rPr>
          <w:spacing w:val="-2"/>
        </w:rPr>
        <w:t>and</w:t>
      </w:r>
      <w:r w:rsidR="00457757" w:rsidRPr="003730A6">
        <w:rPr>
          <w:spacing w:val="-2"/>
        </w:rPr>
        <w:t xml:space="preserve"> </w:t>
      </w:r>
      <w:r w:rsidRPr="003730A6">
        <w:rPr>
          <w:spacing w:val="-2"/>
        </w:rPr>
        <w:t>gas-fuel</w:t>
      </w:r>
      <w:r w:rsidR="00D44748" w:rsidRPr="003730A6">
        <w:rPr>
          <w:spacing w:val="-2"/>
        </w:rPr>
        <w:t>l</w:t>
      </w:r>
      <w:r w:rsidRPr="003730A6">
        <w:rPr>
          <w:spacing w:val="-2"/>
        </w:rPr>
        <w:t>ed Alberta economy had started to collapse</w:t>
      </w:r>
      <w:r w:rsidR="007C1C91" w:rsidRPr="003730A6">
        <w:rPr>
          <w:spacing w:val="-2"/>
        </w:rPr>
        <w:t xml:space="preserve"> in 2014,</w:t>
      </w:r>
      <w:r w:rsidR="00CF3A74" w:rsidRPr="003730A6">
        <w:rPr>
          <w:rStyle w:val="FootnoteReference"/>
          <w:spacing w:val="-2"/>
        </w:rPr>
        <w:footnoteReference w:id="4"/>
      </w:r>
      <w:r w:rsidR="007C1C91" w:rsidRPr="003730A6">
        <w:rPr>
          <w:spacing w:val="-2"/>
        </w:rPr>
        <w:t xml:space="preserve"> and</w:t>
      </w:r>
      <w:r w:rsidRPr="003730A6">
        <w:rPr>
          <w:spacing w:val="-2"/>
        </w:rPr>
        <w:t xml:space="preserve"> </w:t>
      </w:r>
      <w:r w:rsidR="007C1C91" w:rsidRPr="003730A6">
        <w:rPr>
          <w:spacing w:val="-2"/>
        </w:rPr>
        <w:t>now t</w:t>
      </w:r>
      <w:r w:rsidRPr="003730A6">
        <w:rPr>
          <w:spacing w:val="-2"/>
        </w:rPr>
        <w:t xml:space="preserve">he </w:t>
      </w:r>
      <w:r w:rsidR="00D44748" w:rsidRPr="003730A6">
        <w:rPr>
          <w:spacing w:val="-2"/>
        </w:rPr>
        <w:t>b</w:t>
      </w:r>
      <w:r w:rsidRPr="003730A6">
        <w:rPr>
          <w:spacing w:val="-2"/>
        </w:rPr>
        <w:t xml:space="preserve">oard </w:t>
      </w:r>
      <w:r w:rsidR="00D44748" w:rsidRPr="003730A6">
        <w:rPr>
          <w:spacing w:val="-2"/>
        </w:rPr>
        <w:t xml:space="preserve">needed </w:t>
      </w:r>
      <w:r w:rsidRPr="003730A6">
        <w:rPr>
          <w:spacing w:val="-2"/>
        </w:rPr>
        <w:t>to make a difficult decision</w:t>
      </w:r>
      <w:r w:rsidR="00D44748" w:rsidRPr="003730A6">
        <w:rPr>
          <w:spacing w:val="-2"/>
        </w:rPr>
        <w:t>:</w:t>
      </w:r>
      <w:r w:rsidRPr="003730A6">
        <w:rPr>
          <w:spacing w:val="-2"/>
        </w:rPr>
        <w:t xml:space="preserve"> </w:t>
      </w:r>
      <w:r w:rsidR="00D44748" w:rsidRPr="003730A6">
        <w:rPr>
          <w:spacing w:val="-2"/>
        </w:rPr>
        <w:t xml:space="preserve">Should it </w:t>
      </w:r>
      <w:r w:rsidRPr="003730A6">
        <w:rPr>
          <w:spacing w:val="-2"/>
        </w:rPr>
        <w:t xml:space="preserve">continue </w:t>
      </w:r>
      <w:r w:rsidR="003F7246" w:rsidRPr="003730A6">
        <w:rPr>
          <w:spacing w:val="-2"/>
        </w:rPr>
        <w:t xml:space="preserve">to operate </w:t>
      </w:r>
      <w:r w:rsidR="00D44748" w:rsidRPr="003730A6">
        <w:rPr>
          <w:spacing w:val="-2"/>
        </w:rPr>
        <w:t xml:space="preserve">as </w:t>
      </w:r>
      <w:r w:rsidRPr="003730A6">
        <w:rPr>
          <w:spacing w:val="-2"/>
        </w:rPr>
        <w:t>a profitable company with shares that were undervalued, restructure</w:t>
      </w:r>
      <w:r w:rsidR="00D44748" w:rsidRPr="003730A6">
        <w:rPr>
          <w:spacing w:val="-2"/>
        </w:rPr>
        <w:t>,</w:t>
      </w:r>
      <w:r w:rsidRPr="003730A6">
        <w:rPr>
          <w:spacing w:val="-2"/>
        </w:rPr>
        <w:t xml:space="preserve"> or dissolve?</w:t>
      </w:r>
    </w:p>
    <w:p w14:paraId="58D9747E" w14:textId="77777777" w:rsidR="00804D33" w:rsidRPr="000A643A" w:rsidRDefault="00804D33" w:rsidP="00804D33">
      <w:pPr>
        <w:pStyle w:val="BodyTextMain"/>
      </w:pPr>
    </w:p>
    <w:p w14:paraId="7C14D2D5" w14:textId="77777777" w:rsidR="004B6869" w:rsidRPr="000A643A" w:rsidRDefault="004B6869" w:rsidP="00804D33">
      <w:pPr>
        <w:pStyle w:val="BodyTextMain"/>
      </w:pPr>
    </w:p>
    <w:p w14:paraId="45E94192" w14:textId="77777777" w:rsidR="004B6869" w:rsidRPr="000A643A" w:rsidRDefault="004B6869" w:rsidP="00804D33">
      <w:pPr>
        <w:pStyle w:val="Casehead1"/>
      </w:pPr>
      <w:r w:rsidRPr="000A643A">
        <w:t>NORTHERN ALBERTA REGION</w:t>
      </w:r>
    </w:p>
    <w:p w14:paraId="2956EB01" w14:textId="77777777" w:rsidR="00804D33" w:rsidRPr="000A643A" w:rsidRDefault="00804D33" w:rsidP="00FB734A">
      <w:pPr>
        <w:pStyle w:val="BodyTextMain"/>
      </w:pPr>
    </w:p>
    <w:p w14:paraId="20855230" w14:textId="2C115AA7" w:rsidR="004B6869" w:rsidRDefault="004B6869" w:rsidP="00FB734A">
      <w:pPr>
        <w:pStyle w:val="BodyTextMain"/>
      </w:pPr>
      <w:r w:rsidRPr="000A643A">
        <w:t xml:space="preserve">The </w:t>
      </w:r>
      <w:r w:rsidR="007C1C91">
        <w:t>n</w:t>
      </w:r>
      <w:r w:rsidRPr="000A643A">
        <w:t xml:space="preserve">orthern Alberta </w:t>
      </w:r>
      <w:r w:rsidR="00457757">
        <w:t>r</w:t>
      </w:r>
      <w:r w:rsidRPr="000A643A">
        <w:t>egion (the North) comprised 60</w:t>
      </w:r>
      <w:r w:rsidR="00D44748">
        <w:t xml:space="preserve"> per cent of</w:t>
      </w:r>
      <w:r w:rsidRPr="000A643A">
        <w:t xml:space="preserve"> Alberta’s land area (see Exhibit 1), but in 2011</w:t>
      </w:r>
      <w:r w:rsidR="00D44748">
        <w:t>,</w:t>
      </w:r>
      <w:r w:rsidRPr="000A643A">
        <w:t xml:space="preserve"> </w:t>
      </w:r>
      <w:r w:rsidR="00D44748">
        <w:t xml:space="preserve">it was home to </w:t>
      </w:r>
      <w:r w:rsidRPr="000A643A">
        <w:t>less than 11</w:t>
      </w:r>
      <w:r w:rsidR="00D44748">
        <w:t xml:space="preserve"> per cent</w:t>
      </w:r>
      <w:r w:rsidRPr="000A643A">
        <w:t xml:space="preserve"> of </w:t>
      </w:r>
      <w:r w:rsidR="00D44748">
        <w:t>Alberta’s</w:t>
      </w:r>
      <w:r w:rsidR="00D44748" w:rsidRPr="000A643A">
        <w:t xml:space="preserve"> </w:t>
      </w:r>
      <w:r w:rsidRPr="000A643A">
        <w:t xml:space="preserve">population. The region was sparsely populated with a population density of just 0.97 persons per square </w:t>
      </w:r>
      <w:r w:rsidR="00D44748" w:rsidRPr="000A643A">
        <w:t>kilomet</w:t>
      </w:r>
      <w:r w:rsidR="00D44748">
        <w:t>re</w:t>
      </w:r>
      <w:r w:rsidRPr="000A643A">
        <w:t xml:space="preserve">, compared </w:t>
      </w:r>
      <w:r w:rsidR="00D44748">
        <w:t>with</w:t>
      </w:r>
      <w:r w:rsidR="00D44748" w:rsidRPr="000A643A">
        <w:t xml:space="preserve"> </w:t>
      </w:r>
      <w:r w:rsidRPr="000A643A">
        <w:t xml:space="preserve">5.7 persons per </w:t>
      </w:r>
      <w:r w:rsidR="00952B1A">
        <w:t>square kilometre</w:t>
      </w:r>
      <w:r w:rsidR="00952B1A" w:rsidRPr="000A643A">
        <w:rPr>
          <w:vertAlign w:val="superscript"/>
        </w:rPr>
        <w:t xml:space="preserve"> </w:t>
      </w:r>
      <w:r w:rsidRPr="000A643A">
        <w:t>for the rest of Alberta.</w:t>
      </w:r>
      <w:r w:rsidRPr="00243097">
        <w:rPr>
          <w:rStyle w:val="FootnoteReference"/>
        </w:rPr>
        <w:footnoteReference w:id="5"/>
      </w:r>
      <w:r w:rsidRPr="000A643A">
        <w:t xml:space="preserve"> With vast, remote lands, and awe-inspiring nature</w:t>
      </w:r>
      <w:r w:rsidR="00BB12E5">
        <w:t>,</w:t>
      </w:r>
      <w:r w:rsidRPr="000A643A">
        <w:t xml:space="preserve"> the North was often considered a “last frontier” that held immense opportunity for those who could stand the challenging</w:t>
      </w:r>
      <w:r w:rsidR="00804D33" w:rsidRPr="000A643A">
        <w:t xml:space="preserve"> weather and relative solitude.</w:t>
      </w:r>
    </w:p>
    <w:p w14:paraId="35AEAE3D" w14:textId="524647B2" w:rsidR="004B6869" w:rsidRPr="002944BA" w:rsidRDefault="004B6869" w:rsidP="00FB734A">
      <w:pPr>
        <w:pStyle w:val="BodyTextMain"/>
        <w:rPr>
          <w:spacing w:val="-2"/>
        </w:rPr>
      </w:pPr>
      <w:r w:rsidRPr="002944BA">
        <w:rPr>
          <w:spacing w:val="-2"/>
        </w:rPr>
        <w:lastRenderedPageBreak/>
        <w:t xml:space="preserve">The 2011 National Household Survey revealed </w:t>
      </w:r>
      <w:r w:rsidR="007C1C91" w:rsidRPr="002944BA">
        <w:rPr>
          <w:spacing w:val="-2"/>
        </w:rPr>
        <w:t xml:space="preserve">that </w:t>
      </w:r>
      <w:r w:rsidR="00457757" w:rsidRPr="002944BA">
        <w:rPr>
          <w:spacing w:val="-2"/>
        </w:rPr>
        <w:t xml:space="preserve">the North had </w:t>
      </w:r>
      <w:r w:rsidRPr="002944BA">
        <w:rPr>
          <w:spacing w:val="-2"/>
        </w:rPr>
        <w:t xml:space="preserve">a relatively young population compared </w:t>
      </w:r>
      <w:r w:rsidR="00BB12E5" w:rsidRPr="002944BA">
        <w:rPr>
          <w:spacing w:val="-2"/>
        </w:rPr>
        <w:t xml:space="preserve">with </w:t>
      </w:r>
      <w:r w:rsidRPr="002944BA">
        <w:rPr>
          <w:spacing w:val="-2"/>
        </w:rPr>
        <w:t>the rest of Alberta, and a 5.6</w:t>
      </w:r>
      <w:r w:rsidR="00BB12E5" w:rsidRPr="002944BA">
        <w:rPr>
          <w:spacing w:val="-2"/>
        </w:rPr>
        <w:t xml:space="preserve"> per cent</w:t>
      </w:r>
      <w:r w:rsidRPr="002944BA">
        <w:rPr>
          <w:spacing w:val="-2"/>
        </w:rPr>
        <w:t xml:space="preserve"> unemployment rate with </w:t>
      </w:r>
      <w:r w:rsidR="00BB12E5" w:rsidRPr="002944BA">
        <w:rPr>
          <w:spacing w:val="-2"/>
        </w:rPr>
        <w:t xml:space="preserve">approximately </w:t>
      </w:r>
      <w:r w:rsidRPr="002944BA">
        <w:rPr>
          <w:spacing w:val="-2"/>
        </w:rPr>
        <w:t>15</w:t>
      </w:r>
      <w:r w:rsidR="00BB12E5" w:rsidRPr="002944BA">
        <w:rPr>
          <w:spacing w:val="-2"/>
        </w:rPr>
        <w:t xml:space="preserve"> per cent</w:t>
      </w:r>
      <w:r w:rsidRPr="002944BA">
        <w:rPr>
          <w:spacing w:val="-2"/>
        </w:rPr>
        <w:t xml:space="preserve"> of the population working in “mining, quarrying, and oil and gas extraction.” The survey also showed educational attainment levels largely </w:t>
      </w:r>
      <w:r w:rsidR="00BB12E5" w:rsidRPr="002944BA">
        <w:rPr>
          <w:spacing w:val="-2"/>
        </w:rPr>
        <w:t xml:space="preserve">similar to </w:t>
      </w:r>
      <w:r w:rsidRPr="002944BA">
        <w:rPr>
          <w:spacing w:val="-2"/>
        </w:rPr>
        <w:t>the rest of Alberta with two notable exceptions</w:t>
      </w:r>
      <w:r w:rsidR="00BB12E5" w:rsidRPr="002944BA">
        <w:rPr>
          <w:spacing w:val="-2"/>
        </w:rPr>
        <w:t>:</w:t>
      </w:r>
      <w:r w:rsidRPr="002944BA">
        <w:rPr>
          <w:spacing w:val="-2"/>
        </w:rPr>
        <w:t xml:space="preserve"> the region had a higher proportion of </w:t>
      </w:r>
      <w:r w:rsidR="00BB12E5" w:rsidRPr="002944BA">
        <w:rPr>
          <w:spacing w:val="-2"/>
        </w:rPr>
        <w:t xml:space="preserve">both </w:t>
      </w:r>
      <w:r w:rsidRPr="002944BA">
        <w:rPr>
          <w:spacing w:val="-2"/>
        </w:rPr>
        <w:t xml:space="preserve">people with apprentice and trade credentials </w:t>
      </w:r>
      <w:r w:rsidR="00BB12E5" w:rsidRPr="002944BA">
        <w:rPr>
          <w:spacing w:val="-2"/>
        </w:rPr>
        <w:t xml:space="preserve">and people </w:t>
      </w:r>
      <w:r w:rsidR="00457757" w:rsidRPr="002944BA">
        <w:rPr>
          <w:spacing w:val="-2"/>
        </w:rPr>
        <w:t xml:space="preserve">who lacked </w:t>
      </w:r>
      <w:r w:rsidRPr="002944BA">
        <w:rPr>
          <w:spacing w:val="-2"/>
        </w:rPr>
        <w:t xml:space="preserve">educational credentials. </w:t>
      </w:r>
      <w:r w:rsidR="007C1C91" w:rsidRPr="002944BA">
        <w:rPr>
          <w:spacing w:val="-2"/>
        </w:rPr>
        <w:t>T</w:t>
      </w:r>
      <w:r w:rsidRPr="002944BA">
        <w:rPr>
          <w:spacing w:val="-2"/>
        </w:rPr>
        <w:t xml:space="preserve">he region </w:t>
      </w:r>
      <w:r w:rsidR="007C1C91" w:rsidRPr="002944BA">
        <w:rPr>
          <w:spacing w:val="-2"/>
        </w:rPr>
        <w:t xml:space="preserve">also </w:t>
      </w:r>
      <w:r w:rsidR="00BB12E5" w:rsidRPr="002944BA">
        <w:rPr>
          <w:spacing w:val="-2"/>
        </w:rPr>
        <w:t xml:space="preserve">had huge disparities </w:t>
      </w:r>
      <w:r w:rsidRPr="002944BA">
        <w:rPr>
          <w:spacing w:val="-2"/>
        </w:rPr>
        <w:t>with respect to where these two distinct groups were located</w:t>
      </w:r>
      <w:r w:rsidR="00BB12E5" w:rsidRPr="002944BA">
        <w:rPr>
          <w:spacing w:val="-2"/>
        </w:rPr>
        <w:t>:</w:t>
      </w:r>
      <w:r w:rsidRPr="002944BA">
        <w:rPr>
          <w:spacing w:val="-2"/>
        </w:rPr>
        <w:t xml:space="preserve"> </w:t>
      </w:r>
      <w:r w:rsidR="00BB12E5" w:rsidRPr="002944BA">
        <w:rPr>
          <w:spacing w:val="-2"/>
        </w:rPr>
        <w:t xml:space="preserve">those </w:t>
      </w:r>
      <w:r w:rsidRPr="002944BA">
        <w:rPr>
          <w:spacing w:val="-2"/>
        </w:rPr>
        <w:t>people with the highest educational attainment levels tended to reside close to oil extraction activities</w:t>
      </w:r>
      <w:r w:rsidR="00804D33" w:rsidRPr="002944BA">
        <w:rPr>
          <w:spacing w:val="-2"/>
        </w:rPr>
        <w:t>.</w:t>
      </w:r>
      <w:r w:rsidR="002944BA" w:rsidRPr="002944BA">
        <w:rPr>
          <w:rStyle w:val="FootnoteReference"/>
          <w:spacing w:val="-2"/>
        </w:rPr>
        <w:footnoteReference w:id="6"/>
      </w:r>
    </w:p>
    <w:p w14:paraId="456DFF22" w14:textId="77777777" w:rsidR="00804D33" w:rsidRPr="000A643A" w:rsidRDefault="00804D33" w:rsidP="00FB734A">
      <w:pPr>
        <w:pStyle w:val="BodyTextMain"/>
      </w:pPr>
    </w:p>
    <w:p w14:paraId="095F39D9" w14:textId="021DCAA6" w:rsidR="004B6869" w:rsidRPr="000A643A" w:rsidRDefault="004B6869" w:rsidP="00FB734A">
      <w:pPr>
        <w:pStyle w:val="BodyTextMain"/>
      </w:pPr>
      <w:r w:rsidRPr="000A643A">
        <w:t xml:space="preserve">The </w:t>
      </w:r>
      <w:r w:rsidR="00BB12E5">
        <w:t xml:space="preserve">region’s </w:t>
      </w:r>
      <w:r w:rsidRPr="000A643A">
        <w:t xml:space="preserve">economic activity had steadily increased since the 1960s due to the discovery and subsequent extraction of oil and gas, most notably in the Alberta </w:t>
      </w:r>
      <w:r w:rsidR="00BB12E5">
        <w:t>o</w:t>
      </w:r>
      <w:r w:rsidRPr="000A643A">
        <w:t xml:space="preserve">il </w:t>
      </w:r>
      <w:r w:rsidR="00BB12E5">
        <w:t>s</w:t>
      </w:r>
      <w:r w:rsidRPr="000A643A">
        <w:t xml:space="preserve">ands. In 2011, workers in the Wood Buffalo region (Fort McMurray and area) </w:t>
      </w:r>
      <w:r w:rsidR="00BB12E5">
        <w:t>earned nearly</w:t>
      </w:r>
      <w:r w:rsidRPr="000A643A">
        <w:t xml:space="preserve"> 90</w:t>
      </w:r>
      <w:r w:rsidR="00BB12E5">
        <w:t xml:space="preserve"> per cent</w:t>
      </w:r>
      <w:r w:rsidRPr="000A643A">
        <w:t xml:space="preserve"> more than the median income in Alberta, while other areas in the region generally fell below the median </w:t>
      </w:r>
      <w:r w:rsidR="00457757">
        <w:t xml:space="preserve">income </w:t>
      </w:r>
      <w:r w:rsidRPr="000A643A">
        <w:t>for the province.</w:t>
      </w:r>
      <w:r w:rsidR="002944BA" w:rsidRPr="002944BA">
        <w:rPr>
          <w:rStyle w:val="FootnoteReference"/>
        </w:rPr>
        <w:t xml:space="preserve"> </w:t>
      </w:r>
      <w:r w:rsidR="002944BA" w:rsidRPr="00243097">
        <w:rPr>
          <w:rStyle w:val="FootnoteReference"/>
        </w:rPr>
        <w:footnoteReference w:id="7"/>
      </w:r>
    </w:p>
    <w:p w14:paraId="11E0A499" w14:textId="77777777" w:rsidR="00804D33" w:rsidRPr="000A643A" w:rsidRDefault="00804D33" w:rsidP="00FB734A">
      <w:pPr>
        <w:pStyle w:val="BodyTextMain"/>
      </w:pPr>
    </w:p>
    <w:p w14:paraId="253AEB96" w14:textId="3AAAFAA9" w:rsidR="004B6869" w:rsidRPr="000A643A" w:rsidRDefault="004B6869" w:rsidP="00FB734A">
      <w:pPr>
        <w:pStyle w:val="BodyTextMain"/>
      </w:pPr>
      <w:r w:rsidRPr="000A643A">
        <w:t xml:space="preserve">The region was home to a relatively large </w:t>
      </w:r>
      <w:r w:rsidR="00457757">
        <w:t>I</w:t>
      </w:r>
      <w:r w:rsidR="00457757" w:rsidRPr="000A643A">
        <w:t xml:space="preserve">ndigenous </w:t>
      </w:r>
      <w:r w:rsidRPr="000A643A">
        <w:t>population</w:t>
      </w:r>
      <w:r w:rsidR="00BB12E5">
        <w:t>, comprising</w:t>
      </w:r>
      <w:r w:rsidRPr="000A643A">
        <w:t xml:space="preserve"> 18.4</w:t>
      </w:r>
      <w:r w:rsidR="00BB12E5">
        <w:t xml:space="preserve"> per cent</w:t>
      </w:r>
      <w:r w:rsidRPr="000A643A">
        <w:t xml:space="preserve"> of the region’s total population, compared </w:t>
      </w:r>
      <w:r w:rsidR="00BB12E5">
        <w:t>with</w:t>
      </w:r>
      <w:r w:rsidR="00BB12E5" w:rsidRPr="000A643A">
        <w:t xml:space="preserve"> </w:t>
      </w:r>
      <w:r w:rsidR="00457757">
        <w:t xml:space="preserve">comprising </w:t>
      </w:r>
      <w:r w:rsidRPr="000A643A">
        <w:t>7.4</w:t>
      </w:r>
      <w:r w:rsidR="00BB12E5">
        <w:t xml:space="preserve"> per cent</w:t>
      </w:r>
      <w:r w:rsidRPr="000A643A">
        <w:t xml:space="preserve"> of the overall population of Alberta. Almost 40</w:t>
      </w:r>
      <w:r w:rsidR="00BB12E5">
        <w:t xml:space="preserve"> per cent</w:t>
      </w:r>
      <w:r w:rsidRPr="000A643A">
        <w:t xml:space="preserve"> of the population in the </w:t>
      </w:r>
      <w:proofErr w:type="gramStart"/>
      <w:r w:rsidR="00457757">
        <w:t>t</w:t>
      </w:r>
      <w:r w:rsidRPr="000A643A">
        <w:t>own</w:t>
      </w:r>
      <w:proofErr w:type="gramEnd"/>
      <w:r w:rsidRPr="000A643A">
        <w:t xml:space="preserve"> of Slave Lake was </w:t>
      </w:r>
      <w:r w:rsidR="00324FE6">
        <w:t>I</w:t>
      </w:r>
      <w:r w:rsidRPr="000A643A">
        <w:t xml:space="preserve">ndigenous. </w:t>
      </w:r>
      <w:r w:rsidR="00BB12E5">
        <w:t>The region was home to</w:t>
      </w:r>
      <w:r w:rsidRPr="000A643A">
        <w:t xml:space="preserve"> 28 First Nations and eight Metis </w:t>
      </w:r>
      <w:r w:rsidR="00BB12E5">
        <w:t>s</w:t>
      </w:r>
      <w:r w:rsidRPr="000A643A">
        <w:t>ettlements</w:t>
      </w:r>
      <w:r w:rsidR="00BB12E5">
        <w:t>;</w:t>
      </w:r>
      <w:r w:rsidRPr="000A643A">
        <w:t xml:space="preserve"> however, more than half of the </w:t>
      </w:r>
      <w:r w:rsidR="00457757">
        <w:t>I</w:t>
      </w:r>
      <w:r w:rsidRPr="000A643A">
        <w:t>ndigenous population lived off reserves or settlements.</w:t>
      </w:r>
      <w:r w:rsidRPr="00243097">
        <w:rPr>
          <w:rStyle w:val="FootnoteReference"/>
        </w:rPr>
        <w:footnoteReference w:id="8"/>
      </w:r>
      <w:r w:rsidRPr="000A643A">
        <w:t xml:space="preserve"> </w:t>
      </w:r>
      <w:r w:rsidR="00952B1A">
        <w:t>The f</w:t>
      </w:r>
      <w:r w:rsidRPr="000A643A">
        <w:t xml:space="preserve">ormer </w:t>
      </w:r>
      <w:r w:rsidR="00952B1A">
        <w:t xml:space="preserve">chief of the </w:t>
      </w:r>
      <w:proofErr w:type="spellStart"/>
      <w:r w:rsidRPr="000A643A">
        <w:t>Sawridge</w:t>
      </w:r>
      <w:proofErr w:type="spellEnd"/>
      <w:r w:rsidRPr="000A643A">
        <w:t xml:space="preserve"> </w:t>
      </w:r>
      <w:r w:rsidR="00952B1A">
        <w:t>First Nation,</w:t>
      </w:r>
      <w:r w:rsidR="00952B1A" w:rsidRPr="000A643A">
        <w:t xml:space="preserve"> </w:t>
      </w:r>
      <w:r w:rsidRPr="000A643A">
        <w:t xml:space="preserve">Walter </w:t>
      </w:r>
      <w:proofErr w:type="spellStart"/>
      <w:r w:rsidRPr="000A643A">
        <w:t>Twinn</w:t>
      </w:r>
      <w:proofErr w:type="spellEnd"/>
      <w:r w:rsidR="00952B1A">
        <w:t>,</w:t>
      </w:r>
      <w:r w:rsidRPr="000A643A">
        <w:t xml:space="preserve"> was one of the founding members of </w:t>
      </w:r>
      <w:proofErr w:type="spellStart"/>
      <w:r w:rsidRPr="000A643A">
        <w:t>SpruceLand</w:t>
      </w:r>
      <w:proofErr w:type="spellEnd"/>
      <w:r w:rsidRPr="000A643A">
        <w:t xml:space="preserve"> and </w:t>
      </w:r>
      <w:r w:rsidR="00BB12E5">
        <w:t xml:space="preserve">had </w:t>
      </w:r>
      <w:r w:rsidRPr="000A643A">
        <w:t>strongly advocated for more economic opportunities in the area.</w:t>
      </w:r>
    </w:p>
    <w:p w14:paraId="606CA458" w14:textId="77777777" w:rsidR="004B6869" w:rsidRPr="000A643A" w:rsidRDefault="004B6869" w:rsidP="00FB734A">
      <w:pPr>
        <w:pStyle w:val="BodyTextMain"/>
      </w:pPr>
    </w:p>
    <w:p w14:paraId="72174F6E" w14:textId="77777777" w:rsidR="00804D33" w:rsidRPr="000A643A" w:rsidRDefault="00804D33" w:rsidP="00FB734A">
      <w:pPr>
        <w:pStyle w:val="BodyTextMain"/>
      </w:pPr>
    </w:p>
    <w:p w14:paraId="42E9AF6B" w14:textId="77777777" w:rsidR="004B6869" w:rsidRPr="000A643A" w:rsidRDefault="004B6869" w:rsidP="00804D33">
      <w:pPr>
        <w:pStyle w:val="Casehead1"/>
      </w:pPr>
      <w:r w:rsidRPr="000A643A">
        <w:t>ECONOMIC DEVELOPMENT OF NORTHERN ALBERTA</w:t>
      </w:r>
    </w:p>
    <w:p w14:paraId="034F249A" w14:textId="77777777" w:rsidR="00804D33" w:rsidRPr="000A643A" w:rsidRDefault="00804D33" w:rsidP="00FB734A">
      <w:pPr>
        <w:pStyle w:val="BodyTextMain"/>
      </w:pPr>
    </w:p>
    <w:p w14:paraId="19FB617B" w14:textId="65D8FADC" w:rsidR="004B6869" w:rsidRPr="000A643A" w:rsidRDefault="004B6869" w:rsidP="00FB734A">
      <w:pPr>
        <w:pStyle w:val="BodyTextMain"/>
      </w:pPr>
      <w:r w:rsidRPr="000A643A">
        <w:t>Although the energy industry</w:t>
      </w:r>
      <w:r w:rsidRPr="00243097">
        <w:rPr>
          <w:rStyle w:val="FootnoteReference"/>
        </w:rPr>
        <w:footnoteReference w:id="9"/>
      </w:r>
      <w:r w:rsidRPr="000A643A">
        <w:t xml:space="preserve"> had contributed to the growth and development </w:t>
      </w:r>
      <w:r w:rsidR="00324FE6">
        <w:t xml:space="preserve">of </w:t>
      </w:r>
      <w:r w:rsidRPr="000A643A">
        <w:t xml:space="preserve">the </w:t>
      </w:r>
      <w:r w:rsidR="00324FE6">
        <w:t>North</w:t>
      </w:r>
      <w:r w:rsidRPr="000A643A">
        <w:t xml:space="preserve">, the northern and southern parts of Alberta </w:t>
      </w:r>
      <w:r w:rsidR="000E19B8">
        <w:t xml:space="preserve">had historically experienced and continued to experience similarity </w:t>
      </w:r>
      <w:r w:rsidRPr="000A643A">
        <w:t xml:space="preserve">in terms of </w:t>
      </w:r>
      <w:r w:rsidR="000E19B8">
        <w:t>people’s</w:t>
      </w:r>
      <w:r w:rsidR="000E19B8" w:rsidRPr="000A643A">
        <w:t xml:space="preserve"> </w:t>
      </w:r>
      <w:r w:rsidRPr="000A643A">
        <w:t xml:space="preserve">standard of living, opportunities for training and education, </w:t>
      </w:r>
      <w:r w:rsidR="000E19B8">
        <w:t>and</w:t>
      </w:r>
      <w:r w:rsidRPr="000A643A">
        <w:t xml:space="preserve"> wages. The cost of living, however, was much higher in the North. In 2015, the North was still, as a 1981 report suggested, a resource of wealth for the South, especially Calgary, where most head offices for the energy industry and supporting services were located.</w:t>
      </w:r>
      <w:r w:rsidRPr="00243097">
        <w:rPr>
          <w:rStyle w:val="FootnoteReference"/>
        </w:rPr>
        <w:footnoteReference w:id="10"/>
      </w:r>
    </w:p>
    <w:p w14:paraId="2A660403" w14:textId="77777777" w:rsidR="00804D33" w:rsidRPr="000A643A" w:rsidRDefault="00804D33" w:rsidP="00FB734A">
      <w:pPr>
        <w:pStyle w:val="BodyTextMain"/>
      </w:pPr>
    </w:p>
    <w:p w14:paraId="5BD77BB5" w14:textId="10069832" w:rsidR="004B6869" w:rsidRPr="000A643A" w:rsidRDefault="004B6869" w:rsidP="00FB734A">
      <w:pPr>
        <w:pStyle w:val="BodyTextMain"/>
      </w:pPr>
      <w:r w:rsidRPr="000A643A">
        <w:t>The business of resource extraction had faced considerable booms and busts</w:t>
      </w:r>
      <w:r w:rsidR="000E19B8">
        <w:t>,</w:t>
      </w:r>
      <w:r w:rsidRPr="000A643A">
        <w:t xml:space="preserve"> which had an immense impact on the North. Obtaining steady </w:t>
      </w:r>
      <w:r w:rsidR="00B02EC5">
        <w:t xml:space="preserve">economic </w:t>
      </w:r>
      <w:r w:rsidRPr="000A643A">
        <w:t xml:space="preserve">growth had been an ongoing concern. In addition to economic growth, </w:t>
      </w:r>
      <w:r w:rsidR="000E19B8">
        <w:t xml:space="preserve">considerations for the future included </w:t>
      </w:r>
      <w:r w:rsidRPr="000A643A">
        <w:t>social, educational</w:t>
      </w:r>
      <w:r w:rsidR="000E19B8">
        <w:t>,</w:t>
      </w:r>
      <w:r w:rsidRPr="000A643A">
        <w:t xml:space="preserve"> and cultural wealth. Commercial success did not guarantee social success, and vice versa. Steady growth </w:t>
      </w:r>
      <w:r w:rsidR="000E19B8">
        <w:t>needed</w:t>
      </w:r>
      <w:r w:rsidR="000E19B8" w:rsidRPr="000A643A">
        <w:t xml:space="preserve"> </w:t>
      </w:r>
      <w:r w:rsidRPr="000A643A">
        <w:t>to be “sustainable social and economic development in the region in order to realize economic prosperity and a healthy society.”</w:t>
      </w:r>
      <w:r w:rsidRPr="00243097">
        <w:rPr>
          <w:rStyle w:val="FootnoteReference"/>
        </w:rPr>
        <w:footnoteReference w:id="11"/>
      </w:r>
      <w:r w:rsidRPr="000A643A">
        <w:t xml:space="preserve"> It had always been essential to find a way to ensure maximum positive social impact for residents of the area. </w:t>
      </w:r>
    </w:p>
    <w:p w14:paraId="26B4B59E" w14:textId="77777777" w:rsidR="00804D33" w:rsidRPr="000A643A" w:rsidRDefault="00804D33" w:rsidP="00FB734A">
      <w:pPr>
        <w:pStyle w:val="BodyTextMain"/>
      </w:pPr>
    </w:p>
    <w:p w14:paraId="74B1A84A" w14:textId="19E4738D" w:rsidR="004B6869" w:rsidRPr="000A643A" w:rsidRDefault="004B6869" w:rsidP="00FB734A">
      <w:pPr>
        <w:pStyle w:val="BodyTextMain"/>
      </w:pPr>
      <w:r w:rsidRPr="000A643A">
        <w:t xml:space="preserve">When </w:t>
      </w:r>
      <w:proofErr w:type="spellStart"/>
      <w:r w:rsidRPr="000A643A">
        <w:t>SpruceLand</w:t>
      </w:r>
      <w:proofErr w:type="spellEnd"/>
      <w:r w:rsidRPr="000A643A">
        <w:t xml:space="preserve"> was first founded, government reports described the North as “underdeveloped” (compared </w:t>
      </w:r>
      <w:r w:rsidR="000E19B8">
        <w:t>with</w:t>
      </w:r>
      <w:r w:rsidR="000E19B8" w:rsidRPr="000A643A">
        <w:t xml:space="preserve"> </w:t>
      </w:r>
      <w:r w:rsidRPr="000A643A">
        <w:t xml:space="preserve">the rest of Alberta), and the Alberta </w:t>
      </w:r>
      <w:r w:rsidR="00324FE6">
        <w:t>g</w:t>
      </w:r>
      <w:r w:rsidRPr="000A643A">
        <w:t>overnment had committed to community development effort</w:t>
      </w:r>
      <w:r w:rsidR="000E19B8">
        <w:t>s</w:t>
      </w:r>
      <w:r w:rsidRPr="000A643A">
        <w:t>.</w:t>
      </w:r>
      <w:r w:rsidRPr="00243097">
        <w:rPr>
          <w:rStyle w:val="FootnoteReference"/>
        </w:rPr>
        <w:footnoteReference w:id="12"/>
      </w:r>
      <w:r w:rsidRPr="000A643A">
        <w:t xml:space="preserve"> The government recognized that the North had many strengths in terms of resources and opportunities, but inherent in these strengths were also potential weaknesses: </w:t>
      </w:r>
      <w:r w:rsidR="00324FE6">
        <w:t xml:space="preserve">high </w:t>
      </w:r>
      <w:r w:rsidRPr="000A643A">
        <w:t xml:space="preserve">costs, </w:t>
      </w:r>
      <w:r w:rsidR="00324FE6">
        <w:t xml:space="preserve">the need for </w:t>
      </w:r>
      <w:r w:rsidRPr="000A643A">
        <w:t xml:space="preserve">infrastructure, and a small market. Transportation was listed as both a strength and a weakness. The </w:t>
      </w:r>
      <w:r w:rsidRPr="000A643A">
        <w:lastRenderedPageBreak/>
        <w:t xml:space="preserve">government, being the primary landowner in the </w:t>
      </w:r>
      <w:r w:rsidR="000E19B8">
        <w:t>N</w:t>
      </w:r>
      <w:r w:rsidRPr="000A643A">
        <w:t xml:space="preserve">orth, recommended interventions in terms of four development tools: </w:t>
      </w:r>
      <w:r w:rsidR="000E19B8">
        <w:t>(</w:t>
      </w:r>
      <w:r w:rsidRPr="000A643A">
        <w:t>1</w:t>
      </w:r>
      <w:r w:rsidR="000E19B8">
        <w:t>)</w:t>
      </w:r>
      <w:r w:rsidRPr="000A643A">
        <w:t xml:space="preserve"> </w:t>
      </w:r>
      <w:r w:rsidR="000E19B8">
        <w:t>t</w:t>
      </w:r>
      <w:r w:rsidRPr="000A643A">
        <w:t xml:space="preserve">echnical </w:t>
      </w:r>
      <w:r w:rsidR="000E19B8">
        <w:t>s</w:t>
      </w:r>
      <w:r w:rsidRPr="000A643A">
        <w:t xml:space="preserve">upport, </w:t>
      </w:r>
      <w:r w:rsidR="000E19B8">
        <w:t>(</w:t>
      </w:r>
      <w:r w:rsidRPr="000A643A">
        <w:t>2</w:t>
      </w:r>
      <w:r w:rsidR="000E19B8">
        <w:t>)</w:t>
      </w:r>
      <w:r w:rsidRPr="000A643A">
        <w:t xml:space="preserve"> </w:t>
      </w:r>
      <w:r w:rsidR="000E19B8">
        <w:t>r</w:t>
      </w:r>
      <w:r w:rsidRPr="000A643A">
        <w:t xml:space="preserve">esearch and </w:t>
      </w:r>
      <w:r w:rsidR="000E19B8">
        <w:t>d</w:t>
      </w:r>
      <w:r w:rsidRPr="000A643A">
        <w:t xml:space="preserve">evelopment, </w:t>
      </w:r>
      <w:r w:rsidR="000E19B8">
        <w:t>(</w:t>
      </w:r>
      <w:r w:rsidRPr="000A643A">
        <w:t>3</w:t>
      </w:r>
      <w:r w:rsidR="000E19B8">
        <w:t>)</w:t>
      </w:r>
      <w:r w:rsidRPr="000A643A">
        <w:t xml:space="preserve"> </w:t>
      </w:r>
      <w:r w:rsidR="000E19B8">
        <w:t>i</w:t>
      </w:r>
      <w:r w:rsidRPr="000A643A">
        <w:t xml:space="preserve">nfrastructure, and </w:t>
      </w:r>
      <w:r w:rsidR="000E19B8">
        <w:t>(</w:t>
      </w:r>
      <w:r w:rsidRPr="000A643A">
        <w:t>4</w:t>
      </w:r>
      <w:r w:rsidR="000E19B8">
        <w:t>)</w:t>
      </w:r>
      <w:r w:rsidRPr="000A643A">
        <w:t xml:space="preserve"> </w:t>
      </w:r>
      <w:r w:rsidR="000E19B8">
        <w:t>f</w:t>
      </w:r>
      <w:r w:rsidRPr="000A643A">
        <w:t xml:space="preserve">inancial </w:t>
      </w:r>
      <w:r w:rsidR="000E19B8">
        <w:t>i</w:t>
      </w:r>
      <w:r w:rsidRPr="000A643A">
        <w:t>ncentives. The report, however, also came with the caveat that people needed to express “real needs in a coordinative fashion while at the same time not making endless demands on the public purse.”</w:t>
      </w:r>
      <w:r w:rsidRPr="00243097">
        <w:rPr>
          <w:rStyle w:val="FootnoteReference"/>
        </w:rPr>
        <w:footnoteReference w:id="13"/>
      </w:r>
    </w:p>
    <w:p w14:paraId="38394840" w14:textId="77777777" w:rsidR="00804D33" w:rsidRPr="000A643A" w:rsidRDefault="00804D33" w:rsidP="00804D33">
      <w:pPr>
        <w:pStyle w:val="BodyTextMain"/>
      </w:pPr>
    </w:p>
    <w:p w14:paraId="5E922168" w14:textId="77E99A79" w:rsidR="004B6869" w:rsidRPr="000A643A" w:rsidRDefault="004B6869" w:rsidP="00804D33">
      <w:pPr>
        <w:pStyle w:val="BodyTextMain"/>
      </w:pPr>
    </w:p>
    <w:p w14:paraId="27187CCE" w14:textId="531378D4" w:rsidR="004B6869" w:rsidRPr="000A643A" w:rsidRDefault="004A61C1" w:rsidP="00804D33">
      <w:pPr>
        <w:pStyle w:val="Casehead1"/>
      </w:pPr>
      <w:r w:rsidRPr="000A643A">
        <w:t xml:space="preserve">BACKGROUND </w:t>
      </w:r>
      <w:r>
        <w:t xml:space="preserve">of </w:t>
      </w:r>
      <w:r w:rsidR="004B6869" w:rsidRPr="000A643A">
        <w:t xml:space="preserve">SPRUCELAND </w:t>
      </w:r>
      <w:r w:rsidR="005C66C8">
        <w:t xml:space="preserve">properties </w:t>
      </w:r>
      <w:r w:rsidR="00AB12BF">
        <w:t>Inc</w:t>
      </w:r>
      <w:r w:rsidR="004124AD">
        <w:t>.</w:t>
      </w:r>
      <w:r w:rsidR="004B6869" w:rsidRPr="000A643A">
        <w:t xml:space="preserve"> </w:t>
      </w:r>
    </w:p>
    <w:p w14:paraId="0895A1C9" w14:textId="77777777" w:rsidR="00804D33" w:rsidRPr="000A643A" w:rsidRDefault="00804D33" w:rsidP="00FB734A">
      <w:pPr>
        <w:pStyle w:val="BodyTextMain"/>
      </w:pPr>
    </w:p>
    <w:p w14:paraId="7178C57F" w14:textId="2E115FF3" w:rsidR="004B6869" w:rsidRPr="000A643A" w:rsidRDefault="004B6869" w:rsidP="00FB734A">
      <w:pPr>
        <w:pStyle w:val="BodyTextMain"/>
      </w:pPr>
      <w:r w:rsidRPr="000A643A">
        <w:t xml:space="preserve">The </w:t>
      </w:r>
      <w:proofErr w:type="gramStart"/>
      <w:r w:rsidR="004124AD">
        <w:t>t</w:t>
      </w:r>
      <w:r w:rsidRPr="000A643A">
        <w:t>own</w:t>
      </w:r>
      <w:proofErr w:type="gramEnd"/>
      <w:r w:rsidRPr="000A643A">
        <w:t xml:space="preserve"> of Slave Lake was located in </w:t>
      </w:r>
      <w:r w:rsidR="004A61C1">
        <w:t>n</w:t>
      </w:r>
      <w:r w:rsidRPr="000A643A">
        <w:t>orth</w:t>
      </w:r>
      <w:r w:rsidR="004A61C1">
        <w:t>-c</w:t>
      </w:r>
      <w:r w:rsidRPr="000A643A">
        <w:t>entral Alberta</w:t>
      </w:r>
      <w:r w:rsidR="004124AD">
        <w:t>,</w:t>
      </w:r>
      <w:r w:rsidRPr="000A643A">
        <w:t xml:space="preserve"> roughly 260 </w:t>
      </w:r>
      <w:r w:rsidR="004124AD" w:rsidRPr="000A643A">
        <w:t>kilomet</w:t>
      </w:r>
      <w:r w:rsidR="004124AD">
        <w:t>re</w:t>
      </w:r>
      <w:r w:rsidR="004124AD" w:rsidRPr="000A643A">
        <w:t xml:space="preserve">s </w:t>
      </w:r>
      <w:r w:rsidRPr="000A643A">
        <w:t xml:space="preserve">north of </w:t>
      </w:r>
      <w:r w:rsidR="004124AD">
        <w:t xml:space="preserve">Alberta’s </w:t>
      </w:r>
      <w:r w:rsidRPr="000A643A">
        <w:t>provincial capital</w:t>
      </w:r>
      <w:r w:rsidR="004124AD">
        <w:t>,</w:t>
      </w:r>
      <w:r w:rsidRPr="000A643A">
        <w:t xml:space="preserve"> Edmonton. When </w:t>
      </w:r>
      <w:proofErr w:type="spellStart"/>
      <w:r w:rsidRPr="000A643A">
        <w:t>SpruceLand</w:t>
      </w:r>
      <w:proofErr w:type="spellEnd"/>
      <w:r w:rsidRPr="000A643A">
        <w:t xml:space="preserve"> was founded, </w:t>
      </w:r>
      <w:r w:rsidR="004124AD">
        <w:t xml:space="preserve">its </w:t>
      </w:r>
      <w:r w:rsidRPr="000A643A">
        <w:t xml:space="preserve">former </w:t>
      </w:r>
      <w:r w:rsidR="004124AD">
        <w:t>p</w:t>
      </w:r>
      <w:r w:rsidRPr="000A643A">
        <w:t xml:space="preserve">resident and </w:t>
      </w:r>
      <w:r w:rsidR="004124AD">
        <w:t>chief executive officer (</w:t>
      </w:r>
      <w:r w:rsidRPr="000A643A">
        <w:t>CEO</w:t>
      </w:r>
      <w:r w:rsidR="004124AD">
        <w:t>),</w:t>
      </w:r>
      <w:r w:rsidRPr="000A643A">
        <w:t xml:space="preserve"> Preston Manning, recalled </w:t>
      </w:r>
      <w:r w:rsidR="00B068EB" w:rsidRPr="000A643A">
        <w:t xml:space="preserve">Slave Lake </w:t>
      </w:r>
      <w:r w:rsidRPr="000A643A">
        <w:t xml:space="preserve">as being in “rough shape.” </w:t>
      </w:r>
      <w:r w:rsidR="00B068EB">
        <w:t>The town</w:t>
      </w:r>
      <w:r w:rsidRPr="000A643A">
        <w:t xml:space="preserve"> did not have paved streets, had virtually no rental accommodation or commercial space, and the population was in decline. Prior to Manning’s involvement, and with the encouragement of a local civil servant, Neil </w:t>
      </w:r>
      <w:proofErr w:type="spellStart"/>
      <w:r w:rsidRPr="000A643A">
        <w:t>Gilliat</w:t>
      </w:r>
      <w:proofErr w:type="spellEnd"/>
      <w:r w:rsidRPr="000A643A">
        <w:t>, five Slave Lake community members and local entrepreneurs</w:t>
      </w:r>
      <w:r w:rsidR="005C66C8">
        <w:t>—</w:t>
      </w:r>
      <w:r w:rsidRPr="000A643A">
        <w:t xml:space="preserve">William Thomas, Melvin Zachary, Gordon Cook, Joseph </w:t>
      </w:r>
      <w:proofErr w:type="spellStart"/>
      <w:r w:rsidRPr="000A643A">
        <w:t>Mouallem</w:t>
      </w:r>
      <w:proofErr w:type="spellEnd"/>
      <w:r w:rsidRPr="000A643A">
        <w:t xml:space="preserve">, and Walter </w:t>
      </w:r>
      <w:proofErr w:type="spellStart"/>
      <w:r w:rsidRPr="000A643A">
        <w:t>Twinn</w:t>
      </w:r>
      <w:proofErr w:type="spellEnd"/>
      <w:r w:rsidR="005C66C8">
        <w:t>—</w:t>
      </w:r>
      <w:r w:rsidRPr="000A643A">
        <w:t>had incorporated Slave Lake Developments Ltd., a “community development company</w:t>
      </w:r>
      <w:r w:rsidR="004124AD">
        <w:t>,</w:t>
      </w:r>
      <w:r w:rsidRPr="000A643A">
        <w:t xml:space="preserve">” with a two-fold purpose. They established that the company was to “earn profits for shareholders through the development of the physical resources of the Lesser Slave Lake region of Alberta,” and </w:t>
      </w:r>
      <w:r w:rsidR="00B068EB">
        <w:t xml:space="preserve">it was </w:t>
      </w:r>
      <w:r w:rsidRPr="000A643A">
        <w:t>“to overcome the problems of social and economic underdevelopment in the region through the exercise of private enterprise and initiative</w:t>
      </w:r>
      <w:r w:rsidR="004124AD">
        <w:t>,</w:t>
      </w:r>
      <w:r w:rsidRPr="000A643A">
        <w:t xml:space="preserve">” </w:t>
      </w:r>
      <w:r w:rsidR="004124AD">
        <w:t xml:space="preserve">with the goal of </w:t>
      </w:r>
      <w:r w:rsidRPr="000A643A">
        <w:t>attracting further investment and opportunities to engage in pr</w:t>
      </w:r>
      <w:r w:rsidR="00804D33" w:rsidRPr="000A643A">
        <w:t>ofitable business partnerships.</w:t>
      </w:r>
      <w:r w:rsidR="002944BA" w:rsidRPr="00243097">
        <w:rPr>
          <w:rStyle w:val="FootnoteReference"/>
        </w:rPr>
        <w:footnoteReference w:id="14"/>
      </w:r>
    </w:p>
    <w:p w14:paraId="2860B640" w14:textId="77777777" w:rsidR="00804D33" w:rsidRPr="000A643A" w:rsidRDefault="00804D33" w:rsidP="00FB734A">
      <w:pPr>
        <w:pStyle w:val="BodyTextMain"/>
      </w:pPr>
    </w:p>
    <w:p w14:paraId="413D9119" w14:textId="3649C095" w:rsidR="004B6869" w:rsidRPr="000A643A" w:rsidRDefault="004B6869" w:rsidP="00FB734A">
      <w:pPr>
        <w:pStyle w:val="BodyTextMain"/>
      </w:pPr>
      <w:r w:rsidRPr="000A643A">
        <w:t>Shortly after incorporation, the founders approached Manning and his father</w:t>
      </w:r>
      <w:r w:rsidR="004124AD">
        <w:t>,</w:t>
      </w:r>
      <w:r w:rsidRPr="000A643A">
        <w:t xml:space="preserve"> Ernest Manning, to </w:t>
      </w:r>
      <w:r w:rsidR="004124AD">
        <w:t xml:space="preserve">ask for their </w:t>
      </w:r>
      <w:r w:rsidRPr="000A643A">
        <w:t>assist</w:t>
      </w:r>
      <w:r w:rsidR="004124AD">
        <w:t>ance</w:t>
      </w:r>
      <w:r w:rsidRPr="000A643A">
        <w:t xml:space="preserve"> in developing </w:t>
      </w:r>
      <w:r w:rsidR="004124AD">
        <w:t xml:space="preserve">the </w:t>
      </w:r>
      <w:r w:rsidRPr="000A643A">
        <w:t xml:space="preserve">initial projects. The founders argued that Slave Lake had potential to become an oil field service town, but a lot of work </w:t>
      </w:r>
      <w:r w:rsidR="004124AD">
        <w:t>was needed</w:t>
      </w:r>
      <w:r w:rsidRPr="000A643A">
        <w:t xml:space="preserve"> to make that happen. The founders did not want to stand </w:t>
      </w:r>
      <w:r w:rsidR="004124AD">
        <w:t xml:space="preserve">idly </w:t>
      </w:r>
      <w:r w:rsidRPr="000A643A">
        <w:t xml:space="preserve">while the government awarded contracts to outsiders or while large companies moved in. </w:t>
      </w:r>
      <w:r w:rsidR="004928D7">
        <w:t>Instead, the founders</w:t>
      </w:r>
      <w:r w:rsidR="004928D7" w:rsidRPr="000A643A">
        <w:t xml:space="preserve"> </w:t>
      </w:r>
      <w:r w:rsidRPr="000A643A">
        <w:t>wanted the community to actively participate and create opportunities for development</w:t>
      </w:r>
      <w:r w:rsidR="003011BB">
        <w:t>.</w:t>
      </w:r>
      <w:r w:rsidRPr="000A643A">
        <w:t xml:space="preserve"> </w:t>
      </w:r>
      <w:r w:rsidR="003011BB">
        <w:t>T</w:t>
      </w:r>
      <w:r w:rsidRPr="000A643A">
        <w:t xml:space="preserve">he </w:t>
      </w:r>
      <w:proofErr w:type="spellStart"/>
      <w:r w:rsidRPr="000A643A">
        <w:t>Mannings</w:t>
      </w:r>
      <w:proofErr w:type="spellEnd"/>
      <w:r w:rsidRPr="000A643A">
        <w:t xml:space="preserve"> agreed to </w:t>
      </w:r>
      <w:r w:rsidR="004928D7">
        <w:t>be</w:t>
      </w:r>
      <w:r w:rsidR="004928D7" w:rsidRPr="000A643A">
        <w:t xml:space="preserve"> </w:t>
      </w:r>
      <w:r w:rsidRPr="000A643A">
        <w:t xml:space="preserve">involved. </w:t>
      </w:r>
    </w:p>
    <w:p w14:paraId="2A530227" w14:textId="77777777" w:rsidR="00804D33" w:rsidRPr="000A643A" w:rsidRDefault="00804D33" w:rsidP="00FB734A">
      <w:pPr>
        <w:pStyle w:val="BodyTextMain"/>
      </w:pPr>
    </w:p>
    <w:p w14:paraId="71F43E93" w14:textId="391D8FA6" w:rsidR="004B6869" w:rsidRPr="000A643A" w:rsidRDefault="004B6869" w:rsidP="00FB734A">
      <w:pPr>
        <w:pStyle w:val="BodyTextMain"/>
      </w:pPr>
      <w:r w:rsidRPr="000A643A">
        <w:t xml:space="preserve">Manning believed that the key to achieving </w:t>
      </w:r>
      <w:proofErr w:type="spellStart"/>
      <w:r w:rsidRPr="000A643A">
        <w:t>SpruceLand’s</w:t>
      </w:r>
      <w:proofErr w:type="spellEnd"/>
      <w:r w:rsidRPr="000A643A">
        <w:t xml:space="preserve"> dual purpose was to obtain critical infrastructure and housing for Slave Lake </w:t>
      </w:r>
      <w:r w:rsidR="004928D7">
        <w:t xml:space="preserve">and </w:t>
      </w:r>
      <w:r w:rsidRPr="000A643A">
        <w:t xml:space="preserve">more economic opportunities for area residents. As a staunch conservative, he argued that </w:t>
      </w:r>
      <w:r w:rsidR="005C66C8">
        <w:t xml:space="preserve">the solution was </w:t>
      </w:r>
      <w:r w:rsidR="004928D7">
        <w:t xml:space="preserve">to gain </w:t>
      </w:r>
      <w:r w:rsidRPr="000A643A">
        <w:t xml:space="preserve">access to the “tools of wealth creation” </w:t>
      </w:r>
      <w:r w:rsidR="005C66C8">
        <w:t>and</w:t>
      </w:r>
      <w:r w:rsidR="003011BB">
        <w:t>,</w:t>
      </w:r>
      <w:r w:rsidR="005C66C8">
        <w:t xml:space="preserve"> </w:t>
      </w:r>
      <w:r w:rsidRPr="000A643A">
        <w:t>specifically, access to markets. With the aim of providing shareholder opportunities to as many community members as possible, Manning suggested reincorporating the company as a public, unlisted company</w:t>
      </w:r>
      <w:r w:rsidR="004928D7">
        <w:t>, which would</w:t>
      </w:r>
      <w:r w:rsidRPr="000A643A">
        <w:t xml:space="preserve"> </w:t>
      </w:r>
      <w:r w:rsidR="004928D7">
        <w:t xml:space="preserve">enable both </w:t>
      </w:r>
      <w:r w:rsidRPr="000A643A">
        <w:t xml:space="preserve">a larger number of local shareholders and the possibility of pursuing joint ventures with incoming oil companies, </w:t>
      </w:r>
      <w:r w:rsidR="004928D7">
        <w:t xml:space="preserve">thereby </w:t>
      </w:r>
      <w:r w:rsidRPr="000A643A">
        <w:t xml:space="preserve">ultimately </w:t>
      </w:r>
      <w:r w:rsidR="004928D7" w:rsidRPr="000A643A">
        <w:t>creat</w:t>
      </w:r>
      <w:r w:rsidR="004928D7">
        <w:t>ing</w:t>
      </w:r>
      <w:r w:rsidR="004928D7" w:rsidRPr="000A643A">
        <w:t xml:space="preserve"> </w:t>
      </w:r>
      <w:r w:rsidRPr="000A643A">
        <w:t xml:space="preserve">wealth for stakeholders in a way that government transfers never could. In 1970, Manning became </w:t>
      </w:r>
      <w:proofErr w:type="spellStart"/>
      <w:r w:rsidRPr="000A643A">
        <w:t>SpruceLand</w:t>
      </w:r>
      <w:r w:rsidR="004928D7">
        <w:t>’s</w:t>
      </w:r>
      <w:proofErr w:type="spellEnd"/>
      <w:r w:rsidR="004928D7">
        <w:t xml:space="preserve"> inaugural</w:t>
      </w:r>
      <w:r w:rsidRPr="000A643A">
        <w:t xml:space="preserve"> </w:t>
      </w:r>
      <w:r w:rsidR="004928D7">
        <w:t>p</w:t>
      </w:r>
      <w:r w:rsidRPr="000A643A">
        <w:t>resident and CEO.</w:t>
      </w:r>
    </w:p>
    <w:p w14:paraId="42118D15" w14:textId="77777777" w:rsidR="004B6869" w:rsidRPr="000A643A" w:rsidRDefault="004B6869" w:rsidP="00804D33">
      <w:pPr>
        <w:pStyle w:val="BodyTextMain"/>
      </w:pPr>
    </w:p>
    <w:p w14:paraId="4D864E56" w14:textId="77777777" w:rsidR="00804D33" w:rsidRPr="000A643A" w:rsidRDefault="00804D33" w:rsidP="00804D33">
      <w:pPr>
        <w:pStyle w:val="BodyTextMain"/>
      </w:pPr>
    </w:p>
    <w:p w14:paraId="365E25E3" w14:textId="551A0DF7" w:rsidR="004B6869" w:rsidRDefault="004B6869" w:rsidP="00804D33">
      <w:pPr>
        <w:pStyle w:val="Casehead1"/>
      </w:pPr>
      <w:r w:rsidRPr="000A643A">
        <w:t>A SOCIAL ENTERPRISE</w:t>
      </w:r>
    </w:p>
    <w:p w14:paraId="63968CE7" w14:textId="77777777" w:rsidR="0008720A" w:rsidRPr="000A643A" w:rsidRDefault="0008720A" w:rsidP="002944BA">
      <w:pPr>
        <w:pStyle w:val="BodyTextMain"/>
        <w:keepNext/>
      </w:pPr>
    </w:p>
    <w:p w14:paraId="54E04556" w14:textId="41054F4C" w:rsidR="004B6869" w:rsidRPr="000A643A" w:rsidRDefault="004B6869" w:rsidP="00FB734A">
      <w:pPr>
        <w:pStyle w:val="BodyTextMain"/>
        <w:rPr>
          <w:color w:val="000000" w:themeColor="text1"/>
          <w:spacing w:val="-2"/>
        </w:rPr>
      </w:pPr>
      <w:proofErr w:type="spellStart"/>
      <w:r w:rsidRPr="000A643A">
        <w:rPr>
          <w:color w:val="000000" w:themeColor="text1"/>
          <w:spacing w:val="-2"/>
        </w:rPr>
        <w:t>SpruceLand</w:t>
      </w:r>
      <w:proofErr w:type="spellEnd"/>
      <w:r w:rsidRPr="000A643A">
        <w:rPr>
          <w:color w:val="000000" w:themeColor="text1"/>
          <w:spacing w:val="-2"/>
        </w:rPr>
        <w:t xml:space="preserve"> was a rare example of an unlisted public corporation. </w:t>
      </w:r>
      <w:r w:rsidR="004928D7">
        <w:rPr>
          <w:color w:val="000000" w:themeColor="text1"/>
          <w:spacing w:val="-2"/>
        </w:rPr>
        <w:t>It was “p</w:t>
      </w:r>
      <w:r w:rsidRPr="000A643A">
        <w:rPr>
          <w:color w:val="000000" w:themeColor="text1"/>
          <w:spacing w:val="-2"/>
        </w:rPr>
        <w:t>ublic</w:t>
      </w:r>
      <w:r w:rsidR="004928D7">
        <w:rPr>
          <w:color w:val="000000" w:themeColor="text1"/>
          <w:spacing w:val="-2"/>
        </w:rPr>
        <w:t>”</w:t>
      </w:r>
      <w:r w:rsidRPr="000A643A">
        <w:rPr>
          <w:color w:val="000000" w:themeColor="text1"/>
          <w:spacing w:val="-2"/>
        </w:rPr>
        <w:t xml:space="preserve"> because the corporation was registered (with the Alberta Securities Commission) as a reporting issuer. This </w:t>
      </w:r>
      <w:r w:rsidR="004928D7">
        <w:rPr>
          <w:color w:val="000000" w:themeColor="text1"/>
          <w:spacing w:val="-2"/>
        </w:rPr>
        <w:t xml:space="preserve">registration </w:t>
      </w:r>
      <w:r w:rsidRPr="000A643A">
        <w:rPr>
          <w:color w:val="000000" w:themeColor="text1"/>
          <w:spacing w:val="-2"/>
        </w:rPr>
        <w:t xml:space="preserve">required </w:t>
      </w:r>
      <w:r w:rsidR="004928D7">
        <w:rPr>
          <w:color w:val="000000" w:themeColor="text1"/>
          <w:spacing w:val="-2"/>
        </w:rPr>
        <w:t xml:space="preserve">the </w:t>
      </w:r>
      <w:r w:rsidRPr="000A643A">
        <w:rPr>
          <w:color w:val="000000" w:themeColor="text1"/>
          <w:spacing w:val="-2"/>
        </w:rPr>
        <w:t xml:space="preserve">regular public dissemination of </w:t>
      </w:r>
      <w:r w:rsidR="003011BB">
        <w:rPr>
          <w:color w:val="000000" w:themeColor="text1"/>
          <w:spacing w:val="-2"/>
        </w:rPr>
        <w:t xml:space="preserve">the company’s </w:t>
      </w:r>
      <w:r w:rsidRPr="000A643A">
        <w:rPr>
          <w:color w:val="000000" w:themeColor="text1"/>
          <w:spacing w:val="-2"/>
        </w:rPr>
        <w:t>annual and interim financial reports, management discussion and analysis, and several other reports.</w:t>
      </w:r>
      <w:r w:rsidRPr="00243097">
        <w:rPr>
          <w:rStyle w:val="FootnoteReference"/>
        </w:rPr>
        <w:footnoteReference w:id="15"/>
      </w:r>
      <w:r w:rsidRPr="000A643A">
        <w:rPr>
          <w:color w:val="000000" w:themeColor="text1"/>
          <w:spacing w:val="-2"/>
        </w:rPr>
        <w:t xml:space="preserve"> Early on, the company requested relief from some regulatory cost</w:t>
      </w:r>
      <w:r w:rsidR="004928D7">
        <w:rPr>
          <w:color w:val="000000" w:themeColor="text1"/>
          <w:spacing w:val="-2"/>
        </w:rPr>
        <w:t>s</w:t>
      </w:r>
      <w:r w:rsidRPr="000A643A">
        <w:rPr>
          <w:color w:val="000000" w:themeColor="text1"/>
          <w:spacing w:val="-2"/>
        </w:rPr>
        <w:t xml:space="preserve"> </w:t>
      </w:r>
      <w:r w:rsidRPr="000A643A">
        <w:rPr>
          <w:color w:val="000000" w:themeColor="text1"/>
          <w:spacing w:val="-2"/>
        </w:rPr>
        <w:lastRenderedPageBreak/>
        <w:t xml:space="preserve">and </w:t>
      </w:r>
      <w:r w:rsidR="004928D7">
        <w:rPr>
          <w:color w:val="000000" w:themeColor="text1"/>
          <w:spacing w:val="-2"/>
        </w:rPr>
        <w:t>received</w:t>
      </w:r>
      <w:r w:rsidR="004928D7" w:rsidRPr="000A643A">
        <w:rPr>
          <w:color w:val="000000" w:themeColor="text1"/>
          <w:spacing w:val="-2"/>
        </w:rPr>
        <w:t xml:space="preserve"> </w:t>
      </w:r>
      <w:r w:rsidRPr="000A643A">
        <w:rPr>
          <w:color w:val="000000" w:themeColor="text1"/>
          <w:spacing w:val="-2"/>
        </w:rPr>
        <w:t xml:space="preserve">an exemption to file semi-annually instead of quarterly. The company was </w:t>
      </w:r>
      <w:r w:rsidR="004928D7">
        <w:rPr>
          <w:color w:val="000000" w:themeColor="text1"/>
          <w:spacing w:val="-2"/>
        </w:rPr>
        <w:t>“</w:t>
      </w:r>
      <w:r w:rsidRPr="000A643A">
        <w:rPr>
          <w:color w:val="000000" w:themeColor="text1"/>
          <w:spacing w:val="-2"/>
        </w:rPr>
        <w:t>unlisted</w:t>
      </w:r>
      <w:r w:rsidR="004928D7">
        <w:rPr>
          <w:color w:val="000000" w:themeColor="text1"/>
          <w:spacing w:val="-2"/>
        </w:rPr>
        <w:t>”</w:t>
      </w:r>
      <w:r w:rsidRPr="000A643A">
        <w:rPr>
          <w:color w:val="000000" w:themeColor="text1"/>
          <w:spacing w:val="-2"/>
        </w:rPr>
        <w:t xml:space="preserve"> because the shares did not trade on a stock exchange such as the </w:t>
      </w:r>
      <w:r w:rsidR="00A56C84">
        <w:rPr>
          <w:color w:val="000000" w:themeColor="text1"/>
          <w:spacing w:val="-2"/>
        </w:rPr>
        <w:t>Toronto Stock Exchange</w:t>
      </w:r>
      <w:r w:rsidR="00A56C84" w:rsidRPr="000A643A">
        <w:rPr>
          <w:color w:val="000000" w:themeColor="text1"/>
          <w:spacing w:val="-2"/>
        </w:rPr>
        <w:t xml:space="preserve"> </w:t>
      </w:r>
      <w:r w:rsidR="00A56C84">
        <w:rPr>
          <w:color w:val="000000" w:themeColor="text1"/>
          <w:spacing w:val="-2"/>
        </w:rPr>
        <w:t>(</w:t>
      </w:r>
      <w:r w:rsidRPr="000A643A">
        <w:rPr>
          <w:color w:val="000000" w:themeColor="text1"/>
          <w:spacing w:val="-2"/>
        </w:rPr>
        <w:t>TSX</w:t>
      </w:r>
      <w:r w:rsidR="00A56C84">
        <w:rPr>
          <w:color w:val="000000" w:themeColor="text1"/>
          <w:spacing w:val="-2"/>
        </w:rPr>
        <w:t>)</w:t>
      </w:r>
      <w:r w:rsidRPr="000A643A">
        <w:rPr>
          <w:color w:val="000000" w:themeColor="text1"/>
          <w:spacing w:val="-2"/>
        </w:rPr>
        <w:t xml:space="preserve"> or </w:t>
      </w:r>
      <w:r w:rsidR="004928D7">
        <w:rPr>
          <w:color w:val="000000" w:themeColor="text1"/>
          <w:spacing w:val="-2"/>
        </w:rPr>
        <w:t xml:space="preserve">the </w:t>
      </w:r>
      <w:r w:rsidRPr="000A643A">
        <w:rPr>
          <w:color w:val="000000" w:themeColor="text1"/>
          <w:spacing w:val="-2"/>
        </w:rPr>
        <w:t xml:space="preserve">TSX </w:t>
      </w:r>
      <w:r w:rsidR="00A56C84">
        <w:rPr>
          <w:color w:val="000000" w:themeColor="text1"/>
          <w:spacing w:val="-2"/>
        </w:rPr>
        <w:t>V</w:t>
      </w:r>
      <w:r w:rsidRPr="000A643A">
        <w:rPr>
          <w:color w:val="000000" w:themeColor="text1"/>
          <w:spacing w:val="-2"/>
        </w:rPr>
        <w:t xml:space="preserve">enture </w:t>
      </w:r>
      <w:r w:rsidR="00A56C84">
        <w:rPr>
          <w:color w:val="000000" w:themeColor="text1"/>
          <w:spacing w:val="-2"/>
        </w:rPr>
        <w:t>E</w:t>
      </w:r>
      <w:r w:rsidRPr="000A643A">
        <w:rPr>
          <w:color w:val="000000" w:themeColor="text1"/>
          <w:spacing w:val="-2"/>
        </w:rPr>
        <w:t xml:space="preserve">xchange. An exchange listing required additional disclosures </w:t>
      </w:r>
      <w:r w:rsidR="004928D7">
        <w:rPr>
          <w:color w:val="000000" w:themeColor="text1"/>
          <w:spacing w:val="-2"/>
        </w:rPr>
        <w:t>and costs</w:t>
      </w:r>
      <w:r w:rsidR="00A56C84">
        <w:rPr>
          <w:color w:val="000000" w:themeColor="text1"/>
          <w:spacing w:val="-2"/>
        </w:rPr>
        <w:t>,</w:t>
      </w:r>
      <w:r w:rsidR="004928D7">
        <w:rPr>
          <w:color w:val="000000" w:themeColor="text1"/>
          <w:spacing w:val="-2"/>
        </w:rPr>
        <w:t xml:space="preserve"> and requirements related to</w:t>
      </w:r>
      <w:r w:rsidRPr="000A643A">
        <w:rPr>
          <w:color w:val="000000" w:themeColor="text1"/>
          <w:spacing w:val="-2"/>
        </w:rPr>
        <w:t xml:space="preserve"> governance, size</w:t>
      </w:r>
      <w:r w:rsidR="004928D7">
        <w:rPr>
          <w:color w:val="000000" w:themeColor="text1"/>
          <w:spacing w:val="-2"/>
        </w:rPr>
        <w:t>,</w:t>
      </w:r>
      <w:r w:rsidRPr="000A643A">
        <w:rPr>
          <w:color w:val="000000" w:themeColor="text1"/>
          <w:spacing w:val="-2"/>
        </w:rPr>
        <w:t xml:space="preserve"> and liquidity. </w:t>
      </w:r>
      <w:proofErr w:type="spellStart"/>
      <w:r w:rsidRPr="000A643A">
        <w:rPr>
          <w:color w:val="000000" w:themeColor="text1"/>
          <w:spacing w:val="-2"/>
        </w:rPr>
        <w:t>SpruceLand</w:t>
      </w:r>
      <w:proofErr w:type="spellEnd"/>
      <w:r w:rsidRPr="000A643A">
        <w:rPr>
          <w:color w:val="000000" w:themeColor="text1"/>
          <w:spacing w:val="-2"/>
        </w:rPr>
        <w:t xml:space="preserve"> succeeded in </w:t>
      </w:r>
      <w:r w:rsidR="004928D7">
        <w:rPr>
          <w:color w:val="000000" w:themeColor="text1"/>
          <w:spacing w:val="-2"/>
        </w:rPr>
        <w:t>attract</w:t>
      </w:r>
      <w:r w:rsidR="004928D7" w:rsidRPr="000A643A">
        <w:rPr>
          <w:color w:val="000000" w:themeColor="text1"/>
          <w:spacing w:val="-2"/>
        </w:rPr>
        <w:t xml:space="preserve">ing </w:t>
      </w:r>
      <w:r w:rsidR="004928D7">
        <w:rPr>
          <w:color w:val="000000" w:themeColor="text1"/>
          <w:spacing w:val="-2"/>
        </w:rPr>
        <w:t>more than</w:t>
      </w:r>
      <w:r w:rsidR="004928D7" w:rsidRPr="000A643A">
        <w:rPr>
          <w:color w:val="000000" w:themeColor="text1"/>
          <w:spacing w:val="-2"/>
        </w:rPr>
        <w:t xml:space="preserve"> </w:t>
      </w:r>
      <w:r w:rsidRPr="000A643A">
        <w:rPr>
          <w:color w:val="000000" w:themeColor="text1"/>
          <w:spacing w:val="-2"/>
        </w:rPr>
        <w:t>300 community-based shareholders</w:t>
      </w:r>
      <w:r w:rsidR="004928D7">
        <w:rPr>
          <w:color w:val="000000" w:themeColor="text1"/>
          <w:spacing w:val="-2"/>
        </w:rPr>
        <w:t>,</w:t>
      </w:r>
      <w:r w:rsidRPr="000A643A">
        <w:rPr>
          <w:color w:val="000000" w:themeColor="text1"/>
          <w:spacing w:val="-2"/>
        </w:rPr>
        <w:t xml:space="preserve"> which required it to choose a public structure.</w:t>
      </w:r>
      <w:r w:rsidRPr="00243097">
        <w:rPr>
          <w:rStyle w:val="FootnoteReference"/>
        </w:rPr>
        <w:footnoteReference w:id="16"/>
      </w:r>
      <w:r w:rsidRPr="000A643A">
        <w:rPr>
          <w:color w:val="000000" w:themeColor="text1"/>
          <w:spacing w:val="-2"/>
        </w:rPr>
        <w:t xml:space="preserve"> </w:t>
      </w:r>
    </w:p>
    <w:p w14:paraId="1241BD87" w14:textId="77777777" w:rsidR="00804D33" w:rsidRPr="000A643A" w:rsidRDefault="00804D33" w:rsidP="00FB734A">
      <w:pPr>
        <w:pStyle w:val="BodyTextMain"/>
      </w:pPr>
    </w:p>
    <w:p w14:paraId="3AD0E635" w14:textId="19C1659E" w:rsidR="004B6869" w:rsidRPr="0008720A" w:rsidRDefault="004B6869" w:rsidP="00FB734A">
      <w:pPr>
        <w:pStyle w:val="BodyTextMain"/>
        <w:rPr>
          <w:rFonts w:asciiTheme="majorHAnsi" w:hAnsiTheme="majorHAnsi"/>
          <w:spacing w:val="-2"/>
        </w:rPr>
      </w:pPr>
      <w:proofErr w:type="spellStart"/>
      <w:r w:rsidRPr="0008720A">
        <w:rPr>
          <w:spacing w:val="-2"/>
        </w:rPr>
        <w:t>SpruceLand</w:t>
      </w:r>
      <w:proofErr w:type="spellEnd"/>
      <w:r w:rsidRPr="0008720A">
        <w:rPr>
          <w:spacing w:val="-2"/>
        </w:rPr>
        <w:t xml:space="preserve"> championed a “community focus</w:t>
      </w:r>
      <w:r w:rsidR="000572F8" w:rsidRPr="0008720A">
        <w:rPr>
          <w:spacing w:val="-2"/>
        </w:rPr>
        <w:t>,</w:t>
      </w:r>
      <w:r w:rsidRPr="0008720A">
        <w:rPr>
          <w:spacing w:val="-2"/>
        </w:rPr>
        <w:t xml:space="preserve">” which meant </w:t>
      </w:r>
      <w:r w:rsidR="000572F8" w:rsidRPr="0008720A">
        <w:rPr>
          <w:spacing w:val="-2"/>
        </w:rPr>
        <w:t xml:space="preserve">seeking </w:t>
      </w:r>
      <w:r w:rsidRPr="0008720A">
        <w:rPr>
          <w:spacing w:val="-2"/>
        </w:rPr>
        <w:t xml:space="preserve">local solutions to local problems rather than </w:t>
      </w:r>
      <w:r w:rsidR="000572F8" w:rsidRPr="0008720A">
        <w:rPr>
          <w:spacing w:val="-2"/>
        </w:rPr>
        <w:t xml:space="preserve">turning to </w:t>
      </w:r>
      <w:r w:rsidRPr="0008720A">
        <w:rPr>
          <w:spacing w:val="-2"/>
        </w:rPr>
        <w:t>external governments and companies. It was not a non-profit</w:t>
      </w:r>
      <w:r w:rsidR="005C66C8" w:rsidRPr="0008720A">
        <w:rPr>
          <w:spacing w:val="-2"/>
        </w:rPr>
        <w:t>;</w:t>
      </w:r>
      <w:r w:rsidRPr="0008720A">
        <w:rPr>
          <w:spacing w:val="-2"/>
        </w:rPr>
        <w:t xml:space="preserve"> </w:t>
      </w:r>
      <w:r w:rsidR="005C66C8" w:rsidRPr="0008720A">
        <w:rPr>
          <w:spacing w:val="-2"/>
        </w:rPr>
        <w:t>instead, as an early example of “a social enterprise,”</w:t>
      </w:r>
      <w:r w:rsidR="000572F8" w:rsidRPr="0008720A">
        <w:rPr>
          <w:spacing w:val="-2"/>
        </w:rPr>
        <w:t xml:space="preserve"> </w:t>
      </w:r>
      <w:proofErr w:type="spellStart"/>
      <w:r w:rsidR="00293486">
        <w:rPr>
          <w:spacing w:val="-2"/>
        </w:rPr>
        <w:t>SpruceLand</w:t>
      </w:r>
      <w:proofErr w:type="spellEnd"/>
      <w:r w:rsidR="00293486" w:rsidRPr="0008720A">
        <w:rPr>
          <w:spacing w:val="-2"/>
        </w:rPr>
        <w:t xml:space="preserve"> </w:t>
      </w:r>
      <w:r w:rsidRPr="0008720A">
        <w:rPr>
          <w:spacing w:val="-2"/>
        </w:rPr>
        <w:t>focused on both social objectives and modest returns</w:t>
      </w:r>
      <w:r w:rsidR="005C66C8" w:rsidRPr="0008720A">
        <w:rPr>
          <w:spacing w:val="-2"/>
        </w:rPr>
        <w:t>.</w:t>
      </w:r>
      <w:r w:rsidRPr="0008720A">
        <w:rPr>
          <w:spacing w:val="-2"/>
        </w:rPr>
        <w:t xml:space="preserve"> Manning argued that the best way to involve the community was to give </w:t>
      </w:r>
      <w:r w:rsidR="00A56C84" w:rsidRPr="0008720A">
        <w:rPr>
          <w:spacing w:val="-2"/>
        </w:rPr>
        <w:t xml:space="preserve">people </w:t>
      </w:r>
      <w:r w:rsidRPr="0008720A">
        <w:rPr>
          <w:spacing w:val="-2"/>
        </w:rPr>
        <w:t>direct access to participate in the venture. Accordingly, 65,000 shares were sold at $1 per share</w:t>
      </w:r>
      <w:r w:rsidR="000572F8" w:rsidRPr="0008720A">
        <w:rPr>
          <w:spacing w:val="-2"/>
        </w:rPr>
        <w:t>,</w:t>
      </w:r>
      <w:r w:rsidRPr="0008720A">
        <w:rPr>
          <w:spacing w:val="-2"/>
        </w:rPr>
        <w:t xml:space="preserve"> and no </w:t>
      </w:r>
      <w:r w:rsidR="000572F8" w:rsidRPr="0008720A">
        <w:rPr>
          <w:spacing w:val="-2"/>
        </w:rPr>
        <w:t xml:space="preserve">shareholder </w:t>
      </w:r>
      <w:r w:rsidRPr="0008720A">
        <w:rPr>
          <w:spacing w:val="-2"/>
        </w:rPr>
        <w:t>was permitted to own more than 10</w:t>
      </w:r>
      <w:r w:rsidR="000572F8" w:rsidRPr="0008720A">
        <w:rPr>
          <w:spacing w:val="-2"/>
        </w:rPr>
        <w:t xml:space="preserve"> per cent of all shares available</w:t>
      </w:r>
      <w:r w:rsidRPr="0008720A">
        <w:rPr>
          <w:spacing w:val="-2"/>
        </w:rPr>
        <w:t xml:space="preserve">. It took 18 months to sell all the shares because few </w:t>
      </w:r>
      <w:r w:rsidR="000572F8" w:rsidRPr="0008720A">
        <w:rPr>
          <w:spacing w:val="-2"/>
        </w:rPr>
        <w:t>community</w:t>
      </w:r>
      <w:r w:rsidR="00A56C84" w:rsidRPr="0008720A">
        <w:rPr>
          <w:spacing w:val="-2"/>
        </w:rPr>
        <w:t xml:space="preserve"> members</w:t>
      </w:r>
      <w:r w:rsidRPr="0008720A">
        <w:rPr>
          <w:spacing w:val="-2"/>
        </w:rPr>
        <w:t xml:space="preserve"> had been exposed to investment</w:t>
      </w:r>
      <w:r w:rsidRPr="0008720A">
        <w:rPr>
          <w:rFonts w:asciiTheme="majorHAnsi" w:hAnsiTheme="majorHAnsi"/>
          <w:spacing w:val="-2"/>
        </w:rPr>
        <w:t xml:space="preserve"> </w:t>
      </w:r>
      <w:r w:rsidRPr="0008720A">
        <w:rPr>
          <w:spacing w:val="-2"/>
        </w:rPr>
        <w:t xml:space="preserve">opportunities, </w:t>
      </w:r>
      <w:r w:rsidR="000572F8" w:rsidRPr="0008720A">
        <w:rPr>
          <w:spacing w:val="-2"/>
        </w:rPr>
        <w:t xml:space="preserve">so many assumed </w:t>
      </w:r>
      <w:r w:rsidRPr="0008720A">
        <w:rPr>
          <w:spacing w:val="-2"/>
        </w:rPr>
        <w:t xml:space="preserve">it was a scam. Manning and his successors, therefore, placed a great emphasis </w:t>
      </w:r>
      <w:r w:rsidR="00293486">
        <w:rPr>
          <w:spacing w:val="-2"/>
        </w:rPr>
        <w:t xml:space="preserve">on </w:t>
      </w:r>
      <w:r w:rsidRPr="0008720A">
        <w:rPr>
          <w:spacing w:val="-2"/>
        </w:rPr>
        <w:t xml:space="preserve">establishing rapport and trust with the local communities. </w:t>
      </w:r>
    </w:p>
    <w:p w14:paraId="7F1095CB" w14:textId="77777777" w:rsidR="00804D33" w:rsidRPr="000A643A" w:rsidRDefault="00804D33" w:rsidP="00FB734A">
      <w:pPr>
        <w:pStyle w:val="BodyTextMain"/>
      </w:pPr>
    </w:p>
    <w:p w14:paraId="7B1C63A8" w14:textId="775258D4" w:rsidR="004B6869" w:rsidRPr="000A643A" w:rsidRDefault="004B6869" w:rsidP="00FB734A">
      <w:pPr>
        <w:pStyle w:val="BodyTextMain"/>
      </w:pPr>
      <w:r w:rsidRPr="000A643A">
        <w:t xml:space="preserve">The advantage of a social enterprise went beyond giving people access to investment opportunities. The investors were not speculators, and the local focus of the company made it possible to invest in their own community. Other investors had overlooked the region </w:t>
      </w:r>
      <w:r w:rsidR="00A56C84">
        <w:t xml:space="preserve">because </w:t>
      </w:r>
      <w:r w:rsidRPr="000A643A">
        <w:t xml:space="preserve">capital </w:t>
      </w:r>
      <w:r w:rsidR="000572F8">
        <w:t xml:space="preserve">was difficult to access </w:t>
      </w:r>
      <w:r w:rsidRPr="000A643A">
        <w:t>for projects</w:t>
      </w:r>
      <w:r w:rsidR="00C846CF">
        <w:t xml:space="preserve">; </w:t>
      </w:r>
      <w:r w:rsidRPr="000A643A">
        <w:t xml:space="preserve">returns were not as high as most developers would want. In other words, </w:t>
      </w:r>
      <w:r w:rsidR="000572F8">
        <w:t xml:space="preserve">investors required a higher rate of return before investing </w:t>
      </w:r>
      <w:r w:rsidRPr="000A643A">
        <w:t xml:space="preserve">illiquid assets in </w:t>
      </w:r>
      <w:r w:rsidR="000572F8">
        <w:t xml:space="preserve">projects located in </w:t>
      </w:r>
      <w:r w:rsidRPr="000A643A">
        <w:t xml:space="preserve">uncertain locations. </w:t>
      </w:r>
    </w:p>
    <w:p w14:paraId="3A4F7DF7" w14:textId="77777777" w:rsidR="00804D33" w:rsidRPr="000A643A" w:rsidRDefault="00804D33" w:rsidP="00FB734A">
      <w:pPr>
        <w:pStyle w:val="BodyTextMain"/>
      </w:pPr>
    </w:p>
    <w:p w14:paraId="517C269F" w14:textId="4BAC2634" w:rsidR="00F964D1" w:rsidRPr="003730A6" w:rsidRDefault="004B6869" w:rsidP="00FB734A">
      <w:pPr>
        <w:pStyle w:val="BodyTextMain"/>
        <w:rPr>
          <w:spacing w:val="-2"/>
        </w:rPr>
      </w:pPr>
      <w:r w:rsidRPr="003730A6">
        <w:rPr>
          <w:spacing w:val="-2"/>
        </w:rPr>
        <w:t xml:space="preserve">In 1970, the available housing in the </w:t>
      </w:r>
      <w:proofErr w:type="gramStart"/>
      <w:r w:rsidR="000572F8" w:rsidRPr="003730A6">
        <w:rPr>
          <w:spacing w:val="-2"/>
        </w:rPr>
        <w:t>t</w:t>
      </w:r>
      <w:r w:rsidRPr="003730A6">
        <w:rPr>
          <w:spacing w:val="-2"/>
        </w:rPr>
        <w:t>own</w:t>
      </w:r>
      <w:proofErr w:type="gramEnd"/>
      <w:r w:rsidRPr="003730A6">
        <w:rPr>
          <w:spacing w:val="-2"/>
        </w:rPr>
        <w:t xml:space="preserve"> of Slave Lake was large</w:t>
      </w:r>
      <w:r w:rsidR="000572F8" w:rsidRPr="003730A6">
        <w:rPr>
          <w:spacing w:val="-2"/>
        </w:rPr>
        <w:t>ly</w:t>
      </w:r>
      <w:r w:rsidRPr="003730A6">
        <w:rPr>
          <w:spacing w:val="-2"/>
        </w:rPr>
        <w:t xml:space="preserve"> either temporary or substandard. The Alberta </w:t>
      </w:r>
      <w:r w:rsidR="00A56C84" w:rsidRPr="003730A6">
        <w:rPr>
          <w:spacing w:val="-2"/>
        </w:rPr>
        <w:t>g</w:t>
      </w:r>
      <w:r w:rsidRPr="003730A6">
        <w:rPr>
          <w:spacing w:val="-2"/>
        </w:rPr>
        <w:t xml:space="preserve">overnment had labelled housing </w:t>
      </w:r>
      <w:r w:rsidR="000572F8" w:rsidRPr="003730A6">
        <w:rPr>
          <w:spacing w:val="-2"/>
        </w:rPr>
        <w:t xml:space="preserve">as </w:t>
      </w:r>
      <w:r w:rsidRPr="003730A6">
        <w:rPr>
          <w:spacing w:val="-2"/>
        </w:rPr>
        <w:t>a critical need for the region.</w:t>
      </w:r>
      <w:r w:rsidRPr="003730A6">
        <w:rPr>
          <w:rStyle w:val="FootnoteReference"/>
          <w:spacing w:val="-2"/>
        </w:rPr>
        <w:footnoteReference w:id="17"/>
      </w:r>
      <w:r w:rsidRPr="003730A6">
        <w:rPr>
          <w:spacing w:val="-2"/>
        </w:rPr>
        <w:t xml:space="preserve"> Slave Lake needed housing for both </w:t>
      </w:r>
      <w:r w:rsidR="000572F8" w:rsidRPr="003730A6">
        <w:rPr>
          <w:spacing w:val="-2"/>
        </w:rPr>
        <w:t>it</w:t>
      </w:r>
      <w:r w:rsidR="00A56C84" w:rsidRPr="003730A6">
        <w:rPr>
          <w:spacing w:val="-2"/>
        </w:rPr>
        <w:t>s</w:t>
      </w:r>
      <w:r w:rsidR="000572F8" w:rsidRPr="003730A6">
        <w:rPr>
          <w:spacing w:val="-2"/>
        </w:rPr>
        <w:t xml:space="preserve"> </w:t>
      </w:r>
      <w:r w:rsidRPr="003730A6">
        <w:rPr>
          <w:spacing w:val="-2"/>
        </w:rPr>
        <w:t>current population and to attract new skilled workers to the oil field</w:t>
      </w:r>
      <w:r w:rsidR="00A56C84" w:rsidRPr="003730A6">
        <w:rPr>
          <w:spacing w:val="-2"/>
        </w:rPr>
        <w:t>s</w:t>
      </w:r>
      <w:r w:rsidRPr="003730A6">
        <w:rPr>
          <w:spacing w:val="-2"/>
        </w:rPr>
        <w:t xml:space="preserve">. To meet this need, </w:t>
      </w:r>
      <w:proofErr w:type="spellStart"/>
      <w:r w:rsidRPr="003730A6">
        <w:rPr>
          <w:spacing w:val="-2"/>
        </w:rPr>
        <w:t>SpruceLand’s</w:t>
      </w:r>
      <w:proofErr w:type="spellEnd"/>
      <w:r w:rsidRPr="003730A6">
        <w:rPr>
          <w:spacing w:val="-2"/>
        </w:rPr>
        <w:t xml:space="preserve"> first venture </w:t>
      </w:r>
      <w:r w:rsidR="000572F8" w:rsidRPr="003730A6">
        <w:rPr>
          <w:spacing w:val="-2"/>
        </w:rPr>
        <w:t xml:space="preserve">in Slave Lake </w:t>
      </w:r>
      <w:r w:rsidRPr="003730A6">
        <w:rPr>
          <w:spacing w:val="-2"/>
        </w:rPr>
        <w:t>was a 90-unit apartment and townhouse rental complex, called Woodland Place. The mandate of the organization matched the project</w:t>
      </w:r>
      <w:r w:rsidR="00F964D1" w:rsidRPr="003730A6">
        <w:rPr>
          <w:spacing w:val="-2"/>
        </w:rPr>
        <w:t xml:space="preserve">: </w:t>
      </w:r>
      <w:r w:rsidR="000572F8" w:rsidRPr="003730A6">
        <w:rPr>
          <w:spacing w:val="-2"/>
        </w:rPr>
        <w:t xml:space="preserve">to </w:t>
      </w:r>
      <w:r w:rsidRPr="003730A6">
        <w:rPr>
          <w:spacing w:val="-2"/>
        </w:rPr>
        <w:t>provide much</w:t>
      </w:r>
      <w:r w:rsidR="000572F8" w:rsidRPr="003730A6">
        <w:rPr>
          <w:spacing w:val="-2"/>
        </w:rPr>
        <w:t>-</w:t>
      </w:r>
      <w:r w:rsidRPr="003730A6">
        <w:rPr>
          <w:spacing w:val="-2"/>
        </w:rPr>
        <w:t xml:space="preserve">needed housing and to generate returns. </w:t>
      </w:r>
    </w:p>
    <w:p w14:paraId="64BB1F7B" w14:textId="77777777" w:rsidR="00F964D1" w:rsidRDefault="00F964D1" w:rsidP="00FB734A">
      <w:pPr>
        <w:pStyle w:val="BodyTextMain"/>
      </w:pPr>
    </w:p>
    <w:p w14:paraId="0B280D29" w14:textId="7424B823" w:rsidR="004B6869" w:rsidRPr="00FF5637" w:rsidRDefault="004B6869" w:rsidP="00FB734A">
      <w:pPr>
        <w:pStyle w:val="BodyTextMain"/>
        <w:rPr>
          <w:spacing w:val="-4"/>
        </w:rPr>
      </w:pPr>
      <w:r w:rsidRPr="00FF5637">
        <w:rPr>
          <w:spacing w:val="-4"/>
        </w:rPr>
        <w:t>The project cost $1 million and was funded partially with shareholder dollars combined with joint venture partners from the oil and gas industry: Imperial Oil</w:t>
      </w:r>
      <w:r w:rsidR="00F964D1" w:rsidRPr="00FF5637">
        <w:rPr>
          <w:spacing w:val="-4"/>
        </w:rPr>
        <w:t xml:space="preserve"> Limited</w:t>
      </w:r>
      <w:r w:rsidRPr="00FF5637">
        <w:rPr>
          <w:spacing w:val="-4"/>
        </w:rPr>
        <w:t xml:space="preserve">, </w:t>
      </w:r>
      <w:r w:rsidR="00F964D1" w:rsidRPr="00FF5637">
        <w:rPr>
          <w:spacing w:val="-4"/>
        </w:rPr>
        <w:t xml:space="preserve">Exxon </w:t>
      </w:r>
      <w:r w:rsidRPr="00FF5637">
        <w:rPr>
          <w:spacing w:val="-4"/>
        </w:rPr>
        <w:t>Mobil</w:t>
      </w:r>
      <w:r w:rsidR="00F964D1" w:rsidRPr="00FF5637">
        <w:rPr>
          <w:spacing w:val="-4"/>
        </w:rPr>
        <w:t xml:space="preserve"> Corporation</w:t>
      </w:r>
      <w:r w:rsidRPr="00FF5637">
        <w:rPr>
          <w:spacing w:val="-4"/>
        </w:rPr>
        <w:t>, and Rainbow Pipe</w:t>
      </w:r>
      <w:r w:rsidR="00F964D1" w:rsidRPr="00FF5637">
        <w:rPr>
          <w:spacing w:val="-4"/>
        </w:rPr>
        <w:t xml:space="preserve"> L</w:t>
      </w:r>
      <w:r w:rsidRPr="00FF5637">
        <w:rPr>
          <w:spacing w:val="-4"/>
        </w:rPr>
        <w:t>ine</w:t>
      </w:r>
      <w:r w:rsidR="00F964D1" w:rsidRPr="00FF5637">
        <w:rPr>
          <w:spacing w:val="-4"/>
        </w:rPr>
        <w:t xml:space="preserve"> Company Limited</w:t>
      </w:r>
      <w:r w:rsidRPr="00FF5637">
        <w:rPr>
          <w:spacing w:val="-4"/>
        </w:rPr>
        <w:t xml:space="preserve">. This initial capital </w:t>
      </w:r>
      <w:r w:rsidR="00A56C84" w:rsidRPr="00FF5637">
        <w:rPr>
          <w:spacing w:val="-4"/>
        </w:rPr>
        <w:t xml:space="preserve">enabled </w:t>
      </w:r>
      <w:proofErr w:type="spellStart"/>
      <w:r w:rsidRPr="00FF5637">
        <w:rPr>
          <w:spacing w:val="-4"/>
        </w:rPr>
        <w:t>SpruceLand</w:t>
      </w:r>
      <w:proofErr w:type="spellEnd"/>
      <w:r w:rsidRPr="00FF5637">
        <w:rPr>
          <w:spacing w:val="-4"/>
        </w:rPr>
        <w:t xml:space="preserve"> to take out a mortgage with the Canada Mortgage and Housing Corporation. Woodland Place brought the much-needed workforce housing to the town, and the project was an instant success. Within three years, </w:t>
      </w:r>
      <w:proofErr w:type="spellStart"/>
      <w:r w:rsidRPr="00FF5637">
        <w:rPr>
          <w:spacing w:val="-4"/>
        </w:rPr>
        <w:t>SpruceLand</w:t>
      </w:r>
      <w:proofErr w:type="spellEnd"/>
      <w:r w:rsidRPr="00FF5637">
        <w:rPr>
          <w:spacing w:val="-4"/>
        </w:rPr>
        <w:t xml:space="preserve"> bought ou</w:t>
      </w:r>
      <w:r w:rsidR="00804D33" w:rsidRPr="00FF5637">
        <w:rPr>
          <w:spacing w:val="-4"/>
        </w:rPr>
        <w:t xml:space="preserve">t </w:t>
      </w:r>
      <w:r w:rsidR="000572F8" w:rsidRPr="00FF5637">
        <w:rPr>
          <w:spacing w:val="-4"/>
        </w:rPr>
        <w:t xml:space="preserve">its </w:t>
      </w:r>
      <w:r w:rsidR="00804D33" w:rsidRPr="00FF5637">
        <w:rPr>
          <w:spacing w:val="-4"/>
        </w:rPr>
        <w:t>joint venture partners.</w:t>
      </w:r>
    </w:p>
    <w:p w14:paraId="1AA6C468" w14:textId="77777777" w:rsidR="00804D33" w:rsidRPr="000A643A" w:rsidRDefault="00804D33" w:rsidP="00FB734A">
      <w:pPr>
        <w:pStyle w:val="BodyTextMain"/>
      </w:pPr>
    </w:p>
    <w:p w14:paraId="7280347C" w14:textId="77777777" w:rsidR="00804D33" w:rsidRPr="000A643A" w:rsidRDefault="00804D33" w:rsidP="00FB734A">
      <w:pPr>
        <w:pStyle w:val="BodyTextMain"/>
      </w:pPr>
    </w:p>
    <w:p w14:paraId="1A8D8B61" w14:textId="29D249EE" w:rsidR="004B6869" w:rsidRPr="000A643A" w:rsidRDefault="004B6869" w:rsidP="00804D33">
      <w:pPr>
        <w:pStyle w:val="Casehead1"/>
      </w:pPr>
      <w:r w:rsidRPr="000A643A">
        <w:t>GEOGRAPHIC</w:t>
      </w:r>
      <w:r w:rsidR="00B009C1">
        <w:t>al</w:t>
      </w:r>
      <w:r w:rsidRPr="000A643A">
        <w:t xml:space="preserve"> EXPANSION AND REAL ESTATE PORTFOLIO GROWTH </w:t>
      </w:r>
    </w:p>
    <w:p w14:paraId="3B6A780D" w14:textId="77777777" w:rsidR="00804D33" w:rsidRPr="000A643A" w:rsidRDefault="00804D33" w:rsidP="00FB734A">
      <w:pPr>
        <w:pStyle w:val="BodyTextMain"/>
        <w:rPr>
          <w:spacing w:val="-2"/>
        </w:rPr>
      </w:pPr>
    </w:p>
    <w:p w14:paraId="4328C588" w14:textId="423F4CEC" w:rsidR="004B6869" w:rsidRPr="0008720A" w:rsidRDefault="004B6869" w:rsidP="00FB734A">
      <w:pPr>
        <w:pStyle w:val="BodyTextMain"/>
        <w:rPr>
          <w:spacing w:val="-4"/>
        </w:rPr>
      </w:pPr>
      <w:r w:rsidRPr="0008720A">
        <w:rPr>
          <w:spacing w:val="-4"/>
        </w:rPr>
        <w:t xml:space="preserve">In the years that followed, </w:t>
      </w:r>
      <w:proofErr w:type="spellStart"/>
      <w:r w:rsidRPr="0008720A">
        <w:rPr>
          <w:spacing w:val="-4"/>
        </w:rPr>
        <w:t>SpruceLand</w:t>
      </w:r>
      <w:proofErr w:type="spellEnd"/>
      <w:r w:rsidRPr="0008720A">
        <w:rPr>
          <w:spacing w:val="-4"/>
        </w:rPr>
        <w:t xml:space="preserve"> turned a relatively small initial investment into a multimillion-dollar real estate portfolio</w:t>
      </w:r>
      <w:r w:rsidR="008A23A5" w:rsidRPr="0008720A">
        <w:rPr>
          <w:spacing w:val="-4"/>
        </w:rPr>
        <w:t xml:space="preserve">—but </w:t>
      </w:r>
      <w:r w:rsidRPr="0008720A">
        <w:rPr>
          <w:spacing w:val="-4"/>
        </w:rPr>
        <w:t xml:space="preserve">not without difficulty. Despite the success of Woodland Place, Manning still </w:t>
      </w:r>
      <w:r w:rsidR="008A23A5" w:rsidRPr="0008720A">
        <w:rPr>
          <w:spacing w:val="-4"/>
        </w:rPr>
        <w:t xml:space="preserve">needed </w:t>
      </w:r>
      <w:r w:rsidRPr="0008720A">
        <w:rPr>
          <w:spacing w:val="-4"/>
        </w:rPr>
        <w:t xml:space="preserve">to approach 35 mortgage companies in </w:t>
      </w:r>
      <w:r w:rsidR="008A23A5" w:rsidRPr="0008720A">
        <w:rPr>
          <w:spacing w:val="-4"/>
        </w:rPr>
        <w:t xml:space="preserve">an </w:t>
      </w:r>
      <w:r w:rsidRPr="0008720A">
        <w:rPr>
          <w:spacing w:val="-4"/>
        </w:rPr>
        <w:t xml:space="preserve">attempt to secure a mortgage for </w:t>
      </w:r>
      <w:proofErr w:type="spellStart"/>
      <w:r w:rsidRPr="0008720A">
        <w:rPr>
          <w:spacing w:val="-4"/>
        </w:rPr>
        <w:t>SpruceLand’s</w:t>
      </w:r>
      <w:proofErr w:type="spellEnd"/>
      <w:r w:rsidRPr="0008720A">
        <w:rPr>
          <w:spacing w:val="-4"/>
        </w:rPr>
        <w:t xml:space="preserve"> first commercial project in 1972: a 20,000 square foot office building called Slave Lake Place. The mortgage lender</w:t>
      </w:r>
      <w:r w:rsidR="008A23A5" w:rsidRPr="0008720A">
        <w:rPr>
          <w:spacing w:val="-4"/>
        </w:rPr>
        <w:t>, which</w:t>
      </w:r>
      <w:r w:rsidRPr="0008720A">
        <w:rPr>
          <w:spacing w:val="-4"/>
        </w:rPr>
        <w:t xml:space="preserve"> was also the </w:t>
      </w:r>
      <w:r w:rsidR="008A23A5" w:rsidRPr="0008720A">
        <w:rPr>
          <w:spacing w:val="-4"/>
        </w:rPr>
        <w:t xml:space="preserve">area’s </w:t>
      </w:r>
      <w:r w:rsidRPr="0008720A">
        <w:rPr>
          <w:spacing w:val="-4"/>
        </w:rPr>
        <w:t xml:space="preserve">premier insurance company, agreed to lend </w:t>
      </w:r>
      <w:r w:rsidR="008A23A5" w:rsidRPr="0008720A">
        <w:rPr>
          <w:spacing w:val="-4"/>
        </w:rPr>
        <w:t xml:space="preserve">the funds only </w:t>
      </w:r>
      <w:r w:rsidRPr="0008720A">
        <w:rPr>
          <w:spacing w:val="-4"/>
        </w:rPr>
        <w:t xml:space="preserve">after Manning secured the Government of Alberta as the primary tenant. The Government would lease the space for offices and services rather than build </w:t>
      </w:r>
      <w:r w:rsidR="008A23A5" w:rsidRPr="0008720A">
        <w:rPr>
          <w:spacing w:val="-4"/>
        </w:rPr>
        <w:t xml:space="preserve">its </w:t>
      </w:r>
      <w:r w:rsidRPr="0008720A">
        <w:rPr>
          <w:spacing w:val="-4"/>
        </w:rPr>
        <w:t>own facility</w:t>
      </w:r>
      <w:r w:rsidR="008A23A5" w:rsidRPr="0008720A">
        <w:rPr>
          <w:spacing w:val="-4"/>
        </w:rPr>
        <w:t>,</w:t>
      </w:r>
      <w:r w:rsidRPr="0008720A">
        <w:rPr>
          <w:spacing w:val="-4"/>
        </w:rPr>
        <w:t xml:space="preserve"> thereby providing </w:t>
      </w:r>
      <w:proofErr w:type="spellStart"/>
      <w:r w:rsidRPr="0008720A">
        <w:rPr>
          <w:spacing w:val="-4"/>
        </w:rPr>
        <w:t>SpruceLand</w:t>
      </w:r>
      <w:proofErr w:type="spellEnd"/>
      <w:r w:rsidRPr="0008720A">
        <w:rPr>
          <w:spacing w:val="-4"/>
        </w:rPr>
        <w:t xml:space="preserve"> with market access that was otherwise out of reach. Three other projects followed: an office building, an apartment building</w:t>
      </w:r>
      <w:r w:rsidR="008A23A5" w:rsidRPr="0008720A">
        <w:rPr>
          <w:spacing w:val="-4"/>
        </w:rPr>
        <w:t>,</w:t>
      </w:r>
      <w:r w:rsidRPr="0008720A">
        <w:rPr>
          <w:spacing w:val="-4"/>
        </w:rPr>
        <w:t xml:space="preserve"> and a townhouse development</w:t>
      </w:r>
      <w:r w:rsidR="008A23A5" w:rsidRPr="0008720A">
        <w:rPr>
          <w:spacing w:val="-4"/>
        </w:rPr>
        <w:t>,</w:t>
      </w:r>
      <w:r w:rsidRPr="0008720A">
        <w:rPr>
          <w:spacing w:val="-4"/>
        </w:rPr>
        <w:t xml:space="preserve"> all completed in the 1980s. </w:t>
      </w:r>
      <w:proofErr w:type="spellStart"/>
      <w:r w:rsidRPr="0008720A">
        <w:rPr>
          <w:spacing w:val="-4"/>
        </w:rPr>
        <w:t>SpruceLand</w:t>
      </w:r>
      <w:proofErr w:type="spellEnd"/>
      <w:r w:rsidRPr="0008720A">
        <w:rPr>
          <w:spacing w:val="-4"/>
        </w:rPr>
        <w:t xml:space="preserve"> started paying common share dividends in 1987. </w:t>
      </w:r>
    </w:p>
    <w:p w14:paraId="0E2EBC37" w14:textId="660EB558" w:rsidR="004B6869" w:rsidRPr="000A643A" w:rsidRDefault="004B6869" w:rsidP="00FB734A">
      <w:pPr>
        <w:pStyle w:val="BodyTextMain"/>
      </w:pPr>
      <w:r w:rsidRPr="000A643A">
        <w:lastRenderedPageBreak/>
        <w:t xml:space="preserve">Manning resigned in 1987 to pursue a career in politics, and Doug </w:t>
      </w:r>
      <w:proofErr w:type="spellStart"/>
      <w:r w:rsidRPr="000A643A">
        <w:t>Victoor</w:t>
      </w:r>
      <w:proofErr w:type="spellEnd"/>
      <w:r w:rsidRPr="000A643A">
        <w:t xml:space="preserve"> took over the reins of </w:t>
      </w:r>
      <w:proofErr w:type="spellStart"/>
      <w:r w:rsidRPr="000A643A">
        <w:t>SpruceLand</w:t>
      </w:r>
      <w:proofErr w:type="spellEnd"/>
      <w:r w:rsidRPr="000A643A">
        <w:t xml:space="preserve"> as </w:t>
      </w:r>
      <w:r w:rsidR="008A23A5">
        <w:t>p</w:t>
      </w:r>
      <w:r w:rsidRPr="000A643A">
        <w:t>resident and CEO. Even through difficult economic times in the 1980s</w:t>
      </w:r>
      <w:r w:rsidR="00F36C90">
        <w:t>,</w:t>
      </w:r>
      <w:r w:rsidR="00AD588D">
        <w:t xml:space="preserve"> where </w:t>
      </w:r>
      <w:r w:rsidRPr="000A643A">
        <w:t xml:space="preserve">prime rates </w:t>
      </w:r>
      <w:r w:rsidR="00AD588D">
        <w:t xml:space="preserve">were </w:t>
      </w:r>
      <w:r w:rsidRPr="000A643A">
        <w:t xml:space="preserve">at </w:t>
      </w:r>
      <w:r w:rsidR="008A23A5">
        <w:t>more than</w:t>
      </w:r>
      <w:r w:rsidR="008A23A5" w:rsidRPr="000A643A">
        <w:t xml:space="preserve"> </w:t>
      </w:r>
      <w:r w:rsidRPr="000A643A">
        <w:t>20</w:t>
      </w:r>
      <w:r w:rsidR="008A23A5">
        <w:t xml:space="preserve"> per cent</w:t>
      </w:r>
      <w:r w:rsidRPr="000A643A">
        <w:t xml:space="preserve">, Manning had paved the way for success with good initial investments, </w:t>
      </w:r>
      <w:r w:rsidR="00F36C90" w:rsidRPr="000A643A">
        <w:t>collaborati</w:t>
      </w:r>
      <w:r w:rsidR="00F36C90">
        <w:t>ons</w:t>
      </w:r>
      <w:r w:rsidR="00F36C90" w:rsidRPr="000A643A">
        <w:t xml:space="preserve"> </w:t>
      </w:r>
      <w:r w:rsidRPr="000A643A">
        <w:t xml:space="preserve">with solid industry partners, and </w:t>
      </w:r>
      <w:r w:rsidR="00F36C90">
        <w:t xml:space="preserve">a low </w:t>
      </w:r>
      <w:r w:rsidRPr="000A643A">
        <w:t>debt</w:t>
      </w:r>
      <w:r w:rsidR="00B009C1">
        <w:t xml:space="preserve"> </w:t>
      </w:r>
      <w:r w:rsidRPr="000A643A">
        <w:t>to</w:t>
      </w:r>
      <w:r w:rsidR="00B009C1">
        <w:t xml:space="preserve"> </w:t>
      </w:r>
      <w:r w:rsidRPr="000A643A">
        <w:t>equity ratio</w:t>
      </w:r>
      <w:r w:rsidR="00B009C1">
        <w:t>.</w:t>
      </w:r>
      <w:r w:rsidRPr="000A643A">
        <w:t xml:space="preserve"> He had created a proven track record for </w:t>
      </w:r>
      <w:proofErr w:type="spellStart"/>
      <w:r w:rsidRPr="000A643A">
        <w:t>SpruceLand</w:t>
      </w:r>
      <w:proofErr w:type="spellEnd"/>
      <w:r w:rsidR="008A23A5">
        <w:t>,</w:t>
      </w:r>
      <w:r w:rsidRPr="000A643A">
        <w:t xml:space="preserve"> which allowed </w:t>
      </w:r>
      <w:proofErr w:type="spellStart"/>
      <w:r w:rsidRPr="000A643A">
        <w:t>Victoor</w:t>
      </w:r>
      <w:proofErr w:type="spellEnd"/>
      <w:r w:rsidRPr="000A643A">
        <w:t xml:space="preserve"> to sell additional shares, obtain financing for new projects, and grow joint venture partnerships</w:t>
      </w:r>
      <w:r w:rsidR="008A23A5">
        <w:t>,</w:t>
      </w:r>
      <w:r w:rsidRPr="000A643A">
        <w:t xml:space="preserve"> many of which were ongoing.</w:t>
      </w:r>
    </w:p>
    <w:p w14:paraId="6A4E41BE" w14:textId="77777777" w:rsidR="00804D33" w:rsidRPr="000A643A" w:rsidRDefault="00804D33" w:rsidP="00FB734A">
      <w:pPr>
        <w:pStyle w:val="BodyTextMain"/>
      </w:pPr>
    </w:p>
    <w:p w14:paraId="31F73A3C" w14:textId="070F67F8" w:rsidR="004B6869" w:rsidRPr="000A643A" w:rsidRDefault="004B6869" w:rsidP="00FB734A">
      <w:pPr>
        <w:pStyle w:val="BodyTextMain"/>
      </w:pPr>
      <w:r w:rsidRPr="000A643A">
        <w:t xml:space="preserve">With the help of trusted joint venture partners, such as general contractors, engineers, and regulatory authorities, </w:t>
      </w:r>
      <w:proofErr w:type="spellStart"/>
      <w:r w:rsidRPr="000A643A">
        <w:t>Victoor</w:t>
      </w:r>
      <w:proofErr w:type="spellEnd"/>
      <w:r w:rsidRPr="000A643A">
        <w:t xml:space="preserve"> </w:t>
      </w:r>
      <w:r w:rsidR="004009AB" w:rsidRPr="000A643A">
        <w:t>skilfully</w:t>
      </w:r>
      <w:r w:rsidRPr="000A643A">
        <w:t xml:space="preserve"> and rapidly expanded </w:t>
      </w:r>
      <w:proofErr w:type="spellStart"/>
      <w:r w:rsidRPr="000A643A">
        <w:t>SpruceLand</w:t>
      </w:r>
      <w:proofErr w:type="spellEnd"/>
      <w:r w:rsidRPr="000A643A">
        <w:t xml:space="preserve"> with more residential and commercial/retail offerings</w:t>
      </w:r>
      <w:r w:rsidR="00A24F6D">
        <w:t xml:space="preserve"> </w:t>
      </w:r>
      <w:r w:rsidR="00A24F6D" w:rsidRPr="000A643A">
        <w:t>within the Slave Lake region</w:t>
      </w:r>
      <w:r w:rsidRPr="000A643A">
        <w:t xml:space="preserve"> and beyond to other towns in the area. He also expanded outside the region entirely. </w:t>
      </w:r>
      <w:proofErr w:type="spellStart"/>
      <w:r w:rsidRPr="000A643A">
        <w:t>SpruceLand</w:t>
      </w:r>
      <w:proofErr w:type="spellEnd"/>
      <w:r w:rsidRPr="000A643A">
        <w:t xml:space="preserve"> bought apartment buildings in the towns of Athabasca, St. Paul, and Lac </w:t>
      </w:r>
      <w:r w:rsidR="00A24F6D">
        <w:t>L</w:t>
      </w:r>
      <w:r w:rsidRPr="000A643A">
        <w:t xml:space="preserve">a </w:t>
      </w:r>
      <w:proofErr w:type="spellStart"/>
      <w:r w:rsidRPr="000A643A">
        <w:t>Biche</w:t>
      </w:r>
      <w:proofErr w:type="spellEnd"/>
      <w:r w:rsidR="00F36C90">
        <w:t>;</w:t>
      </w:r>
      <w:r w:rsidRPr="000A643A">
        <w:t xml:space="preserve"> several industrial properties in Nisku and Edmonton</w:t>
      </w:r>
      <w:r w:rsidR="00F36C90">
        <w:t>;</w:t>
      </w:r>
      <w:r w:rsidRPr="000A643A">
        <w:t xml:space="preserve"> </w:t>
      </w:r>
      <w:r w:rsidR="00F36C90">
        <w:t>and</w:t>
      </w:r>
      <w:r w:rsidRPr="000A643A">
        <w:t xml:space="preserve"> a mobile home park in Leduc. </w:t>
      </w:r>
      <w:proofErr w:type="spellStart"/>
      <w:r w:rsidRPr="000A643A">
        <w:t>SpruceLand</w:t>
      </w:r>
      <w:proofErr w:type="spellEnd"/>
      <w:r w:rsidRPr="000A643A">
        <w:t xml:space="preserve"> also invested in commercial space</w:t>
      </w:r>
      <w:r w:rsidR="00A24F6D">
        <w:t>,</w:t>
      </w:r>
      <w:r w:rsidRPr="000A643A">
        <w:t xml:space="preserve"> </w:t>
      </w:r>
      <w:r w:rsidR="00A24F6D">
        <w:t>which it</w:t>
      </w:r>
      <w:r w:rsidR="00A24F6D" w:rsidRPr="000A643A">
        <w:t xml:space="preserve"> </w:t>
      </w:r>
      <w:r w:rsidRPr="000A643A">
        <w:t xml:space="preserve">leased to retailers moving into the northern market. This expansion necessitated the name change </w:t>
      </w:r>
      <w:r w:rsidR="00A24F6D">
        <w:t xml:space="preserve">from Slave Lake Developments Ltd. </w:t>
      </w:r>
      <w:r w:rsidRPr="000A643A">
        <w:t xml:space="preserve">to </w:t>
      </w:r>
      <w:proofErr w:type="spellStart"/>
      <w:r w:rsidRPr="000A643A">
        <w:t>SpruceLand</w:t>
      </w:r>
      <w:proofErr w:type="spellEnd"/>
      <w:r w:rsidRPr="000A643A">
        <w:t xml:space="preserve"> </w:t>
      </w:r>
      <w:r w:rsidR="00A24F6D">
        <w:t xml:space="preserve">Properties </w:t>
      </w:r>
      <w:r w:rsidR="00AB12BF">
        <w:t>Inc</w:t>
      </w:r>
      <w:r w:rsidR="00A24F6D">
        <w:t>.</w:t>
      </w:r>
      <w:r w:rsidR="004009AB">
        <w:t>;</w:t>
      </w:r>
      <w:r w:rsidR="00A24F6D">
        <w:t xml:space="preserve"> </w:t>
      </w:r>
      <w:proofErr w:type="spellStart"/>
      <w:r w:rsidRPr="000A643A">
        <w:t>Victoor</w:t>
      </w:r>
      <w:proofErr w:type="spellEnd"/>
      <w:r w:rsidRPr="000A643A">
        <w:t xml:space="preserve"> realized that gaining shareholders’ trust in these new communities meant that the name of the company needed to reflect the broader regional focus. </w:t>
      </w:r>
      <w:proofErr w:type="spellStart"/>
      <w:r w:rsidRPr="000A643A">
        <w:t>Victoor</w:t>
      </w:r>
      <w:proofErr w:type="spellEnd"/>
      <w:r w:rsidRPr="000A643A">
        <w:t xml:space="preserve"> faced some backlash from shareholders who wanted the community development company to stay focused on the community of Slave Lake, but he argued that the economic reality of working with increasingly bigger lenders necessitated diversification.</w:t>
      </w:r>
      <w:r w:rsidR="000A643A" w:rsidRPr="000A643A">
        <w:t xml:space="preserve"> </w:t>
      </w:r>
      <w:r w:rsidR="00AD588D">
        <w:t xml:space="preserve">The dividends during this time showed that </w:t>
      </w:r>
      <w:proofErr w:type="spellStart"/>
      <w:r w:rsidR="00AD588D">
        <w:t>Spruceland</w:t>
      </w:r>
      <w:proofErr w:type="spellEnd"/>
      <w:r w:rsidR="00AD588D">
        <w:t xml:space="preserve"> was successful</w:t>
      </w:r>
      <w:r w:rsidRPr="000A643A">
        <w:t xml:space="preserve">. </w:t>
      </w:r>
    </w:p>
    <w:p w14:paraId="573D00A5" w14:textId="77777777" w:rsidR="00804D33" w:rsidRPr="000A643A" w:rsidRDefault="00804D33" w:rsidP="00FB734A">
      <w:pPr>
        <w:pStyle w:val="BodyTextMain"/>
      </w:pPr>
    </w:p>
    <w:p w14:paraId="7481E8BC" w14:textId="17D5BCFD" w:rsidR="004B6869" w:rsidRPr="000A643A" w:rsidRDefault="004B6869" w:rsidP="00FB734A">
      <w:pPr>
        <w:pStyle w:val="BodyTextMain"/>
      </w:pPr>
      <w:r w:rsidRPr="000A643A">
        <w:t xml:space="preserve">When </w:t>
      </w:r>
      <w:proofErr w:type="spellStart"/>
      <w:r w:rsidRPr="000A643A">
        <w:t>Victoor’s</w:t>
      </w:r>
      <w:proofErr w:type="spellEnd"/>
      <w:r w:rsidRPr="000A643A">
        <w:t xml:space="preserve"> health started to decline in 2005, Steve </w:t>
      </w:r>
      <w:proofErr w:type="spellStart"/>
      <w:r w:rsidRPr="000A643A">
        <w:t>Cribb</w:t>
      </w:r>
      <w:proofErr w:type="spellEnd"/>
      <w:r w:rsidRPr="000A643A">
        <w:t xml:space="preserve"> was brought in as a consultant</w:t>
      </w:r>
      <w:r w:rsidR="004009AB">
        <w:t>,</w:t>
      </w:r>
      <w:r w:rsidRPr="000A643A">
        <w:t xml:space="preserve"> and </w:t>
      </w:r>
      <w:r w:rsidR="004009AB">
        <w:t xml:space="preserve">in 2006, he </w:t>
      </w:r>
      <w:r w:rsidRPr="000A643A">
        <w:t xml:space="preserve">became </w:t>
      </w:r>
      <w:r w:rsidR="00A24F6D">
        <w:t>p</w:t>
      </w:r>
      <w:r w:rsidRPr="000A643A">
        <w:t>resident and CEO</w:t>
      </w:r>
      <w:r w:rsidRPr="000A643A">
        <w:rPr>
          <w:color w:val="000000" w:themeColor="text1"/>
        </w:rPr>
        <w:t xml:space="preserve">. </w:t>
      </w:r>
      <w:proofErr w:type="spellStart"/>
      <w:r w:rsidRPr="000A643A">
        <w:t>Cribb</w:t>
      </w:r>
      <w:proofErr w:type="spellEnd"/>
      <w:r w:rsidRPr="000A643A">
        <w:t xml:space="preserve"> took over a growing company and capitalized on lower interest rates by refinancing properties, selling older properties</w:t>
      </w:r>
      <w:r w:rsidR="00A24F6D">
        <w:t>,</w:t>
      </w:r>
      <w:r w:rsidRPr="000A643A">
        <w:t xml:space="preserve"> and buying newer ones. Where </w:t>
      </w:r>
      <w:proofErr w:type="spellStart"/>
      <w:r w:rsidRPr="000A643A">
        <w:t>Victoor</w:t>
      </w:r>
      <w:proofErr w:type="spellEnd"/>
      <w:r w:rsidRPr="000A643A">
        <w:t xml:space="preserve"> had first faced some resistance in expanding outside of Slave Lake and the region, the economic case for expansion now resonated with shareholders, and </w:t>
      </w:r>
      <w:proofErr w:type="spellStart"/>
      <w:r w:rsidRPr="000A643A">
        <w:t>Cribb</w:t>
      </w:r>
      <w:proofErr w:type="spellEnd"/>
      <w:r w:rsidRPr="000A643A">
        <w:t xml:space="preserve"> was able to continue in this direction. </w:t>
      </w:r>
    </w:p>
    <w:p w14:paraId="5A4EA5FD" w14:textId="77777777" w:rsidR="00804D33" w:rsidRPr="000A643A" w:rsidRDefault="00804D33" w:rsidP="00FB734A">
      <w:pPr>
        <w:pStyle w:val="BodyTextMain"/>
      </w:pPr>
    </w:p>
    <w:p w14:paraId="3C255031" w14:textId="6C8E28F9" w:rsidR="00A24F6D" w:rsidRDefault="004B6869" w:rsidP="00FB734A">
      <w:pPr>
        <w:pStyle w:val="BodyTextMain"/>
      </w:pPr>
      <w:proofErr w:type="spellStart"/>
      <w:r w:rsidRPr="000A643A">
        <w:t>Cribb</w:t>
      </w:r>
      <w:proofErr w:type="spellEnd"/>
      <w:r w:rsidRPr="000A643A">
        <w:t xml:space="preserve"> led </w:t>
      </w:r>
      <w:proofErr w:type="spellStart"/>
      <w:r w:rsidR="004009AB">
        <w:t>SpruceLand</w:t>
      </w:r>
      <w:proofErr w:type="spellEnd"/>
      <w:r w:rsidRPr="000A643A">
        <w:t xml:space="preserve"> through a period of intense growth by constantly evaluating </w:t>
      </w:r>
      <w:r w:rsidR="004009AB">
        <w:t>the company’s</w:t>
      </w:r>
      <w:r w:rsidR="004009AB" w:rsidRPr="000A643A">
        <w:t xml:space="preserve"> </w:t>
      </w:r>
      <w:r w:rsidRPr="000A643A">
        <w:t xml:space="preserve">diversification. </w:t>
      </w:r>
      <w:r w:rsidR="00075BDC">
        <w:t>He</w:t>
      </w:r>
      <w:r w:rsidR="00075BDC" w:rsidRPr="000A643A">
        <w:t xml:space="preserve"> </w:t>
      </w:r>
      <w:r w:rsidRPr="000A643A">
        <w:t xml:space="preserve">described the </w:t>
      </w:r>
      <w:r w:rsidR="00075BDC">
        <w:t xml:space="preserve">company’s </w:t>
      </w:r>
      <w:r w:rsidRPr="000A643A">
        <w:t xml:space="preserve">growth as a natural evolution helped along by the improvement of processes and investments. The regulatory system had also changed since </w:t>
      </w:r>
      <w:proofErr w:type="spellStart"/>
      <w:r w:rsidRPr="000A643A">
        <w:t>SpruceLand’s</w:t>
      </w:r>
      <w:proofErr w:type="spellEnd"/>
      <w:r w:rsidRPr="000A643A">
        <w:t xml:space="preserve"> inception and required an increasing degree of sophistication in business dealings. Shareholders were receiving annual dividends, but if they wanted to sell their shares</w:t>
      </w:r>
      <w:r w:rsidR="00075BDC">
        <w:t>,</w:t>
      </w:r>
      <w:r w:rsidRPr="000A643A">
        <w:t xml:space="preserve"> they </w:t>
      </w:r>
      <w:r w:rsidR="00A24F6D">
        <w:t>needed</w:t>
      </w:r>
      <w:r w:rsidR="00A24F6D" w:rsidRPr="000A643A">
        <w:t xml:space="preserve"> </w:t>
      </w:r>
      <w:r w:rsidRPr="000A643A">
        <w:t xml:space="preserve">to do so privately and were </w:t>
      </w:r>
      <w:r w:rsidR="00A24F6D">
        <w:t>un</w:t>
      </w:r>
      <w:r w:rsidRPr="000A643A">
        <w:t xml:space="preserve">able to achieve a price </w:t>
      </w:r>
      <w:r w:rsidR="00A24F6D">
        <w:t xml:space="preserve">that </w:t>
      </w:r>
      <w:r w:rsidR="00A24F6D" w:rsidRPr="000A643A">
        <w:t>reflect</w:t>
      </w:r>
      <w:r w:rsidR="00A24F6D">
        <w:t>ed</w:t>
      </w:r>
      <w:r w:rsidR="00A24F6D" w:rsidRPr="000A643A">
        <w:t xml:space="preserve"> </w:t>
      </w:r>
      <w:r w:rsidRPr="000A643A">
        <w:t xml:space="preserve">the value of the underlying assets. In 2015, </w:t>
      </w:r>
      <w:proofErr w:type="spellStart"/>
      <w:r w:rsidRPr="000A643A">
        <w:t>SpruceLand</w:t>
      </w:r>
      <w:proofErr w:type="spellEnd"/>
      <w:r w:rsidRPr="000A643A">
        <w:t xml:space="preserve"> had $120 million in assets</w:t>
      </w:r>
      <w:r w:rsidR="00075BDC">
        <w:t xml:space="preserve"> </w:t>
      </w:r>
      <w:r w:rsidR="00075BDC" w:rsidRPr="000A643A">
        <w:t>(see Exhibit 2)</w:t>
      </w:r>
      <w:r w:rsidR="00A24F6D">
        <w:t>, which was likely</w:t>
      </w:r>
      <w:r w:rsidRPr="000A643A">
        <w:t xml:space="preserve"> too small for a public listing and too big for the original community-ownership model. In the meantime</w:t>
      </w:r>
      <w:r w:rsidR="00075BDC">
        <w:t>,</w:t>
      </w:r>
      <w:r w:rsidRPr="000A643A">
        <w:t xml:space="preserve"> </w:t>
      </w:r>
    </w:p>
    <w:p w14:paraId="76EF0FF1" w14:textId="77777777" w:rsidR="00A24F6D" w:rsidRDefault="00A24F6D" w:rsidP="00FB734A">
      <w:pPr>
        <w:pStyle w:val="BodyTextMain"/>
      </w:pPr>
    </w:p>
    <w:p w14:paraId="36CA6571" w14:textId="41E25CE6" w:rsidR="004B6869" w:rsidRPr="0008720A" w:rsidRDefault="004B6869" w:rsidP="00E9672F">
      <w:pPr>
        <w:pStyle w:val="BodyTextMain"/>
        <w:ind w:left="720"/>
        <w:rPr>
          <w:spacing w:val="-2"/>
        </w:rPr>
      </w:pPr>
      <w:proofErr w:type="gramStart"/>
      <w:r w:rsidRPr="0008720A">
        <w:rPr>
          <w:spacing w:val="-2"/>
        </w:rPr>
        <w:t>while</w:t>
      </w:r>
      <w:proofErr w:type="gramEnd"/>
      <w:r w:rsidRPr="0008720A">
        <w:rPr>
          <w:spacing w:val="-2"/>
        </w:rPr>
        <w:t xml:space="preserve"> the Board was considering </w:t>
      </w:r>
      <w:r w:rsidR="00185DDB" w:rsidRPr="0008720A">
        <w:rPr>
          <w:spacing w:val="-2"/>
        </w:rPr>
        <w:t xml:space="preserve">current and </w:t>
      </w:r>
      <w:r w:rsidRPr="0008720A">
        <w:rPr>
          <w:spacing w:val="-2"/>
        </w:rPr>
        <w:t>developing market conditions</w:t>
      </w:r>
      <w:r w:rsidR="00185DDB" w:rsidRPr="0008720A">
        <w:rPr>
          <w:spacing w:val="-2"/>
        </w:rPr>
        <w:t xml:space="preserve"> and other related factors</w:t>
      </w:r>
      <w:r w:rsidRPr="0008720A">
        <w:rPr>
          <w:spacing w:val="-2"/>
        </w:rPr>
        <w:t xml:space="preserve">, in September 2014 the Corporation received an unsolicited expression of interest from a </w:t>
      </w:r>
      <w:r w:rsidR="00185DDB" w:rsidRPr="0008720A">
        <w:rPr>
          <w:spacing w:val="-2"/>
        </w:rPr>
        <w:t xml:space="preserve">western-based </w:t>
      </w:r>
      <w:r w:rsidRPr="0008720A">
        <w:rPr>
          <w:spacing w:val="-2"/>
        </w:rPr>
        <w:t>publicly</w:t>
      </w:r>
      <w:r w:rsidR="00185DDB" w:rsidRPr="0008720A">
        <w:rPr>
          <w:spacing w:val="-2"/>
        </w:rPr>
        <w:t xml:space="preserve"> </w:t>
      </w:r>
      <w:r w:rsidRPr="0008720A">
        <w:rPr>
          <w:spacing w:val="-2"/>
        </w:rPr>
        <w:t xml:space="preserve">traded entity </w:t>
      </w:r>
      <w:r w:rsidR="00185DDB" w:rsidRPr="0008720A">
        <w:rPr>
          <w:spacing w:val="-2"/>
        </w:rPr>
        <w:t xml:space="preserve">(the “Initial </w:t>
      </w:r>
      <w:proofErr w:type="spellStart"/>
      <w:r w:rsidR="00185DDB" w:rsidRPr="0008720A">
        <w:rPr>
          <w:spacing w:val="-2"/>
        </w:rPr>
        <w:t>Offeror</w:t>
      </w:r>
      <w:proofErr w:type="spellEnd"/>
      <w:r w:rsidR="00185DDB" w:rsidRPr="0008720A">
        <w:rPr>
          <w:spacing w:val="-2"/>
        </w:rPr>
        <w:t xml:space="preserve">”) </w:t>
      </w:r>
      <w:r w:rsidRPr="0008720A">
        <w:rPr>
          <w:spacing w:val="-2"/>
        </w:rPr>
        <w:t xml:space="preserve">regarding the sale of all </w:t>
      </w:r>
      <w:r w:rsidR="00185DDB" w:rsidRPr="0008720A">
        <w:rPr>
          <w:spacing w:val="-2"/>
        </w:rPr>
        <w:t xml:space="preserve">or substantially all </w:t>
      </w:r>
      <w:r w:rsidRPr="0008720A">
        <w:rPr>
          <w:spacing w:val="-2"/>
        </w:rPr>
        <w:t>of the Corporation’s assets. The Board determined that such an opportunity could be in the best interests of the Corporation and its Shareholders and, consequently, that it should consider the option</w:t>
      </w:r>
      <w:r w:rsidR="00185DDB" w:rsidRPr="0008720A">
        <w:rPr>
          <w:spacing w:val="-2"/>
        </w:rPr>
        <w:t>.</w:t>
      </w:r>
      <w:r w:rsidRPr="00243097">
        <w:rPr>
          <w:rStyle w:val="FootnoteReference"/>
        </w:rPr>
        <w:footnoteReference w:id="18"/>
      </w:r>
    </w:p>
    <w:p w14:paraId="1642B1E8" w14:textId="77777777" w:rsidR="00804D33" w:rsidRPr="000A643A" w:rsidRDefault="00804D33" w:rsidP="00FB734A">
      <w:pPr>
        <w:pStyle w:val="BodyTextMain"/>
      </w:pPr>
    </w:p>
    <w:p w14:paraId="0DA25E52" w14:textId="5E241858" w:rsidR="004B6869" w:rsidRPr="000A643A" w:rsidRDefault="004B6869" w:rsidP="00FB734A">
      <w:pPr>
        <w:pStyle w:val="BodyTextMain"/>
        <w:rPr>
          <w:spacing w:val="-2"/>
        </w:rPr>
      </w:pPr>
      <w:r w:rsidRPr="000A643A">
        <w:rPr>
          <w:spacing w:val="-2"/>
        </w:rPr>
        <w:t xml:space="preserve">In the first quarter of 2015, oil prices had fallen from </w:t>
      </w:r>
      <w:r w:rsidR="00185DDB">
        <w:rPr>
          <w:spacing w:val="-2"/>
        </w:rPr>
        <w:t>more than</w:t>
      </w:r>
      <w:r w:rsidR="00185DDB" w:rsidRPr="000A643A">
        <w:rPr>
          <w:spacing w:val="-2"/>
        </w:rPr>
        <w:t xml:space="preserve"> </w:t>
      </w:r>
      <w:r w:rsidRPr="000A643A">
        <w:rPr>
          <w:spacing w:val="-2"/>
        </w:rPr>
        <w:t xml:space="preserve">US$100 a barrel to </w:t>
      </w:r>
      <w:r w:rsidR="00185DDB">
        <w:rPr>
          <w:spacing w:val="-2"/>
        </w:rPr>
        <w:t>less than</w:t>
      </w:r>
      <w:r w:rsidR="00185DDB" w:rsidRPr="000A643A">
        <w:rPr>
          <w:spacing w:val="-2"/>
        </w:rPr>
        <w:t xml:space="preserve"> </w:t>
      </w:r>
      <w:r w:rsidRPr="000A643A">
        <w:rPr>
          <w:spacing w:val="-2"/>
        </w:rPr>
        <w:t>US$50 (</w:t>
      </w:r>
      <w:r w:rsidR="00185DDB">
        <w:rPr>
          <w:spacing w:val="-2"/>
        </w:rPr>
        <w:t xml:space="preserve">see </w:t>
      </w:r>
      <w:r w:rsidRPr="000A643A">
        <w:rPr>
          <w:spacing w:val="-2"/>
        </w:rPr>
        <w:t>Exhibit 3)</w:t>
      </w:r>
      <w:r w:rsidR="00185DDB">
        <w:rPr>
          <w:spacing w:val="-2"/>
        </w:rPr>
        <w:t>;</w:t>
      </w:r>
      <w:r w:rsidRPr="000A643A">
        <w:rPr>
          <w:spacing w:val="-2"/>
        </w:rPr>
        <w:t xml:space="preserve"> however</w:t>
      </w:r>
      <w:r w:rsidR="00185DDB">
        <w:rPr>
          <w:spacing w:val="-2"/>
        </w:rPr>
        <w:t>,</w:t>
      </w:r>
      <w:r w:rsidRPr="000A643A">
        <w:rPr>
          <w:spacing w:val="-2"/>
        </w:rPr>
        <w:t xml:space="preserve"> </w:t>
      </w:r>
      <w:proofErr w:type="spellStart"/>
      <w:r w:rsidRPr="000A643A">
        <w:rPr>
          <w:spacing w:val="-2"/>
        </w:rPr>
        <w:t>SpruceLand</w:t>
      </w:r>
      <w:proofErr w:type="spellEnd"/>
      <w:r w:rsidRPr="000A643A">
        <w:rPr>
          <w:spacing w:val="-2"/>
        </w:rPr>
        <w:t xml:space="preserve"> was conservatively positioned. The </w:t>
      </w:r>
      <w:r w:rsidR="00185DDB">
        <w:rPr>
          <w:spacing w:val="-2"/>
        </w:rPr>
        <w:t>b</w:t>
      </w:r>
      <w:r w:rsidRPr="000A643A">
        <w:rPr>
          <w:spacing w:val="-2"/>
        </w:rPr>
        <w:t xml:space="preserve">oard knew that the extremely good conditions that </w:t>
      </w:r>
      <w:proofErr w:type="spellStart"/>
      <w:r w:rsidRPr="000A643A">
        <w:rPr>
          <w:spacing w:val="-2"/>
        </w:rPr>
        <w:t>SpruceLand</w:t>
      </w:r>
      <w:proofErr w:type="spellEnd"/>
      <w:r w:rsidRPr="000A643A">
        <w:rPr>
          <w:spacing w:val="-2"/>
        </w:rPr>
        <w:t xml:space="preserve"> had enjoyed for many years </w:t>
      </w:r>
      <w:r w:rsidR="00185DDB">
        <w:rPr>
          <w:spacing w:val="-2"/>
        </w:rPr>
        <w:t>would</w:t>
      </w:r>
      <w:r w:rsidR="00185DDB" w:rsidRPr="000A643A">
        <w:rPr>
          <w:spacing w:val="-2"/>
        </w:rPr>
        <w:t xml:space="preserve"> </w:t>
      </w:r>
      <w:r w:rsidRPr="000A643A">
        <w:rPr>
          <w:spacing w:val="-2"/>
        </w:rPr>
        <w:t xml:space="preserve">not </w:t>
      </w:r>
      <w:r w:rsidR="00185DDB">
        <w:rPr>
          <w:spacing w:val="-2"/>
        </w:rPr>
        <w:t>continue</w:t>
      </w:r>
      <w:r w:rsidRPr="000A643A">
        <w:rPr>
          <w:spacing w:val="-2"/>
        </w:rPr>
        <w:t xml:space="preserve"> forever, so it had been pursuing a strategic position that involved building up a significant (for the size of </w:t>
      </w:r>
      <w:proofErr w:type="spellStart"/>
      <w:r w:rsidRPr="000A643A">
        <w:rPr>
          <w:spacing w:val="-2"/>
        </w:rPr>
        <w:t>SpruceLand</w:t>
      </w:r>
      <w:proofErr w:type="spellEnd"/>
      <w:r w:rsidRPr="000A643A">
        <w:rPr>
          <w:spacing w:val="-2"/>
        </w:rPr>
        <w:t xml:space="preserve">) cash reserve (see Exhibit 2). The cash reserve gave </w:t>
      </w:r>
      <w:proofErr w:type="spellStart"/>
      <w:r w:rsidRPr="000A643A">
        <w:rPr>
          <w:spacing w:val="-2"/>
        </w:rPr>
        <w:t>SpruceLand</w:t>
      </w:r>
      <w:proofErr w:type="spellEnd"/>
      <w:r w:rsidRPr="000A643A">
        <w:rPr>
          <w:spacing w:val="-2"/>
        </w:rPr>
        <w:t xml:space="preserve"> flexibility and protection in the event of a market event</w:t>
      </w:r>
      <w:r w:rsidR="00075BDC">
        <w:rPr>
          <w:spacing w:val="-2"/>
        </w:rPr>
        <w:t>,</w:t>
      </w:r>
      <w:r w:rsidRPr="000A643A">
        <w:rPr>
          <w:spacing w:val="-2"/>
        </w:rPr>
        <w:t xml:space="preserve"> </w:t>
      </w:r>
      <w:r w:rsidR="00185DDB">
        <w:rPr>
          <w:spacing w:val="-2"/>
        </w:rPr>
        <w:t xml:space="preserve">such </w:t>
      </w:r>
      <w:r w:rsidR="00185DDB">
        <w:rPr>
          <w:spacing w:val="-2"/>
        </w:rPr>
        <w:lastRenderedPageBreak/>
        <w:t>as</w:t>
      </w:r>
      <w:r w:rsidR="00185DDB" w:rsidRPr="000A643A">
        <w:rPr>
          <w:spacing w:val="-2"/>
        </w:rPr>
        <w:t xml:space="preserve"> </w:t>
      </w:r>
      <w:r w:rsidRPr="000A643A">
        <w:rPr>
          <w:spacing w:val="-2"/>
        </w:rPr>
        <w:t>oil prices plummeting</w:t>
      </w:r>
      <w:r w:rsidR="00075BDC">
        <w:rPr>
          <w:spacing w:val="-2"/>
        </w:rPr>
        <w:t>,</w:t>
      </w:r>
      <w:r w:rsidRPr="000A643A">
        <w:rPr>
          <w:spacing w:val="-2"/>
        </w:rPr>
        <w:t xml:space="preserve"> </w:t>
      </w:r>
      <w:r w:rsidR="00185DDB">
        <w:rPr>
          <w:spacing w:val="-2"/>
        </w:rPr>
        <w:t xml:space="preserve">and </w:t>
      </w:r>
      <w:r w:rsidRPr="000A643A">
        <w:rPr>
          <w:spacing w:val="-2"/>
        </w:rPr>
        <w:t xml:space="preserve">an opportunity to take advantage of good buys when others needed to sell. The </w:t>
      </w:r>
      <w:r w:rsidR="00185DDB">
        <w:rPr>
          <w:spacing w:val="-2"/>
        </w:rPr>
        <w:t>b</w:t>
      </w:r>
      <w:r w:rsidRPr="000A643A">
        <w:rPr>
          <w:spacing w:val="-2"/>
        </w:rPr>
        <w:t xml:space="preserve">oard was confident that </w:t>
      </w:r>
      <w:proofErr w:type="spellStart"/>
      <w:r w:rsidRPr="000A643A">
        <w:rPr>
          <w:spacing w:val="-2"/>
        </w:rPr>
        <w:t>Spruce</w:t>
      </w:r>
      <w:r w:rsidR="00804D33" w:rsidRPr="000A643A">
        <w:rPr>
          <w:spacing w:val="-2"/>
        </w:rPr>
        <w:t>Land</w:t>
      </w:r>
      <w:proofErr w:type="spellEnd"/>
      <w:r w:rsidR="00804D33" w:rsidRPr="000A643A">
        <w:rPr>
          <w:spacing w:val="-2"/>
        </w:rPr>
        <w:t xml:space="preserve"> was very well positioned.</w:t>
      </w:r>
    </w:p>
    <w:p w14:paraId="4C727FC7" w14:textId="77777777" w:rsidR="00804D33" w:rsidRPr="000A643A" w:rsidRDefault="00804D33" w:rsidP="00FB734A">
      <w:pPr>
        <w:pStyle w:val="BodyTextMain"/>
      </w:pPr>
    </w:p>
    <w:p w14:paraId="1FA3276E" w14:textId="375D089F" w:rsidR="00804D33" w:rsidRPr="000A643A" w:rsidRDefault="00804D33" w:rsidP="00FB734A">
      <w:pPr>
        <w:pStyle w:val="BodyTextMain"/>
      </w:pPr>
    </w:p>
    <w:p w14:paraId="29092118" w14:textId="77777777" w:rsidR="004B6869" w:rsidRPr="000A643A" w:rsidRDefault="004B6869" w:rsidP="00804D33">
      <w:pPr>
        <w:pStyle w:val="Casehead1"/>
      </w:pPr>
      <w:r w:rsidRPr="000A643A">
        <w:t>WINDING UP?</w:t>
      </w:r>
    </w:p>
    <w:p w14:paraId="512C5C4F" w14:textId="77777777" w:rsidR="00804D33" w:rsidRPr="000A643A" w:rsidRDefault="00804D33" w:rsidP="00FB734A">
      <w:pPr>
        <w:pStyle w:val="BodyTextMain"/>
      </w:pPr>
    </w:p>
    <w:p w14:paraId="5E475D20" w14:textId="20B96F30" w:rsidR="004B6869" w:rsidRPr="000A643A" w:rsidRDefault="004B6869" w:rsidP="00FB734A">
      <w:pPr>
        <w:pStyle w:val="BodyTextMain"/>
      </w:pPr>
      <w:r w:rsidRPr="000A643A">
        <w:t xml:space="preserve">The company was in good shape, but the gap between asset value and market value was a problem, especially as more </w:t>
      </w:r>
      <w:r w:rsidR="00EA0201">
        <w:t xml:space="preserve">of the </w:t>
      </w:r>
      <w:r w:rsidRPr="000A643A">
        <w:t>original investors were starting to focus on estate planning. Why were investors trading the shares at such a low price relative to the property values?</w:t>
      </w:r>
      <w:r w:rsidRPr="00243097">
        <w:rPr>
          <w:rStyle w:val="FootnoteReference"/>
        </w:rPr>
        <w:footnoteReference w:id="19"/>
      </w:r>
      <w:r w:rsidRPr="000A643A">
        <w:t xml:space="preserve"> Meanwhile, </w:t>
      </w:r>
      <w:r w:rsidR="00C35078">
        <w:t xml:space="preserve">each year, </w:t>
      </w:r>
      <w:r w:rsidRPr="000A643A">
        <w:t xml:space="preserve">the company </w:t>
      </w:r>
      <w:r w:rsidR="00EA0201" w:rsidRPr="000A643A">
        <w:t>issu</w:t>
      </w:r>
      <w:r w:rsidR="00EA0201">
        <w:t>ed</w:t>
      </w:r>
      <w:r w:rsidR="00EA0201" w:rsidRPr="000A643A">
        <w:t xml:space="preserve"> </w:t>
      </w:r>
      <w:r w:rsidRPr="000A643A">
        <w:t xml:space="preserve">shares at the low valuation as part of a </w:t>
      </w:r>
      <w:r w:rsidR="00C35078">
        <w:t>d</w:t>
      </w:r>
      <w:r w:rsidRPr="000A643A">
        <w:t xml:space="preserve">ividend </w:t>
      </w:r>
      <w:r w:rsidR="00C35078">
        <w:t>r</w:t>
      </w:r>
      <w:r w:rsidRPr="000A643A">
        <w:t xml:space="preserve">einvestment </w:t>
      </w:r>
      <w:r w:rsidR="00C35078">
        <w:t>p</w:t>
      </w:r>
      <w:r w:rsidRPr="000A643A">
        <w:t>rogram (DRIP) (see Exhibit 4).</w:t>
      </w:r>
      <w:r w:rsidRPr="00243097">
        <w:rPr>
          <w:rStyle w:val="FootnoteReference"/>
        </w:rPr>
        <w:footnoteReference w:id="20"/>
      </w:r>
      <w:r w:rsidR="000A643A" w:rsidRPr="000A643A">
        <w:t xml:space="preserve"> </w:t>
      </w:r>
    </w:p>
    <w:p w14:paraId="2DDE2921" w14:textId="77777777" w:rsidR="00804D33" w:rsidRPr="000A643A" w:rsidRDefault="00804D33" w:rsidP="00FB734A">
      <w:pPr>
        <w:pStyle w:val="BodyTextMain"/>
      </w:pPr>
    </w:p>
    <w:p w14:paraId="72CC726F" w14:textId="3997315D" w:rsidR="004B6869" w:rsidRPr="005870D0" w:rsidRDefault="0024144D" w:rsidP="00FB734A">
      <w:pPr>
        <w:pStyle w:val="BodyTextMain"/>
        <w:rPr>
          <w:spacing w:val="-2"/>
        </w:rPr>
      </w:pPr>
      <w:proofErr w:type="spellStart"/>
      <w:r w:rsidRPr="005870D0">
        <w:rPr>
          <w:spacing w:val="-2"/>
        </w:rPr>
        <w:t>Cribb</w:t>
      </w:r>
      <w:proofErr w:type="spellEnd"/>
      <w:r w:rsidRPr="005870D0">
        <w:rPr>
          <w:spacing w:val="-2"/>
        </w:rPr>
        <w:t xml:space="preserve"> and the board </w:t>
      </w:r>
      <w:r w:rsidR="00EA0201" w:rsidRPr="005870D0">
        <w:rPr>
          <w:spacing w:val="-2"/>
        </w:rPr>
        <w:t>disliked</w:t>
      </w:r>
      <w:r w:rsidRPr="005870D0">
        <w:rPr>
          <w:spacing w:val="-2"/>
        </w:rPr>
        <w:t xml:space="preserve"> that </w:t>
      </w:r>
      <w:r w:rsidR="004B6869" w:rsidRPr="005870D0">
        <w:rPr>
          <w:spacing w:val="-2"/>
        </w:rPr>
        <w:t>long</w:t>
      </w:r>
      <w:r w:rsidRPr="005870D0">
        <w:rPr>
          <w:spacing w:val="-2"/>
        </w:rPr>
        <w:t>-</w:t>
      </w:r>
      <w:r w:rsidR="004B6869" w:rsidRPr="005870D0">
        <w:rPr>
          <w:spacing w:val="-2"/>
        </w:rPr>
        <w:t xml:space="preserve">time shareholders who wanted to sell their holdings </w:t>
      </w:r>
      <w:r w:rsidRPr="005870D0">
        <w:rPr>
          <w:spacing w:val="-2"/>
        </w:rPr>
        <w:t xml:space="preserve">had </w:t>
      </w:r>
      <w:r w:rsidR="004B6869" w:rsidRPr="005870D0">
        <w:rPr>
          <w:spacing w:val="-2"/>
        </w:rPr>
        <w:t xml:space="preserve">to accept less than full value for their shares. </w:t>
      </w:r>
      <w:proofErr w:type="spellStart"/>
      <w:r w:rsidR="004B6869" w:rsidRPr="005870D0">
        <w:rPr>
          <w:spacing w:val="-2"/>
        </w:rPr>
        <w:t>Victoor</w:t>
      </w:r>
      <w:proofErr w:type="spellEnd"/>
      <w:r w:rsidR="004B6869" w:rsidRPr="005870D0">
        <w:rPr>
          <w:spacing w:val="-2"/>
        </w:rPr>
        <w:t xml:space="preserve">, who was still on </w:t>
      </w:r>
      <w:r w:rsidR="00075BDC" w:rsidRPr="005870D0">
        <w:rPr>
          <w:spacing w:val="-2"/>
        </w:rPr>
        <w:t xml:space="preserve">the </w:t>
      </w:r>
      <w:r w:rsidR="004B6869" w:rsidRPr="005870D0">
        <w:rPr>
          <w:spacing w:val="-2"/>
        </w:rPr>
        <w:t xml:space="preserve">board, described a market </w:t>
      </w:r>
      <w:r w:rsidRPr="005870D0">
        <w:rPr>
          <w:spacing w:val="-2"/>
        </w:rPr>
        <w:t xml:space="preserve">that was </w:t>
      </w:r>
      <w:r w:rsidR="004B6869" w:rsidRPr="005870D0">
        <w:rPr>
          <w:spacing w:val="-2"/>
        </w:rPr>
        <w:t>favo</w:t>
      </w:r>
      <w:r w:rsidRPr="005870D0">
        <w:rPr>
          <w:spacing w:val="-2"/>
        </w:rPr>
        <w:t>u</w:t>
      </w:r>
      <w:r w:rsidR="004B6869" w:rsidRPr="005870D0">
        <w:rPr>
          <w:spacing w:val="-2"/>
        </w:rPr>
        <w:t xml:space="preserve">rable for action: </w:t>
      </w:r>
      <w:r w:rsidRPr="005870D0">
        <w:rPr>
          <w:spacing w:val="-2"/>
        </w:rPr>
        <w:t>i</w:t>
      </w:r>
      <w:r w:rsidR="004B6869" w:rsidRPr="005870D0">
        <w:rPr>
          <w:spacing w:val="-2"/>
        </w:rPr>
        <w:t xml:space="preserve">nterest rates were </w:t>
      </w:r>
      <w:r w:rsidR="00EA0201" w:rsidRPr="005870D0">
        <w:rPr>
          <w:spacing w:val="-2"/>
        </w:rPr>
        <w:t>dropping</w:t>
      </w:r>
      <w:r w:rsidR="004B6869" w:rsidRPr="005870D0">
        <w:rPr>
          <w:spacing w:val="-2"/>
        </w:rPr>
        <w:t xml:space="preserve">, capitalization rates were down, and appraisals were up. Financially, winding up the company by selling the properties seemed </w:t>
      </w:r>
      <w:r w:rsidRPr="005870D0">
        <w:rPr>
          <w:spacing w:val="-2"/>
        </w:rPr>
        <w:t xml:space="preserve">to be </w:t>
      </w:r>
      <w:r w:rsidR="004B6869" w:rsidRPr="005870D0">
        <w:rPr>
          <w:spacing w:val="-2"/>
        </w:rPr>
        <w:t>a straightforward way to realize the full value per share</w:t>
      </w:r>
      <w:r w:rsidRPr="005870D0">
        <w:rPr>
          <w:spacing w:val="-2"/>
        </w:rPr>
        <w:t>,</w:t>
      </w:r>
      <w:r w:rsidR="004B6869" w:rsidRPr="005870D0">
        <w:rPr>
          <w:spacing w:val="-2"/>
        </w:rPr>
        <w:t xml:space="preserve"> </w:t>
      </w:r>
      <w:r w:rsidRPr="005870D0">
        <w:rPr>
          <w:spacing w:val="-2"/>
        </w:rPr>
        <w:t xml:space="preserve">provided the company </w:t>
      </w:r>
      <w:r w:rsidR="004B6869" w:rsidRPr="005870D0">
        <w:rPr>
          <w:spacing w:val="-2"/>
        </w:rPr>
        <w:t>could pull it off. However, emotionally, it was more complicated.</w:t>
      </w:r>
      <w:r w:rsidR="000A643A" w:rsidRPr="005870D0">
        <w:rPr>
          <w:spacing w:val="-2"/>
        </w:rPr>
        <w:t xml:space="preserve"> </w:t>
      </w:r>
    </w:p>
    <w:p w14:paraId="3EDC9614" w14:textId="77777777" w:rsidR="00804D33" w:rsidRPr="000A643A" w:rsidRDefault="00804D33" w:rsidP="00FB734A">
      <w:pPr>
        <w:pStyle w:val="BodyTextMain"/>
      </w:pPr>
    </w:p>
    <w:p w14:paraId="284EF60D" w14:textId="7A5AD0AD" w:rsidR="004B6869" w:rsidRPr="000A643A" w:rsidRDefault="004B6869" w:rsidP="00FB734A">
      <w:pPr>
        <w:pStyle w:val="BodyTextMain"/>
      </w:pPr>
      <w:proofErr w:type="spellStart"/>
      <w:r w:rsidRPr="000A643A">
        <w:t>SpruceLand</w:t>
      </w:r>
      <w:proofErr w:type="spellEnd"/>
      <w:r w:rsidRPr="000A643A">
        <w:t xml:space="preserve"> had succeeded by keeping shareholders largely local</w:t>
      </w:r>
      <w:r w:rsidR="0024144D">
        <w:t>,</w:t>
      </w:r>
      <w:r w:rsidRPr="000A643A">
        <w:t xml:space="preserve"> with 75</w:t>
      </w:r>
      <w:r w:rsidR="0024144D">
        <w:t xml:space="preserve"> per cent</w:t>
      </w:r>
      <w:r w:rsidRPr="000A643A">
        <w:t xml:space="preserve"> of roughly 300 shareholders located in the Slave Lake </w:t>
      </w:r>
      <w:r w:rsidR="0024144D">
        <w:t>r</w:t>
      </w:r>
      <w:r w:rsidRPr="000A643A">
        <w:t xml:space="preserve">egion. </w:t>
      </w:r>
      <w:r w:rsidR="00EA0201">
        <w:t xml:space="preserve">Over the company’s almost 50 years in the Slave Lake community, it had made a positive impact throughout the region: </w:t>
      </w:r>
      <w:r w:rsidRPr="000A643A">
        <w:t xml:space="preserve">$11 million had been distributed to shareholders as dividends, </w:t>
      </w:r>
      <w:r w:rsidR="00EA0201">
        <w:t xml:space="preserve">and </w:t>
      </w:r>
      <w:r w:rsidRPr="000A643A">
        <w:t xml:space="preserve">economic activity </w:t>
      </w:r>
      <w:r w:rsidR="00EA0201">
        <w:t>had been</w:t>
      </w:r>
      <w:r w:rsidRPr="000A643A">
        <w:t xml:space="preserve"> created through employee payrolls and company purchases made in the community. </w:t>
      </w:r>
      <w:proofErr w:type="spellStart"/>
      <w:r w:rsidR="0024144D">
        <w:t>SpruceLand</w:t>
      </w:r>
      <w:proofErr w:type="spellEnd"/>
      <w:r w:rsidR="0024144D">
        <w:t xml:space="preserve"> </w:t>
      </w:r>
      <w:r w:rsidR="00EA0201">
        <w:t xml:space="preserve">had </w:t>
      </w:r>
      <w:r w:rsidRPr="000A643A">
        <w:t xml:space="preserve">enabled locals to participate in a venture and to be a part of the development of the region. </w:t>
      </w:r>
      <w:proofErr w:type="spellStart"/>
      <w:r w:rsidRPr="000A643A">
        <w:t>Victoor</w:t>
      </w:r>
      <w:proofErr w:type="spellEnd"/>
      <w:r w:rsidRPr="000A643A">
        <w:t xml:space="preserve"> recalled a deeply invested working board and employees who could buy shares and feel like they were working for themselves. The</w:t>
      </w:r>
      <w:r w:rsidR="0024144D">
        <w:t xml:space="preserve"> company</w:t>
      </w:r>
      <w:r w:rsidRPr="000A643A">
        <w:t xml:space="preserve"> had </w:t>
      </w:r>
      <w:r w:rsidR="0024144D">
        <w:t>progressed</w:t>
      </w:r>
      <w:r w:rsidR="0024144D" w:rsidRPr="000A643A">
        <w:t xml:space="preserve"> </w:t>
      </w:r>
      <w:r w:rsidRPr="000A643A">
        <w:t xml:space="preserve">from a single project to </w:t>
      </w:r>
      <w:r w:rsidR="00AD588D">
        <w:t xml:space="preserve">having </w:t>
      </w:r>
      <w:r w:rsidRPr="000A643A">
        <w:t xml:space="preserve">a $120-million diversified real estate portfolio, and </w:t>
      </w:r>
      <w:r w:rsidR="00EA0201">
        <w:t>in doing so</w:t>
      </w:r>
      <w:r w:rsidR="00B111D4">
        <w:t>,</w:t>
      </w:r>
      <w:r w:rsidR="00EA0201">
        <w:t xml:space="preserve"> </w:t>
      </w:r>
      <w:r w:rsidR="00AD588D">
        <w:t xml:space="preserve">the company </w:t>
      </w:r>
      <w:r w:rsidR="0024144D">
        <w:t xml:space="preserve">had </w:t>
      </w:r>
      <w:r w:rsidRPr="000A643A">
        <w:t xml:space="preserve">enriched </w:t>
      </w:r>
      <w:r w:rsidR="0024144D">
        <w:t xml:space="preserve">people’s </w:t>
      </w:r>
      <w:r w:rsidRPr="000A643A">
        <w:t xml:space="preserve">lives both financially and socially. </w:t>
      </w:r>
    </w:p>
    <w:p w14:paraId="2F7654DC" w14:textId="77777777" w:rsidR="00804D33" w:rsidRPr="000A643A" w:rsidRDefault="00804D33" w:rsidP="00FB734A">
      <w:pPr>
        <w:pStyle w:val="BodyTextMain"/>
      </w:pPr>
    </w:p>
    <w:p w14:paraId="78420F96" w14:textId="6F205845" w:rsidR="004B6869" w:rsidRPr="000A643A" w:rsidRDefault="004B6869" w:rsidP="00FB734A">
      <w:pPr>
        <w:pStyle w:val="BodyTextMain"/>
      </w:pPr>
      <w:r w:rsidRPr="000A643A">
        <w:t>With the Alberta economy reeling from the freefall of oil prices</w:t>
      </w:r>
      <w:r w:rsidR="0024144D">
        <w:t>,</w:t>
      </w:r>
      <w:r w:rsidRPr="000A643A">
        <w:t xml:space="preserve"> the clock was ticking. </w:t>
      </w:r>
      <w:proofErr w:type="spellStart"/>
      <w:r w:rsidRPr="000A643A">
        <w:t>Cribb</w:t>
      </w:r>
      <w:proofErr w:type="spellEnd"/>
      <w:r w:rsidRPr="000A643A">
        <w:t xml:space="preserve"> and the </w:t>
      </w:r>
      <w:r w:rsidR="0024144D">
        <w:t>b</w:t>
      </w:r>
      <w:r w:rsidRPr="000A643A">
        <w:t xml:space="preserve">oard knew they </w:t>
      </w:r>
      <w:r w:rsidR="0024144D">
        <w:t>needed</w:t>
      </w:r>
      <w:r w:rsidR="0024144D" w:rsidRPr="000A643A">
        <w:t xml:space="preserve"> </w:t>
      </w:r>
      <w:r w:rsidRPr="000A643A">
        <w:t xml:space="preserve">to act to get surface value for shareholders. Should they dismantle Slave Lake’s innovative social enterprise success story, use the company’s conservative positioning to take advantage of </w:t>
      </w:r>
      <w:r w:rsidR="00B249BA">
        <w:t xml:space="preserve">a </w:t>
      </w:r>
      <w:r w:rsidRPr="000A643A">
        <w:t xml:space="preserve">market opportunity, or restructure completely? What should the </w:t>
      </w:r>
      <w:r w:rsidR="0024144D">
        <w:t>b</w:t>
      </w:r>
      <w:r w:rsidRPr="000A643A">
        <w:t>oard do?</w:t>
      </w:r>
    </w:p>
    <w:p w14:paraId="7C7D7A58" w14:textId="6D7ED641" w:rsidR="005870D0" w:rsidRDefault="005870D0" w:rsidP="005870D0">
      <w:pPr>
        <w:pStyle w:val="BodyTextMain"/>
      </w:pPr>
    </w:p>
    <w:p w14:paraId="154C82B4" w14:textId="46E73831" w:rsidR="005870D0" w:rsidRDefault="005870D0" w:rsidP="005870D0">
      <w:pPr>
        <w:pStyle w:val="BodyTextMain"/>
      </w:pPr>
      <w:r>
        <w:rPr>
          <w:noProof/>
          <w:lang w:val="en-CA" w:eastAsia="en-CA"/>
        </w:rPr>
        <mc:AlternateContent>
          <mc:Choice Requires="wps">
            <w:drawing>
              <wp:anchor distT="45720" distB="45720" distL="114300" distR="114300" simplePos="0" relativeHeight="251659264" behindDoc="0" locked="0" layoutInCell="1" allowOverlap="1" wp14:anchorId="537C2A5B" wp14:editId="0D52197B">
                <wp:simplePos x="0" y="0"/>
                <wp:positionH relativeFrom="margin">
                  <wp:posOffset>730774</wp:posOffset>
                </wp:positionH>
                <wp:positionV relativeFrom="paragraph">
                  <wp:posOffset>19353</wp:posOffset>
                </wp:positionV>
                <wp:extent cx="4342130" cy="1404620"/>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130" cy="1404620"/>
                        </a:xfrm>
                        <a:prstGeom prst="rect">
                          <a:avLst/>
                        </a:prstGeom>
                        <a:solidFill>
                          <a:srgbClr val="FFFFFF"/>
                        </a:solidFill>
                        <a:ln w="9525">
                          <a:solidFill>
                            <a:srgbClr val="000000"/>
                          </a:solidFill>
                          <a:miter lim="800000"/>
                          <a:headEnd/>
                          <a:tailEnd/>
                        </a:ln>
                      </wps:spPr>
                      <wps:txbx>
                        <w:txbxContent>
                          <w:p w14:paraId="3DA3D541" w14:textId="49F661DB" w:rsidR="00CF3A74" w:rsidRDefault="00CF3A74" w:rsidP="005870D0">
                            <w:pPr>
                              <w:pStyle w:val="Footnote"/>
                            </w:pPr>
                            <w:r>
                              <w:t xml:space="preserve">The research for this case was made possible through the generous support of the </w:t>
                            </w:r>
                            <w:proofErr w:type="spellStart"/>
                            <w:r>
                              <w:t>Westman</w:t>
                            </w:r>
                            <w:proofErr w:type="spellEnd"/>
                            <w:r>
                              <w:t xml:space="preserve"> Centre for Real Estate, Haskayne School of Business, </w:t>
                            </w:r>
                            <w:proofErr w:type="gramStart"/>
                            <w:r>
                              <w:t>University</w:t>
                            </w:r>
                            <w:proofErr w:type="gramEnd"/>
                            <w:r>
                              <w:t xml:space="preserve"> of Calgary.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7C2A5B" id="_x0000_t202" coordsize="21600,21600" o:spt="202" path="m,l,21600r21600,l21600,xe">
                <v:stroke joinstyle="miter"/>
                <v:path gradientshapeok="t" o:connecttype="rect"/>
              </v:shapetype>
              <v:shape id="Text Box 2" o:spid="_x0000_s1026" type="#_x0000_t202" style="position:absolute;left:0;text-align:left;margin-left:57.55pt;margin-top:1.5pt;width:341.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">
                <v:textbox style="mso-fit-shape-to-text:t">
                  <w:txbxContent>
                    <w:p w14:paraId="3DA3D541" w14:textId="49F661DB" w:rsidR="00CF3A74" w:rsidRDefault="00CF3A74" w:rsidP="005870D0">
                      <w:pPr>
                        <w:pStyle w:val="Footnote"/>
                      </w:pPr>
                      <w:r>
                        <w:t xml:space="preserve">The research for this case was made possible through the generous support of the </w:t>
                      </w:r>
                      <w:proofErr w:type="spellStart"/>
                      <w:r>
                        <w:t>Westman</w:t>
                      </w:r>
                      <w:proofErr w:type="spellEnd"/>
                      <w:r>
                        <w:t xml:space="preserve"> Centre for Real Estate, Haskayne School of Business, </w:t>
                      </w:r>
                      <w:proofErr w:type="gramStart"/>
                      <w:r>
                        <w:t>University</w:t>
                      </w:r>
                      <w:proofErr w:type="gramEnd"/>
                      <w:r>
                        <w:t xml:space="preserve"> of Calgary.</w:t>
                      </w:r>
                    </w:p>
                  </w:txbxContent>
                </v:textbox>
                <w10:wrap type="square" anchorx="margin"/>
              </v:shape>
            </w:pict>
          </mc:Fallback>
        </mc:AlternateContent>
      </w:r>
    </w:p>
    <w:p w14:paraId="306D0C61" w14:textId="51B6F5CC" w:rsidR="004B6869" w:rsidRPr="000A643A" w:rsidRDefault="004B6869">
      <w:pPr>
        <w:spacing w:after="200" w:line="276" w:lineRule="auto"/>
        <w:rPr>
          <w:sz w:val="22"/>
          <w:szCs w:val="22"/>
        </w:rPr>
      </w:pPr>
      <w:r w:rsidRPr="000A643A">
        <w:br w:type="page"/>
      </w:r>
    </w:p>
    <w:p w14:paraId="57B97F6A" w14:textId="77777777" w:rsidR="004B6869" w:rsidRPr="000A643A" w:rsidRDefault="004B6869" w:rsidP="004B6869">
      <w:pPr>
        <w:jc w:val="center"/>
        <w:rPr>
          <w:rFonts w:ascii="Arial" w:hAnsi="Arial" w:cs="Arial"/>
          <w:b/>
        </w:rPr>
      </w:pPr>
      <w:r w:rsidRPr="000A643A">
        <w:rPr>
          <w:rFonts w:ascii="Arial" w:hAnsi="Arial" w:cs="Arial"/>
          <w:b/>
        </w:rPr>
        <w:lastRenderedPageBreak/>
        <w:t>EXHIBIT 1: MAP OF NORTHERN ALBERTA</w:t>
      </w:r>
    </w:p>
    <w:p w14:paraId="4CE2CA9E" w14:textId="77777777" w:rsidR="004B6869" w:rsidRPr="000A643A" w:rsidRDefault="004B6869" w:rsidP="002944BA">
      <w:pPr>
        <w:pStyle w:val="ExhibitText"/>
      </w:pPr>
    </w:p>
    <w:p w14:paraId="0BA7BEDB" w14:textId="0EC13FC8" w:rsidR="004B6869" w:rsidRPr="000A643A" w:rsidRDefault="004B6869" w:rsidP="002944BA">
      <w:pPr>
        <w:pStyle w:val="ExhibitText"/>
        <w:jc w:val="center"/>
        <w:rPr>
          <w:color w:val="000000" w:themeColor="text1"/>
        </w:rPr>
      </w:pPr>
      <w:r w:rsidRPr="000A643A">
        <w:rPr>
          <w:noProof/>
          <w:lang w:val="en-CA" w:eastAsia="en-CA"/>
        </w:rPr>
        <w:drawing>
          <wp:inline distT="0" distB="0" distL="0" distR="0" wp14:anchorId="7D947B53" wp14:editId="0C081A4E">
            <wp:extent cx="5509817" cy="6946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nille_2_jpeg.jpg"/>
                    <pic:cNvPicPr/>
                  </pic:nvPicPr>
                  <pic:blipFill rotWithShape="1">
                    <a:blip r:embed="rId12" cstate="print">
                      <a:extLst>
                        <a:ext uri="{28A0092B-C50C-407E-A947-70E740481C1C}">
                          <a14:useLocalDpi xmlns:a14="http://schemas.microsoft.com/office/drawing/2010/main" val="0"/>
                        </a:ext>
                      </a:extLst>
                    </a:blip>
                    <a:srcRect l="144" t="682"/>
                    <a:stretch/>
                  </pic:blipFill>
                  <pic:spPr bwMode="auto">
                    <a:xfrm>
                      <a:off x="0" y="0"/>
                      <a:ext cx="5511223" cy="6948673"/>
                    </a:xfrm>
                    <a:prstGeom prst="rect">
                      <a:avLst/>
                    </a:prstGeom>
                    <a:ln>
                      <a:noFill/>
                    </a:ln>
                    <a:extLst>
                      <a:ext uri="{53640926-AAD7-44D8-BBD7-CCE9431645EC}">
                        <a14:shadowObscured xmlns:a14="http://schemas.microsoft.com/office/drawing/2010/main"/>
                      </a:ext>
                    </a:extLst>
                  </pic:spPr>
                </pic:pic>
              </a:graphicData>
            </a:graphic>
          </wp:inline>
        </w:drawing>
      </w:r>
    </w:p>
    <w:p w14:paraId="45AD4111" w14:textId="77777777" w:rsidR="004B6869" w:rsidRPr="000A643A" w:rsidRDefault="004B6869" w:rsidP="002944BA">
      <w:pPr>
        <w:pStyle w:val="ExhibitText"/>
      </w:pPr>
    </w:p>
    <w:p w14:paraId="4AE3870B" w14:textId="1528F2B3" w:rsidR="00773B25" w:rsidRDefault="00773B25" w:rsidP="004B6869">
      <w:pPr>
        <w:pStyle w:val="Footnote"/>
      </w:pPr>
      <w:r>
        <w:t>Note: km = kilometres</w:t>
      </w:r>
      <w:r w:rsidR="00AD588D">
        <w:t>.</w:t>
      </w:r>
    </w:p>
    <w:p w14:paraId="297C407C" w14:textId="0205B0E1" w:rsidR="004B6869" w:rsidRPr="000A643A" w:rsidRDefault="004B6869" w:rsidP="00773B25">
      <w:pPr>
        <w:pStyle w:val="Footnote"/>
        <w:rPr>
          <w:color w:val="000000" w:themeColor="text1"/>
          <w:sz w:val="16"/>
          <w:szCs w:val="16"/>
        </w:rPr>
      </w:pPr>
      <w:r w:rsidRPr="000A643A">
        <w:t xml:space="preserve">Source: Created by the authors with assistance from </w:t>
      </w:r>
      <w:proofErr w:type="spellStart"/>
      <w:r w:rsidRPr="000A643A">
        <w:t>Dr.</w:t>
      </w:r>
      <w:proofErr w:type="spellEnd"/>
      <w:r w:rsidRPr="000A643A">
        <w:t xml:space="preserve"> </w:t>
      </w:r>
      <w:proofErr w:type="spellStart"/>
      <w:r w:rsidRPr="000A643A">
        <w:t>Kwangyul</w:t>
      </w:r>
      <w:proofErr w:type="spellEnd"/>
      <w:r w:rsidRPr="000A643A">
        <w:t xml:space="preserve"> Choi, University of Calgary. </w:t>
      </w:r>
      <w:r w:rsidRPr="000A643A">
        <w:rPr>
          <w:color w:val="000000" w:themeColor="text1"/>
          <w:sz w:val="16"/>
          <w:szCs w:val="16"/>
        </w:rPr>
        <w:br w:type="page"/>
      </w:r>
    </w:p>
    <w:p w14:paraId="61C1E87C" w14:textId="77777777" w:rsidR="000304B9" w:rsidRDefault="004B6869" w:rsidP="004B6869">
      <w:pPr>
        <w:pStyle w:val="ExhibitHeading"/>
      </w:pPr>
      <w:r w:rsidRPr="000A643A">
        <w:lastRenderedPageBreak/>
        <w:t xml:space="preserve">Exhibit 2: Spruceland </w:t>
      </w:r>
      <w:r w:rsidR="00773B25">
        <w:t>properties inc.</w:t>
      </w:r>
    </w:p>
    <w:p w14:paraId="2C2F5DFC" w14:textId="4056DED2" w:rsidR="004B6869" w:rsidRPr="000A643A" w:rsidRDefault="00773B25" w:rsidP="004B6869">
      <w:pPr>
        <w:pStyle w:val="ExhibitHeading"/>
      </w:pPr>
      <w:r>
        <w:t xml:space="preserve">consolidated </w:t>
      </w:r>
      <w:r w:rsidR="004B6869" w:rsidRPr="000A643A">
        <w:t>financial statements</w:t>
      </w:r>
      <w:r>
        <w:t>, 2014–2015</w:t>
      </w:r>
      <w:r w:rsidR="000304B9">
        <w:t xml:space="preserve"> (in CA$)</w:t>
      </w:r>
    </w:p>
    <w:p w14:paraId="66A09BF5" w14:textId="77777777" w:rsidR="004B6869" w:rsidRPr="000A643A" w:rsidRDefault="004B6869" w:rsidP="002944BA">
      <w:pPr>
        <w:pStyle w:val="ExhibitText"/>
      </w:pPr>
    </w:p>
    <w:p w14:paraId="0EBBBD29" w14:textId="2841E768" w:rsidR="004B6869" w:rsidRDefault="004B6869" w:rsidP="004B6869">
      <w:pPr>
        <w:pStyle w:val="Casehead2"/>
      </w:pPr>
      <w:r w:rsidRPr="000A643A">
        <w:t>Consolidated Statements of Financial Position</w:t>
      </w:r>
    </w:p>
    <w:p w14:paraId="035759BA" w14:textId="77777777" w:rsidR="00BC311C" w:rsidRPr="000A643A" w:rsidRDefault="00BC311C" w:rsidP="002944BA">
      <w:pPr>
        <w:pStyle w:val="ExhibitText"/>
      </w:pPr>
    </w:p>
    <w:tbl>
      <w:tblPr>
        <w:tblW w:w="9360" w:type="dxa"/>
        <w:tblLook w:val="04A0" w:firstRow="1" w:lastRow="0" w:firstColumn="1" w:lastColumn="0" w:noHBand="0" w:noVBand="1"/>
      </w:tblPr>
      <w:tblGrid>
        <w:gridCol w:w="6123"/>
        <w:gridCol w:w="1707"/>
        <w:gridCol w:w="1530"/>
      </w:tblGrid>
      <w:tr w:rsidR="004B6869" w:rsidRPr="00BC311C" w14:paraId="160D2609" w14:textId="77777777" w:rsidTr="002944BA">
        <w:trPr>
          <w:trHeight w:val="300"/>
        </w:trPr>
        <w:tc>
          <w:tcPr>
            <w:tcW w:w="6123" w:type="dxa"/>
            <w:tcBorders>
              <w:top w:val="nil"/>
              <w:left w:val="nil"/>
              <w:bottom w:val="single" w:sz="12" w:space="0" w:color="auto"/>
              <w:right w:val="nil"/>
            </w:tcBorders>
            <w:shd w:val="clear" w:color="auto" w:fill="auto"/>
            <w:noWrap/>
            <w:vAlign w:val="center"/>
          </w:tcPr>
          <w:p w14:paraId="705DD64E" w14:textId="063E0700" w:rsidR="004B6869" w:rsidRPr="00BC311C" w:rsidRDefault="00637BB5" w:rsidP="002944BA">
            <w:pPr>
              <w:jc w:val="right"/>
              <w:rPr>
                <w:rFonts w:ascii="Arial" w:hAnsi="Arial" w:cs="Arial"/>
                <w:b/>
                <w:bCs/>
                <w:color w:val="000000"/>
              </w:rPr>
            </w:pPr>
            <w:r w:rsidRPr="00BC311C">
              <w:rPr>
                <w:rFonts w:ascii="Arial" w:hAnsi="Arial" w:cs="Arial"/>
                <w:b/>
                <w:bCs/>
                <w:color w:val="000000"/>
              </w:rPr>
              <w:t>as at June 30th</w:t>
            </w:r>
          </w:p>
        </w:tc>
        <w:tc>
          <w:tcPr>
            <w:tcW w:w="1707" w:type="dxa"/>
            <w:tcBorders>
              <w:top w:val="nil"/>
              <w:left w:val="nil"/>
              <w:bottom w:val="single" w:sz="12" w:space="0" w:color="auto"/>
              <w:right w:val="nil"/>
            </w:tcBorders>
            <w:shd w:val="clear" w:color="auto" w:fill="auto"/>
            <w:noWrap/>
            <w:vAlign w:val="center"/>
            <w:hideMark/>
          </w:tcPr>
          <w:p w14:paraId="5AF367DE" w14:textId="0BED0BD9" w:rsidR="004B6869" w:rsidRPr="00BC311C" w:rsidRDefault="004B6869" w:rsidP="002944BA">
            <w:pPr>
              <w:jc w:val="center"/>
              <w:rPr>
                <w:rFonts w:ascii="Arial" w:hAnsi="Arial" w:cs="Arial"/>
                <w:b/>
                <w:bCs/>
                <w:color w:val="000000"/>
              </w:rPr>
            </w:pPr>
            <w:r w:rsidRPr="00BC311C">
              <w:rPr>
                <w:rFonts w:ascii="Arial" w:hAnsi="Arial" w:cs="Arial"/>
                <w:b/>
                <w:bCs/>
                <w:color w:val="000000"/>
              </w:rPr>
              <w:t>2015</w:t>
            </w:r>
          </w:p>
        </w:tc>
        <w:tc>
          <w:tcPr>
            <w:tcW w:w="1530" w:type="dxa"/>
            <w:tcBorders>
              <w:top w:val="nil"/>
              <w:left w:val="nil"/>
              <w:bottom w:val="single" w:sz="12" w:space="0" w:color="auto"/>
              <w:right w:val="nil"/>
            </w:tcBorders>
            <w:shd w:val="clear" w:color="auto" w:fill="auto"/>
            <w:noWrap/>
            <w:vAlign w:val="center"/>
            <w:hideMark/>
          </w:tcPr>
          <w:p w14:paraId="4C1328B3" w14:textId="68756BC0" w:rsidR="004B6869" w:rsidRPr="00BC311C" w:rsidRDefault="004B6869" w:rsidP="002944BA">
            <w:pPr>
              <w:jc w:val="center"/>
              <w:rPr>
                <w:rFonts w:ascii="Arial" w:hAnsi="Arial" w:cs="Arial"/>
                <w:b/>
                <w:bCs/>
                <w:color w:val="000000"/>
              </w:rPr>
            </w:pPr>
            <w:r w:rsidRPr="00BC311C">
              <w:rPr>
                <w:rFonts w:ascii="Arial" w:hAnsi="Arial" w:cs="Arial"/>
                <w:b/>
                <w:bCs/>
                <w:color w:val="000000"/>
              </w:rPr>
              <w:t>2014</w:t>
            </w:r>
          </w:p>
        </w:tc>
      </w:tr>
      <w:tr w:rsidR="004B6869" w:rsidRPr="000A643A" w14:paraId="48352F0D" w14:textId="77777777" w:rsidTr="00BC311C">
        <w:trPr>
          <w:trHeight w:val="70"/>
        </w:trPr>
        <w:tc>
          <w:tcPr>
            <w:tcW w:w="6123" w:type="dxa"/>
            <w:tcBorders>
              <w:top w:val="single" w:sz="12" w:space="0" w:color="auto"/>
              <w:left w:val="nil"/>
              <w:bottom w:val="nil"/>
              <w:right w:val="nil"/>
            </w:tcBorders>
            <w:shd w:val="clear" w:color="auto" w:fill="auto"/>
            <w:noWrap/>
            <w:vAlign w:val="center"/>
          </w:tcPr>
          <w:p w14:paraId="1178D3EE" w14:textId="77777777" w:rsidR="004B6869" w:rsidRPr="000A643A" w:rsidRDefault="004B6869" w:rsidP="004B6869">
            <w:pPr>
              <w:rPr>
                <w:rFonts w:ascii="Arial" w:hAnsi="Arial" w:cs="Arial"/>
                <w:color w:val="000000"/>
              </w:rPr>
            </w:pPr>
          </w:p>
        </w:tc>
        <w:tc>
          <w:tcPr>
            <w:tcW w:w="1707" w:type="dxa"/>
            <w:tcBorders>
              <w:top w:val="single" w:sz="12" w:space="0" w:color="auto"/>
              <w:left w:val="nil"/>
              <w:bottom w:val="nil"/>
              <w:right w:val="nil"/>
            </w:tcBorders>
            <w:shd w:val="clear" w:color="auto" w:fill="auto"/>
            <w:noWrap/>
            <w:vAlign w:val="center"/>
            <w:hideMark/>
          </w:tcPr>
          <w:p w14:paraId="63670ED3" w14:textId="77777777" w:rsidR="004B6869" w:rsidRPr="000A643A" w:rsidRDefault="004B6869" w:rsidP="004B6869">
            <w:pPr>
              <w:rPr>
                <w:rFonts w:ascii="Arial" w:hAnsi="Arial" w:cs="Arial"/>
              </w:rPr>
            </w:pPr>
          </w:p>
        </w:tc>
        <w:tc>
          <w:tcPr>
            <w:tcW w:w="1530" w:type="dxa"/>
            <w:tcBorders>
              <w:top w:val="single" w:sz="12" w:space="0" w:color="auto"/>
              <w:left w:val="nil"/>
              <w:bottom w:val="nil"/>
              <w:right w:val="nil"/>
            </w:tcBorders>
            <w:shd w:val="clear" w:color="auto" w:fill="auto"/>
            <w:noWrap/>
            <w:vAlign w:val="center"/>
            <w:hideMark/>
          </w:tcPr>
          <w:p w14:paraId="2BBB36E1" w14:textId="77777777" w:rsidR="004B6869" w:rsidRPr="000A643A" w:rsidRDefault="004B6869" w:rsidP="004B6869">
            <w:pPr>
              <w:rPr>
                <w:rFonts w:ascii="Arial" w:hAnsi="Arial" w:cs="Arial"/>
              </w:rPr>
            </w:pPr>
          </w:p>
        </w:tc>
      </w:tr>
      <w:tr w:rsidR="004B6869" w:rsidRPr="000A643A" w14:paraId="3555DCAD" w14:textId="77777777" w:rsidTr="00BC311C">
        <w:trPr>
          <w:trHeight w:val="70"/>
        </w:trPr>
        <w:tc>
          <w:tcPr>
            <w:tcW w:w="6123" w:type="dxa"/>
            <w:tcBorders>
              <w:top w:val="nil"/>
              <w:left w:val="nil"/>
              <w:bottom w:val="nil"/>
              <w:right w:val="nil"/>
            </w:tcBorders>
            <w:shd w:val="clear" w:color="auto" w:fill="auto"/>
            <w:noWrap/>
            <w:vAlign w:val="center"/>
            <w:hideMark/>
          </w:tcPr>
          <w:p w14:paraId="3B5AF358" w14:textId="77777777" w:rsidR="004B6869" w:rsidRPr="000A643A" w:rsidRDefault="004B6869" w:rsidP="004B6869">
            <w:pPr>
              <w:rPr>
                <w:rFonts w:ascii="Arial" w:hAnsi="Arial" w:cs="Arial"/>
                <w:b/>
                <w:bCs/>
                <w:color w:val="000000"/>
              </w:rPr>
            </w:pPr>
            <w:r w:rsidRPr="000A643A">
              <w:rPr>
                <w:rFonts w:ascii="Arial" w:hAnsi="Arial" w:cs="Arial"/>
                <w:b/>
                <w:bCs/>
                <w:color w:val="000000"/>
              </w:rPr>
              <w:t>ASSETS</w:t>
            </w:r>
          </w:p>
        </w:tc>
        <w:tc>
          <w:tcPr>
            <w:tcW w:w="1707" w:type="dxa"/>
            <w:tcBorders>
              <w:top w:val="nil"/>
              <w:left w:val="nil"/>
              <w:bottom w:val="nil"/>
              <w:right w:val="nil"/>
            </w:tcBorders>
            <w:shd w:val="clear" w:color="auto" w:fill="auto"/>
            <w:noWrap/>
            <w:vAlign w:val="center"/>
            <w:hideMark/>
          </w:tcPr>
          <w:p w14:paraId="2B3646D8" w14:textId="77777777" w:rsidR="004B6869" w:rsidRPr="000A643A" w:rsidRDefault="004B6869" w:rsidP="004B6869">
            <w:pPr>
              <w:rPr>
                <w:rFonts w:ascii="Arial" w:hAnsi="Arial" w:cs="Arial"/>
                <w:b/>
                <w:bCs/>
                <w:color w:val="000000"/>
              </w:rPr>
            </w:pPr>
          </w:p>
        </w:tc>
        <w:tc>
          <w:tcPr>
            <w:tcW w:w="1530" w:type="dxa"/>
            <w:tcBorders>
              <w:top w:val="nil"/>
              <w:left w:val="nil"/>
              <w:bottom w:val="nil"/>
              <w:right w:val="nil"/>
            </w:tcBorders>
            <w:shd w:val="clear" w:color="auto" w:fill="auto"/>
            <w:noWrap/>
            <w:vAlign w:val="center"/>
            <w:hideMark/>
          </w:tcPr>
          <w:p w14:paraId="67FECEF1" w14:textId="77777777" w:rsidR="004B6869" w:rsidRPr="000A643A" w:rsidRDefault="004B6869" w:rsidP="004B6869">
            <w:pPr>
              <w:rPr>
                <w:rFonts w:ascii="Arial" w:hAnsi="Arial" w:cs="Arial"/>
              </w:rPr>
            </w:pPr>
          </w:p>
        </w:tc>
      </w:tr>
      <w:tr w:rsidR="004B6869" w:rsidRPr="000A643A" w14:paraId="7015DB7E" w14:textId="77777777" w:rsidTr="00BC311C">
        <w:trPr>
          <w:trHeight w:val="70"/>
        </w:trPr>
        <w:tc>
          <w:tcPr>
            <w:tcW w:w="6123" w:type="dxa"/>
            <w:tcBorders>
              <w:top w:val="nil"/>
              <w:left w:val="nil"/>
              <w:bottom w:val="nil"/>
              <w:right w:val="nil"/>
            </w:tcBorders>
            <w:shd w:val="clear" w:color="auto" w:fill="auto"/>
            <w:noWrap/>
            <w:vAlign w:val="center"/>
            <w:hideMark/>
          </w:tcPr>
          <w:p w14:paraId="39FFAC9E" w14:textId="576CE8D9" w:rsidR="004B6869" w:rsidRPr="000A643A" w:rsidRDefault="004B6869" w:rsidP="00986E82">
            <w:pPr>
              <w:rPr>
                <w:rFonts w:ascii="Arial" w:hAnsi="Arial" w:cs="Arial"/>
                <w:color w:val="000000"/>
              </w:rPr>
            </w:pPr>
            <w:r w:rsidRPr="000A643A">
              <w:rPr>
                <w:rFonts w:ascii="Arial" w:hAnsi="Arial" w:cs="Arial"/>
                <w:color w:val="000000"/>
              </w:rPr>
              <w:t>Investment properties</w:t>
            </w:r>
          </w:p>
        </w:tc>
        <w:tc>
          <w:tcPr>
            <w:tcW w:w="1707" w:type="dxa"/>
            <w:tcBorders>
              <w:top w:val="nil"/>
              <w:left w:val="nil"/>
              <w:bottom w:val="nil"/>
              <w:right w:val="nil"/>
            </w:tcBorders>
            <w:shd w:val="clear" w:color="auto" w:fill="auto"/>
            <w:noWrap/>
            <w:vAlign w:val="center"/>
            <w:hideMark/>
          </w:tcPr>
          <w:p w14:paraId="208E0616" w14:textId="194AB031" w:rsidR="004B6869" w:rsidRPr="000A643A" w:rsidRDefault="004B6869" w:rsidP="004B6869">
            <w:pPr>
              <w:jc w:val="right"/>
              <w:rPr>
                <w:rFonts w:ascii="Arial" w:hAnsi="Arial" w:cs="Arial"/>
                <w:b/>
                <w:bCs/>
                <w:color w:val="000000"/>
              </w:rPr>
            </w:pPr>
            <w:r w:rsidRPr="000A643A">
              <w:rPr>
                <w:rFonts w:ascii="Arial" w:hAnsi="Arial" w:cs="Arial"/>
                <w:b/>
                <w:bCs/>
                <w:color w:val="000000"/>
              </w:rPr>
              <w:t>$102,697,500</w:t>
            </w:r>
          </w:p>
        </w:tc>
        <w:tc>
          <w:tcPr>
            <w:tcW w:w="1530" w:type="dxa"/>
            <w:tcBorders>
              <w:top w:val="nil"/>
              <w:left w:val="nil"/>
              <w:bottom w:val="nil"/>
              <w:right w:val="nil"/>
            </w:tcBorders>
            <w:shd w:val="clear" w:color="auto" w:fill="auto"/>
            <w:noWrap/>
            <w:vAlign w:val="center"/>
            <w:hideMark/>
          </w:tcPr>
          <w:p w14:paraId="37AFD89D" w14:textId="3792B542" w:rsidR="004B6869" w:rsidRPr="000A643A" w:rsidRDefault="004B6869" w:rsidP="004B6869">
            <w:pPr>
              <w:jc w:val="right"/>
              <w:rPr>
                <w:rFonts w:ascii="Arial" w:hAnsi="Arial" w:cs="Arial"/>
                <w:color w:val="000000"/>
              </w:rPr>
            </w:pPr>
            <w:r w:rsidRPr="000A643A">
              <w:rPr>
                <w:rFonts w:ascii="Arial" w:hAnsi="Arial" w:cs="Arial"/>
                <w:color w:val="000000"/>
              </w:rPr>
              <w:t>$95,988,979</w:t>
            </w:r>
          </w:p>
        </w:tc>
      </w:tr>
      <w:tr w:rsidR="004B6869" w:rsidRPr="000A643A" w14:paraId="5E61B24E" w14:textId="77777777" w:rsidTr="00BC311C">
        <w:trPr>
          <w:trHeight w:val="70"/>
        </w:trPr>
        <w:tc>
          <w:tcPr>
            <w:tcW w:w="6123" w:type="dxa"/>
            <w:tcBorders>
              <w:top w:val="nil"/>
              <w:left w:val="nil"/>
              <w:bottom w:val="nil"/>
              <w:right w:val="nil"/>
            </w:tcBorders>
            <w:shd w:val="clear" w:color="auto" w:fill="auto"/>
            <w:noWrap/>
            <w:vAlign w:val="center"/>
            <w:hideMark/>
          </w:tcPr>
          <w:p w14:paraId="11927686" w14:textId="63A7C944" w:rsidR="004B6869" w:rsidRPr="000A643A" w:rsidRDefault="004B6869" w:rsidP="00986E82">
            <w:pPr>
              <w:rPr>
                <w:rFonts w:ascii="Arial" w:hAnsi="Arial" w:cs="Arial"/>
                <w:color w:val="000000"/>
              </w:rPr>
            </w:pPr>
            <w:r w:rsidRPr="000A643A">
              <w:rPr>
                <w:rFonts w:ascii="Arial" w:hAnsi="Arial" w:cs="Arial"/>
                <w:color w:val="000000"/>
              </w:rPr>
              <w:t xml:space="preserve">Property and equipment </w:t>
            </w:r>
          </w:p>
        </w:tc>
        <w:tc>
          <w:tcPr>
            <w:tcW w:w="1707" w:type="dxa"/>
            <w:tcBorders>
              <w:top w:val="nil"/>
              <w:left w:val="nil"/>
              <w:bottom w:val="nil"/>
              <w:right w:val="nil"/>
            </w:tcBorders>
            <w:shd w:val="clear" w:color="auto" w:fill="auto"/>
            <w:noWrap/>
            <w:vAlign w:val="center"/>
            <w:hideMark/>
          </w:tcPr>
          <w:p w14:paraId="3AD9AEFF"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281,434</w:t>
            </w:r>
          </w:p>
        </w:tc>
        <w:tc>
          <w:tcPr>
            <w:tcW w:w="1530" w:type="dxa"/>
            <w:tcBorders>
              <w:top w:val="nil"/>
              <w:left w:val="nil"/>
              <w:bottom w:val="nil"/>
              <w:right w:val="nil"/>
            </w:tcBorders>
            <w:shd w:val="clear" w:color="auto" w:fill="auto"/>
            <w:noWrap/>
            <w:vAlign w:val="center"/>
            <w:hideMark/>
          </w:tcPr>
          <w:p w14:paraId="4EB05961" w14:textId="77777777" w:rsidR="004B6869" w:rsidRPr="000A643A" w:rsidRDefault="004B6869" w:rsidP="004B6869">
            <w:pPr>
              <w:jc w:val="right"/>
              <w:rPr>
                <w:rFonts w:ascii="Arial" w:hAnsi="Arial" w:cs="Arial"/>
                <w:color w:val="000000"/>
              </w:rPr>
            </w:pPr>
            <w:r w:rsidRPr="000A643A">
              <w:rPr>
                <w:rFonts w:ascii="Arial" w:hAnsi="Arial" w:cs="Arial"/>
                <w:color w:val="000000"/>
              </w:rPr>
              <w:t>305,277</w:t>
            </w:r>
          </w:p>
        </w:tc>
      </w:tr>
      <w:tr w:rsidR="004B6869" w:rsidRPr="000A643A" w14:paraId="6BD7EFB9" w14:textId="77777777" w:rsidTr="00BC311C">
        <w:trPr>
          <w:trHeight w:val="70"/>
        </w:trPr>
        <w:tc>
          <w:tcPr>
            <w:tcW w:w="6123" w:type="dxa"/>
            <w:tcBorders>
              <w:top w:val="nil"/>
              <w:left w:val="nil"/>
              <w:bottom w:val="nil"/>
              <w:right w:val="nil"/>
            </w:tcBorders>
            <w:shd w:val="clear" w:color="auto" w:fill="auto"/>
            <w:noWrap/>
            <w:vAlign w:val="center"/>
            <w:hideMark/>
          </w:tcPr>
          <w:p w14:paraId="650252E5" w14:textId="36E10ECB" w:rsidR="004B6869" w:rsidRPr="000A643A" w:rsidRDefault="004B6869" w:rsidP="004B6869">
            <w:pPr>
              <w:rPr>
                <w:rFonts w:ascii="Arial" w:hAnsi="Arial" w:cs="Arial"/>
                <w:color w:val="000000"/>
              </w:rPr>
            </w:pPr>
            <w:r w:rsidRPr="000A643A">
              <w:rPr>
                <w:rFonts w:ascii="Arial" w:hAnsi="Arial" w:cs="Arial"/>
                <w:color w:val="000000"/>
              </w:rPr>
              <w:t xml:space="preserve">Investments in and advances to equity accounted joint ventures </w:t>
            </w:r>
          </w:p>
        </w:tc>
        <w:tc>
          <w:tcPr>
            <w:tcW w:w="1707" w:type="dxa"/>
            <w:tcBorders>
              <w:top w:val="nil"/>
              <w:left w:val="nil"/>
              <w:bottom w:val="nil"/>
              <w:right w:val="nil"/>
            </w:tcBorders>
            <w:shd w:val="clear" w:color="auto" w:fill="auto"/>
            <w:noWrap/>
            <w:vAlign w:val="center"/>
            <w:hideMark/>
          </w:tcPr>
          <w:p w14:paraId="2532FEFF"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2,811,399</w:t>
            </w:r>
          </w:p>
        </w:tc>
        <w:tc>
          <w:tcPr>
            <w:tcW w:w="1530" w:type="dxa"/>
            <w:tcBorders>
              <w:top w:val="nil"/>
              <w:left w:val="nil"/>
              <w:bottom w:val="nil"/>
              <w:right w:val="nil"/>
            </w:tcBorders>
            <w:shd w:val="clear" w:color="auto" w:fill="auto"/>
            <w:noWrap/>
            <w:vAlign w:val="center"/>
            <w:hideMark/>
          </w:tcPr>
          <w:p w14:paraId="6D4ADB9C" w14:textId="77777777" w:rsidR="004B6869" w:rsidRPr="000A643A" w:rsidRDefault="004B6869" w:rsidP="004B6869">
            <w:pPr>
              <w:jc w:val="right"/>
              <w:rPr>
                <w:rFonts w:ascii="Arial" w:hAnsi="Arial" w:cs="Arial"/>
                <w:color w:val="000000"/>
              </w:rPr>
            </w:pPr>
            <w:r w:rsidRPr="000A643A">
              <w:rPr>
                <w:rFonts w:ascii="Arial" w:hAnsi="Arial" w:cs="Arial"/>
                <w:color w:val="000000"/>
              </w:rPr>
              <w:t>4,161,169</w:t>
            </w:r>
          </w:p>
        </w:tc>
      </w:tr>
      <w:tr w:rsidR="004B6869" w:rsidRPr="000A643A" w14:paraId="2BCE2924" w14:textId="77777777" w:rsidTr="00BC311C">
        <w:trPr>
          <w:trHeight w:val="70"/>
        </w:trPr>
        <w:tc>
          <w:tcPr>
            <w:tcW w:w="6123" w:type="dxa"/>
            <w:tcBorders>
              <w:top w:val="nil"/>
              <w:left w:val="nil"/>
              <w:bottom w:val="nil"/>
              <w:right w:val="nil"/>
            </w:tcBorders>
            <w:shd w:val="clear" w:color="auto" w:fill="auto"/>
            <w:noWrap/>
            <w:vAlign w:val="center"/>
            <w:hideMark/>
          </w:tcPr>
          <w:p w14:paraId="56147661" w14:textId="73015A75" w:rsidR="004B6869" w:rsidRPr="000A643A" w:rsidRDefault="004B6869" w:rsidP="00986E82">
            <w:pPr>
              <w:rPr>
                <w:rFonts w:ascii="Arial" w:hAnsi="Arial" w:cs="Arial"/>
                <w:color w:val="000000"/>
              </w:rPr>
            </w:pPr>
            <w:r w:rsidRPr="000A643A">
              <w:rPr>
                <w:rFonts w:ascii="Arial" w:hAnsi="Arial" w:cs="Arial"/>
                <w:color w:val="000000"/>
              </w:rPr>
              <w:t xml:space="preserve">Mortgages receivable </w:t>
            </w:r>
          </w:p>
        </w:tc>
        <w:tc>
          <w:tcPr>
            <w:tcW w:w="1707" w:type="dxa"/>
            <w:tcBorders>
              <w:top w:val="nil"/>
              <w:left w:val="nil"/>
              <w:bottom w:val="nil"/>
              <w:right w:val="nil"/>
            </w:tcBorders>
            <w:shd w:val="clear" w:color="auto" w:fill="auto"/>
            <w:noWrap/>
            <w:vAlign w:val="center"/>
            <w:hideMark/>
          </w:tcPr>
          <w:p w14:paraId="6A0E4FE9"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554,416</w:t>
            </w:r>
          </w:p>
        </w:tc>
        <w:tc>
          <w:tcPr>
            <w:tcW w:w="1530" w:type="dxa"/>
            <w:tcBorders>
              <w:top w:val="nil"/>
              <w:left w:val="nil"/>
              <w:bottom w:val="nil"/>
              <w:right w:val="nil"/>
            </w:tcBorders>
            <w:shd w:val="clear" w:color="auto" w:fill="auto"/>
            <w:noWrap/>
            <w:vAlign w:val="center"/>
            <w:hideMark/>
          </w:tcPr>
          <w:p w14:paraId="5D734FED" w14:textId="77777777" w:rsidR="004B6869" w:rsidRPr="000A643A" w:rsidRDefault="004B6869" w:rsidP="004B6869">
            <w:pPr>
              <w:jc w:val="right"/>
              <w:rPr>
                <w:rFonts w:ascii="Arial" w:hAnsi="Arial" w:cs="Arial"/>
                <w:color w:val="000000"/>
              </w:rPr>
            </w:pPr>
            <w:r w:rsidRPr="000A643A">
              <w:rPr>
                <w:rFonts w:ascii="Arial" w:hAnsi="Arial" w:cs="Arial"/>
                <w:color w:val="000000"/>
              </w:rPr>
              <w:t>1,279,984</w:t>
            </w:r>
          </w:p>
        </w:tc>
      </w:tr>
      <w:tr w:rsidR="004B6869" w:rsidRPr="000A643A" w14:paraId="0BB84DFA" w14:textId="77777777" w:rsidTr="00BC311C">
        <w:trPr>
          <w:trHeight w:val="70"/>
        </w:trPr>
        <w:tc>
          <w:tcPr>
            <w:tcW w:w="6123" w:type="dxa"/>
            <w:tcBorders>
              <w:top w:val="nil"/>
              <w:left w:val="nil"/>
              <w:bottom w:val="nil"/>
              <w:right w:val="nil"/>
            </w:tcBorders>
            <w:shd w:val="clear" w:color="auto" w:fill="auto"/>
            <w:noWrap/>
            <w:vAlign w:val="center"/>
            <w:hideMark/>
          </w:tcPr>
          <w:p w14:paraId="1F0D0F17" w14:textId="77777777" w:rsidR="004B6869" w:rsidRPr="000A643A" w:rsidRDefault="004B6869" w:rsidP="004B6869">
            <w:pPr>
              <w:rPr>
                <w:rFonts w:ascii="Arial" w:hAnsi="Arial" w:cs="Arial"/>
                <w:color w:val="000000"/>
              </w:rPr>
            </w:pPr>
            <w:r w:rsidRPr="000A643A">
              <w:rPr>
                <w:rFonts w:ascii="Arial" w:hAnsi="Arial" w:cs="Arial"/>
                <w:color w:val="000000"/>
              </w:rPr>
              <w:t xml:space="preserve">Accounts receivable </w:t>
            </w:r>
          </w:p>
        </w:tc>
        <w:tc>
          <w:tcPr>
            <w:tcW w:w="1707" w:type="dxa"/>
            <w:tcBorders>
              <w:top w:val="nil"/>
              <w:left w:val="nil"/>
              <w:bottom w:val="nil"/>
              <w:right w:val="nil"/>
            </w:tcBorders>
            <w:shd w:val="clear" w:color="auto" w:fill="auto"/>
            <w:noWrap/>
            <w:vAlign w:val="center"/>
            <w:hideMark/>
          </w:tcPr>
          <w:p w14:paraId="5308A3FF"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128,449</w:t>
            </w:r>
          </w:p>
        </w:tc>
        <w:tc>
          <w:tcPr>
            <w:tcW w:w="1530" w:type="dxa"/>
            <w:tcBorders>
              <w:top w:val="nil"/>
              <w:left w:val="nil"/>
              <w:bottom w:val="nil"/>
              <w:right w:val="nil"/>
            </w:tcBorders>
            <w:shd w:val="clear" w:color="auto" w:fill="auto"/>
            <w:noWrap/>
            <w:vAlign w:val="center"/>
            <w:hideMark/>
          </w:tcPr>
          <w:p w14:paraId="3F506ED2" w14:textId="77777777" w:rsidR="004B6869" w:rsidRPr="000A643A" w:rsidRDefault="004B6869" w:rsidP="004B6869">
            <w:pPr>
              <w:jc w:val="right"/>
              <w:rPr>
                <w:rFonts w:ascii="Arial" w:hAnsi="Arial" w:cs="Arial"/>
                <w:color w:val="000000"/>
              </w:rPr>
            </w:pPr>
            <w:r w:rsidRPr="000A643A">
              <w:rPr>
                <w:rFonts w:ascii="Arial" w:hAnsi="Arial" w:cs="Arial"/>
                <w:color w:val="000000"/>
              </w:rPr>
              <w:t>382,543</w:t>
            </w:r>
          </w:p>
        </w:tc>
      </w:tr>
      <w:tr w:rsidR="004B6869" w:rsidRPr="000A643A" w14:paraId="02855A43" w14:textId="77777777" w:rsidTr="00BC311C">
        <w:trPr>
          <w:trHeight w:val="70"/>
        </w:trPr>
        <w:tc>
          <w:tcPr>
            <w:tcW w:w="6123" w:type="dxa"/>
            <w:tcBorders>
              <w:top w:val="nil"/>
              <w:left w:val="nil"/>
              <w:bottom w:val="nil"/>
              <w:right w:val="nil"/>
            </w:tcBorders>
            <w:shd w:val="clear" w:color="auto" w:fill="auto"/>
            <w:noWrap/>
            <w:vAlign w:val="center"/>
            <w:hideMark/>
          </w:tcPr>
          <w:p w14:paraId="38942193" w14:textId="77777777" w:rsidR="004B6869" w:rsidRPr="000A643A" w:rsidRDefault="004B6869" w:rsidP="004B6869">
            <w:pPr>
              <w:rPr>
                <w:rFonts w:ascii="Arial" w:hAnsi="Arial" w:cs="Arial"/>
                <w:color w:val="000000"/>
              </w:rPr>
            </w:pPr>
            <w:proofErr w:type="spellStart"/>
            <w:r w:rsidRPr="000A643A">
              <w:rPr>
                <w:rFonts w:ascii="Arial" w:hAnsi="Arial" w:cs="Arial"/>
                <w:color w:val="000000"/>
              </w:rPr>
              <w:t>Prepaids</w:t>
            </w:r>
            <w:proofErr w:type="spellEnd"/>
            <w:r w:rsidRPr="000A643A">
              <w:rPr>
                <w:rFonts w:ascii="Arial" w:hAnsi="Arial" w:cs="Arial"/>
                <w:color w:val="000000"/>
              </w:rPr>
              <w:t xml:space="preserve"> and other assets</w:t>
            </w:r>
          </w:p>
        </w:tc>
        <w:tc>
          <w:tcPr>
            <w:tcW w:w="1707" w:type="dxa"/>
            <w:tcBorders>
              <w:top w:val="nil"/>
              <w:left w:val="nil"/>
              <w:bottom w:val="nil"/>
              <w:right w:val="nil"/>
            </w:tcBorders>
            <w:shd w:val="clear" w:color="auto" w:fill="auto"/>
            <w:noWrap/>
            <w:vAlign w:val="center"/>
            <w:hideMark/>
          </w:tcPr>
          <w:p w14:paraId="25D8CF42"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41,250</w:t>
            </w:r>
          </w:p>
        </w:tc>
        <w:tc>
          <w:tcPr>
            <w:tcW w:w="1530" w:type="dxa"/>
            <w:tcBorders>
              <w:top w:val="nil"/>
              <w:left w:val="nil"/>
              <w:bottom w:val="nil"/>
              <w:right w:val="nil"/>
            </w:tcBorders>
            <w:shd w:val="clear" w:color="auto" w:fill="auto"/>
            <w:noWrap/>
            <w:vAlign w:val="center"/>
            <w:hideMark/>
          </w:tcPr>
          <w:p w14:paraId="086E176D" w14:textId="77777777" w:rsidR="004B6869" w:rsidRPr="000A643A" w:rsidRDefault="004B6869" w:rsidP="004B6869">
            <w:pPr>
              <w:jc w:val="right"/>
              <w:rPr>
                <w:rFonts w:ascii="Arial" w:hAnsi="Arial" w:cs="Arial"/>
                <w:color w:val="000000"/>
              </w:rPr>
            </w:pPr>
            <w:r w:rsidRPr="000A643A">
              <w:rPr>
                <w:rFonts w:ascii="Arial" w:hAnsi="Arial" w:cs="Arial"/>
                <w:color w:val="000000"/>
              </w:rPr>
              <w:t>160,699</w:t>
            </w:r>
          </w:p>
        </w:tc>
      </w:tr>
      <w:tr w:rsidR="004B6869" w:rsidRPr="000A643A" w14:paraId="325E4E49" w14:textId="77777777" w:rsidTr="00BC311C">
        <w:trPr>
          <w:trHeight w:val="70"/>
        </w:trPr>
        <w:tc>
          <w:tcPr>
            <w:tcW w:w="6123" w:type="dxa"/>
            <w:tcBorders>
              <w:top w:val="nil"/>
              <w:left w:val="nil"/>
              <w:bottom w:val="nil"/>
              <w:right w:val="nil"/>
            </w:tcBorders>
            <w:shd w:val="clear" w:color="auto" w:fill="auto"/>
            <w:noWrap/>
            <w:vAlign w:val="center"/>
            <w:hideMark/>
          </w:tcPr>
          <w:p w14:paraId="50E46F84" w14:textId="77777777" w:rsidR="004B6869" w:rsidRPr="000A643A" w:rsidRDefault="004B6869" w:rsidP="004B6869">
            <w:pPr>
              <w:rPr>
                <w:rFonts w:ascii="Arial" w:hAnsi="Arial" w:cs="Arial"/>
                <w:color w:val="000000"/>
              </w:rPr>
            </w:pPr>
            <w:r w:rsidRPr="000A643A">
              <w:rPr>
                <w:rFonts w:ascii="Arial" w:hAnsi="Arial" w:cs="Arial"/>
                <w:color w:val="000000"/>
              </w:rPr>
              <w:t>Deposit on real estate</w:t>
            </w:r>
          </w:p>
        </w:tc>
        <w:tc>
          <w:tcPr>
            <w:tcW w:w="1707" w:type="dxa"/>
            <w:tcBorders>
              <w:top w:val="nil"/>
              <w:left w:val="nil"/>
              <w:bottom w:val="nil"/>
              <w:right w:val="nil"/>
            </w:tcBorders>
            <w:shd w:val="clear" w:color="auto" w:fill="auto"/>
            <w:noWrap/>
            <w:vAlign w:val="center"/>
            <w:hideMark/>
          </w:tcPr>
          <w:p w14:paraId="6696F71E" w14:textId="15F83D1B" w:rsidR="004B6869" w:rsidRPr="000A643A" w:rsidRDefault="00FA6802" w:rsidP="004B6869">
            <w:pPr>
              <w:jc w:val="right"/>
              <w:rPr>
                <w:rFonts w:ascii="Arial" w:hAnsi="Arial" w:cs="Arial"/>
                <w:b/>
                <w:bCs/>
                <w:color w:val="000000"/>
              </w:rPr>
            </w:pPr>
            <w:r>
              <w:rPr>
                <w:rFonts w:ascii="Arial" w:hAnsi="Arial" w:cs="Arial"/>
                <w:b/>
                <w:bCs/>
                <w:noProof/>
                <w:color w:val="000000"/>
              </w:rPr>
              <w:t>–</w:t>
            </w:r>
          </w:p>
        </w:tc>
        <w:tc>
          <w:tcPr>
            <w:tcW w:w="1530" w:type="dxa"/>
            <w:tcBorders>
              <w:top w:val="nil"/>
              <w:left w:val="nil"/>
              <w:bottom w:val="nil"/>
              <w:right w:val="nil"/>
            </w:tcBorders>
            <w:shd w:val="clear" w:color="auto" w:fill="auto"/>
            <w:noWrap/>
            <w:vAlign w:val="center"/>
            <w:hideMark/>
          </w:tcPr>
          <w:p w14:paraId="4D82EA2B" w14:textId="77777777" w:rsidR="004B6869" w:rsidRPr="000A643A" w:rsidRDefault="004B6869" w:rsidP="004B6869">
            <w:pPr>
              <w:jc w:val="right"/>
              <w:rPr>
                <w:rFonts w:ascii="Arial" w:hAnsi="Arial" w:cs="Arial"/>
                <w:color w:val="000000"/>
              </w:rPr>
            </w:pPr>
            <w:r w:rsidRPr="000A643A">
              <w:rPr>
                <w:rFonts w:ascii="Arial" w:hAnsi="Arial" w:cs="Arial"/>
                <w:color w:val="000000"/>
              </w:rPr>
              <w:t>500,000</w:t>
            </w:r>
          </w:p>
        </w:tc>
      </w:tr>
      <w:tr w:rsidR="004B6869" w:rsidRPr="000A643A" w14:paraId="78253338" w14:textId="77777777" w:rsidTr="002944BA">
        <w:trPr>
          <w:trHeight w:val="70"/>
        </w:trPr>
        <w:tc>
          <w:tcPr>
            <w:tcW w:w="6123" w:type="dxa"/>
            <w:tcBorders>
              <w:top w:val="nil"/>
              <w:left w:val="nil"/>
              <w:right w:val="nil"/>
            </w:tcBorders>
            <w:shd w:val="clear" w:color="auto" w:fill="auto"/>
            <w:noWrap/>
            <w:vAlign w:val="center"/>
            <w:hideMark/>
          </w:tcPr>
          <w:p w14:paraId="66EE181D" w14:textId="77777777" w:rsidR="004B6869" w:rsidRPr="000A643A" w:rsidRDefault="004B6869" w:rsidP="004B6869">
            <w:pPr>
              <w:rPr>
                <w:rFonts w:ascii="Arial" w:hAnsi="Arial" w:cs="Arial"/>
                <w:color w:val="000000"/>
              </w:rPr>
            </w:pPr>
            <w:r w:rsidRPr="000A643A">
              <w:rPr>
                <w:rFonts w:ascii="Arial" w:hAnsi="Arial" w:cs="Arial"/>
                <w:color w:val="000000"/>
              </w:rPr>
              <w:t>Term deposit</w:t>
            </w:r>
          </w:p>
        </w:tc>
        <w:tc>
          <w:tcPr>
            <w:tcW w:w="1707" w:type="dxa"/>
            <w:tcBorders>
              <w:top w:val="nil"/>
              <w:left w:val="nil"/>
              <w:bottom w:val="nil"/>
              <w:right w:val="nil"/>
            </w:tcBorders>
            <w:shd w:val="clear" w:color="auto" w:fill="auto"/>
            <w:noWrap/>
            <w:vAlign w:val="center"/>
            <w:hideMark/>
          </w:tcPr>
          <w:p w14:paraId="57200952"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175,091</w:t>
            </w:r>
          </w:p>
        </w:tc>
        <w:tc>
          <w:tcPr>
            <w:tcW w:w="1530" w:type="dxa"/>
            <w:tcBorders>
              <w:top w:val="nil"/>
              <w:left w:val="nil"/>
              <w:bottom w:val="nil"/>
              <w:right w:val="nil"/>
            </w:tcBorders>
            <w:shd w:val="clear" w:color="auto" w:fill="auto"/>
            <w:noWrap/>
            <w:vAlign w:val="center"/>
            <w:hideMark/>
          </w:tcPr>
          <w:p w14:paraId="73254717" w14:textId="77777777" w:rsidR="004B6869" w:rsidRPr="000A643A" w:rsidRDefault="004B6869" w:rsidP="004B6869">
            <w:pPr>
              <w:jc w:val="right"/>
              <w:rPr>
                <w:rFonts w:ascii="Arial" w:hAnsi="Arial" w:cs="Arial"/>
                <w:color w:val="000000"/>
              </w:rPr>
            </w:pPr>
            <w:r w:rsidRPr="000A643A">
              <w:rPr>
                <w:rFonts w:ascii="Arial" w:hAnsi="Arial" w:cs="Arial"/>
                <w:color w:val="000000"/>
              </w:rPr>
              <w:t>165,112</w:t>
            </w:r>
          </w:p>
        </w:tc>
      </w:tr>
      <w:tr w:rsidR="004B6869" w:rsidRPr="000A643A" w14:paraId="06513B88" w14:textId="77777777" w:rsidTr="002944BA">
        <w:trPr>
          <w:trHeight w:val="70"/>
        </w:trPr>
        <w:tc>
          <w:tcPr>
            <w:tcW w:w="6123" w:type="dxa"/>
            <w:tcBorders>
              <w:top w:val="nil"/>
              <w:left w:val="nil"/>
              <w:right w:val="nil"/>
            </w:tcBorders>
            <w:shd w:val="clear" w:color="auto" w:fill="auto"/>
            <w:noWrap/>
            <w:vAlign w:val="center"/>
            <w:hideMark/>
          </w:tcPr>
          <w:p w14:paraId="462AD179" w14:textId="77777777" w:rsidR="004B6869" w:rsidRPr="000A643A" w:rsidRDefault="004B6869" w:rsidP="004B6869">
            <w:pPr>
              <w:rPr>
                <w:rFonts w:ascii="Arial" w:hAnsi="Arial" w:cs="Arial"/>
                <w:color w:val="000000"/>
              </w:rPr>
            </w:pPr>
            <w:r w:rsidRPr="000A643A">
              <w:rPr>
                <w:rFonts w:ascii="Arial" w:hAnsi="Arial" w:cs="Arial"/>
                <w:color w:val="000000"/>
              </w:rPr>
              <w:t>Cash and cash equivalents</w:t>
            </w:r>
          </w:p>
        </w:tc>
        <w:tc>
          <w:tcPr>
            <w:tcW w:w="1707" w:type="dxa"/>
            <w:tcBorders>
              <w:top w:val="nil"/>
              <w:left w:val="nil"/>
              <w:bottom w:val="single" w:sz="4" w:space="0" w:color="auto"/>
              <w:right w:val="nil"/>
            </w:tcBorders>
            <w:shd w:val="clear" w:color="auto" w:fill="auto"/>
            <w:noWrap/>
            <w:vAlign w:val="center"/>
            <w:hideMark/>
          </w:tcPr>
          <w:p w14:paraId="73B2D89C"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17,149,623</w:t>
            </w:r>
          </w:p>
        </w:tc>
        <w:tc>
          <w:tcPr>
            <w:tcW w:w="1530" w:type="dxa"/>
            <w:tcBorders>
              <w:top w:val="nil"/>
              <w:left w:val="nil"/>
              <w:bottom w:val="single" w:sz="4" w:space="0" w:color="auto"/>
              <w:right w:val="nil"/>
            </w:tcBorders>
            <w:shd w:val="clear" w:color="auto" w:fill="auto"/>
            <w:noWrap/>
            <w:vAlign w:val="center"/>
            <w:hideMark/>
          </w:tcPr>
          <w:p w14:paraId="63F698CF" w14:textId="77777777" w:rsidR="004B6869" w:rsidRPr="000A643A" w:rsidRDefault="004B6869" w:rsidP="004B6869">
            <w:pPr>
              <w:jc w:val="right"/>
              <w:rPr>
                <w:rFonts w:ascii="Arial" w:hAnsi="Arial" w:cs="Arial"/>
                <w:color w:val="000000"/>
              </w:rPr>
            </w:pPr>
            <w:r w:rsidRPr="000A643A">
              <w:rPr>
                <w:rFonts w:ascii="Arial" w:hAnsi="Arial" w:cs="Arial"/>
                <w:color w:val="000000"/>
              </w:rPr>
              <w:t>10,499,951</w:t>
            </w:r>
          </w:p>
        </w:tc>
      </w:tr>
      <w:tr w:rsidR="004B6869" w:rsidRPr="000A643A" w14:paraId="30AEE8B3" w14:textId="77777777" w:rsidTr="002944BA">
        <w:trPr>
          <w:trHeight w:val="60"/>
        </w:trPr>
        <w:tc>
          <w:tcPr>
            <w:tcW w:w="6123" w:type="dxa"/>
            <w:tcBorders>
              <w:left w:val="nil"/>
              <w:bottom w:val="nil"/>
              <w:right w:val="nil"/>
            </w:tcBorders>
            <w:shd w:val="clear" w:color="auto" w:fill="auto"/>
            <w:noWrap/>
            <w:vAlign w:val="center"/>
            <w:hideMark/>
          </w:tcPr>
          <w:p w14:paraId="75658D52" w14:textId="77777777" w:rsidR="004B6869" w:rsidRPr="000A643A" w:rsidRDefault="004B6869" w:rsidP="004B6869">
            <w:pPr>
              <w:rPr>
                <w:rFonts w:ascii="Arial" w:hAnsi="Arial" w:cs="Arial"/>
                <w:b/>
                <w:bCs/>
                <w:color w:val="000000"/>
              </w:rPr>
            </w:pPr>
            <w:r w:rsidRPr="000A643A">
              <w:rPr>
                <w:rFonts w:ascii="Arial" w:hAnsi="Arial" w:cs="Arial"/>
                <w:b/>
                <w:bCs/>
                <w:color w:val="000000"/>
              </w:rPr>
              <w:t>Assets</w:t>
            </w:r>
          </w:p>
        </w:tc>
        <w:tc>
          <w:tcPr>
            <w:tcW w:w="1707" w:type="dxa"/>
            <w:tcBorders>
              <w:top w:val="nil"/>
              <w:left w:val="nil"/>
              <w:bottom w:val="double" w:sz="6" w:space="0" w:color="auto"/>
              <w:right w:val="nil"/>
            </w:tcBorders>
            <w:shd w:val="clear" w:color="auto" w:fill="auto"/>
            <w:noWrap/>
            <w:vAlign w:val="center"/>
            <w:hideMark/>
          </w:tcPr>
          <w:p w14:paraId="53EB767A" w14:textId="579EA353" w:rsidR="004B6869" w:rsidRPr="000A643A" w:rsidRDefault="004B6869" w:rsidP="004B6869">
            <w:pPr>
              <w:jc w:val="right"/>
              <w:rPr>
                <w:rFonts w:ascii="Arial" w:hAnsi="Arial" w:cs="Arial"/>
                <w:b/>
                <w:bCs/>
                <w:color w:val="000000"/>
              </w:rPr>
            </w:pPr>
            <w:r w:rsidRPr="000A643A">
              <w:rPr>
                <w:rFonts w:ascii="Arial" w:hAnsi="Arial" w:cs="Arial"/>
                <w:b/>
                <w:bCs/>
                <w:color w:val="000000"/>
              </w:rPr>
              <w:t xml:space="preserve">$123,839,162 </w:t>
            </w:r>
          </w:p>
        </w:tc>
        <w:tc>
          <w:tcPr>
            <w:tcW w:w="1530" w:type="dxa"/>
            <w:tcBorders>
              <w:top w:val="nil"/>
              <w:left w:val="nil"/>
              <w:bottom w:val="double" w:sz="6" w:space="0" w:color="auto"/>
              <w:right w:val="nil"/>
            </w:tcBorders>
            <w:shd w:val="clear" w:color="auto" w:fill="auto"/>
            <w:noWrap/>
            <w:vAlign w:val="center"/>
            <w:hideMark/>
          </w:tcPr>
          <w:p w14:paraId="5B06D890" w14:textId="4E6B5032" w:rsidR="004B6869" w:rsidRPr="000A643A" w:rsidRDefault="004B6869" w:rsidP="004B6869">
            <w:pPr>
              <w:jc w:val="right"/>
              <w:rPr>
                <w:rFonts w:ascii="Arial" w:hAnsi="Arial" w:cs="Arial"/>
                <w:color w:val="000000"/>
              </w:rPr>
            </w:pPr>
            <w:r w:rsidRPr="000A643A">
              <w:rPr>
                <w:rFonts w:ascii="Arial" w:hAnsi="Arial" w:cs="Arial"/>
                <w:color w:val="000000"/>
              </w:rPr>
              <w:t>$113,443,714</w:t>
            </w:r>
          </w:p>
        </w:tc>
      </w:tr>
      <w:tr w:rsidR="004B6869" w:rsidRPr="000A643A" w14:paraId="53628DEE" w14:textId="77777777" w:rsidTr="00BC311C">
        <w:trPr>
          <w:trHeight w:val="25"/>
        </w:trPr>
        <w:tc>
          <w:tcPr>
            <w:tcW w:w="6123" w:type="dxa"/>
            <w:tcBorders>
              <w:top w:val="nil"/>
              <w:left w:val="nil"/>
              <w:bottom w:val="nil"/>
              <w:right w:val="nil"/>
            </w:tcBorders>
            <w:shd w:val="clear" w:color="auto" w:fill="auto"/>
            <w:noWrap/>
            <w:vAlign w:val="center"/>
            <w:hideMark/>
          </w:tcPr>
          <w:p w14:paraId="4121F371" w14:textId="77777777" w:rsidR="004B6869" w:rsidRPr="000A643A" w:rsidRDefault="004B6869" w:rsidP="004B6869">
            <w:pPr>
              <w:rPr>
                <w:rFonts w:ascii="Arial" w:hAnsi="Arial" w:cs="Arial"/>
                <w:color w:val="000000"/>
              </w:rPr>
            </w:pPr>
          </w:p>
        </w:tc>
        <w:tc>
          <w:tcPr>
            <w:tcW w:w="1707" w:type="dxa"/>
            <w:tcBorders>
              <w:top w:val="nil"/>
              <w:left w:val="nil"/>
              <w:bottom w:val="nil"/>
              <w:right w:val="nil"/>
            </w:tcBorders>
            <w:shd w:val="clear" w:color="auto" w:fill="auto"/>
            <w:noWrap/>
            <w:vAlign w:val="center"/>
            <w:hideMark/>
          </w:tcPr>
          <w:p w14:paraId="4E851CC7" w14:textId="77777777" w:rsidR="004B6869" w:rsidRPr="000A643A" w:rsidRDefault="004B6869" w:rsidP="004B6869">
            <w:pPr>
              <w:jc w:val="right"/>
              <w:rPr>
                <w:rFonts w:ascii="Arial" w:hAnsi="Arial" w:cs="Arial"/>
              </w:rPr>
            </w:pPr>
          </w:p>
        </w:tc>
        <w:tc>
          <w:tcPr>
            <w:tcW w:w="1530" w:type="dxa"/>
            <w:tcBorders>
              <w:top w:val="nil"/>
              <w:left w:val="nil"/>
              <w:bottom w:val="nil"/>
              <w:right w:val="nil"/>
            </w:tcBorders>
            <w:shd w:val="clear" w:color="auto" w:fill="auto"/>
            <w:noWrap/>
            <w:vAlign w:val="center"/>
            <w:hideMark/>
          </w:tcPr>
          <w:p w14:paraId="1F748016" w14:textId="77777777" w:rsidR="004B6869" w:rsidRPr="000A643A" w:rsidRDefault="004B6869" w:rsidP="004B6869">
            <w:pPr>
              <w:jc w:val="right"/>
              <w:rPr>
                <w:rFonts w:ascii="Arial" w:hAnsi="Arial" w:cs="Arial"/>
              </w:rPr>
            </w:pPr>
          </w:p>
        </w:tc>
      </w:tr>
      <w:tr w:rsidR="004B6869" w:rsidRPr="000A643A" w14:paraId="15D0880B" w14:textId="77777777" w:rsidTr="00BC311C">
        <w:trPr>
          <w:trHeight w:val="70"/>
        </w:trPr>
        <w:tc>
          <w:tcPr>
            <w:tcW w:w="6123" w:type="dxa"/>
            <w:tcBorders>
              <w:top w:val="nil"/>
              <w:left w:val="nil"/>
              <w:bottom w:val="nil"/>
              <w:right w:val="nil"/>
            </w:tcBorders>
            <w:shd w:val="clear" w:color="auto" w:fill="auto"/>
            <w:noWrap/>
            <w:vAlign w:val="center"/>
            <w:hideMark/>
          </w:tcPr>
          <w:p w14:paraId="06EBB74F" w14:textId="77777777" w:rsidR="004B6869" w:rsidRPr="000A643A" w:rsidRDefault="004B6869" w:rsidP="004B6869">
            <w:pPr>
              <w:rPr>
                <w:rFonts w:ascii="Arial" w:hAnsi="Arial" w:cs="Arial"/>
                <w:b/>
                <w:bCs/>
                <w:color w:val="000000"/>
              </w:rPr>
            </w:pPr>
            <w:r w:rsidRPr="000A643A">
              <w:rPr>
                <w:rFonts w:ascii="Arial" w:hAnsi="Arial" w:cs="Arial"/>
                <w:b/>
                <w:bCs/>
                <w:color w:val="000000"/>
              </w:rPr>
              <w:t>LIABILITIES</w:t>
            </w:r>
          </w:p>
        </w:tc>
        <w:tc>
          <w:tcPr>
            <w:tcW w:w="1707" w:type="dxa"/>
            <w:tcBorders>
              <w:top w:val="nil"/>
              <w:left w:val="nil"/>
              <w:bottom w:val="nil"/>
              <w:right w:val="nil"/>
            </w:tcBorders>
            <w:shd w:val="clear" w:color="auto" w:fill="auto"/>
            <w:noWrap/>
            <w:vAlign w:val="center"/>
            <w:hideMark/>
          </w:tcPr>
          <w:p w14:paraId="1BE40EFE" w14:textId="77777777" w:rsidR="004B6869" w:rsidRPr="000A643A" w:rsidRDefault="004B6869" w:rsidP="004B6869">
            <w:pPr>
              <w:jc w:val="right"/>
              <w:rPr>
                <w:rFonts w:ascii="Arial" w:hAnsi="Arial" w:cs="Arial"/>
                <w:b/>
                <w:bCs/>
                <w:color w:val="000000"/>
              </w:rPr>
            </w:pPr>
          </w:p>
        </w:tc>
        <w:tc>
          <w:tcPr>
            <w:tcW w:w="1530" w:type="dxa"/>
            <w:tcBorders>
              <w:top w:val="nil"/>
              <w:left w:val="nil"/>
              <w:bottom w:val="nil"/>
              <w:right w:val="nil"/>
            </w:tcBorders>
            <w:shd w:val="clear" w:color="auto" w:fill="auto"/>
            <w:noWrap/>
            <w:vAlign w:val="center"/>
            <w:hideMark/>
          </w:tcPr>
          <w:p w14:paraId="3F4A05E2" w14:textId="77777777" w:rsidR="004B6869" w:rsidRPr="000A643A" w:rsidRDefault="004B6869" w:rsidP="004B6869">
            <w:pPr>
              <w:jc w:val="right"/>
              <w:rPr>
                <w:rFonts w:ascii="Arial" w:hAnsi="Arial" w:cs="Arial"/>
              </w:rPr>
            </w:pPr>
          </w:p>
        </w:tc>
      </w:tr>
      <w:tr w:rsidR="004B6869" w:rsidRPr="000A643A" w14:paraId="0244FF23" w14:textId="77777777" w:rsidTr="00BC311C">
        <w:trPr>
          <w:trHeight w:val="70"/>
        </w:trPr>
        <w:tc>
          <w:tcPr>
            <w:tcW w:w="6123" w:type="dxa"/>
            <w:tcBorders>
              <w:top w:val="nil"/>
              <w:left w:val="nil"/>
              <w:bottom w:val="nil"/>
              <w:right w:val="nil"/>
            </w:tcBorders>
            <w:shd w:val="clear" w:color="auto" w:fill="auto"/>
            <w:noWrap/>
            <w:vAlign w:val="center"/>
            <w:hideMark/>
          </w:tcPr>
          <w:p w14:paraId="7BFFD8C5" w14:textId="6F4CFF5C" w:rsidR="004B6869" w:rsidRPr="000A643A" w:rsidRDefault="004B6869" w:rsidP="00986E82">
            <w:pPr>
              <w:rPr>
                <w:rFonts w:ascii="Arial" w:hAnsi="Arial" w:cs="Arial"/>
                <w:color w:val="000000"/>
              </w:rPr>
            </w:pPr>
            <w:r w:rsidRPr="000A643A">
              <w:rPr>
                <w:rFonts w:ascii="Arial" w:hAnsi="Arial" w:cs="Arial"/>
                <w:color w:val="000000"/>
              </w:rPr>
              <w:t xml:space="preserve">Debt on properties </w:t>
            </w:r>
          </w:p>
        </w:tc>
        <w:tc>
          <w:tcPr>
            <w:tcW w:w="1707" w:type="dxa"/>
            <w:tcBorders>
              <w:top w:val="nil"/>
              <w:left w:val="nil"/>
              <w:bottom w:val="nil"/>
              <w:right w:val="nil"/>
            </w:tcBorders>
            <w:shd w:val="clear" w:color="auto" w:fill="auto"/>
            <w:noWrap/>
            <w:vAlign w:val="center"/>
            <w:hideMark/>
          </w:tcPr>
          <w:p w14:paraId="212C0869" w14:textId="6DA26639" w:rsidR="004B6869" w:rsidRPr="000A643A" w:rsidRDefault="004B6869" w:rsidP="004B6869">
            <w:pPr>
              <w:jc w:val="right"/>
              <w:rPr>
                <w:rFonts w:ascii="Arial" w:hAnsi="Arial" w:cs="Arial"/>
                <w:b/>
                <w:bCs/>
                <w:color w:val="000000"/>
              </w:rPr>
            </w:pPr>
            <w:r w:rsidRPr="000A643A">
              <w:rPr>
                <w:rFonts w:ascii="Arial" w:hAnsi="Arial" w:cs="Arial"/>
                <w:b/>
                <w:bCs/>
                <w:color w:val="000000"/>
              </w:rPr>
              <w:t>$46,260,126</w:t>
            </w:r>
          </w:p>
        </w:tc>
        <w:tc>
          <w:tcPr>
            <w:tcW w:w="1530" w:type="dxa"/>
            <w:tcBorders>
              <w:top w:val="nil"/>
              <w:left w:val="nil"/>
              <w:bottom w:val="nil"/>
              <w:right w:val="nil"/>
            </w:tcBorders>
            <w:shd w:val="clear" w:color="auto" w:fill="auto"/>
            <w:noWrap/>
            <w:vAlign w:val="center"/>
            <w:hideMark/>
          </w:tcPr>
          <w:p w14:paraId="35C5D9E5" w14:textId="6984105A" w:rsidR="004B6869" w:rsidRPr="000A643A" w:rsidRDefault="004B6869" w:rsidP="004B6869">
            <w:pPr>
              <w:jc w:val="right"/>
              <w:rPr>
                <w:rFonts w:ascii="Arial" w:hAnsi="Arial" w:cs="Arial"/>
                <w:color w:val="000000"/>
              </w:rPr>
            </w:pPr>
            <w:r w:rsidRPr="000A643A">
              <w:rPr>
                <w:rFonts w:ascii="Arial" w:hAnsi="Arial" w:cs="Arial"/>
                <w:color w:val="000000"/>
              </w:rPr>
              <w:t>$43,663,102</w:t>
            </w:r>
          </w:p>
        </w:tc>
      </w:tr>
      <w:tr w:rsidR="004B6869" w:rsidRPr="000A643A" w14:paraId="0A58B5F9" w14:textId="77777777" w:rsidTr="00BC311C">
        <w:trPr>
          <w:trHeight w:val="70"/>
        </w:trPr>
        <w:tc>
          <w:tcPr>
            <w:tcW w:w="6123" w:type="dxa"/>
            <w:tcBorders>
              <w:top w:val="nil"/>
              <w:left w:val="nil"/>
              <w:bottom w:val="nil"/>
              <w:right w:val="nil"/>
            </w:tcBorders>
            <w:shd w:val="clear" w:color="auto" w:fill="auto"/>
            <w:noWrap/>
            <w:vAlign w:val="center"/>
            <w:hideMark/>
          </w:tcPr>
          <w:p w14:paraId="2BFC8622" w14:textId="77ED625B" w:rsidR="004B6869" w:rsidRPr="000A643A" w:rsidRDefault="004B6869" w:rsidP="004B6869">
            <w:pPr>
              <w:rPr>
                <w:rFonts w:ascii="Arial" w:hAnsi="Arial" w:cs="Arial"/>
                <w:color w:val="000000"/>
              </w:rPr>
            </w:pPr>
            <w:r w:rsidRPr="000A643A">
              <w:rPr>
                <w:rFonts w:ascii="Arial" w:hAnsi="Arial" w:cs="Arial"/>
                <w:color w:val="000000"/>
              </w:rPr>
              <w:t>Deferred revenue and tenants</w:t>
            </w:r>
            <w:r w:rsidR="00FA6802">
              <w:rPr>
                <w:rFonts w:ascii="Arial" w:hAnsi="Arial" w:cs="Arial"/>
                <w:color w:val="000000"/>
              </w:rPr>
              <w:t>’</w:t>
            </w:r>
            <w:r w:rsidRPr="000A643A">
              <w:rPr>
                <w:rFonts w:ascii="Arial" w:hAnsi="Arial" w:cs="Arial"/>
                <w:color w:val="000000"/>
              </w:rPr>
              <w:t xml:space="preserve"> deposits</w:t>
            </w:r>
          </w:p>
        </w:tc>
        <w:tc>
          <w:tcPr>
            <w:tcW w:w="1707" w:type="dxa"/>
            <w:tcBorders>
              <w:top w:val="nil"/>
              <w:left w:val="nil"/>
              <w:bottom w:val="nil"/>
              <w:right w:val="nil"/>
            </w:tcBorders>
            <w:shd w:val="clear" w:color="auto" w:fill="auto"/>
            <w:noWrap/>
            <w:vAlign w:val="center"/>
            <w:hideMark/>
          </w:tcPr>
          <w:p w14:paraId="11B28479"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669,976</w:t>
            </w:r>
          </w:p>
        </w:tc>
        <w:tc>
          <w:tcPr>
            <w:tcW w:w="1530" w:type="dxa"/>
            <w:tcBorders>
              <w:top w:val="nil"/>
              <w:left w:val="nil"/>
              <w:bottom w:val="nil"/>
              <w:right w:val="nil"/>
            </w:tcBorders>
            <w:shd w:val="clear" w:color="auto" w:fill="auto"/>
            <w:noWrap/>
            <w:vAlign w:val="center"/>
            <w:hideMark/>
          </w:tcPr>
          <w:p w14:paraId="3694ED19" w14:textId="77777777" w:rsidR="004B6869" w:rsidRPr="000A643A" w:rsidRDefault="004B6869" w:rsidP="004B6869">
            <w:pPr>
              <w:jc w:val="right"/>
              <w:rPr>
                <w:rFonts w:ascii="Arial" w:hAnsi="Arial" w:cs="Arial"/>
                <w:color w:val="000000"/>
              </w:rPr>
            </w:pPr>
            <w:r w:rsidRPr="000A643A">
              <w:rPr>
                <w:rFonts w:ascii="Arial" w:hAnsi="Arial" w:cs="Arial"/>
                <w:color w:val="000000"/>
              </w:rPr>
              <w:t>854,074</w:t>
            </w:r>
          </w:p>
        </w:tc>
      </w:tr>
      <w:tr w:rsidR="004B6869" w:rsidRPr="000A643A" w14:paraId="341C1970" w14:textId="77777777" w:rsidTr="00BC311C">
        <w:trPr>
          <w:trHeight w:val="70"/>
        </w:trPr>
        <w:tc>
          <w:tcPr>
            <w:tcW w:w="6123" w:type="dxa"/>
            <w:tcBorders>
              <w:top w:val="nil"/>
              <w:left w:val="nil"/>
              <w:bottom w:val="nil"/>
              <w:right w:val="nil"/>
            </w:tcBorders>
            <w:shd w:val="clear" w:color="auto" w:fill="auto"/>
            <w:noWrap/>
            <w:vAlign w:val="center"/>
            <w:hideMark/>
          </w:tcPr>
          <w:p w14:paraId="0849B56D" w14:textId="68E339AA" w:rsidR="004B6869" w:rsidRPr="000A643A" w:rsidRDefault="004B6869" w:rsidP="00986E82">
            <w:pPr>
              <w:rPr>
                <w:rFonts w:ascii="Arial" w:hAnsi="Arial" w:cs="Arial"/>
                <w:color w:val="000000"/>
              </w:rPr>
            </w:pPr>
            <w:r w:rsidRPr="000A643A">
              <w:rPr>
                <w:rFonts w:ascii="Arial" w:hAnsi="Arial" w:cs="Arial"/>
                <w:color w:val="000000"/>
              </w:rPr>
              <w:t>Deferred income taxes</w:t>
            </w:r>
          </w:p>
        </w:tc>
        <w:tc>
          <w:tcPr>
            <w:tcW w:w="1707" w:type="dxa"/>
            <w:tcBorders>
              <w:top w:val="nil"/>
              <w:left w:val="nil"/>
              <w:bottom w:val="nil"/>
              <w:right w:val="nil"/>
            </w:tcBorders>
            <w:shd w:val="clear" w:color="auto" w:fill="auto"/>
            <w:noWrap/>
            <w:vAlign w:val="center"/>
            <w:hideMark/>
          </w:tcPr>
          <w:p w14:paraId="0EC1D145"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10,654,160</w:t>
            </w:r>
          </w:p>
        </w:tc>
        <w:tc>
          <w:tcPr>
            <w:tcW w:w="1530" w:type="dxa"/>
            <w:tcBorders>
              <w:top w:val="nil"/>
              <w:left w:val="nil"/>
              <w:bottom w:val="nil"/>
              <w:right w:val="nil"/>
            </w:tcBorders>
            <w:shd w:val="clear" w:color="auto" w:fill="auto"/>
            <w:noWrap/>
            <w:vAlign w:val="center"/>
            <w:hideMark/>
          </w:tcPr>
          <w:p w14:paraId="7BC0F24B" w14:textId="77777777" w:rsidR="004B6869" w:rsidRPr="000A643A" w:rsidRDefault="004B6869" w:rsidP="004B6869">
            <w:pPr>
              <w:jc w:val="right"/>
              <w:rPr>
                <w:rFonts w:ascii="Arial" w:hAnsi="Arial" w:cs="Arial"/>
                <w:color w:val="000000"/>
              </w:rPr>
            </w:pPr>
            <w:r w:rsidRPr="000A643A">
              <w:rPr>
                <w:rFonts w:ascii="Arial" w:hAnsi="Arial" w:cs="Arial"/>
                <w:color w:val="000000"/>
              </w:rPr>
              <w:t>9,928,603</w:t>
            </w:r>
          </w:p>
        </w:tc>
      </w:tr>
      <w:tr w:rsidR="004B6869" w:rsidRPr="000A643A" w14:paraId="68DC0EF7" w14:textId="77777777" w:rsidTr="002944BA">
        <w:trPr>
          <w:trHeight w:val="70"/>
        </w:trPr>
        <w:tc>
          <w:tcPr>
            <w:tcW w:w="6123" w:type="dxa"/>
            <w:tcBorders>
              <w:top w:val="nil"/>
              <w:left w:val="nil"/>
              <w:right w:val="nil"/>
            </w:tcBorders>
            <w:shd w:val="clear" w:color="auto" w:fill="auto"/>
            <w:noWrap/>
            <w:vAlign w:val="center"/>
            <w:hideMark/>
          </w:tcPr>
          <w:p w14:paraId="3508B0A2" w14:textId="77777777" w:rsidR="004B6869" w:rsidRPr="000A643A" w:rsidRDefault="004B6869" w:rsidP="004B6869">
            <w:pPr>
              <w:rPr>
                <w:rFonts w:ascii="Arial" w:hAnsi="Arial" w:cs="Arial"/>
                <w:color w:val="000000"/>
              </w:rPr>
            </w:pPr>
            <w:r w:rsidRPr="000A643A">
              <w:rPr>
                <w:rFonts w:ascii="Arial" w:hAnsi="Arial" w:cs="Arial"/>
                <w:color w:val="000000"/>
              </w:rPr>
              <w:t>Income taxes payable</w:t>
            </w:r>
          </w:p>
        </w:tc>
        <w:tc>
          <w:tcPr>
            <w:tcW w:w="1707" w:type="dxa"/>
            <w:tcBorders>
              <w:top w:val="nil"/>
              <w:left w:val="nil"/>
              <w:bottom w:val="nil"/>
              <w:right w:val="nil"/>
            </w:tcBorders>
            <w:shd w:val="clear" w:color="auto" w:fill="auto"/>
            <w:noWrap/>
            <w:vAlign w:val="center"/>
            <w:hideMark/>
          </w:tcPr>
          <w:p w14:paraId="296D139D"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1,842,934</w:t>
            </w:r>
          </w:p>
        </w:tc>
        <w:tc>
          <w:tcPr>
            <w:tcW w:w="1530" w:type="dxa"/>
            <w:tcBorders>
              <w:top w:val="nil"/>
              <w:left w:val="nil"/>
              <w:bottom w:val="nil"/>
              <w:right w:val="nil"/>
            </w:tcBorders>
            <w:shd w:val="clear" w:color="auto" w:fill="auto"/>
            <w:noWrap/>
            <w:vAlign w:val="center"/>
            <w:hideMark/>
          </w:tcPr>
          <w:p w14:paraId="17927696" w14:textId="77777777" w:rsidR="004B6869" w:rsidRPr="000A643A" w:rsidRDefault="004B6869" w:rsidP="004B6869">
            <w:pPr>
              <w:jc w:val="right"/>
              <w:rPr>
                <w:rFonts w:ascii="Arial" w:hAnsi="Arial" w:cs="Arial"/>
                <w:color w:val="000000"/>
              </w:rPr>
            </w:pPr>
            <w:r w:rsidRPr="000A643A">
              <w:rPr>
                <w:rFonts w:ascii="Arial" w:hAnsi="Arial" w:cs="Arial"/>
                <w:color w:val="000000"/>
              </w:rPr>
              <w:t>32,827</w:t>
            </w:r>
          </w:p>
        </w:tc>
      </w:tr>
      <w:tr w:rsidR="004B6869" w:rsidRPr="000A643A" w14:paraId="74679DDA" w14:textId="77777777" w:rsidTr="002944BA">
        <w:trPr>
          <w:trHeight w:val="70"/>
        </w:trPr>
        <w:tc>
          <w:tcPr>
            <w:tcW w:w="6123" w:type="dxa"/>
            <w:tcBorders>
              <w:top w:val="nil"/>
              <w:left w:val="nil"/>
              <w:right w:val="nil"/>
            </w:tcBorders>
            <w:shd w:val="clear" w:color="auto" w:fill="auto"/>
            <w:noWrap/>
            <w:vAlign w:val="center"/>
            <w:hideMark/>
          </w:tcPr>
          <w:p w14:paraId="5D36F597" w14:textId="77777777" w:rsidR="004B6869" w:rsidRPr="000A643A" w:rsidRDefault="004B6869" w:rsidP="004B6869">
            <w:pPr>
              <w:rPr>
                <w:rFonts w:ascii="Arial" w:hAnsi="Arial" w:cs="Arial"/>
                <w:color w:val="000000"/>
              </w:rPr>
            </w:pPr>
            <w:r w:rsidRPr="000A643A">
              <w:rPr>
                <w:rFonts w:ascii="Arial" w:hAnsi="Arial" w:cs="Arial"/>
                <w:color w:val="000000"/>
              </w:rPr>
              <w:t>Accounts payable and accrued liabilities</w:t>
            </w:r>
          </w:p>
        </w:tc>
        <w:tc>
          <w:tcPr>
            <w:tcW w:w="1707" w:type="dxa"/>
            <w:tcBorders>
              <w:top w:val="nil"/>
              <w:left w:val="nil"/>
              <w:bottom w:val="single" w:sz="4" w:space="0" w:color="auto"/>
              <w:right w:val="nil"/>
            </w:tcBorders>
            <w:shd w:val="clear" w:color="auto" w:fill="auto"/>
            <w:noWrap/>
            <w:vAlign w:val="center"/>
            <w:hideMark/>
          </w:tcPr>
          <w:p w14:paraId="20789639"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604,274</w:t>
            </w:r>
          </w:p>
        </w:tc>
        <w:tc>
          <w:tcPr>
            <w:tcW w:w="1530" w:type="dxa"/>
            <w:tcBorders>
              <w:top w:val="nil"/>
              <w:left w:val="nil"/>
              <w:bottom w:val="single" w:sz="4" w:space="0" w:color="auto"/>
              <w:right w:val="nil"/>
            </w:tcBorders>
            <w:shd w:val="clear" w:color="auto" w:fill="auto"/>
            <w:noWrap/>
            <w:vAlign w:val="center"/>
            <w:hideMark/>
          </w:tcPr>
          <w:p w14:paraId="08EC82EE" w14:textId="77777777" w:rsidR="004B6869" w:rsidRPr="000A643A" w:rsidRDefault="004B6869" w:rsidP="004B6869">
            <w:pPr>
              <w:jc w:val="right"/>
              <w:rPr>
                <w:rFonts w:ascii="Arial" w:hAnsi="Arial" w:cs="Arial"/>
                <w:color w:val="000000"/>
              </w:rPr>
            </w:pPr>
            <w:r w:rsidRPr="000A643A">
              <w:rPr>
                <w:rFonts w:ascii="Arial" w:hAnsi="Arial" w:cs="Arial"/>
                <w:color w:val="000000"/>
              </w:rPr>
              <w:t>849,241</w:t>
            </w:r>
          </w:p>
        </w:tc>
      </w:tr>
      <w:tr w:rsidR="004B6869" w:rsidRPr="000A643A" w14:paraId="44D2D401" w14:textId="77777777" w:rsidTr="002944BA">
        <w:trPr>
          <w:trHeight w:val="60"/>
        </w:trPr>
        <w:tc>
          <w:tcPr>
            <w:tcW w:w="6123" w:type="dxa"/>
            <w:tcBorders>
              <w:left w:val="nil"/>
              <w:right w:val="nil"/>
            </w:tcBorders>
            <w:shd w:val="clear" w:color="auto" w:fill="auto"/>
            <w:noWrap/>
            <w:vAlign w:val="center"/>
            <w:hideMark/>
          </w:tcPr>
          <w:p w14:paraId="461FB9A4" w14:textId="19FB1A67" w:rsidR="004B6869" w:rsidRPr="000A643A" w:rsidRDefault="00243097" w:rsidP="004B6869">
            <w:pPr>
              <w:rPr>
                <w:rFonts w:ascii="Arial" w:hAnsi="Arial" w:cs="Arial"/>
                <w:color w:val="000000"/>
              </w:rPr>
            </w:pPr>
            <w:r>
              <w:rPr>
                <w:rFonts w:ascii="Arial" w:hAnsi="Arial" w:cs="Arial"/>
                <w:color w:val="000000"/>
              </w:rPr>
              <w:t xml:space="preserve"> </w:t>
            </w:r>
          </w:p>
        </w:tc>
        <w:tc>
          <w:tcPr>
            <w:tcW w:w="1707" w:type="dxa"/>
            <w:tcBorders>
              <w:top w:val="single" w:sz="4" w:space="0" w:color="auto"/>
              <w:left w:val="nil"/>
              <w:bottom w:val="double" w:sz="4" w:space="0" w:color="auto"/>
              <w:right w:val="nil"/>
            </w:tcBorders>
            <w:shd w:val="clear" w:color="auto" w:fill="auto"/>
            <w:noWrap/>
            <w:vAlign w:val="center"/>
            <w:hideMark/>
          </w:tcPr>
          <w:p w14:paraId="4A21B5C0" w14:textId="77777777" w:rsidR="004B6869" w:rsidRPr="000A643A" w:rsidRDefault="004B6869" w:rsidP="004B6869">
            <w:pPr>
              <w:jc w:val="right"/>
              <w:rPr>
                <w:rFonts w:ascii="Arial" w:hAnsi="Arial" w:cs="Arial"/>
                <w:b/>
                <w:bCs/>
                <w:color w:val="000000"/>
              </w:rPr>
            </w:pPr>
            <w:r w:rsidRPr="000A643A">
              <w:rPr>
                <w:rFonts w:ascii="Arial" w:hAnsi="Arial" w:cs="Arial"/>
                <w:b/>
                <w:bCs/>
                <w:color w:val="000000"/>
              </w:rPr>
              <w:t>60,031,470</w:t>
            </w:r>
          </w:p>
        </w:tc>
        <w:tc>
          <w:tcPr>
            <w:tcW w:w="1530" w:type="dxa"/>
            <w:tcBorders>
              <w:top w:val="single" w:sz="4" w:space="0" w:color="auto"/>
              <w:left w:val="nil"/>
              <w:bottom w:val="double" w:sz="4" w:space="0" w:color="auto"/>
              <w:right w:val="nil"/>
            </w:tcBorders>
            <w:shd w:val="clear" w:color="auto" w:fill="auto"/>
            <w:noWrap/>
            <w:vAlign w:val="center"/>
            <w:hideMark/>
          </w:tcPr>
          <w:p w14:paraId="46F1C9AD" w14:textId="77777777" w:rsidR="004B6869" w:rsidRPr="000A643A" w:rsidRDefault="004B6869" w:rsidP="004B6869">
            <w:pPr>
              <w:jc w:val="right"/>
              <w:rPr>
                <w:rFonts w:ascii="Arial" w:hAnsi="Arial" w:cs="Arial"/>
                <w:color w:val="000000"/>
              </w:rPr>
            </w:pPr>
            <w:r w:rsidRPr="000A643A">
              <w:rPr>
                <w:rFonts w:ascii="Arial" w:hAnsi="Arial" w:cs="Arial"/>
                <w:color w:val="000000"/>
              </w:rPr>
              <w:t>55,327,847</w:t>
            </w:r>
          </w:p>
        </w:tc>
      </w:tr>
      <w:tr w:rsidR="004B6869" w:rsidRPr="000A643A" w14:paraId="680EC9B4" w14:textId="77777777" w:rsidTr="002944BA">
        <w:trPr>
          <w:trHeight w:val="60"/>
        </w:trPr>
        <w:tc>
          <w:tcPr>
            <w:tcW w:w="6123" w:type="dxa"/>
            <w:tcBorders>
              <w:left w:val="nil"/>
              <w:bottom w:val="nil"/>
              <w:right w:val="nil"/>
            </w:tcBorders>
            <w:shd w:val="clear" w:color="auto" w:fill="auto"/>
            <w:noWrap/>
            <w:vAlign w:val="center"/>
            <w:hideMark/>
          </w:tcPr>
          <w:p w14:paraId="671C0241" w14:textId="77777777" w:rsidR="004B6869" w:rsidRPr="000A643A" w:rsidRDefault="004B6869" w:rsidP="004B6869">
            <w:pPr>
              <w:jc w:val="right"/>
              <w:rPr>
                <w:rFonts w:ascii="Arial" w:hAnsi="Arial" w:cs="Arial"/>
                <w:color w:val="000000"/>
              </w:rPr>
            </w:pPr>
          </w:p>
        </w:tc>
        <w:tc>
          <w:tcPr>
            <w:tcW w:w="1707" w:type="dxa"/>
            <w:tcBorders>
              <w:top w:val="double" w:sz="4" w:space="0" w:color="auto"/>
              <w:left w:val="nil"/>
              <w:bottom w:val="nil"/>
              <w:right w:val="nil"/>
            </w:tcBorders>
            <w:shd w:val="clear" w:color="auto" w:fill="auto"/>
            <w:noWrap/>
            <w:vAlign w:val="center"/>
            <w:hideMark/>
          </w:tcPr>
          <w:p w14:paraId="388F53ED" w14:textId="77777777" w:rsidR="004B6869" w:rsidRPr="000A643A" w:rsidRDefault="004B6869" w:rsidP="004B6869">
            <w:pPr>
              <w:jc w:val="right"/>
              <w:rPr>
                <w:rFonts w:ascii="Arial" w:hAnsi="Arial" w:cs="Arial"/>
              </w:rPr>
            </w:pPr>
          </w:p>
        </w:tc>
        <w:tc>
          <w:tcPr>
            <w:tcW w:w="1530" w:type="dxa"/>
            <w:tcBorders>
              <w:top w:val="double" w:sz="4" w:space="0" w:color="auto"/>
              <w:left w:val="nil"/>
              <w:bottom w:val="nil"/>
              <w:right w:val="nil"/>
            </w:tcBorders>
            <w:shd w:val="clear" w:color="auto" w:fill="auto"/>
            <w:noWrap/>
            <w:vAlign w:val="center"/>
            <w:hideMark/>
          </w:tcPr>
          <w:p w14:paraId="4E1DCB58" w14:textId="77777777" w:rsidR="004B6869" w:rsidRPr="000A643A" w:rsidRDefault="004B6869" w:rsidP="004B6869">
            <w:pPr>
              <w:jc w:val="right"/>
              <w:rPr>
                <w:rFonts w:ascii="Arial" w:hAnsi="Arial" w:cs="Arial"/>
              </w:rPr>
            </w:pPr>
          </w:p>
        </w:tc>
      </w:tr>
      <w:tr w:rsidR="004B6869" w:rsidRPr="000A643A" w14:paraId="7F010384" w14:textId="77777777" w:rsidTr="00BC311C">
        <w:trPr>
          <w:trHeight w:val="70"/>
        </w:trPr>
        <w:tc>
          <w:tcPr>
            <w:tcW w:w="6123" w:type="dxa"/>
            <w:tcBorders>
              <w:top w:val="nil"/>
              <w:left w:val="nil"/>
              <w:bottom w:val="nil"/>
              <w:right w:val="nil"/>
            </w:tcBorders>
            <w:shd w:val="clear" w:color="auto" w:fill="auto"/>
            <w:noWrap/>
            <w:vAlign w:val="center"/>
            <w:hideMark/>
          </w:tcPr>
          <w:p w14:paraId="1A5CFD52" w14:textId="70280B4B" w:rsidR="004B6869" w:rsidRPr="000A643A" w:rsidRDefault="004B6869" w:rsidP="00986E82">
            <w:pPr>
              <w:rPr>
                <w:rFonts w:ascii="Arial" w:hAnsi="Arial" w:cs="Arial"/>
                <w:color w:val="000000"/>
              </w:rPr>
            </w:pPr>
            <w:r w:rsidRPr="000A643A">
              <w:rPr>
                <w:rFonts w:ascii="Arial" w:hAnsi="Arial" w:cs="Arial"/>
                <w:color w:val="000000"/>
              </w:rPr>
              <w:t xml:space="preserve">Contingencies </w:t>
            </w:r>
          </w:p>
        </w:tc>
        <w:tc>
          <w:tcPr>
            <w:tcW w:w="1707" w:type="dxa"/>
            <w:tcBorders>
              <w:top w:val="nil"/>
              <w:left w:val="nil"/>
              <w:bottom w:val="nil"/>
              <w:right w:val="nil"/>
            </w:tcBorders>
            <w:shd w:val="clear" w:color="auto" w:fill="auto"/>
            <w:noWrap/>
            <w:vAlign w:val="center"/>
            <w:hideMark/>
          </w:tcPr>
          <w:p w14:paraId="7C6F0116" w14:textId="77777777" w:rsidR="004B6869" w:rsidRPr="000A643A" w:rsidRDefault="004B6869" w:rsidP="004B6869">
            <w:pPr>
              <w:jc w:val="right"/>
              <w:rPr>
                <w:rFonts w:ascii="Arial" w:hAnsi="Arial" w:cs="Arial"/>
                <w:color w:val="000000"/>
              </w:rPr>
            </w:pPr>
          </w:p>
        </w:tc>
        <w:tc>
          <w:tcPr>
            <w:tcW w:w="1530" w:type="dxa"/>
            <w:tcBorders>
              <w:top w:val="nil"/>
              <w:left w:val="nil"/>
              <w:bottom w:val="nil"/>
              <w:right w:val="nil"/>
            </w:tcBorders>
            <w:shd w:val="clear" w:color="auto" w:fill="auto"/>
            <w:noWrap/>
            <w:vAlign w:val="center"/>
            <w:hideMark/>
          </w:tcPr>
          <w:p w14:paraId="401BA11F" w14:textId="77777777" w:rsidR="004B6869" w:rsidRPr="000A643A" w:rsidRDefault="004B6869" w:rsidP="004B6869">
            <w:pPr>
              <w:jc w:val="right"/>
              <w:rPr>
                <w:rFonts w:ascii="Arial" w:hAnsi="Arial" w:cs="Arial"/>
              </w:rPr>
            </w:pPr>
          </w:p>
        </w:tc>
      </w:tr>
      <w:tr w:rsidR="004B6869" w:rsidRPr="000A643A" w14:paraId="20ECA104" w14:textId="77777777" w:rsidTr="002944BA">
        <w:trPr>
          <w:trHeight w:val="70"/>
        </w:trPr>
        <w:tc>
          <w:tcPr>
            <w:tcW w:w="6123" w:type="dxa"/>
            <w:tcBorders>
              <w:top w:val="nil"/>
              <w:left w:val="nil"/>
              <w:right w:val="nil"/>
            </w:tcBorders>
            <w:shd w:val="clear" w:color="auto" w:fill="auto"/>
            <w:noWrap/>
            <w:vAlign w:val="center"/>
            <w:hideMark/>
          </w:tcPr>
          <w:p w14:paraId="64F0D650" w14:textId="77777777" w:rsidR="004B6869" w:rsidRPr="000A643A" w:rsidRDefault="004B6869" w:rsidP="004B6869">
            <w:pPr>
              <w:rPr>
                <w:rFonts w:ascii="Arial" w:hAnsi="Arial" w:cs="Arial"/>
              </w:rPr>
            </w:pPr>
          </w:p>
        </w:tc>
        <w:tc>
          <w:tcPr>
            <w:tcW w:w="1707" w:type="dxa"/>
            <w:tcBorders>
              <w:top w:val="nil"/>
              <w:left w:val="nil"/>
              <w:bottom w:val="nil"/>
              <w:right w:val="nil"/>
            </w:tcBorders>
            <w:shd w:val="clear" w:color="auto" w:fill="auto"/>
            <w:noWrap/>
            <w:vAlign w:val="center"/>
            <w:hideMark/>
          </w:tcPr>
          <w:p w14:paraId="065AA28B" w14:textId="77777777" w:rsidR="004B6869" w:rsidRPr="000A643A" w:rsidRDefault="004B6869" w:rsidP="004B6869">
            <w:pPr>
              <w:jc w:val="right"/>
              <w:rPr>
                <w:rFonts w:ascii="Arial" w:hAnsi="Arial" w:cs="Arial"/>
              </w:rPr>
            </w:pPr>
          </w:p>
        </w:tc>
        <w:tc>
          <w:tcPr>
            <w:tcW w:w="1530" w:type="dxa"/>
            <w:tcBorders>
              <w:top w:val="nil"/>
              <w:left w:val="nil"/>
              <w:bottom w:val="nil"/>
              <w:right w:val="nil"/>
            </w:tcBorders>
            <w:shd w:val="clear" w:color="auto" w:fill="auto"/>
            <w:noWrap/>
            <w:vAlign w:val="center"/>
            <w:hideMark/>
          </w:tcPr>
          <w:p w14:paraId="344A4959" w14:textId="77777777" w:rsidR="004B6869" w:rsidRPr="000A643A" w:rsidRDefault="004B6869" w:rsidP="004B6869">
            <w:pPr>
              <w:jc w:val="right"/>
              <w:rPr>
                <w:rFonts w:ascii="Arial" w:hAnsi="Arial" w:cs="Arial"/>
              </w:rPr>
            </w:pPr>
          </w:p>
        </w:tc>
      </w:tr>
      <w:tr w:rsidR="004B6869" w:rsidRPr="000A643A" w14:paraId="69FFB0E7" w14:textId="77777777" w:rsidTr="002944BA">
        <w:trPr>
          <w:trHeight w:val="70"/>
        </w:trPr>
        <w:tc>
          <w:tcPr>
            <w:tcW w:w="6123" w:type="dxa"/>
            <w:tcBorders>
              <w:top w:val="nil"/>
              <w:left w:val="nil"/>
              <w:right w:val="nil"/>
            </w:tcBorders>
            <w:shd w:val="clear" w:color="auto" w:fill="auto"/>
            <w:noWrap/>
            <w:vAlign w:val="center"/>
            <w:hideMark/>
          </w:tcPr>
          <w:p w14:paraId="30E9ED72" w14:textId="4B462299" w:rsidR="004B6869" w:rsidRPr="000A643A" w:rsidRDefault="004B6869" w:rsidP="004B6869">
            <w:pPr>
              <w:rPr>
                <w:rFonts w:ascii="Arial" w:hAnsi="Arial" w:cs="Arial"/>
                <w:b/>
                <w:bCs/>
                <w:color w:val="000000"/>
              </w:rPr>
            </w:pPr>
            <w:r w:rsidRPr="000A643A">
              <w:rPr>
                <w:rFonts w:ascii="Arial" w:hAnsi="Arial" w:cs="Arial"/>
                <w:b/>
                <w:bCs/>
                <w:color w:val="000000"/>
              </w:rPr>
              <w:t>SHAREHOLDERS</w:t>
            </w:r>
            <w:r w:rsidR="00B249BA">
              <w:rPr>
                <w:rFonts w:ascii="Arial" w:hAnsi="Arial" w:cs="Arial"/>
                <w:b/>
                <w:bCs/>
                <w:color w:val="000000"/>
              </w:rPr>
              <w:t>’</w:t>
            </w:r>
            <w:r w:rsidRPr="000A643A">
              <w:rPr>
                <w:rFonts w:ascii="Arial" w:hAnsi="Arial" w:cs="Arial"/>
                <w:b/>
                <w:bCs/>
                <w:color w:val="000000"/>
              </w:rPr>
              <w:t xml:space="preserve"> EQUITY</w:t>
            </w:r>
          </w:p>
        </w:tc>
        <w:tc>
          <w:tcPr>
            <w:tcW w:w="1707" w:type="dxa"/>
            <w:tcBorders>
              <w:top w:val="nil"/>
              <w:left w:val="nil"/>
              <w:bottom w:val="nil"/>
              <w:right w:val="nil"/>
            </w:tcBorders>
            <w:shd w:val="clear" w:color="auto" w:fill="auto"/>
            <w:noWrap/>
            <w:vAlign w:val="center"/>
            <w:hideMark/>
          </w:tcPr>
          <w:p w14:paraId="194703D6" w14:textId="3B4A4E45" w:rsidR="004B6869" w:rsidRPr="000A643A" w:rsidRDefault="004B6869" w:rsidP="004B6869">
            <w:pPr>
              <w:jc w:val="right"/>
              <w:rPr>
                <w:rFonts w:ascii="Arial" w:hAnsi="Arial" w:cs="Arial"/>
                <w:b/>
                <w:bCs/>
                <w:color w:val="000000"/>
              </w:rPr>
            </w:pPr>
            <w:r w:rsidRPr="000A643A">
              <w:rPr>
                <w:rFonts w:ascii="Arial" w:hAnsi="Arial" w:cs="Arial"/>
                <w:b/>
                <w:bCs/>
                <w:color w:val="000000"/>
              </w:rPr>
              <w:t>63,807,</w:t>
            </w:r>
            <w:r w:rsidR="00995D6D">
              <w:rPr>
                <w:rFonts w:ascii="Arial" w:hAnsi="Arial" w:cs="Arial"/>
                <w:b/>
                <w:bCs/>
                <w:color w:val="000000"/>
              </w:rPr>
              <w:t>692</w:t>
            </w:r>
          </w:p>
        </w:tc>
        <w:tc>
          <w:tcPr>
            <w:tcW w:w="1530" w:type="dxa"/>
            <w:tcBorders>
              <w:top w:val="nil"/>
              <w:left w:val="nil"/>
              <w:bottom w:val="nil"/>
              <w:right w:val="nil"/>
            </w:tcBorders>
            <w:shd w:val="clear" w:color="auto" w:fill="auto"/>
            <w:noWrap/>
            <w:vAlign w:val="center"/>
            <w:hideMark/>
          </w:tcPr>
          <w:p w14:paraId="22F69D5D" w14:textId="77777777" w:rsidR="004B6869" w:rsidRPr="000A643A" w:rsidRDefault="004B6869" w:rsidP="004B6869">
            <w:pPr>
              <w:jc w:val="right"/>
              <w:rPr>
                <w:rFonts w:ascii="Arial" w:hAnsi="Arial" w:cs="Arial"/>
                <w:color w:val="000000"/>
              </w:rPr>
            </w:pPr>
            <w:r w:rsidRPr="000A643A">
              <w:rPr>
                <w:rFonts w:ascii="Arial" w:hAnsi="Arial" w:cs="Arial"/>
                <w:color w:val="000000"/>
              </w:rPr>
              <w:t>58,115,867</w:t>
            </w:r>
          </w:p>
        </w:tc>
      </w:tr>
      <w:tr w:rsidR="004B6869" w:rsidRPr="000A643A" w14:paraId="62DDD73B" w14:textId="77777777" w:rsidTr="002944BA">
        <w:trPr>
          <w:trHeight w:val="60"/>
        </w:trPr>
        <w:tc>
          <w:tcPr>
            <w:tcW w:w="6123" w:type="dxa"/>
            <w:tcBorders>
              <w:left w:val="nil"/>
              <w:bottom w:val="nil"/>
              <w:right w:val="nil"/>
            </w:tcBorders>
            <w:shd w:val="clear" w:color="auto" w:fill="auto"/>
            <w:noWrap/>
            <w:vAlign w:val="center"/>
            <w:hideMark/>
          </w:tcPr>
          <w:p w14:paraId="11328FFF" w14:textId="5CAA2637" w:rsidR="004B6869" w:rsidRPr="000A643A" w:rsidRDefault="004B6869" w:rsidP="004B6869">
            <w:pPr>
              <w:rPr>
                <w:rFonts w:ascii="Arial" w:hAnsi="Arial" w:cs="Arial"/>
                <w:b/>
                <w:bCs/>
                <w:color w:val="000000"/>
              </w:rPr>
            </w:pPr>
            <w:r w:rsidRPr="000A643A">
              <w:rPr>
                <w:rFonts w:ascii="Arial" w:hAnsi="Arial" w:cs="Arial"/>
                <w:b/>
                <w:bCs/>
                <w:color w:val="000000"/>
              </w:rPr>
              <w:t>Liabilities and shareholders</w:t>
            </w:r>
            <w:r w:rsidR="00B249BA">
              <w:rPr>
                <w:rFonts w:ascii="Arial" w:hAnsi="Arial" w:cs="Arial"/>
                <w:b/>
                <w:bCs/>
                <w:color w:val="000000"/>
              </w:rPr>
              <w:t>’</w:t>
            </w:r>
            <w:r w:rsidRPr="000A643A">
              <w:rPr>
                <w:rFonts w:ascii="Arial" w:hAnsi="Arial" w:cs="Arial"/>
                <w:b/>
                <w:bCs/>
                <w:color w:val="000000"/>
              </w:rPr>
              <w:t xml:space="preserve"> equity</w:t>
            </w:r>
          </w:p>
        </w:tc>
        <w:tc>
          <w:tcPr>
            <w:tcW w:w="1707" w:type="dxa"/>
            <w:tcBorders>
              <w:top w:val="single" w:sz="4" w:space="0" w:color="auto"/>
              <w:left w:val="nil"/>
              <w:bottom w:val="double" w:sz="6" w:space="0" w:color="auto"/>
              <w:right w:val="nil"/>
            </w:tcBorders>
            <w:shd w:val="clear" w:color="auto" w:fill="auto"/>
            <w:noWrap/>
            <w:vAlign w:val="center"/>
            <w:hideMark/>
          </w:tcPr>
          <w:p w14:paraId="5BCAE9B3" w14:textId="7B9F6B8D" w:rsidR="004B6869" w:rsidRPr="000A643A" w:rsidRDefault="004B6869" w:rsidP="004B6869">
            <w:pPr>
              <w:jc w:val="right"/>
              <w:rPr>
                <w:rFonts w:ascii="Arial" w:hAnsi="Arial" w:cs="Arial"/>
                <w:b/>
                <w:bCs/>
                <w:color w:val="000000"/>
              </w:rPr>
            </w:pPr>
            <w:r w:rsidRPr="000A643A">
              <w:rPr>
                <w:rFonts w:ascii="Arial" w:hAnsi="Arial" w:cs="Arial"/>
                <w:b/>
                <w:bCs/>
                <w:color w:val="000000"/>
              </w:rPr>
              <w:t>$123,839,162</w:t>
            </w:r>
          </w:p>
        </w:tc>
        <w:tc>
          <w:tcPr>
            <w:tcW w:w="1530" w:type="dxa"/>
            <w:tcBorders>
              <w:top w:val="single" w:sz="4" w:space="0" w:color="auto"/>
              <w:left w:val="nil"/>
              <w:bottom w:val="double" w:sz="6" w:space="0" w:color="auto"/>
              <w:right w:val="nil"/>
            </w:tcBorders>
            <w:shd w:val="clear" w:color="auto" w:fill="auto"/>
            <w:noWrap/>
            <w:vAlign w:val="center"/>
            <w:hideMark/>
          </w:tcPr>
          <w:p w14:paraId="15330F47" w14:textId="67370EC0" w:rsidR="004B6869" w:rsidRPr="000A643A" w:rsidRDefault="004B6869" w:rsidP="004B6869">
            <w:pPr>
              <w:jc w:val="right"/>
              <w:rPr>
                <w:rFonts w:ascii="Arial" w:hAnsi="Arial" w:cs="Arial"/>
                <w:color w:val="000000"/>
              </w:rPr>
            </w:pPr>
            <w:r w:rsidRPr="000A643A">
              <w:rPr>
                <w:rFonts w:ascii="Arial" w:hAnsi="Arial" w:cs="Arial"/>
                <w:color w:val="000000"/>
              </w:rPr>
              <w:t>$113,443,714</w:t>
            </w:r>
          </w:p>
        </w:tc>
      </w:tr>
    </w:tbl>
    <w:p w14:paraId="6402FA53" w14:textId="77777777" w:rsidR="00A2017F" w:rsidRDefault="00A2017F" w:rsidP="002944BA">
      <w:pPr>
        <w:pStyle w:val="ExhibitText"/>
      </w:pPr>
    </w:p>
    <w:p w14:paraId="6D106360" w14:textId="77777777" w:rsidR="00A2017F" w:rsidRDefault="00A2017F">
      <w:pPr>
        <w:spacing w:after="200" w:line="276" w:lineRule="auto"/>
        <w:rPr>
          <w:rFonts w:ascii="Arial" w:hAnsi="Arial" w:cs="Arial"/>
          <w:b/>
          <w:caps/>
        </w:rPr>
      </w:pPr>
      <w:r>
        <w:br w:type="page"/>
      </w:r>
    </w:p>
    <w:p w14:paraId="6CA16FB1" w14:textId="2B97792C" w:rsidR="004B6869" w:rsidRPr="000A643A" w:rsidRDefault="004B6869" w:rsidP="004B6869">
      <w:pPr>
        <w:pStyle w:val="ExhibitHeading"/>
      </w:pPr>
      <w:r w:rsidRPr="000A643A">
        <w:lastRenderedPageBreak/>
        <w:t>Exhibit 2 (continued)</w:t>
      </w:r>
    </w:p>
    <w:p w14:paraId="28C1344D" w14:textId="77777777" w:rsidR="004B6869" w:rsidRPr="000A643A" w:rsidRDefault="004B6869" w:rsidP="002944BA">
      <w:pPr>
        <w:pStyle w:val="ExhibitText"/>
      </w:pPr>
    </w:p>
    <w:p w14:paraId="17002A71" w14:textId="0E2DDA38" w:rsidR="004B6869" w:rsidRPr="000A643A" w:rsidRDefault="004B6869" w:rsidP="009D3557">
      <w:pPr>
        <w:pStyle w:val="Casehead2"/>
      </w:pPr>
      <w:r w:rsidRPr="000A643A">
        <w:t xml:space="preserve">Consolidated Statements of </w:t>
      </w:r>
      <w:r w:rsidR="009D3557" w:rsidRPr="000A643A">
        <w:t>Earnings and Comprehensive Income</w:t>
      </w:r>
    </w:p>
    <w:p w14:paraId="1019446E" w14:textId="77777777" w:rsidR="009D3557" w:rsidRPr="000A643A" w:rsidRDefault="009D3557" w:rsidP="002944BA">
      <w:pPr>
        <w:pStyle w:val="ExhibitText"/>
      </w:pPr>
    </w:p>
    <w:tbl>
      <w:tblPr>
        <w:tblW w:w="5000" w:type="pct"/>
        <w:jc w:val="center"/>
        <w:tblLayout w:type="fixed"/>
        <w:tblLook w:val="04A0" w:firstRow="1" w:lastRow="0" w:firstColumn="1" w:lastColumn="0" w:noHBand="0" w:noVBand="1"/>
      </w:tblPr>
      <w:tblGrid>
        <w:gridCol w:w="6210"/>
        <w:gridCol w:w="1620"/>
        <w:gridCol w:w="1530"/>
      </w:tblGrid>
      <w:tr w:rsidR="00BC311C" w:rsidRPr="00BC311C" w14:paraId="08A478B9" w14:textId="77777777" w:rsidTr="00BC311C">
        <w:trPr>
          <w:trHeight w:val="300"/>
          <w:jc w:val="center"/>
        </w:trPr>
        <w:tc>
          <w:tcPr>
            <w:tcW w:w="6210" w:type="dxa"/>
            <w:tcBorders>
              <w:top w:val="nil"/>
              <w:left w:val="nil"/>
              <w:bottom w:val="single" w:sz="12" w:space="0" w:color="auto"/>
              <w:right w:val="nil"/>
            </w:tcBorders>
            <w:shd w:val="clear" w:color="auto" w:fill="auto"/>
            <w:noWrap/>
            <w:vAlign w:val="center"/>
            <w:hideMark/>
          </w:tcPr>
          <w:p w14:paraId="21C97CB5" w14:textId="6A5035CE" w:rsidR="00BC311C" w:rsidRPr="00BC311C" w:rsidRDefault="00BC311C" w:rsidP="002944BA">
            <w:pPr>
              <w:jc w:val="right"/>
              <w:rPr>
                <w:rFonts w:ascii="Arial" w:hAnsi="Arial" w:cs="Arial"/>
                <w:b/>
                <w:bCs/>
                <w:color w:val="000000"/>
              </w:rPr>
            </w:pPr>
            <w:r w:rsidRPr="00BC311C">
              <w:rPr>
                <w:rFonts w:ascii="Arial" w:hAnsi="Arial" w:cs="Arial"/>
                <w:b/>
                <w:bCs/>
                <w:color w:val="000000"/>
              </w:rPr>
              <w:t>for the year ended June 30</w:t>
            </w:r>
          </w:p>
        </w:tc>
        <w:tc>
          <w:tcPr>
            <w:tcW w:w="1620" w:type="dxa"/>
            <w:tcBorders>
              <w:top w:val="nil"/>
              <w:left w:val="nil"/>
              <w:bottom w:val="single" w:sz="12" w:space="0" w:color="auto"/>
              <w:right w:val="nil"/>
            </w:tcBorders>
            <w:shd w:val="clear" w:color="auto" w:fill="auto"/>
            <w:noWrap/>
            <w:vAlign w:val="center"/>
            <w:hideMark/>
          </w:tcPr>
          <w:p w14:paraId="30EDA5F5" w14:textId="77777777" w:rsidR="00BC311C" w:rsidRPr="00BC311C" w:rsidRDefault="00BC311C" w:rsidP="002944BA">
            <w:pPr>
              <w:jc w:val="center"/>
              <w:rPr>
                <w:rFonts w:ascii="Arial" w:hAnsi="Arial" w:cs="Arial"/>
                <w:b/>
                <w:bCs/>
                <w:color w:val="000000"/>
              </w:rPr>
            </w:pPr>
            <w:r w:rsidRPr="00BC311C">
              <w:rPr>
                <w:rFonts w:ascii="Arial" w:hAnsi="Arial" w:cs="Arial"/>
                <w:b/>
                <w:bCs/>
                <w:color w:val="000000"/>
              </w:rPr>
              <w:t>2015</w:t>
            </w:r>
          </w:p>
        </w:tc>
        <w:tc>
          <w:tcPr>
            <w:tcW w:w="1530" w:type="dxa"/>
            <w:tcBorders>
              <w:top w:val="nil"/>
              <w:left w:val="nil"/>
              <w:bottom w:val="single" w:sz="12" w:space="0" w:color="auto"/>
              <w:right w:val="nil"/>
            </w:tcBorders>
            <w:shd w:val="clear" w:color="auto" w:fill="auto"/>
            <w:noWrap/>
            <w:vAlign w:val="center"/>
            <w:hideMark/>
          </w:tcPr>
          <w:p w14:paraId="4BEE1B91" w14:textId="77777777" w:rsidR="00BC311C" w:rsidRPr="00BC311C" w:rsidRDefault="00BC311C" w:rsidP="002944BA">
            <w:pPr>
              <w:jc w:val="center"/>
              <w:rPr>
                <w:rFonts w:ascii="Arial" w:hAnsi="Arial" w:cs="Arial"/>
                <w:b/>
                <w:bCs/>
                <w:color w:val="000000"/>
              </w:rPr>
            </w:pPr>
            <w:r w:rsidRPr="00BC311C">
              <w:rPr>
                <w:rFonts w:ascii="Arial" w:hAnsi="Arial" w:cs="Arial"/>
                <w:b/>
                <w:bCs/>
                <w:color w:val="000000"/>
              </w:rPr>
              <w:t>2014</w:t>
            </w:r>
          </w:p>
        </w:tc>
      </w:tr>
      <w:tr w:rsidR="00BC311C" w:rsidRPr="000A643A" w14:paraId="08406BDA" w14:textId="77777777" w:rsidTr="00BC311C">
        <w:trPr>
          <w:trHeight w:val="60"/>
          <w:jc w:val="center"/>
        </w:trPr>
        <w:tc>
          <w:tcPr>
            <w:tcW w:w="6210" w:type="dxa"/>
            <w:tcBorders>
              <w:top w:val="single" w:sz="12" w:space="0" w:color="auto"/>
              <w:left w:val="nil"/>
              <w:bottom w:val="nil"/>
              <w:right w:val="nil"/>
            </w:tcBorders>
            <w:shd w:val="clear" w:color="auto" w:fill="auto"/>
            <w:noWrap/>
            <w:vAlign w:val="center"/>
            <w:hideMark/>
          </w:tcPr>
          <w:p w14:paraId="28B80C07" w14:textId="77777777" w:rsidR="00BC311C" w:rsidRPr="000A643A" w:rsidRDefault="00BC311C" w:rsidP="009D3557">
            <w:pPr>
              <w:jc w:val="right"/>
              <w:rPr>
                <w:rFonts w:ascii="Arial" w:hAnsi="Arial" w:cs="Arial"/>
                <w:color w:val="000000"/>
              </w:rPr>
            </w:pPr>
          </w:p>
        </w:tc>
        <w:tc>
          <w:tcPr>
            <w:tcW w:w="1620" w:type="dxa"/>
            <w:tcBorders>
              <w:top w:val="single" w:sz="12" w:space="0" w:color="auto"/>
              <w:left w:val="nil"/>
              <w:bottom w:val="nil"/>
              <w:right w:val="nil"/>
            </w:tcBorders>
            <w:shd w:val="clear" w:color="auto" w:fill="auto"/>
            <w:noWrap/>
            <w:vAlign w:val="center"/>
            <w:hideMark/>
          </w:tcPr>
          <w:p w14:paraId="4A4AF690" w14:textId="77777777" w:rsidR="00BC311C" w:rsidRPr="000A643A" w:rsidRDefault="00BC311C" w:rsidP="009D3557">
            <w:pPr>
              <w:rPr>
                <w:rFonts w:ascii="Arial" w:hAnsi="Arial" w:cs="Arial"/>
              </w:rPr>
            </w:pPr>
          </w:p>
        </w:tc>
        <w:tc>
          <w:tcPr>
            <w:tcW w:w="1530" w:type="dxa"/>
            <w:tcBorders>
              <w:top w:val="single" w:sz="12" w:space="0" w:color="auto"/>
              <w:left w:val="nil"/>
              <w:bottom w:val="nil"/>
              <w:right w:val="nil"/>
            </w:tcBorders>
            <w:shd w:val="clear" w:color="auto" w:fill="auto"/>
            <w:noWrap/>
            <w:vAlign w:val="center"/>
            <w:hideMark/>
          </w:tcPr>
          <w:p w14:paraId="4764FCBB" w14:textId="77777777" w:rsidR="00BC311C" w:rsidRPr="000A643A" w:rsidRDefault="00BC311C" w:rsidP="009D3557">
            <w:pPr>
              <w:jc w:val="right"/>
              <w:rPr>
                <w:rFonts w:ascii="Arial" w:hAnsi="Arial" w:cs="Arial"/>
              </w:rPr>
            </w:pPr>
          </w:p>
        </w:tc>
      </w:tr>
      <w:tr w:rsidR="00BC311C" w:rsidRPr="000A643A" w14:paraId="12A12EBD"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2A763C79" w14:textId="77777777" w:rsidR="00BC311C" w:rsidRPr="002944BA" w:rsidRDefault="00BC311C" w:rsidP="009D3557">
            <w:pPr>
              <w:rPr>
                <w:rFonts w:ascii="Arial" w:hAnsi="Arial" w:cs="Arial"/>
                <w:b/>
                <w:bCs/>
                <w:color w:val="000000"/>
              </w:rPr>
            </w:pPr>
            <w:r w:rsidRPr="002944BA">
              <w:rPr>
                <w:rFonts w:ascii="Arial" w:hAnsi="Arial" w:cs="Arial"/>
                <w:b/>
                <w:bCs/>
                <w:color w:val="000000"/>
              </w:rPr>
              <w:t>REVENUE</w:t>
            </w:r>
          </w:p>
        </w:tc>
        <w:tc>
          <w:tcPr>
            <w:tcW w:w="1620" w:type="dxa"/>
            <w:tcBorders>
              <w:top w:val="nil"/>
              <w:left w:val="nil"/>
              <w:bottom w:val="nil"/>
              <w:right w:val="nil"/>
            </w:tcBorders>
            <w:shd w:val="clear" w:color="auto" w:fill="auto"/>
            <w:noWrap/>
            <w:vAlign w:val="center"/>
            <w:hideMark/>
          </w:tcPr>
          <w:p w14:paraId="732056AB" w14:textId="77777777" w:rsidR="00BC311C" w:rsidRPr="000A643A" w:rsidRDefault="00BC311C" w:rsidP="009D3557">
            <w:pPr>
              <w:jc w:val="right"/>
              <w:rPr>
                <w:rFonts w:ascii="Arial" w:hAnsi="Arial" w:cs="Arial"/>
              </w:rPr>
            </w:pPr>
          </w:p>
        </w:tc>
        <w:tc>
          <w:tcPr>
            <w:tcW w:w="1530" w:type="dxa"/>
            <w:tcBorders>
              <w:top w:val="nil"/>
              <w:left w:val="nil"/>
              <w:bottom w:val="nil"/>
              <w:right w:val="nil"/>
            </w:tcBorders>
            <w:shd w:val="clear" w:color="auto" w:fill="auto"/>
            <w:noWrap/>
            <w:vAlign w:val="center"/>
            <w:hideMark/>
          </w:tcPr>
          <w:p w14:paraId="1F1F6638" w14:textId="77777777" w:rsidR="00BC311C" w:rsidRPr="000A643A" w:rsidRDefault="00BC311C" w:rsidP="009D3557">
            <w:pPr>
              <w:jc w:val="right"/>
              <w:rPr>
                <w:rFonts w:ascii="Arial" w:hAnsi="Arial" w:cs="Arial"/>
              </w:rPr>
            </w:pPr>
          </w:p>
        </w:tc>
      </w:tr>
      <w:tr w:rsidR="00BC311C" w:rsidRPr="000A643A" w14:paraId="2109AC23"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4C8ACB92" w14:textId="4F43FFAC" w:rsidR="00BC311C" w:rsidRPr="000A643A" w:rsidRDefault="00BC311C" w:rsidP="00986E82">
            <w:pPr>
              <w:rPr>
                <w:rFonts w:ascii="Arial" w:hAnsi="Arial" w:cs="Arial"/>
                <w:color w:val="000000"/>
              </w:rPr>
            </w:pPr>
            <w:r w:rsidRPr="000A643A">
              <w:rPr>
                <w:rFonts w:ascii="Arial" w:hAnsi="Arial" w:cs="Arial"/>
                <w:color w:val="000000"/>
              </w:rPr>
              <w:t>Revenue from investment properties</w:t>
            </w:r>
          </w:p>
        </w:tc>
        <w:tc>
          <w:tcPr>
            <w:tcW w:w="1620" w:type="dxa"/>
            <w:tcBorders>
              <w:top w:val="nil"/>
              <w:left w:val="nil"/>
              <w:bottom w:val="nil"/>
              <w:right w:val="nil"/>
            </w:tcBorders>
            <w:shd w:val="clear" w:color="auto" w:fill="auto"/>
            <w:noWrap/>
            <w:vAlign w:val="center"/>
            <w:hideMark/>
          </w:tcPr>
          <w:p w14:paraId="256E50D5" w14:textId="510E4B07" w:rsidR="00BC311C" w:rsidRPr="000A643A" w:rsidRDefault="00BC311C" w:rsidP="009D3557">
            <w:pPr>
              <w:jc w:val="right"/>
              <w:rPr>
                <w:rFonts w:ascii="Arial" w:hAnsi="Arial" w:cs="Arial"/>
                <w:b/>
                <w:bCs/>
                <w:color w:val="000000"/>
              </w:rPr>
            </w:pPr>
            <w:r w:rsidRPr="000A643A">
              <w:rPr>
                <w:rFonts w:ascii="Arial" w:hAnsi="Arial" w:cs="Arial"/>
                <w:b/>
                <w:bCs/>
                <w:color w:val="000000"/>
              </w:rPr>
              <w:t>$9,497,597</w:t>
            </w:r>
          </w:p>
        </w:tc>
        <w:tc>
          <w:tcPr>
            <w:tcW w:w="1530" w:type="dxa"/>
            <w:tcBorders>
              <w:top w:val="nil"/>
              <w:left w:val="nil"/>
              <w:bottom w:val="nil"/>
              <w:right w:val="nil"/>
            </w:tcBorders>
            <w:shd w:val="clear" w:color="auto" w:fill="auto"/>
            <w:noWrap/>
            <w:vAlign w:val="center"/>
            <w:hideMark/>
          </w:tcPr>
          <w:p w14:paraId="22974A4A" w14:textId="6BBB25FB" w:rsidR="00BC311C" w:rsidRPr="000A643A" w:rsidRDefault="00BC311C" w:rsidP="009D3557">
            <w:pPr>
              <w:jc w:val="right"/>
              <w:rPr>
                <w:rFonts w:ascii="Arial" w:hAnsi="Arial" w:cs="Arial"/>
                <w:color w:val="000000"/>
              </w:rPr>
            </w:pPr>
            <w:r w:rsidRPr="000A643A">
              <w:rPr>
                <w:rFonts w:ascii="Arial" w:hAnsi="Arial" w:cs="Arial"/>
                <w:color w:val="000000"/>
              </w:rPr>
              <w:t>$9,327,784</w:t>
            </w:r>
          </w:p>
        </w:tc>
      </w:tr>
      <w:tr w:rsidR="00BC311C" w:rsidRPr="000A643A" w14:paraId="2C5D5CC5" w14:textId="77777777" w:rsidTr="00BC311C">
        <w:trPr>
          <w:trHeight w:val="70"/>
          <w:jc w:val="center"/>
        </w:trPr>
        <w:tc>
          <w:tcPr>
            <w:tcW w:w="6210" w:type="dxa"/>
            <w:tcBorders>
              <w:top w:val="nil"/>
              <w:left w:val="nil"/>
              <w:right w:val="nil"/>
            </w:tcBorders>
            <w:shd w:val="clear" w:color="auto" w:fill="auto"/>
            <w:noWrap/>
            <w:vAlign w:val="center"/>
            <w:hideMark/>
          </w:tcPr>
          <w:p w14:paraId="0B1D777C" w14:textId="77777777" w:rsidR="00BC311C" w:rsidRPr="000A643A" w:rsidRDefault="00BC311C" w:rsidP="009D3557">
            <w:pPr>
              <w:rPr>
                <w:rFonts w:ascii="Arial" w:hAnsi="Arial" w:cs="Arial"/>
                <w:color w:val="000000"/>
              </w:rPr>
            </w:pPr>
            <w:r w:rsidRPr="000A643A">
              <w:rPr>
                <w:rFonts w:ascii="Arial" w:hAnsi="Arial" w:cs="Arial"/>
                <w:color w:val="000000"/>
              </w:rPr>
              <w:t>Property management income</w:t>
            </w:r>
          </w:p>
        </w:tc>
        <w:tc>
          <w:tcPr>
            <w:tcW w:w="1620" w:type="dxa"/>
            <w:tcBorders>
              <w:top w:val="nil"/>
              <w:left w:val="nil"/>
              <w:bottom w:val="nil"/>
              <w:right w:val="nil"/>
            </w:tcBorders>
            <w:shd w:val="clear" w:color="auto" w:fill="auto"/>
            <w:noWrap/>
            <w:vAlign w:val="center"/>
            <w:hideMark/>
          </w:tcPr>
          <w:p w14:paraId="5FF488C9"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247,089</w:t>
            </w:r>
          </w:p>
        </w:tc>
        <w:tc>
          <w:tcPr>
            <w:tcW w:w="1530" w:type="dxa"/>
            <w:tcBorders>
              <w:top w:val="nil"/>
              <w:left w:val="nil"/>
              <w:bottom w:val="nil"/>
              <w:right w:val="nil"/>
            </w:tcBorders>
            <w:shd w:val="clear" w:color="auto" w:fill="auto"/>
            <w:noWrap/>
            <w:vAlign w:val="center"/>
            <w:hideMark/>
          </w:tcPr>
          <w:p w14:paraId="37394D75" w14:textId="77777777" w:rsidR="00BC311C" w:rsidRPr="000A643A" w:rsidRDefault="00BC311C" w:rsidP="009D3557">
            <w:pPr>
              <w:jc w:val="right"/>
              <w:rPr>
                <w:rFonts w:ascii="Arial" w:hAnsi="Arial" w:cs="Arial"/>
                <w:color w:val="000000"/>
              </w:rPr>
            </w:pPr>
            <w:r w:rsidRPr="000A643A">
              <w:rPr>
                <w:rFonts w:ascii="Arial" w:hAnsi="Arial" w:cs="Arial"/>
                <w:color w:val="000000"/>
              </w:rPr>
              <w:t>195,470</w:t>
            </w:r>
          </w:p>
        </w:tc>
      </w:tr>
      <w:tr w:rsidR="00BC311C" w:rsidRPr="000A643A" w14:paraId="126AB6C7"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14BCAE30" w14:textId="77777777" w:rsidR="00BC311C" w:rsidRPr="000A643A" w:rsidRDefault="00BC311C" w:rsidP="009D3557">
            <w:pPr>
              <w:rPr>
                <w:rFonts w:ascii="Arial" w:hAnsi="Arial" w:cs="Arial"/>
                <w:color w:val="000000"/>
              </w:rPr>
            </w:pPr>
            <w:r w:rsidRPr="000A643A">
              <w:rPr>
                <w:rFonts w:ascii="Arial" w:hAnsi="Arial" w:cs="Arial"/>
                <w:color w:val="000000"/>
              </w:rPr>
              <w:t>Interest and other</w:t>
            </w:r>
          </w:p>
        </w:tc>
        <w:tc>
          <w:tcPr>
            <w:tcW w:w="1620" w:type="dxa"/>
            <w:tcBorders>
              <w:top w:val="nil"/>
              <w:left w:val="nil"/>
              <w:bottom w:val="single" w:sz="4" w:space="0" w:color="auto"/>
              <w:right w:val="nil"/>
            </w:tcBorders>
            <w:shd w:val="clear" w:color="auto" w:fill="auto"/>
            <w:noWrap/>
            <w:vAlign w:val="center"/>
            <w:hideMark/>
          </w:tcPr>
          <w:p w14:paraId="4B8EB82C"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242,265</w:t>
            </w:r>
          </w:p>
        </w:tc>
        <w:tc>
          <w:tcPr>
            <w:tcW w:w="1530" w:type="dxa"/>
            <w:tcBorders>
              <w:top w:val="nil"/>
              <w:left w:val="nil"/>
              <w:bottom w:val="single" w:sz="4" w:space="0" w:color="auto"/>
              <w:right w:val="nil"/>
            </w:tcBorders>
            <w:shd w:val="clear" w:color="auto" w:fill="auto"/>
            <w:noWrap/>
            <w:vAlign w:val="center"/>
            <w:hideMark/>
          </w:tcPr>
          <w:p w14:paraId="4C451CB2" w14:textId="77777777" w:rsidR="00BC311C" w:rsidRPr="000A643A" w:rsidRDefault="00BC311C" w:rsidP="009D3557">
            <w:pPr>
              <w:jc w:val="right"/>
              <w:rPr>
                <w:rFonts w:ascii="Arial" w:hAnsi="Arial" w:cs="Arial"/>
                <w:color w:val="000000"/>
              </w:rPr>
            </w:pPr>
            <w:r w:rsidRPr="000A643A">
              <w:rPr>
                <w:rFonts w:ascii="Arial" w:hAnsi="Arial" w:cs="Arial"/>
                <w:color w:val="000000"/>
              </w:rPr>
              <w:t>183,798</w:t>
            </w:r>
          </w:p>
        </w:tc>
      </w:tr>
      <w:tr w:rsidR="00BC311C" w:rsidRPr="000A643A" w14:paraId="19EB0FA6" w14:textId="77777777" w:rsidTr="00BC311C">
        <w:trPr>
          <w:trHeight w:val="60"/>
          <w:jc w:val="center"/>
        </w:trPr>
        <w:tc>
          <w:tcPr>
            <w:tcW w:w="6210" w:type="dxa"/>
            <w:tcBorders>
              <w:left w:val="nil"/>
              <w:right w:val="nil"/>
            </w:tcBorders>
            <w:shd w:val="clear" w:color="auto" w:fill="auto"/>
            <w:noWrap/>
            <w:vAlign w:val="center"/>
            <w:hideMark/>
          </w:tcPr>
          <w:p w14:paraId="22F2A92A" w14:textId="6D4969B6" w:rsidR="00BC311C" w:rsidRPr="000A643A" w:rsidRDefault="00BC311C" w:rsidP="009D3557">
            <w:pPr>
              <w:rPr>
                <w:rFonts w:ascii="Arial" w:hAnsi="Arial" w:cs="Arial"/>
                <w:color w:val="000000"/>
              </w:rPr>
            </w:pPr>
            <w:r>
              <w:rPr>
                <w:rFonts w:ascii="Arial" w:hAnsi="Arial" w:cs="Arial"/>
                <w:color w:val="000000"/>
              </w:rPr>
              <w:t xml:space="preserve"> </w:t>
            </w:r>
          </w:p>
        </w:tc>
        <w:tc>
          <w:tcPr>
            <w:tcW w:w="1620" w:type="dxa"/>
            <w:tcBorders>
              <w:top w:val="single" w:sz="4" w:space="0" w:color="auto"/>
              <w:left w:val="nil"/>
              <w:bottom w:val="double" w:sz="4" w:space="0" w:color="auto"/>
              <w:right w:val="nil"/>
            </w:tcBorders>
            <w:shd w:val="clear" w:color="auto" w:fill="auto"/>
            <w:noWrap/>
            <w:vAlign w:val="center"/>
            <w:hideMark/>
          </w:tcPr>
          <w:p w14:paraId="76085BAD"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9,986,951</w:t>
            </w:r>
          </w:p>
        </w:tc>
        <w:tc>
          <w:tcPr>
            <w:tcW w:w="1530" w:type="dxa"/>
            <w:tcBorders>
              <w:top w:val="single" w:sz="4" w:space="0" w:color="auto"/>
              <w:left w:val="nil"/>
              <w:bottom w:val="double" w:sz="4" w:space="0" w:color="auto"/>
              <w:right w:val="nil"/>
            </w:tcBorders>
            <w:shd w:val="clear" w:color="auto" w:fill="auto"/>
            <w:noWrap/>
            <w:vAlign w:val="center"/>
            <w:hideMark/>
          </w:tcPr>
          <w:p w14:paraId="78ACD818"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9,707,052</w:t>
            </w:r>
          </w:p>
        </w:tc>
      </w:tr>
      <w:tr w:rsidR="00BC311C" w:rsidRPr="000A643A" w14:paraId="708F327A" w14:textId="77777777" w:rsidTr="00BC311C">
        <w:trPr>
          <w:trHeight w:val="60"/>
          <w:jc w:val="center"/>
        </w:trPr>
        <w:tc>
          <w:tcPr>
            <w:tcW w:w="6210" w:type="dxa"/>
            <w:tcBorders>
              <w:left w:val="nil"/>
              <w:bottom w:val="nil"/>
              <w:right w:val="nil"/>
            </w:tcBorders>
            <w:shd w:val="clear" w:color="auto" w:fill="auto"/>
            <w:noWrap/>
            <w:vAlign w:val="center"/>
            <w:hideMark/>
          </w:tcPr>
          <w:p w14:paraId="69C421C1" w14:textId="77777777" w:rsidR="00BC311C" w:rsidRPr="000A643A" w:rsidRDefault="00BC311C" w:rsidP="009D3557">
            <w:pPr>
              <w:jc w:val="right"/>
              <w:rPr>
                <w:rFonts w:ascii="Arial" w:hAnsi="Arial" w:cs="Arial"/>
                <w:b/>
                <w:bCs/>
                <w:color w:val="000000"/>
              </w:rPr>
            </w:pPr>
          </w:p>
        </w:tc>
        <w:tc>
          <w:tcPr>
            <w:tcW w:w="1620" w:type="dxa"/>
            <w:tcBorders>
              <w:top w:val="double" w:sz="4" w:space="0" w:color="auto"/>
              <w:left w:val="nil"/>
              <w:bottom w:val="nil"/>
              <w:right w:val="nil"/>
            </w:tcBorders>
            <w:shd w:val="clear" w:color="auto" w:fill="auto"/>
            <w:noWrap/>
            <w:vAlign w:val="center"/>
            <w:hideMark/>
          </w:tcPr>
          <w:p w14:paraId="23FC708C" w14:textId="77777777" w:rsidR="00BC311C" w:rsidRPr="000A643A" w:rsidRDefault="00BC311C" w:rsidP="009D3557">
            <w:pPr>
              <w:jc w:val="right"/>
              <w:rPr>
                <w:rFonts w:ascii="Arial" w:hAnsi="Arial" w:cs="Arial"/>
              </w:rPr>
            </w:pPr>
          </w:p>
        </w:tc>
        <w:tc>
          <w:tcPr>
            <w:tcW w:w="1530" w:type="dxa"/>
            <w:tcBorders>
              <w:top w:val="double" w:sz="4" w:space="0" w:color="auto"/>
              <w:left w:val="nil"/>
              <w:bottom w:val="nil"/>
              <w:right w:val="nil"/>
            </w:tcBorders>
            <w:shd w:val="clear" w:color="auto" w:fill="auto"/>
            <w:noWrap/>
            <w:vAlign w:val="center"/>
            <w:hideMark/>
          </w:tcPr>
          <w:p w14:paraId="27472CD2" w14:textId="77777777" w:rsidR="00BC311C" w:rsidRPr="000A643A" w:rsidRDefault="00BC311C" w:rsidP="009D3557">
            <w:pPr>
              <w:jc w:val="right"/>
              <w:rPr>
                <w:rFonts w:ascii="Arial" w:hAnsi="Arial" w:cs="Arial"/>
              </w:rPr>
            </w:pPr>
          </w:p>
        </w:tc>
      </w:tr>
      <w:tr w:rsidR="00BC311C" w:rsidRPr="000A643A" w14:paraId="1A2957FF"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40906962" w14:textId="77777777" w:rsidR="00BC311C" w:rsidRPr="002944BA" w:rsidRDefault="00BC311C" w:rsidP="009D3557">
            <w:pPr>
              <w:rPr>
                <w:rFonts w:ascii="Arial" w:hAnsi="Arial" w:cs="Arial"/>
                <w:b/>
                <w:bCs/>
                <w:color w:val="000000"/>
              </w:rPr>
            </w:pPr>
            <w:r w:rsidRPr="002944BA">
              <w:rPr>
                <w:rFonts w:ascii="Arial" w:hAnsi="Arial" w:cs="Arial"/>
                <w:b/>
                <w:bCs/>
                <w:color w:val="000000"/>
              </w:rPr>
              <w:t>EXPENSES</w:t>
            </w:r>
          </w:p>
        </w:tc>
        <w:tc>
          <w:tcPr>
            <w:tcW w:w="1620" w:type="dxa"/>
            <w:tcBorders>
              <w:top w:val="nil"/>
              <w:left w:val="nil"/>
              <w:bottom w:val="nil"/>
              <w:right w:val="nil"/>
            </w:tcBorders>
            <w:shd w:val="clear" w:color="auto" w:fill="auto"/>
            <w:noWrap/>
            <w:vAlign w:val="center"/>
            <w:hideMark/>
          </w:tcPr>
          <w:p w14:paraId="2E39CF4C" w14:textId="77777777" w:rsidR="00BC311C" w:rsidRPr="000A643A" w:rsidRDefault="00BC311C" w:rsidP="009D3557">
            <w:pPr>
              <w:jc w:val="right"/>
              <w:rPr>
                <w:rFonts w:ascii="Arial" w:hAnsi="Arial" w:cs="Arial"/>
              </w:rPr>
            </w:pPr>
          </w:p>
        </w:tc>
        <w:tc>
          <w:tcPr>
            <w:tcW w:w="1530" w:type="dxa"/>
            <w:tcBorders>
              <w:top w:val="nil"/>
              <w:left w:val="nil"/>
              <w:bottom w:val="nil"/>
              <w:right w:val="nil"/>
            </w:tcBorders>
            <w:shd w:val="clear" w:color="auto" w:fill="auto"/>
            <w:noWrap/>
            <w:vAlign w:val="center"/>
            <w:hideMark/>
          </w:tcPr>
          <w:p w14:paraId="72BB6547" w14:textId="77777777" w:rsidR="00BC311C" w:rsidRPr="000A643A" w:rsidRDefault="00BC311C" w:rsidP="009D3557">
            <w:pPr>
              <w:jc w:val="right"/>
              <w:rPr>
                <w:rFonts w:ascii="Arial" w:hAnsi="Arial" w:cs="Arial"/>
              </w:rPr>
            </w:pPr>
          </w:p>
        </w:tc>
      </w:tr>
      <w:tr w:rsidR="00BC311C" w:rsidRPr="000A643A" w14:paraId="2F0ACE3C"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3F218736" w14:textId="7EB44FAF" w:rsidR="00BC311C" w:rsidRPr="000A643A" w:rsidRDefault="00BC311C" w:rsidP="00986E82">
            <w:pPr>
              <w:rPr>
                <w:rFonts w:ascii="Arial" w:hAnsi="Arial" w:cs="Arial"/>
                <w:color w:val="000000"/>
              </w:rPr>
            </w:pPr>
            <w:r w:rsidRPr="000A643A">
              <w:rPr>
                <w:rFonts w:ascii="Arial" w:hAnsi="Arial" w:cs="Arial"/>
                <w:color w:val="000000"/>
              </w:rPr>
              <w:t xml:space="preserve">Property operating </w:t>
            </w:r>
          </w:p>
        </w:tc>
        <w:tc>
          <w:tcPr>
            <w:tcW w:w="1620" w:type="dxa"/>
            <w:tcBorders>
              <w:top w:val="nil"/>
              <w:left w:val="nil"/>
              <w:bottom w:val="nil"/>
              <w:right w:val="nil"/>
            </w:tcBorders>
            <w:shd w:val="clear" w:color="auto" w:fill="auto"/>
            <w:noWrap/>
            <w:vAlign w:val="center"/>
            <w:hideMark/>
          </w:tcPr>
          <w:p w14:paraId="17C30E96" w14:textId="71A02380" w:rsidR="00BC311C" w:rsidRPr="000A643A" w:rsidRDefault="00BC311C" w:rsidP="009D3557">
            <w:pPr>
              <w:jc w:val="right"/>
              <w:rPr>
                <w:rFonts w:ascii="Arial" w:hAnsi="Arial" w:cs="Arial"/>
                <w:b/>
                <w:bCs/>
                <w:color w:val="000000"/>
              </w:rPr>
            </w:pPr>
            <w:r w:rsidRPr="000A643A">
              <w:rPr>
                <w:rFonts w:ascii="Arial" w:hAnsi="Arial" w:cs="Arial"/>
                <w:b/>
                <w:bCs/>
                <w:color w:val="000000"/>
              </w:rPr>
              <w:t>$2,808,001</w:t>
            </w:r>
          </w:p>
        </w:tc>
        <w:tc>
          <w:tcPr>
            <w:tcW w:w="1530" w:type="dxa"/>
            <w:tcBorders>
              <w:top w:val="nil"/>
              <w:left w:val="nil"/>
              <w:bottom w:val="nil"/>
              <w:right w:val="nil"/>
            </w:tcBorders>
            <w:shd w:val="clear" w:color="auto" w:fill="auto"/>
            <w:noWrap/>
            <w:vAlign w:val="center"/>
            <w:hideMark/>
          </w:tcPr>
          <w:p w14:paraId="4AF834B5" w14:textId="0DB22F07" w:rsidR="00BC311C" w:rsidRPr="000A643A" w:rsidRDefault="00BC311C" w:rsidP="009D3557">
            <w:pPr>
              <w:jc w:val="right"/>
              <w:rPr>
                <w:rFonts w:ascii="Arial" w:hAnsi="Arial" w:cs="Arial"/>
                <w:color w:val="000000"/>
              </w:rPr>
            </w:pPr>
            <w:r w:rsidRPr="000A643A">
              <w:rPr>
                <w:rFonts w:ascii="Arial" w:hAnsi="Arial" w:cs="Arial"/>
                <w:color w:val="000000"/>
              </w:rPr>
              <w:t xml:space="preserve">$3,051,210 </w:t>
            </w:r>
          </w:p>
        </w:tc>
      </w:tr>
      <w:tr w:rsidR="00BC311C" w:rsidRPr="000A643A" w14:paraId="48484C6D" w14:textId="77777777" w:rsidTr="00BC311C">
        <w:trPr>
          <w:trHeight w:val="70"/>
          <w:jc w:val="center"/>
        </w:trPr>
        <w:tc>
          <w:tcPr>
            <w:tcW w:w="6210" w:type="dxa"/>
            <w:tcBorders>
              <w:top w:val="nil"/>
              <w:left w:val="nil"/>
              <w:right w:val="nil"/>
            </w:tcBorders>
            <w:shd w:val="clear" w:color="auto" w:fill="auto"/>
            <w:noWrap/>
            <w:vAlign w:val="center"/>
            <w:hideMark/>
          </w:tcPr>
          <w:p w14:paraId="4C969C67" w14:textId="77777777" w:rsidR="00BC311C" w:rsidRPr="000A643A" w:rsidRDefault="00BC311C" w:rsidP="009D3557">
            <w:pPr>
              <w:rPr>
                <w:rFonts w:ascii="Arial" w:hAnsi="Arial" w:cs="Arial"/>
                <w:color w:val="000000"/>
              </w:rPr>
            </w:pPr>
            <w:r w:rsidRPr="000A643A">
              <w:rPr>
                <w:rFonts w:ascii="Arial" w:hAnsi="Arial" w:cs="Arial"/>
                <w:color w:val="000000"/>
              </w:rPr>
              <w:t>Interest and bank charges</w:t>
            </w:r>
          </w:p>
        </w:tc>
        <w:tc>
          <w:tcPr>
            <w:tcW w:w="1620" w:type="dxa"/>
            <w:tcBorders>
              <w:top w:val="nil"/>
              <w:left w:val="nil"/>
              <w:bottom w:val="nil"/>
              <w:right w:val="nil"/>
            </w:tcBorders>
            <w:shd w:val="clear" w:color="auto" w:fill="auto"/>
            <w:noWrap/>
            <w:vAlign w:val="center"/>
            <w:hideMark/>
          </w:tcPr>
          <w:p w14:paraId="5EAE1600"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2,380,322</w:t>
            </w:r>
          </w:p>
        </w:tc>
        <w:tc>
          <w:tcPr>
            <w:tcW w:w="1530" w:type="dxa"/>
            <w:tcBorders>
              <w:top w:val="nil"/>
              <w:left w:val="nil"/>
              <w:bottom w:val="nil"/>
              <w:right w:val="nil"/>
            </w:tcBorders>
            <w:shd w:val="clear" w:color="auto" w:fill="auto"/>
            <w:noWrap/>
            <w:vAlign w:val="center"/>
            <w:hideMark/>
          </w:tcPr>
          <w:p w14:paraId="209326E8" w14:textId="77777777" w:rsidR="00BC311C" w:rsidRPr="000A643A" w:rsidRDefault="00BC311C" w:rsidP="009D3557">
            <w:pPr>
              <w:jc w:val="right"/>
              <w:rPr>
                <w:rFonts w:ascii="Arial" w:hAnsi="Arial" w:cs="Arial"/>
                <w:color w:val="000000"/>
              </w:rPr>
            </w:pPr>
            <w:r w:rsidRPr="000A643A">
              <w:rPr>
                <w:rFonts w:ascii="Arial" w:hAnsi="Arial" w:cs="Arial"/>
                <w:color w:val="000000"/>
              </w:rPr>
              <w:t>2,048,167</w:t>
            </w:r>
          </w:p>
        </w:tc>
      </w:tr>
      <w:tr w:rsidR="00BC311C" w:rsidRPr="000A643A" w14:paraId="139045F1"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18A8C9A4" w14:textId="6661E37C" w:rsidR="00BC311C" w:rsidRPr="000A643A" w:rsidRDefault="00BC311C" w:rsidP="00986E82">
            <w:pPr>
              <w:rPr>
                <w:rFonts w:ascii="Arial" w:hAnsi="Arial" w:cs="Arial"/>
                <w:color w:val="000000"/>
              </w:rPr>
            </w:pPr>
            <w:r w:rsidRPr="000A643A">
              <w:rPr>
                <w:rFonts w:ascii="Arial" w:hAnsi="Arial" w:cs="Arial"/>
                <w:color w:val="000000"/>
              </w:rPr>
              <w:t xml:space="preserve">Corporate </w:t>
            </w:r>
          </w:p>
        </w:tc>
        <w:tc>
          <w:tcPr>
            <w:tcW w:w="1620" w:type="dxa"/>
            <w:tcBorders>
              <w:top w:val="nil"/>
              <w:left w:val="nil"/>
              <w:bottom w:val="nil"/>
              <w:right w:val="nil"/>
            </w:tcBorders>
            <w:shd w:val="clear" w:color="auto" w:fill="auto"/>
            <w:noWrap/>
            <w:vAlign w:val="center"/>
            <w:hideMark/>
          </w:tcPr>
          <w:p w14:paraId="72840A6F"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1,001,920</w:t>
            </w:r>
          </w:p>
        </w:tc>
        <w:tc>
          <w:tcPr>
            <w:tcW w:w="1530" w:type="dxa"/>
            <w:tcBorders>
              <w:top w:val="nil"/>
              <w:left w:val="nil"/>
              <w:bottom w:val="nil"/>
              <w:right w:val="nil"/>
            </w:tcBorders>
            <w:shd w:val="clear" w:color="auto" w:fill="auto"/>
            <w:noWrap/>
            <w:vAlign w:val="center"/>
            <w:hideMark/>
          </w:tcPr>
          <w:p w14:paraId="32E84448" w14:textId="77777777" w:rsidR="00BC311C" w:rsidRPr="000A643A" w:rsidRDefault="00BC311C" w:rsidP="009D3557">
            <w:pPr>
              <w:jc w:val="right"/>
              <w:rPr>
                <w:rFonts w:ascii="Arial" w:hAnsi="Arial" w:cs="Arial"/>
                <w:color w:val="000000"/>
              </w:rPr>
            </w:pPr>
            <w:r w:rsidRPr="000A643A">
              <w:rPr>
                <w:rFonts w:ascii="Arial" w:hAnsi="Arial" w:cs="Arial"/>
                <w:color w:val="000000"/>
              </w:rPr>
              <w:t>1,053,761</w:t>
            </w:r>
          </w:p>
        </w:tc>
      </w:tr>
      <w:tr w:rsidR="00BC311C" w:rsidRPr="000A643A" w14:paraId="695CEAEC" w14:textId="77777777" w:rsidTr="00BC311C">
        <w:trPr>
          <w:trHeight w:val="70"/>
          <w:jc w:val="center"/>
        </w:trPr>
        <w:tc>
          <w:tcPr>
            <w:tcW w:w="6210" w:type="dxa"/>
            <w:tcBorders>
              <w:top w:val="nil"/>
              <w:left w:val="nil"/>
              <w:right w:val="nil"/>
            </w:tcBorders>
            <w:shd w:val="clear" w:color="auto" w:fill="auto"/>
            <w:noWrap/>
            <w:vAlign w:val="center"/>
            <w:hideMark/>
          </w:tcPr>
          <w:p w14:paraId="20D7E27A" w14:textId="77777777" w:rsidR="00BC311C" w:rsidRPr="000A643A" w:rsidRDefault="00BC311C" w:rsidP="009D3557">
            <w:pPr>
              <w:rPr>
                <w:rFonts w:ascii="Arial" w:hAnsi="Arial" w:cs="Arial"/>
                <w:color w:val="000000"/>
              </w:rPr>
            </w:pPr>
            <w:r w:rsidRPr="000A643A">
              <w:rPr>
                <w:rFonts w:ascii="Arial" w:hAnsi="Arial" w:cs="Arial"/>
                <w:color w:val="000000"/>
              </w:rPr>
              <w:t xml:space="preserve">Depreciation of property and equipment </w:t>
            </w:r>
          </w:p>
        </w:tc>
        <w:tc>
          <w:tcPr>
            <w:tcW w:w="1620" w:type="dxa"/>
            <w:tcBorders>
              <w:top w:val="nil"/>
              <w:left w:val="nil"/>
              <w:bottom w:val="single" w:sz="4" w:space="0" w:color="auto"/>
              <w:right w:val="nil"/>
            </w:tcBorders>
            <w:shd w:val="clear" w:color="auto" w:fill="auto"/>
            <w:noWrap/>
            <w:vAlign w:val="center"/>
            <w:hideMark/>
          </w:tcPr>
          <w:p w14:paraId="5D13AAB6"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23,843</w:t>
            </w:r>
          </w:p>
        </w:tc>
        <w:tc>
          <w:tcPr>
            <w:tcW w:w="1530" w:type="dxa"/>
            <w:tcBorders>
              <w:top w:val="nil"/>
              <w:left w:val="nil"/>
              <w:bottom w:val="single" w:sz="4" w:space="0" w:color="auto"/>
              <w:right w:val="nil"/>
            </w:tcBorders>
            <w:shd w:val="clear" w:color="auto" w:fill="auto"/>
            <w:noWrap/>
            <w:vAlign w:val="center"/>
            <w:hideMark/>
          </w:tcPr>
          <w:p w14:paraId="60A9B3A0" w14:textId="77777777" w:rsidR="00BC311C" w:rsidRPr="000A643A" w:rsidRDefault="00BC311C" w:rsidP="009D3557">
            <w:pPr>
              <w:jc w:val="right"/>
              <w:rPr>
                <w:rFonts w:ascii="Arial" w:hAnsi="Arial" w:cs="Arial"/>
                <w:color w:val="000000"/>
              </w:rPr>
            </w:pPr>
            <w:r w:rsidRPr="000A643A">
              <w:rPr>
                <w:rFonts w:ascii="Arial" w:hAnsi="Arial" w:cs="Arial"/>
                <w:color w:val="000000"/>
              </w:rPr>
              <w:t>24,285</w:t>
            </w:r>
          </w:p>
        </w:tc>
      </w:tr>
      <w:tr w:rsidR="00BC311C" w:rsidRPr="000A643A" w14:paraId="6663FB44" w14:textId="77777777" w:rsidTr="00BC311C">
        <w:trPr>
          <w:trHeight w:val="60"/>
          <w:jc w:val="center"/>
        </w:trPr>
        <w:tc>
          <w:tcPr>
            <w:tcW w:w="6210" w:type="dxa"/>
            <w:tcBorders>
              <w:top w:val="nil"/>
              <w:left w:val="nil"/>
              <w:right w:val="nil"/>
            </w:tcBorders>
            <w:shd w:val="clear" w:color="auto" w:fill="auto"/>
            <w:noWrap/>
            <w:vAlign w:val="center"/>
            <w:hideMark/>
          </w:tcPr>
          <w:p w14:paraId="2CAD4BDB" w14:textId="022FFCA4" w:rsidR="00BC311C" w:rsidRPr="000A643A" w:rsidRDefault="00BC311C" w:rsidP="009D3557">
            <w:pPr>
              <w:rPr>
                <w:rFonts w:ascii="Arial" w:hAnsi="Arial" w:cs="Arial"/>
                <w:color w:val="000000"/>
              </w:rPr>
            </w:pPr>
            <w:r>
              <w:rPr>
                <w:rFonts w:ascii="Arial" w:hAnsi="Arial" w:cs="Arial"/>
                <w:color w:val="000000"/>
              </w:rPr>
              <w:t xml:space="preserve"> </w:t>
            </w:r>
          </w:p>
        </w:tc>
        <w:tc>
          <w:tcPr>
            <w:tcW w:w="1620" w:type="dxa"/>
            <w:tcBorders>
              <w:top w:val="single" w:sz="4" w:space="0" w:color="auto"/>
              <w:left w:val="nil"/>
              <w:bottom w:val="double" w:sz="4" w:space="0" w:color="auto"/>
              <w:right w:val="nil"/>
            </w:tcBorders>
            <w:shd w:val="clear" w:color="auto" w:fill="auto"/>
            <w:noWrap/>
            <w:vAlign w:val="center"/>
            <w:hideMark/>
          </w:tcPr>
          <w:p w14:paraId="3C22359D"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6,214,086</w:t>
            </w:r>
          </w:p>
        </w:tc>
        <w:tc>
          <w:tcPr>
            <w:tcW w:w="1530" w:type="dxa"/>
            <w:tcBorders>
              <w:top w:val="single" w:sz="4" w:space="0" w:color="auto"/>
              <w:left w:val="nil"/>
              <w:bottom w:val="double" w:sz="4" w:space="0" w:color="auto"/>
              <w:right w:val="nil"/>
            </w:tcBorders>
            <w:shd w:val="clear" w:color="auto" w:fill="auto"/>
            <w:noWrap/>
            <w:vAlign w:val="center"/>
            <w:hideMark/>
          </w:tcPr>
          <w:p w14:paraId="6117BABE" w14:textId="77777777" w:rsidR="00BC311C" w:rsidRPr="000A643A" w:rsidRDefault="00BC311C" w:rsidP="009D3557">
            <w:pPr>
              <w:jc w:val="right"/>
              <w:rPr>
                <w:rFonts w:ascii="Arial" w:hAnsi="Arial" w:cs="Arial"/>
                <w:color w:val="000000"/>
              </w:rPr>
            </w:pPr>
            <w:r w:rsidRPr="000A643A">
              <w:rPr>
                <w:rFonts w:ascii="Arial" w:hAnsi="Arial" w:cs="Arial"/>
                <w:color w:val="000000"/>
              </w:rPr>
              <w:t>6,177,423</w:t>
            </w:r>
          </w:p>
        </w:tc>
      </w:tr>
      <w:tr w:rsidR="00BC311C" w:rsidRPr="000A643A" w14:paraId="19956003" w14:textId="77777777" w:rsidTr="00BC311C">
        <w:trPr>
          <w:trHeight w:val="60"/>
          <w:jc w:val="center"/>
        </w:trPr>
        <w:tc>
          <w:tcPr>
            <w:tcW w:w="6210" w:type="dxa"/>
            <w:tcBorders>
              <w:top w:val="nil"/>
              <w:left w:val="nil"/>
              <w:right w:val="nil"/>
            </w:tcBorders>
            <w:shd w:val="clear" w:color="auto" w:fill="auto"/>
            <w:noWrap/>
            <w:vAlign w:val="center"/>
            <w:hideMark/>
          </w:tcPr>
          <w:p w14:paraId="24AB3D4A" w14:textId="77777777" w:rsidR="00BC311C" w:rsidRPr="000A643A" w:rsidRDefault="00BC311C" w:rsidP="009D3557">
            <w:pPr>
              <w:rPr>
                <w:rFonts w:ascii="Arial" w:hAnsi="Arial" w:cs="Arial"/>
                <w:b/>
                <w:bCs/>
                <w:color w:val="000000"/>
              </w:rPr>
            </w:pPr>
            <w:r w:rsidRPr="000A643A">
              <w:rPr>
                <w:rFonts w:ascii="Arial" w:hAnsi="Arial" w:cs="Arial"/>
                <w:b/>
                <w:bCs/>
                <w:color w:val="000000"/>
              </w:rPr>
              <w:t>Earnings before other gains and income taxes</w:t>
            </w:r>
          </w:p>
        </w:tc>
        <w:tc>
          <w:tcPr>
            <w:tcW w:w="1620" w:type="dxa"/>
            <w:tcBorders>
              <w:top w:val="double" w:sz="4" w:space="0" w:color="auto"/>
              <w:left w:val="nil"/>
              <w:bottom w:val="double" w:sz="4" w:space="0" w:color="auto"/>
              <w:right w:val="nil"/>
            </w:tcBorders>
            <w:shd w:val="clear" w:color="auto" w:fill="auto"/>
            <w:noWrap/>
            <w:vAlign w:val="center"/>
            <w:hideMark/>
          </w:tcPr>
          <w:p w14:paraId="3936088B"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3,772,865</w:t>
            </w:r>
          </w:p>
        </w:tc>
        <w:tc>
          <w:tcPr>
            <w:tcW w:w="1530" w:type="dxa"/>
            <w:tcBorders>
              <w:top w:val="double" w:sz="4" w:space="0" w:color="auto"/>
              <w:left w:val="nil"/>
              <w:bottom w:val="double" w:sz="4" w:space="0" w:color="auto"/>
              <w:right w:val="nil"/>
            </w:tcBorders>
            <w:shd w:val="clear" w:color="auto" w:fill="auto"/>
            <w:noWrap/>
            <w:vAlign w:val="center"/>
            <w:hideMark/>
          </w:tcPr>
          <w:p w14:paraId="3E8F46A1" w14:textId="77777777" w:rsidR="00BC311C" w:rsidRPr="000A643A" w:rsidRDefault="00BC311C" w:rsidP="009D3557">
            <w:pPr>
              <w:jc w:val="right"/>
              <w:rPr>
                <w:rFonts w:ascii="Arial" w:hAnsi="Arial" w:cs="Arial"/>
                <w:color w:val="000000"/>
              </w:rPr>
            </w:pPr>
            <w:r w:rsidRPr="000A643A">
              <w:rPr>
                <w:rFonts w:ascii="Arial" w:hAnsi="Arial" w:cs="Arial"/>
                <w:color w:val="000000"/>
              </w:rPr>
              <w:t>3,529,629</w:t>
            </w:r>
          </w:p>
        </w:tc>
      </w:tr>
      <w:tr w:rsidR="00BC311C" w:rsidRPr="000A643A" w14:paraId="55D3274E" w14:textId="77777777" w:rsidTr="00BC311C">
        <w:trPr>
          <w:trHeight w:val="60"/>
          <w:jc w:val="center"/>
        </w:trPr>
        <w:tc>
          <w:tcPr>
            <w:tcW w:w="6210" w:type="dxa"/>
            <w:tcBorders>
              <w:left w:val="nil"/>
              <w:bottom w:val="nil"/>
              <w:right w:val="nil"/>
            </w:tcBorders>
            <w:shd w:val="clear" w:color="auto" w:fill="auto"/>
            <w:noWrap/>
            <w:vAlign w:val="center"/>
            <w:hideMark/>
          </w:tcPr>
          <w:p w14:paraId="12911E8C" w14:textId="77777777" w:rsidR="00BC311C" w:rsidRPr="000A643A" w:rsidRDefault="00BC311C" w:rsidP="009D3557">
            <w:pPr>
              <w:jc w:val="right"/>
              <w:rPr>
                <w:rFonts w:ascii="Arial" w:hAnsi="Arial" w:cs="Arial"/>
                <w:color w:val="000000"/>
              </w:rPr>
            </w:pPr>
          </w:p>
        </w:tc>
        <w:tc>
          <w:tcPr>
            <w:tcW w:w="1620" w:type="dxa"/>
            <w:tcBorders>
              <w:top w:val="double" w:sz="4" w:space="0" w:color="auto"/>
              <w:left w:val="nil"/>
              <w:bottom w:val="nil"/>
              <w:right w:val="nil"/>
            </w:tcBorders>
            <w:shd w:val="clear" w:color="auto" w:fill="auto"/>
            <w:noWrap/>
            <w:vAlign w:val="center"/>
            <w:hideMark/>
          </w:tcPr>
          <w:p w14:paraId="0EBF1EBD" w14:textId="77777777" w:rsidR="00BC311C" w:rsidRPr="000A643A" w:rsidRDefault="00BC311C" w:rsidP="009D3557">
            <w:pPr>
              <w:jc w:val="right"/>
              <w:rPr>
                <w:rFonts w:ascii="Arial" w:hAnsi="Arial" w:cs="Arial"/>
              </w:rPr>
            </w:pPr>
          </w:p>
        </w:tc>
        <w:tc>
          <w:tcPr>
            <w:tcW w:w="1530" w:type="dxa"/>
            <w:tcBorders>
              <w:top w:val="double" w:sz="4" w:space="0" w:color="auto"/>
              <w:left w:val="nil"/>
              <w:bottom w:val="nil"/>
              <w:right w:val="nil"/>
            </w:tcBorders>
            <w:shd w:val="clear" w:color="auto" w:fill="auto"/>
            <w:noWrap/>
            <w:vAlign w:val="center"/>
            <w:hideMark/>
          </w:tcPr>
          <w:p w14:paraId="1E0C3828" w14:textId="77777777" w:rsidR="00BC311C" w:rsidRPr="000A643A" w:rsidRDefault="00BC311C" w:rsidP="009D3557">
            <w:pPr>
              <w:jc w:val="right"/>
              <w:rPr>
                <w:rFonts w:ascii="Arial" w:hAnsi="Arial" w:cs="Arial"/>
              </w:rPr>
            </w:pPr>
          </w:p>
        </w:tc>
      </w:tr>
      <w:tr w:rsidR="00BC311C" w:rsidRPr="000A643A" w14:paraId="3B9288BA"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2097ADD6" w14:textId="5460F013" w:rsidR="00BC311C" w:rsidRPr="000A643A" w:rsidRDefault="00BC311C" w:rsidP="00986E82">
            <w:pPr>
              <w:rPr>
                <w:rFonts w:ascii="Arial" w:hAnsi="Arial" w:cs="Arial"/>
                <w:color w:val="000000"/>
              </w:rPr>
            </w:pPr>
            <w:r w:rsidRPr="000A643A">
              <w:rPr>
                <w:rFonts w:ascii="Arial" w:hAnsi="Arial" w:cs="Arial"/>
                <w:color w:val="000000"/>
              </w:rPr>
              <w:t xml:space="preserve">Net earnings in equity accounted joint ventures </w:t>
            </w:r>
          </w:p>
        </w:tc>
        <w:tc>
          <w:tcPr>
            <w:tcW w:w="1620" w:type="dxa"/>
            <w:tcBorders>
              <w:top w:val="nil"/>
              <w:left w:val="nil"/>
              <w:bottom w:val="nil"/>
              <w:right w:val="nil"/>
            </w:tcBorders>
            <w:shd w:val="clear" w:color="auto" w:fill="auto"/>
            <w:noWrap/>
            <w:vAlign w:val="center"/>
            <w:hideMark/>
          </w:tcPr>
          <w:p w14:paraId="44527CEC"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384,740</w:t>
            </w:r>
          </w:p>
        </w:tc>
        <w:tc>
          <w:tcPr>
            <w:tcW w:w="1530" w:type="dxa"/>
            <w:tcBorders>
              <w:top w:val="nil"/>
              <w:left w:val="nil"/>
              <w:bottom w:val="nil"/>
              <w:right w:val="nil"/>
            </w:tcBorders>
            <w:shd w:val="clear" w:color="auto" w:fill="auto"/>
            <w:noWrap/>
            <w:vAlign w:val="center"/>
            <w:hideMark/>
          </w:tcPr>
          <w:p w14:paraId="30A4C125" w14:textId="77777777" w:rsidR="00BC311C" w:rsidRPr="000A643A" w:rsidRDefault="00BC311C" w:rsidP="009D3557">
            <w:pPr>
              <w:jc w:val="right"/>
              <w:rPr>
                <w:rFonts w:ascii="Arial" w:hAnsi="Arial" w:cs="Arial"/>
                <w:color w:val="000000"/>
              </w:rPr>
            </w:pPr>
            <w:r w:rsidRPr="000A643A">
              <w:rPr>
                <w:rFonts w:ascii="Arial" w:hAnsi="Arial" w:cs="Arial"/>
                <w:color w:val="000000"/>
              </w:rPr>
              <w:t>532,426</w:t>
            </w:r>
          </w:p>
        </w:tc>
      </w:tr>
      <w:tr w:rsidR="00BC311C" w:rsidRPr="000A643A" w14:paraId="60EF88A7"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7F940AB4" w14:textId="25E6F58D" w:rsidR="00BC311C" w:rsidRPr="000A643A" w:rsidRDefault="00BC311C" w:rsidP="00986E82">
            <w:pPr>
              <w:rPr>
                <w:rFonts w:ascii="Arial" w:hAnsi="Arial" w:cs="Arial"/>
                <w:color w:val="000000"/>
              </w:rPr>
            </w:pPr>
            <w:r w:rsidRPr="000A643A">
              <w:rPr>
                <w:rFonts w:ascii="Arial" w:hAnsi="Arial" w:cs="Arial"/>
                <w:color w:val="000000"/>
              </w:rPr>
              <w:t xml:space="preserve">Gain on disposal of interest in joint ventures </w:t>
            </w:r>
          </w:p>
        </w:tc>
        <w:tc>
          <w:tcPr>
            <w:tcW w:w="1620" w:type="dxa"/>
            <w:tcBorders>
              <w:top w:val="nil"/>
              <w:left w:val="nil"/>
              <w:bottom w:val="nil"/>
              <w:right w:val="nil"/>
            </w:tcBorders>
            <w:shd w:val="clear" w:color="auto" w:fill="auto"/>
            <w:noWrap/>
            <w:vAlign w:val="center"/>
            <w:hideMark/>
          </w:tcPr>
          <w:p w14:paraId="52CCF885"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916,953</w:t>
            </w:r>
          </w:p>
        </w:tc>
        <w:tc>
          <w:tcPr>
            <w:tcW w:w="1530" w:type="dxa"/>
            <w:tcBorders>
              <w:top w:val="nil"/>
              <w:left w:val="nil"/>
              <w:bottom w:val="nil"/>
              <w:right w:val="nil"/>
            </w:tcBorders>
            <w:shd w:val="clear" w:color="auto" w:fill="auto"/>
            <w:noWrap/>
            <w:vAlign w:val="center"/>
            <w:hideMark/>
          </w:tcPr>
          <w:p w14:paraId="313F3561" w14:textId="08D7ECED" w:rsidR="00BC311C" w:rsidRPr="000A643A" w:rsidRDefault="00BC311C" w:rsidP="009D3557">
            <w:pPr>
              <w:jc w:val="right"/>
              <w:rPr>
                <w:rFonts w:ascii="Arial" w:hAnsi="Arial" w:cs="Arial"/>
                <w:color w:val="000000"/>
              </w:rPr>
            </w:pPr>
            <w:r>
              <w:rPr>
                <w:rFonts w:ascii="Arial" w:hAnsi="Arial" w:cs="Arial"/>
                <w:color w:val="000000"/>
              </w:rPr>
              <w:t>—</w:t>
            </w:r>
          </w:p>
        </w:tc>
      </w:tr>
      <w:tr w:rsidR="00BC311C" w:rsidRPr="000A643A" w14:paraId="0F4395AC" w14:textId="77777777" w:rsidTr="00BC311C">
        <w:trPr>
          <w:trHeight w:val="70"/>
          <w:jc w:val="center"/>
        </w:trPr>
        <w:tc>
          <w:tcPr>
            <w:tcW w:w="6210" w:type="dxa"/>
            <w:tcBorders>
              <w:top w:val="nil"/>
              <w:left w:val="nil"/>
              <w:right w:val="nil"/>
            </w:tcBorders>
            <w:shd w:val="clear" w:color="auto" w:fill="auto"/>
            <w:noWrap/>
            <w:vAlign w:val="center"/>
            <w:hideMark/>
          </w:tcPr>
          <w:p w14:paraId="605A5445" w14:textId="7B40BC34" w:rsidR="00BC311C" w:rsidRPr="000A643A" w:rsidRDefault="00BC311C" w:rsidP="00986E82">
            <w:pPr>
              <w:rPr>
                <w:rFonts w:ascii="Arial" w:hAnsi="Arial" w:cs="Arial"/>
                <w:color w:val="000000"/>
              </w:rPr>
            </w:pPr>
            <w:r w:rsidRPr="000A643A">
              <w:rPr>
                <w:rFonts w:ascii="Arial" w:hAnsi="Arial" w:cs="Arial"/>
                <w:color w:val="000000"/>
              </w:rPr>
              <w:t xml:space="preserve">Fair value gain on investment properties </w:t>
            </w:r>
          </w:p>
        </w:tc>
        <w:tc>
          <w:tcPr>
            <w:tcW w:w="1620" w:type="dxa"/>
            <w:tcBorders>
              <w:top w:val="nil"/>
              <w:left w:val="nil"/>
              <w:bottom w:val="nil"/>
              <w:right w:val="nil"/>
            </w:tcBorders>
            <w:shd w:val="clear" w:color="auto" w:fill="auto"/>
            <w:noWrap/>
            <w:vAlign w:val="center"/>
            <w:hideMark/>
          </w:tcPr>
          <w:p w14:paraId="686C65C7"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3,911,020</w:t>
            </w:r>
          </w:p>
        </w:tc>
        <w:tc>
          <w:tcPr>
            <w:tcW w:w="1530" w:type="dxa"/>
            <w:tcBorders>
              <w:top w:val="nil"/>
              <w:left w:val="nil"/>
              <w:bottom w:val="nil"/>
              <w:right w:val="nil"/>
            </w:tcBorders>
            <w:shd w:val="clear" w:color="auto" w:fill="auto"/>
            <w:noWrap/>
            <w:vAlign w:val="center"/>
            <w:hideMark/>
          </w:tcPr>
          <w:p w14:paraId="2F19E3C4" w14:textId="77777777" w:rsidR="00BC311C" w:rsidRPr="000A643A" w:rsidRDefault="00BC311C" w:rsidP="009D3557">
            <w:pPr>
              <w:jc w:val="right"/>
              <w:rPr>
                <w:rFonts w:ascii="Arial" w:hAnsi="Arial" w:cs="Arial"/>
                <w:color w:val="000000"/>
              </w:rPr>
            </w:pPr>
            <w:r w:rsidRPr="000A643A">
              <w:rPr>
                <w:rFonts w:ascii="Arial" w:hAnsi="Arial" w:cs="Arial"/>
                <w:color w:val="000000"/>
              </w:rPr>
              <w:t>1,744,751</w:t>
            </w:r>
          </w:p>
        </w:tc>
      </w:tr>
      <w:tr w:rsidR="00BC311C" w:rsidRPr="000A643A" w14:paraId="25A6F2F4" w14:textId="77777777" w:rsidTr="00BC311C">
        <w:trPr>
          <w:trHeight w:val="300"/>
          <w:jc w:val="center"/>
        </w:trPr>
        <w:tc>
          <w:tcPr>
            <w:tcW w:w="6210" w:type="dxa"/>
            <w:tcBorders>
              <w:top w:val="nil"/>
              <w:left w:val="nil"/>
              <w:bottom w:val="nil"/>
              <w:right w:val="nil"/>
            </w:tcBorders>
            <w:shd w:val="clear" w:color="auto" w:fill="auto"/>
            <w:noWrap/>
            <w:vAlign w:val="center"/>
            <w:hideMark/>
          </w:tcPr>
          <w:p w14:paraId="2ED19531" w14:textId="7D81076E" w:rsidR="00BC311C" w:rsidRPr="000A643A" w:rsidRDefault="00BC311C" w:rsidP="00986E82">
            <w:pPr>
              <w:rPr>
                <w:rFonts w:ascii="Arial" w:hAnsi="Arial" w:cs="Arial"/>
                <w:color w:val="000000"/>
              </w:rPr>
            </w:pPr>
            <w:r w:rsidRPr="000A643A">
              <w:rPr>
                <w:rFonts w:ascii="Arial" w:hAnsi="Arial" w:cs="Arial"/>
                <w:color w:val="000000"/>
              </w:rPr>
              <w:t xml:space="preserve">Gain (loss) on disposal of investment properties and property and equipment </w:t>
            </w:r>
          </w:p>
        </w:tc>
        <w:tc>
          <w:tcPr>
            <w:tcW w:w="1620" w:type="dxa"/>
            <w:tcBorders>
              <w:top w:val="nil"/>
              <w:left w:val="nil"/>
              <w:bottom w:val="single" w:sz="4" w:space="0" w:color="auto"/>
              <w:right w:val="nil"/>
            </w:tcBorders>
            <w:shd w:val="clear" w:color="auto" w:fill="auto"/>
            <w:noWrap/>
            <w:vAlign w:val="center"/>
            <w:hideMark/>
          </w:tcPr>
          <w:p w14:paraId="182AFC72"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4,169</w:t>
            </w:r>
          </w:p>
        </w:tc>
        <w:tc>
          <w:tcPr>
            <w:tcW w:w="1530" w:type="dxa"/>
            <w:tcBorders>
              <w:top w:val="nil"/>
              <w:left w:val="nil"/>
              <w:bottom w:val="single" w:sz="4" w:space="0" w:color="auto"/>
              <w:right w:val="nil"/>
            </w:tcBorders>
            <w:shd w:val="clear" w:color="auto" w:fill="auto"/>
            <w:noWrap/>
            <w:vAlign w:val="center"/>
            <w:hideMark/>
          </w:tcPr>
          <w:p w14:paraId="1A2C0420" w14:textId="2B0E5E45" w:rsidR="00BC311C" w:rsidRPr="000A643A" w:rsidRDefault="000304B9" w:rsidP="009D3557">
            <w:pPr>
              <w:jc w:val="right"/>
              <w:rPr>
                <w:rFonts w:ascii="Arial" w:hAnsi="Arial" w:cs="Arial"/>
                <w:color w:val="000000"/>
              </w:rPr>
            </w:pPr>
            <w:r>
              <w:rPr>
                <w:rFonts w:ascii="Arial" w:hAnsi="Arial" w:cs="Arial"/>
                <w:color w:val="000000"/>
              </w:rPr>
              <w:t>(</w:t>
            </w:r>
            <w:r w:rsidR="00BC311C" w:rsidRPr="000A643A">
              <w:rPr>
                <w:rFonts w:ascii="Arial" w:hAnsi="Arial" w:cs="Arial"/>
                <w:color w:val="000000"/>
              </w:rPr>
              <w:t>694</w:t>
            </w:r>
            <w:r>
              <w:rPr>
                <w:rFonts w:ascii="Arial" w:hAnsi="Arial" w:cs="Arial"/>
                <w:color w:val="000000"/>
              </w:rPr>
              <w:t>)</w:t>
            </w:r>
          </w:p>
        </w:tc>
      </w:tr>
      <w:tr w:rsidR="00BC311C" w:rsidRPr="000A643A" w14:paraId="0CFE657B" w14:textId="77777777" w:rsidTr="00BC311C">
        <w:trPr>
          <w:trHeight w:val="60"/>
          <w:jc w:val="center"/>
        </w:trPr>
        <w:tc>
          <w:tcPr>
            <w:tcW w:w="6210" w:type="dxa"/>
            <w:tcBorders>
              <w:left w:val="nil"/>
              <w:right w:val="nil"/>
            </w:tcBorders>
            <w:shd w:val="clear" w:color="auto" w:fill="auto"/>
            <w:noWrap/>
            <w:vAlign w:val="center"/>
            <w:hideMark/>
          </w:tcPr>
          <w:p w14:paraId="10C33E61" w14:textId="47DEF938" w:rsidR="00BC311C" w:rsidRPr="000A643A" w:rsidRDefault="00BC311C" w:rsidP="009D3557">
            <w:pPr>
              <w:rPr>
                <w:rFonts w:ascii="Arial" w:hAnsi="Arial" w:cs="Arial"/>
                <w:color w:val="000000"/>
              </w:rPr>
            </w:pPr>
            <w:r>
              <w:rPr>
                <w:rFonts w:ascii="Arial" w:hAnsi="Arial" w:cs="Arial"/>
                <w:color w:val="000000"/>
              </w:rPr>
              <w:t xml:space="preserve"> </w:t>
            </w:r>
          </w:p>
        </w:tc>
        <w:tc>
          <w:tcPr>
            <w:tcW w:w="1620" w:type="dxa"/>
            <w:tcBorders>
              <w:top w:val="single" w:sz="4" w:space="0" w:color="auto"/>
              <w:left w:val="nil"/>
              <w:bottom w:val="double" w:sz="4" w:space="0" w:color="auto"/>
              <w:right w:val="nil"/>
            </w:tcBorders>
            <w:shd w:val="clear" w:color="auto" w:fill="auto"/>
            <w:noWrap/>
            <w:vAlign w:val="center"/>
            <w:hideMark/>
          </w:tcPr>
          <w:p w14:paraId="1031AAB5" w14:textId="6139D489" w:rsidR="00BC311C" w:rsidRPr="000A643A" w:rsidRDefault="00BC311C" w:rsidP="009D3557">
            <w:pPr>
              <w:jc w:val="right"/>
              <w:rPr>
                <w:rFonts w:ascii="Arial" w:hAnsi="Arial" w:cs="Arial"/>
                <w:b/>
                <w:bCs/>
                <w:color w:val="000000"/>
              </w:rPr>
            </w:pPr>
            <w:r w:rsidRPr="000A643A">
              <w:rPr>
                <w:rFonts w:ascii="Arial" w:hAnsi="Arial" w:cs="Arial"/>
                <w:b/>
                <w:bCs/>
                <w:color w:val="000000"/>
              </w:rPr>
              <w:t>5,21</w:t>
            </w:r>
            <w:r>
              <w:rPr>
                <w:rFonts w:ascii="Arial" w:hAnsi="Arial" w:cs="Arial"/>
                <w:b/>
                <w:bCs/>
                <w:color w:val="000000"/>
              </w:rPr>
              <w:t>6</w:t>
            </w:r>
            <w:r w:rsidRPr="000A643A">
              <w:rPr>
                <w:rFonts w:ascii="Arial" w:hAnsi="Arial" w:cs="Arial"/>
                <w:b/>
                <w:bCs/>
                <w:color w:val="000000"/>
              </w:rPr>
              <w:t>,882</w:t>
            </w:r>
          </w:p>
        </w:tc>
        <w:tc>
          <w:tcPr>
            <w:tcW w:w="1530" w:type="dxa"/>
            <w:tcBorders>
              <w:top w:val="single" w:sz="4" w:space="0" w:color="auto"/>
              <w:left w:val="nil"/>
              <w:bottom w:val="double" w:sz="4" w:space="0" w:color="auto"/>
              <w:right w:val="nil"/>
            </w:tcBorders>
            <w:shd w:val="clear" w:color="auto" w:fill="auto"/>
            <w:noWrap/>
            <w:vAlign w:val="center"/>
            <w:hideMark/>
          </w:tcPr>
          <w:p w14:paraId="18519644" w14:textId="77777777" w:rsidR="00BC311C" w:rsidRPr="000A643A" w:rsidRDefault="00BC311C" w:rsidP="009D3557">
            <w:pPr>
              <w:jc w:val="right"/>
              <w:rPr>
                <w:rFonts w:ascii="Arial" w:hAnsi="Arial" w:cs="Arial"/>
                <w:color w:val="000000"/>
              </w:rPr>
            </w:pPr>
            <w:r w:rsidRPr="000A643A">
              <w:rPr>
                <w:rFonts w:ascii="Arial" w:hAnsi="Arial" w:cs="Arial"/>
                <w:color w:val="000000"/>
              </w:rPr>
              <w:t>2,276,483</w:t>
            </w:r>
          </w:p>
        </w:tc>
      </w:tr>
      <w:tr w:rsidR="00BC311C" w:rsidRPr="000A643A" w14:paraId="71E9E567" w14:textId="77777777" w:rsidTr="00BC311C">
        <w:trPr>
          <w:trHeight w:val="60"/>
          <w:jc w:val="center"/>
        </w:trPr>
        <w:tc>
          <w:tcPr>
            <w:tcW w:w="6210" w:type="dxa"/>
            <w:tcBorders>
              <w:top w:val="nil"/>
              <w:left w:val="nil"/>
              <w:right w:val="nil"/>
            </w:tcBorders>
            <w:shd w:val="clear" w:color="auto" w:fill="auto"/>
            <w:noWrap/>
            <w:vAlign w:val="center"/>
            <w:hideMark/>
          </w:tcPr>
          <w:p w14:paraId="1687CAB2" w14:textId="77777777" w:rsidR="00BC311C" w:rsidRPr="000A643A" w:rsidRDefault="00BC311C" w:rsidP="009D3557">
            <w:pPr>
              <w:rPr>
                <w:rFonts w:ascii="Arial" w:hAnsi="Arial" w:cs="Arial"/>
                <w:b/>
                <w:bCs/>
                <w:color w:val="000000"/>
              </w:rPr>
            </w:pPr>
            <w:r w:rsidRPr="000A643A">
              <w:rPr>
                <w:rFonts w:ascii="Arial" w:hAnsi="Arial" w:cs="Arial"/>
                <w:b/>
                <w:bCs/>
                <w:color w:val="000000"/>
              </w:rPr>
              <w:t>Earnings before income taxes</w:t>
            </w:r>
          </w:p>
        </w:tc>
        <w:tc>
          <w:tcPr>
            <w:tcW w:w="1620" w:type="dxa"/>
            <w:tcBorders>
              <w:top w:val="double" w:sz="4" w:space="0" w:color="auto"/>
              <w:left w:val="nil"/>
              <w:bottom w:val="double" w:sz="4" w:space="0" w:color="auto"/>
              <w:right w:val="nil"/>
            </w:tcBorders>
            <w:shd w:val="clear" w:color="auto" w:fill="auto"/>
            <w:noWrap/>
            <w:vAlign w:val="center"/>
            <w:hideMark/>
          </w:tcPr>
          <w:p w14:paraId="78E0DF6B"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8,989,747</w:t>
            </w:r>
          </w:p>
        </w:tc>
        <w:tc>
          <w:tcPr>
            <w:tcW w:w="1530" w:type="dxa"/>
            <w:tcBorders>
              <w:top w:val="double" w:sz="4" w:space="0" w:color="auto"/>
              <w:left w:val="nil"/>
              <w:bottom w:val="double" w:sz="4" w:space="0" w:color="auto"/>
              <w:right w:val="nil"/>
            </w:tcBorders>
            <w:shd w:val="clear" w:color="auto" w:fill="auto"/>
            <w:noWrap/>
            <w:vAlign w:val="center"/>
            <w:hideMark/>
          </w:tcPr>
          <w:p w14:paraId="0FCE218D" w14:textId="77777777" w:rsidR="00BC311C" w:rsidRPr="000A643A" w:rsidRDefault="00BC311C" w:rsidP="009D3557">
            <w:pPr>
              <w:jc w:val="right"/>
              <w:rPr>
                <w:rFonts w:ascii="Arial" w:hAnsi="Arial" w:cs="Arial"/>
                <w:color w:val="000000"/>
              </w:rPr>
            </w:pPr>
            <w:r w:rsidRPr="000A643A">
              <w:rPr>
                <w:rFonts w:ascii="Arial" w:hAnsi="Arial" w:cs="Arial"/>
                <w:color w:val="000000"/>
              </w:rPr>
              <w:t>5,806,112</w:t>
            </w:r>
          </w:p>
        </w:tc>
      </w:tr>
      <w:tr w:rsidR="00BC311C" w:rsidRPr="000A643A" w14:paraId="54FB32B7" w14:textId="77777777" w:rsidTr="00BC311C">
        <w:trPr>
          <w:trHeight w:val="60"/>
          <w:jc w:val="center"/>
        </w:trPr>
        <w:tc>
          <w:tcPr>
            <w:tcW w:w="6210" w:type="dxa"/>
            <w:tcBorders>
              <w:top w:val="nil"/>
              <w:left w:val="nil"/>
              <w:bottom w:val="nil"/>
              <w:right w:val="nil"/>
            </w:tcBorders>
            <w:shd w:val="clear" w:color="auto" w:fill="auto"/>
            <w:noWrap/>
            <w:vAlign w:val="center"/>
            <w:hideMark/>
          </w:tcPr>
          <w:p w14:paraId="35128FB0" w14:textId="77777777" w:rsidR="00BC311C" w:rsidRPr="000A643A" w:rsidRDefault="00BC311C" w:rsidP="009D3557">
            <w:pPr>
              <w:jc w:val="right"/>
              <w:rPr>
                <w:rFonts w:ascii="Arial" w:hAnsi="Arial" w:cs="Arial"/>
                <w:color w:val="000000"/>
              </w:rPr>
            </w:pPr>
          </w:p>
        </w:tc>
        <w:tc>
          <w:tcPr>
            <w:tcW w:w="1620" w:type="dxa"/>
            <w:tcBorders>
              <w:top w:val="double" w:sz="4" w:space="0" w:color="auto"/>
              <w:left w:val="nil"/>
              <w:bottom w:val="nil"/>
              <w:right w:val="nil"/>
            </w:tcBorders>
            <w:shd w:val="clear" w:color="auto" w:fill="auto"/>
            <w:noWrap/>
            <w:vAlign w:val="center"/>
            <w:hideMark/>
          </w:tcPr>
          <w:p w14:paraId="5984714B" w14:textId="77777777" w:rsidR="00BC311C" w:rsidRPr="000A643A" w:rsidRDefault="00BC311C" w:rsidP="009D3557">
            <w:pPr>
              <w:jc w:val="right"/>
              <w:rPr>
                <w:rFonts w:ascii="Arial" w:hAnsi="Arial" w:cs="Arial"/>
              </w:rPr>
            </w:pPr>
          </w:p>
        </w:tc>
        <w:tc>
          <w:tcPr>
            <w:tcW w:w="1530" w:type="dxa"/>
            <w:tcBorders>
              <w:top w:val="double" w:sz="4" w:space="0" w:color="auto"/>
              <w:left w:val="nil"/>
              <w:bottom w:val="nil"/>
              <w:right w:val="nil"/>
            </w:tcBorders>
            <w:shd w:val="clear" w:color="auto" w:fill="auto"/>
            <w:noWrap/>
            <w:vAlign w:val="center"/>
            <w:hideMark/>
          </w:tcPr>
          <w:p w14:paraId="67D79850" w14:textId="77777777" w:rsidR="00BC311C" w:rsidRPr="000A643A" w:rsidRDefault="00BC311C" w:rsidP="009D3557">
            <w:pPr>
              <w:jc w:val="right"/>
              <w:rPr>
                <w:rFonts w:ascii="Arial" w:hAnsi="Arial" w:cs="Arial"/>
              </w:rPr>
            </w:pPr>
          </w:p>
        </w:tc>
      </w:tr>
      <w:tr w:rsidR="00BC311C" w:rsidRPr="000A643A" w14:paraId="73C1CA6A"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43D587C6" w14:textId="59ADB362" w:rsidR="00BC311C" w:rsidRPr="000A643A" w:rsidRDefault="00BC311C" w:rsidP="00986E82">
            <w:pPr>
              <w:rPr>
                <w:rFonts w:ascii="Arial" w:hAnsi="Arial" w:cs="Arial"/>
                <w:color w:val="000000"/>
              </w:rPr>
            </w:pPr>
            <w:r w:rsidRPr="000A643A">
              <w:rPr>
                <w:rFonts w:ascii="Arial" w:hAnsi="Arial" w:cs="Arial"/>
                <w:color w:val="000000"/>
              </w:rPr>
              <w:t xml:space="preserve">Income taxes </w:t>
            </w:r>
          </w:p>
        </w:tc>
        <w:tc>
          <w:tcPr>
            <w:tcW w:w="1620" w:type="dxa"/>
            <w:tcBorders>
              <w:top w:val="nil"/>
              <w:left w:val="nil"/>
              <w:bottom w:val="nil"/>
              <w:right w:val="nil"/>
            </w:tcBorders>
            <w:shd w:val="clear" w:color="auto" w:fill="auto"/>
            <w:noWrap/>
            <w:vAlign w:val="center"/>
            <w:hideMark/>
          </w:tcPr>
          <w:p w14:paraId="679BBF08"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2,057,217</w:t>
            </w:r>
          </w:p>
        </w:tc>
        <w:tc>
          <w:tcPr>
            <w:tcW w:w="1530" w:type="dxa"/>
            <w:tcBorders>
              <w:top w:val="nil"/>
              <w:left w:val="nil"/>
              <w:bottom w:val="nil"/>
              <w:right w:val="nil"/>
            </w:tcBorders>
            <w:shd w:val="clear" w:color="auto" w:fill="auto"/>
            <w:noWrap/>
            <w:vAlign w:val="center"/>
            <w:hideMark/>
          </w:tcPr>
          <w:p w14:paraId="5FB311E1" w14:textId="77777777" w:rsidR="00BC311C" w:rsidRPr="000A643A" w:rsidRDefault="00BC311C" w:rsidP="009D3557">
            <w:pPr>
              <w:jc w:val="right"/>
              <w:rPr>
                <w:rFonts w:ascii="Arial" w:hAnsi="Arial" w:cs="Arial"/>
                <w:color w:val="000000"/>
              </w:rPr>
            </w:pPr>
            <w:r w:rsidRPr="000A643A">
              <w:rPr>
                <w:rFonts w:ascii="Arial" w:hAnsi="Arial" w:cs="Arial"/>
                <w:color w:val="000000"/>
              </w:rPr>
              <w:t>334,342</w:t>
            </w:r>
          </w:p>
        </w:tc>
      </w:tr>
      <w:tr w:rsidR="00BC311C" w:rsidRPr="000A643A" w14:paraId="5195E44F" w14:textId="77777777" w:rsidTr="00BC311C">
        <w:trPr>
          <w:trHeight w:val="70"/>
          <w:jc w:val="center"/>
        </w:trPr>
        <w:tc>
          <w:tcPr>
            <w:tcW w:w="6210" w:type="dxa"/>
            <w:tcBorders>
              <w:top w:val="nil"/>
              <w:left w:val="nil"/>
              <w:bottom w:val="nil"/>
              <w:right w:val="nil"/>
            </w:tcBorders>
            <w:shd w:val="clear" w:color="auto" w:fill="auto"/>
            <w:noWrap/>
            <w:vAlign w:val="center"/>
            <w:hideMark/>
          </w:tcPr>
          <w:p w14:paraId="6C7F3100" w14:textId="77C7A857" w:rsidR="00BC311C" w:rsidRPr="000A643A" w:rsidRDefault="00BC311C" w:rsidP="00986E82">
            <w:pPr>
              <w:rPr>
                <w:rFonts w:ascii="Arial" w:hAnsi="Arial" w:cs="Arial"/>
                <w:color w:val="000000"/>
              </w:rPr>
            </w:pPr>
            <w:r w:rsidRPr="000A643A">
              <w:rPr>
                <w:rFonts w:ascii="Arial" w:hAnsi="Arial" w:cs="Arial"/>
                <w:color w:val="000000"/>
              </w:rPr>
              <w:t xml:space="preserve">Deferred income taxes expense </w:t>
            </w:r>
          </w:p>
        </w:tc>
        <w:tc>
          <w:tcPr>
            <w:tcW w:w="1620" w:type="dxa"/>
            <w:tcBorders>
              <w:top w:val="nil"/>
              <w:left w:val="nil"/>
              <w:bottom w:val="single" w:sz="4" w:space="0" w:color="auto"/>
              <w:right w:val="nil"/>
            </w:tcBorders>
            <w:shd w:val="clear" w:color="auto" w:fill="auto"/>
            <w:noWrap/>
            <w:vAlign w:val="center"/>
            <w:hideMark/>
          </w:tcPr>
          <w:p w14:paraId="02EF149B" w14:textId="77777777" w:rsidR="00BC311C" w:rsidRPr="000A643A" w:rsidRDefault="00BC311C" w:rsidP="009D3557">
            <w:pPr>
              <w:jc w:val="right"/>
              <w:rPr>
                <w:rFonts w:ascii="Arial" w:hAnsi="Arial" w:cs="Arial"/>
                <w:b/>
                <w:bCs/>
                <w:color w:val="000000"/>
              </w:rPr>
            </w:pPr>
            <w:r w:rsidRPr="000A643A">
              <w:rPr>
                <w:rFonts w:ascii="Arial" w:hAnsi="Arial" w:cs="Arial"/>
                <w:b/>
                <w:bCs/>
                <w:color w:val="000000"/>
              </w:rPr>
              <w:t>725,557</w:t>
            </w:r>
          </w:p>
        </w:tc>
        <w:tc>
          <w:tcPr>
            <w:tcW w:w="1530" w:type="dxa"/>
            <w:tcBorders>
              <w:top w:val="nil"/>
              <w:left w:val="nil"/>
              <w:bottom w:val="single" w:sz="4" w:space="0" w:color="auto"/>
              <w:right w:val="nil"/>
            </w:tcBorders>
            <w:shd w:val="clear" w:color="auto" w:fill="auto"/>
            <w:noWrap/>
            <w:vAlign w:val="center"/>
            <w:hideMark/>
          </w:tcPr>
          <w:p w14:paraId="09A9C922" w14:textId="77777777" w:rsidR="00BC311C" w:rsidRPr="000A643A" w:rsidRDefault="00BC311C" w:rsidP="009D3557">
            <w:pPr>
              <w:jc w:val="right"/>
              <w:rPr>
                <w:rFonts w:ascii="Arial" w:hAnsi="Arial" w:cs="Arial"/>
                <w:color w:val="000000"/>
              </w:rPr>
            </w:pPr>
            <w:r w:rsidRPr="000A643A">
              <w:rPr>
                <w:rFonts w:ascii="Arial" w:hAnsi="Arial" w:cs="Arial"/>
                <w:color w:val="000000"/>
              </w:rPr>
              <w:t>1,032,504</w:t>
            </w:r>
          </w:p>
        </w:tc>
      </w:tr>
      <w:tr w:rsidR="00BC311C" w:rsidRPr="000A643A" w14:paraId="3DEA8F34" w14:textId="77777777" w:rsidTr="00BC311C">
        <w:trPr>
          <w:trHeight w:val="60"/>
          <w:jc w:val="center"/>
        </w:trPr>
        <w:tc>
          <w:tcPr>
            <w:tcW w:w="6210" w:type="dxa"/>
            <w:tcBorders>
              <w:left w:val="nil"/>
              <w:right w:val="nil"/>
            </w:tcBorders>
            <w:shd w:val="clear" w:color="auto" w:fill="auto"/>
            <w:noWrap/>
            <w:vAlign w:val="center"/>
            <w:hideMark/>
          </w:tcPr>
          <w:p w14:paraId="7E64850F" w14:textId="6F6F6E9C" w:rsidR="00BC311C" w:rsidRPr="000A643A" w:rsidRDefault="00BC311C" w:rsidP="009D3557">
            <w:pPr>
              <w:rPr>
                <w:rFonts w:ascii="Arial" w:hAnsi="Arial" w:cs="Arial"/>
                <w:color w:val="000000"/>
              </w:rPr>
            </w:pPr>
            <w:r>
              <w:rPr>
                <w:rFonts w:ascii="Arial" w:hAnsi="Arial" w:cs="Arial"/>
                <w:color w:val="000000"/>
              </w:rPr>
              <w:t xml:space="preserve"> </w:t>
            </w:r>
          </w:p>
        </w:tc>
        <w:tc>
          <w:tcPr>
            <w:tcW w:w="1620" w:type="dxa"/>
            <w:tcBorders>
              <w:top w:val="single" w:sz="4" w:space="0" w:color="auto"/>
              <w:left w:val="nil"/>
              <w:bottom w:val="double" w:sz="4" w:space="0" w:color="auto"/>
              <w:right w:val="nil"/>
            </w:tcBorders>
            <w:shd w:val="clear" w:color="auto" w:fill="auto"/>
            <w:noWrap/>
            <w:vAlign w:val="center"/>
            <w:hideMark/>
          </w:tcPr>
          <w:p w14:paraId="617D6489" w14:textId="4F989141" w:rsidR="00BC311C" w:rsidRPr="000A643A" w:rsidRDefault="00BC311C" w:rsidP="009D3557">
            <w:pPr>
              <w:jc w:val="right"/>
              <w:rPr>
                <w:rFonts w:ascii="Arial" w:hAnsi="Arial" w:cs="Arial"/>
                <w:b/>
                <w:bCs/>
                <w:color w:val="000000"/>
              </w:rPr>
            </w:pPr>
            <w:r>
              <w:rPr>
                <w:rFonts w:ascii="Arial" w:hAnsi="Arial" w:cs="Arial"/>
                <w:b/>
                <w:bCs/>
                <w:color w:val="000000"/>
              </w:rPr>
              <w:t xml:space="preserve">2,782,774 </w:t>
            </w:r>
          </w:p>
        </w:tc>
        <w:tc>
          <w:tcPr>
            <w:tcW w:w="1530" w:type="dxa"/>
            <w:tcBorders>
              <w:top w:val="single" w:sz="4" w:space="0" w:color="auto"/>
              <w:left w:val="nil"/>
              <w:bottom w:val="double" w:sz="4" w:space="0" w:color="auto"/>
              <w:right w:val="nil"/>
            </w:tcBorders>
            <w:shd w:val="clear" w:color="auto" w:fill="auto"/>
            <w:noWrap/>
            <w:vAlign w:val="center"/>
            <w:hideMark/>
          </w:tcPr>
          <w:p w14:paraId="24A736B5" w14:textId="60F07D3B" w:rsidR="00BC311C" w:rsidRPr="000A643A" w:rsidRDefault="00BC311C" w:rsidP="009D3557">
            <w:pPr>
              <w:jc w:val="right"/>
              <w:rPr>
                <w:rFonts w:ascii="Arial" w:hAnsi="Arial" w:cs="Arial"/>
                <w:color w:val="000000"/>
              </w:rPr>
            </w:pPr>
            <w:r>
              <w:rPr>
                <w:rFonts w:ascii="Arial" w:hAnsi="Arial" w:cs="Arial"/>
                <w:color w:val="000000"/>
              </w:rPr>
              <w:t>1,366,846</w:t>
            </w:r>
          </w:p>
        </w:tc>
      </w:tr>
      <w:tr w:rsidR="00BC311C" w:rsidRPr="000A643A" w14:paraId="5BCE24A9" w14:textId="77777777" w:rsidTr="00BC311C">
        <w:trPr>
          <w:trHeight w:val="60"/>
          <w:jc w:val="center"/>
        </w:trPr>
        <w:tc>
          <w:tcPr>
            <w:tcW w:w="6210" w:type="dxa"/>
            <w:tcBorders>
              <w:top w:val="nil"/>
              <w:left w:val="nil"/>
              <w:bottom w:val="nil"/>
              <w:right w:val="nil"/>
            </w:tcBorders>
            <w:shd w:val="clear" w:color="auto" w:fill="auto"/>
            <w:noWrap/>
            <w:vAlign w:val="center"/>
            <w:hideMark/>
          </w:tcPr>
          <w:p w14:paraId="6A84825F" w14:textId="77777777" w:rsidR="00BC311C" w:rsidRPr="000A643A" w:rsidRDefault="00BC311C" w:rsidP="009D3557">
            <w:pPr>
              <w:rPr>
                <w:rFonts w:ascii="Arial" w:hAnsi="Arial" w:cs="Arial"/>
                <w:b/>
                <w:bCs/>
                <w:color w:val="000000"/>
              </w:rPr>
            </w:pPr>
            <w:r w:rsidRPr="000A643A">
              <w:rPr>
                <w:rFonts w:ascii="Arial" w:hAnsi="Arial" w:cs="Arial"/>
                <w:b/>
                <w:bCs/>
                <w:color w:val="000000"/>
              </w:rPr>
              <w:t>Net earnings and comprehensive income</w:t>
            </w:r>
          </w:p>
        </w:tc>
        <w:tc>
          <w:tcPr>
            <w:tcW w:w="1620" w:type="dxa"/>
            <w:tcBorders>
              <w:top w:val="double" w:sz="4" w:space="0" w:color="auto"/>
              <w:left w:val="nil"/>
              <w:bottom w:val="double" w:sz="6" w:space="0" w:color="auto"/>
              <w:right w:val="nil"/>
            </w:tcBorders>
            <w:shd w:val="clear" w:color="auto" w:fill="auto"/>
            <w:noWrap/>
            <w:vAlign w:val="center"/>
            <w:hideMark/>
          </w:tcPr>
          <w:p w14:paraId="7315DADB" w14:textId="17B5A354" w:rsidR="00BC311C" w:rsidRPr="000A643A" w:rsidRDefault="00BC311C" w:rsidP="009D3557">
            <w:pPr>
              <w:jc w:val="right"/>
              <w:rPr>
                <w:rFonts w:ascii="Arial" w:hAnsi="Arial" w:cs="Arial"/>
                <w:b/>
                <w:bCs/>
                <w:color w:val="000000"/>
              </w:rPr>
            </w:pPr>
            <w:r w:rsidRPr="000A643A">
              <w:rPr>
                <w:rFonts w:ascii="Arial" w:hAnsi="Arial" w:cs="Arial"/>
                <w:b/>
                <w:bCs/>
                <w:color w:val="000000"/>
              </w:rPr>
              <w:t>$6,206,973</w:t>
            </w:r>
          </w:p>
        </w:tc>
        <w:tc>
          <w:tcPr>
            <w:tcW w:w="1530" w:type="dxa"/>
            <w:tcBorders>
              <w:top w:val="double" w:sz="4" w:space="0" w:color="auto"/>
              <w:left w:val="nil"/>
              <w:bottom w:val="double" w:sz="6" w:space="0" w:color="auto"/>
              <w:right w:val="nil"/>
            </w:tcBorders>
            <w:shd w:val="clear" w:color="auto" w:fill="auto"/>
            <w:noWrap/>
            <w:vAlign w:val="center"/>
            <w:hideMark/>
          </w:tcPr>
          <w:p w14:paraId="6B70A746" w14:textId="5F55E193" w:rsidR="00BC311C" w:rsidRPr="000A643A" w:rsidRDefault="00BC311C" w:rsidP="009D3557">
            <w:pPr>
              <w:jc w:val="right"/>
              <w:rPr>
                <w:rFonts w:ascii="Arial" w:hAnsi="Arial" w:cs="Arial"/>
                <w:color w:val="000000"/>
              </w:rPr>
            </w:pPr>
            <w:r w:rsidRPr="000A643A">
              <w:rPr>
                <w:rFonts w:ascii="Arial" w:hAnsi="Arial" w:cs="Arial"/>
                <w:color w:val="000000"/>
              </w:rPr>
              <w:t>$4,439,266</w:t>
            </w:r>
          </w:p>
        </w:tc>
      </w:tr>
      <w:tr w:rsidR="00BC311C" w:rsidRPr="000A643A" w14:paraId="6DA35DB1" w14:textId="77777777" w:rsidTr="00BC311C">
        <w:trPr>
          <w:trHeight w:val="25"/>
          <w:jc w:val="center"/>
        </w:trPr>
        <w:tc>
          <w:tcPr>
            <w:tcW w:w="6210" w:type="dxa"/>
            <w:tcBorders>
              <w:top w:val="nil"/>
              <w:left w:val="nil"/>
              <w:bottom w:val="nil"/>
              <w:right w:val="nil"/>
            </w:tcBorders>
            <w:shd w:val="clear" w:color="auto" w:fill="auto"/>
            <w:noWrap/>
            <w:vAlign w:val="center"/>
            <w:hideMark/>
          </w:tcPr>
          <w:p w14:paraId="0E614788" w14:textId="77777777" w:rsidR="00BC311C" w:rsidRPr="000A643A" w:rsidRDefault="00BC311C" w:rsidP="009D3557">
            <w:pPr>
              <w:rPr>
                <w:rFonts w:ascii="Arial" w:hAnsi="Arial" w:cs="Arial"/>
                <w:color w:val="000000"/>
              </w:rPr>
            </w:pPr>
          </w:p>
        </w:tc>
        <w:tc>
          <w:tcPr>
            <w:tcW w:w="1620" w:type="dxa"/>
            <w:tcBorders>
              <w:top w:val="nil"/>
              <w:left w:val="nil"/>
              <w:right w:val="nil"/>
            </w:tcBorders>
            <w:shd w:val="clear" w:color="auto" w:fill="auto"/>
            <w:noWrap/>
            <w:vAlign w:val="center"/>
            <w:hideMark/>
          </w:tcPr>
          <w:p w14:paraId="7438CFCC" w14:textId="77777777" w:rsidR="00BC311C" w:rsidRPr="000A643A" w:rsidRDefault="00BC311C" w:rsidP="009D3557">
            <w:pPr>
              <w:jc w:val="right"/>
              <w:rPr>
                <w:rFonts w:ascii="Arial" w:hAnsi="Arial" w:cs="Arial"/>
              </w:rPr>
            </w:pPr>
          </w:p>
        </w:tc>
        <w:tc>
          <w:tcPr>
            <w:tcW w:w="1530" w:type="dxa"/>
            <w:tcBorders>
              <w:top w:val="nil"/>
              <w:left w:val="nil"/>
              <w:right w:val="nil"/>
            </w:tcBorders>
            <w:shd w:val="clear" w:color="auto" w:fill="auto"/>
            <w:noWrap/>
            <w:vAlign w:val="center"/>
            <w:hideMark/>
          </w:tcPr>
          <w:p w14:paraId="11405FAE" w14:textId="77777777" w:rsidR="00BC311C" w:rsidRPr="000A643A" w:rsidRDefault="00BC311C" w:rsidP="009D3557">
            <w:pPr>
              <w:jc w:val="right"/>
              <w:rPr>
                <w:rFonts w:ascii="Arial" w:hAnsi="Arial" w:cs="Arial"/>
              </w:rPr>
            </w:pPr>
          </w:p>
        </w:tc>
      </w:tr>
      <w:tr w:rsidR="00BC311C" w:rsidRPr="000A643A" w14:paraId="7A5C5AE9" w14:textId="77777777" w:rsidTr="000304B9">
        <w:trPr>
          <w:trHeight w:val="70"/>
          <w:jc w:val="center"/>
        </w:trPr>
        <w:tc>
          <w:tcPr>
            <w:tcW w:w="6210" w:type="dxa"/>
            <w:tcBorders>
              <w:top w:val="nil"/>
              <w:left w:val="nil"/>
              <w:right w:val="nil"/>
            </w:tcBorders>
            <w:shd w:val="clear" w:color="auto" w:fill="auto"/>
            <w:noWrap/>
            <w:vAlign w:val="center"/>
            <w:hideMark/>
          </w:tcPr>
          <w:p w14:paraId="2F4E3415" w14:textId="1A3555CC" w:rsidR="00BC311C" w:rsidRPr="000A643A" w:rsidRDefault="00BC311C" w:rsidP="00986E82">
            <w:pPr>
              <w:rPr>
                <w:rFonts w:ascii="Arial" w:hAnsi="Arial" w:cs="Arial"/>
                <w:b/>
                <w:bCs/>
                <w:color w:val="000000"/>
              </w:rPr>
            </w:pPr>
            <w:r w:rsidRPr="000A643A">
              <w:rPr>
                <w:rFonts w:ascii="Arial" w:hAnsi="Arial" w:cs="Arial"/>
                <w:b/>
                <w:bCs/>
                <w:color w:val="000000"/>
              </w:rPr>
              <w:t xml:space="preserve">Earnings per share </w:t>
            </w:r>
            <w:r>
              <w:rPr>
                <w:rFonts w:ascii="Arial" w:hAnsi="Arial" w:cs="Arial"/>
                <w:b/>
                <w:bCs/>
                <w:color w:val="000000"/>
              </w:rPr>
              <w:t>–</w:t>
            </w:r>
            <w:r w:rsidRPr="000A643A">
              <w:rPr>
                <w:rFonts w:ascii="Arial" w:hAnsi="Arial" w:cs="Arial"/>
                <w:b/>
                <w:bCs/>
                <w:color w:val="000000"/>
              </w:rPr>
              <w:t xml:space="preserve"> basic </w:t>
            </w:r>
          </w:p>
        </w:tc>
        <w:tc>
          <w:tcPr>
            <w:tcW w:w="1620" w:type="dxa"/>
            <w:tcBorders>
              <w:top w:val="nil"/>
              <w:left w:val="nil"/>
              <w:right w:val="nil"/>
            </w:tcBorders>
            <w:shd w:val="clear" w:color="auto" w:fill="auto"/>
            <w:noWrap/>
            <w:vAlign w:val="center"/>
            <w:hideMark/>
          </w:tcPr>
          <w:p w14:paraId="7899B20B" w14:textId="479726E7" w:rsidR="00BC311C" w:rsidRPr="000A643A" w:rsidRDefault="00BC311C" w:rsidP="009D3557">
            <w:pPr>
              <w:jc w:val="right"/>
              <w:rPr>
                <w:rFonts w:ascii="Arial" w:hAnsi="Arial" w:cs="Arial"/>
                <w:b/>
                <w:bCs/>
                <w:color w:val="000000"/>
              </w:rPr>
            </w:pPr>
            <w:r w:rsidRPr="000A643A">
              <w:rPr>
                <w:rFonts w:ascii="Arial" w:hAnsi="Arial" w:cs="Arial"/>
                <w:b/>
                <w:bCs/>
                <w:color w:val="000000"/>
              </w:rPr>
              <w:t>$4.48</w:t>
            </w:r>
          </w:p>
        </w:tc>
        <w:tc>
          <w:tcPr>
            <w:tcW w:w="1530" w:type="dxa"/>
            <w:tcBorders>
              <w:top w:val="nil"/>
              <w:left w:val="nil"/>
              <w:right w:val="nil"/>
            </w:tcBorders>
            <w:shd w:val="clear" w:color="auto" w:fill="auto"/>
            <w:noWrap/>
            <w:vAlign w:val="center"/>
            <w:hideMark/>
          </w:tcPr>
          <w:p w14:paraId="1338853E" w14:textId="7BF640A1" w:rsidR="00BC311C" w:rsidRPr="000A643A" w:rsidRDefault="00BC311C" w:rsidP="009D3557">
            <w:pPr>
              <w:jc w:val="right"/>
              <w:rPr>
                <w:rFonts w:ascii="Arial" w:hAnsi="Arial" w:cs="Arial"/>
                <w:color w:val="000000"/>
              </w:rPr>
            </w:pPr>
            <w:r w:rsidRPr="000A643A">
              <w:rPr>
                <w:rFonts w:ascii="Arial" w:hAnsi="Arial" w:cs="Arial"/>
                <w:color w:val="000000"/>
              </w:rPr>
              <w:t>$3.28</w:t>
            </w:r>
          </w:p>
        </w:tc>
      </w:tr>
      <w:tr w:rsidR="00BC311C" w:rsidRPr="000A643A" w14:paraId="0CF71688" w14:textId="77777777" w:rsidTr="000304B9">
        <w:trPr>
          <w:trHeight w:val="70"/>
          <w:jc w:val="center"/>
        </w:trPr>
        <w:tc>
          <w:tcPr>
            <w:tcW w:w="6210" w:type="dxa"/>
            <w:tcBorders>
              <w:top w:val="nil"/>
              <w:left w:val="nil"/>
              <w:bottom w:val="single" w:sz="4" w:space="0" w:color="auto"/>
              <w:right w:val="nil"/>
            </w:tcBorders>
            <w:shd w:val="clear" w:color="auto" w:fill="auto"/>
            <w:noWrap/>
            <w:vAlign w:val="center"/>
            <w:hideMark/>
          </w:tcPr>
          <w:p w14:paraId="48BF8E3C" w14:textId="44B17A8D" w:rsidR="00BC311C" w:rsidRPr="000A643A" w:rsidRDefault="00BC311C" w:rsidP="00986E82">
            <w:pPr>
              <w:rPr>
                <w:rFonts w:ascii="Arial" w:hAnsi="Arial" w:cs="Arial"/>
                <w:b/>
                <w:bCs/>
                <w:color w:val="000000"/>
              </w:rPr>
            </w:pPr>
            <w:r w:rsidRPr="000A643A">
              <w:rPr>
                <w:rFonts w:ascii="Arial" w:hAnsi="Arial" w:cs="Arial"/>
                <w:b/>
                <w:bCs/>
                <w:color w:val="000000"/>
              </w:rPr>
              <w:t xml:space="preserve">Earnings per share </w:t>
            </w:r>
            <w:r>
              <w:rPr>
                <w:rFonts w:ascii="Arial" w:hAnsi="Arial" w:cs="Arial"/>
                <w:b/>
                <w:bCs/>
                <w:color w:val="000000"/>
              </w:rPr>
              <w:t>–</w:t>
            </w:r>
            <w:r w:rsidRPr="000A643A">
              <w:rPr>
                <w:rFonts w:ascii="Arial" w:hAnsi="Arial" w:cs="Arial"/>
                <w:b/>
                <w:bCs/>
                <w:color w:val="000000"/>
              </w:rPr>
              <w:t xml:space="preserve"> diluted </w:t>
            </w:r>
          </w:p>
        </w:tc>
        <w:tc>
          <w:tcPr>
            <w:tcW w:w="1620" w:type="dxa"/>
            <w:tcBorders>
              <w:top w:val="nil"/>
              <w:left w:val="nil"/>
              <w:bottom w:val="single" w:sz="4" w:space="0" w:color="auto"/>
              <w:right w:val="nil"/>
            </w:tcBorders>
            <w:shd w:val="clear" w:color="auto" w:fill="auto"/>
            <w:noWrap/>
            <w:vAlign w:val="center"/>
            <w:hideMark/>
          </w:tcPr>
          <w:p w14:paraId="2BEEAB5A" w14:textId="7047B560" w:rsidR="00BC311C" w:rsidRPr="000A643A" w:rsidRDefault="00BC311C" w:rsidP="009D3557">
            <w:pPr>
              <w:jc w:val="right"/>
              <w:rPr>
                <w:rFonts w:ascii="Arial" w:hAnsi="Arial" w:cs="Arial"/>
                <w:b/>
                <w:bCs/>
                <w:color w:val="000000"/>
              </w:rPr>
            </w:pPr>
            <w:r w:rsidRPr="000A643A">
              <w:rPr>
                <w:rFonts w:ascii="Arial" w:hAnsi="Arial" w:cs="Arial"/>
                <w:b/>
                <w:bCs/>
                <w:color w:val="000000"/>
              </w:rPr>
              <w:t>$4.45</w:t>
            </w:r>
          </w:p>
        </w:tc>
        <w:tc>
          <w:tcPr>
            <w:tcW w:w="1530" w:type="dxa"/>
            <w:tcBorders>
              <w:top w:val="nil"/>
              <w:left w:val="nil"/>
              <w:bottom w:val="single" w:sz="4" w:space="0" w:color="auto"/>
              <w:right w:val="nil"/>
            </w:tcBorders>
            <w:shd w:val="clear" w:color="auto" w:fill="auto"/>
            <w:noWrap/>
            <w:vAlign w:val="center"/>
            <w:hideMark/>
          </w:tcPr>
          <w:p w14:paraId="23B25F19" w14:textId="2B3B928C" w:rsidR="00BC311C" w:rsidRPr="000A643A" w:rsidRDefault="00BC311C" w:rsidP="009D3557">
            <w:pPr>
              <w:jc w:val="right"/>
              <w:rPr>
                <w:rFonts w:ascii="Arial" w:hAnsi="Arial" w:cs="Arial"/>
                <w:color w:val="000000"/>
              </w:rPr>
            </w:pPr>
            <w:r w:rsidRPr="000A643A">
              <w:rPr>
                <w:rFonts w:ascii="Arial" w:hAnsi="Arial" w:cs="Arial"/>
                <w:color w:val="000000"/>
              </w:rPr>
              <w:t>$3.24</w:t>
            </w:r>
          </w:p>
        </w:tc>
      </w:tr>
    </w:tbl>
    <w:p w14:paraId="5406AC65" w14:textId="1572CCEE" w:rsidR="00A2017F" w:rsidRDefault="00A2017F" w:rsidP="002944BA">
      <w:pPr>
        <w:pStyle w:val="ExhibitText"/>
      </w:pPr>
    </w:p>
    <w:p w14:paraId="551814A6" w14:textId="77777777" w:rsidR="00A2017F" w:rsidRDefault="00A2017F">
      <w:pPr>
        <w:spacing w:after="200" w:line="276" w:lineRule="auto"/>
        <w:rPr>
          <w:rFonts w:ascii="Arial" w:hAnsi="Arial" w:cs="Arial"/>
          <w:b/>
          <w:caps/>
        </w:rPr>
      </w:pPr>
      <w:r>
        <w:br w:type="page"/>
      </w:r>
    </w:p>
    <w:p w14:paraId="1A6DDA4F" w14:textId="1F1072FD" w:rsidR="003F4291" w:rsidRPr="000A643A" w:rsidRDefault="003F4291" w:rsidP="00A2017F">
      <w:pPr>
        <w:pStyle w:val="ExhibitHeading"/>
      </w:pPr>
      <w:r w:rsidRPr="000A643A">
        <w:lastRenderedPageBreak/>
        <w:t>Exhibit 2 (continued)</w:t>
      </w:r>
    </w:p>
    <w:p w14:paraId="035CBE6D" w14:textId="77777777" w:rsidR="003F4291" w:rsidRPr="000A643A" w:rsidRDefault="003F4291" w:rsidP="002944BA">
      <w:pPr>
        <w:pStyle w:val="ExhibitText"/>
      </w:pPr>
    </w:p>
    <w:p w14:paraId="5621DAEE" w14:textId="64985D24" w:rsidR="009D3557" w:rsidRPr="000A643A" w:rsidRDefault="003F4291" w:rsidP="003F4291">
      <w:pPr>
        <w:pStyle w:val="Casehead2"/>
      </w:pPr>
      <w:r w:rsidRPr="000A643A">
        <w:t>Consolidated Statements of Shareholders’ Equity</w:t>
      </w:r>
    </w:p>
    <w:p w14:paraId="63F90DEE" w14:textId="77777777" w:rsidR="003F4291" w:rsidRPr="000A643A" w:rsidRDefault="003F4291" w:rsidP="002944BA">
      <w:pPr>
        <w:pStyle w:val="ExhibitText"/>
      </w:pPr>
    </w:p>
    <w:tbl>
      <w:tblPr>
        <w:tblW w:w="5000" w:type="pct"/>
        <w:jc w:val="center"/>
        <w:tblLook w:val="04A0" w:firstRow="1" w:lastRow="0" w:firstColumn="1" w:lastColumn="0" w:noHBand="0" w:noVBand="1"/>
      </w:tblPr>
      <w:tblGrid>
        <w:gridCol w:w="4480"/>
        <w:gridCol w:w="1771"/>
        <w:gridCol w:w="1563"/>
        <w:gridCol w:w="1546"/>
      </w:tblGrid>
      <w:tr w:rsidR="003F4291" w:rsidRPr="004673BA" w14:paraId="6F4A90F1" w14:textId="77777777" w:rsidTr="004673BA">
        <w:trPr>
          <w:trHeight w:val="70"/>
          <w:jc w:val="center"/>
        </w:trPr>
        <w:tc>
          <w:tcPr>
            <w:tcW w:w="4480" w:type="dxa"/>
            <w:tcBorders>
              <w:top w:val="nil"/>
              <w:left w:val="nil"/>
              <w:bottom w:val="single" w:sz="12" w:space="0" w:color="auto"/>
              <w:right w:val="nil"/>
            </w:tcBorders>
            <w:shd w:val="clear" w:color="auto" w:fill="auto"/>
            <w:noWrap/>
            <w:vAlign w:val="center"/>
            <w:hideMark/>
          </w:tcPr>
          <w:p w14:paraId="1847B487" w14:textId="571FB6EB" w:rsidR="003F4291" w:rsidRPr="004673BA" w:rsidRDefault="004673BA" w:rsidP="004673BA">
            <w:pPr>
              <w:jc w:val="right"/>
              <w:rPr>
                <w:rFonts w:ascii="Arial" w:hAnsi="Arial" w:cs="Arial"/>
                <w:b/>
                <w:bCs/>
                <w:color w:val="000000"/>
              </w:rPr>
            </w:pPr>
            <w:r w:rsidRPr="004673BA">
              <w:rPr>
                <w:rFonts w:ascii="Arial" w:hAnsi="Arial" w:cs="Arial"/>
                <w:b/>
                <w:bCs/>
                <w:color w:val="000000"/>
              </w:rPr>
              <w:t>a</w:t>
            </w:r>
            <w:r w:rsidR="003F4291" w:rsidRPr="004673BA">
              <w:rPr>
                <w:rFonts w:ascii="Arial" w:hAnsi="Arial" w:cs="Arial"/>
                <w:b/>
                <w:bCs/>
                <w:color w:val="000000"/>
              </w:rPr>
              <w:t>s at June 30, 2014</w:t>
            </w:r>
          </w:p>
        </w:tc>
        <w:tc>
          <w:tcPr>
            <w:tcW w:w="1771" w:type="dxa"/>
            <w:tcBorders>
              <w:top w:val="nil"/>
              <w:left w:val="nil"/>
              <w:bottom w:val="single" w:sz="12" w:space="0" w:color="auto"/>
              <w:right w:val="nil"/>
            </w:tcBorders>
            <w:shd w:val="clear" w:color="auto" w:fill="auto"/>
            <w:noWrap/>
            <w:vAlign w:val="center"/>
            <w:hideMark/>
          </w:tcPr>
          <w:p w14:paraId="11E569E6" w14:textId="7043BD17" w:rsidR="003F4291" w:rsidRPr="004673BA" w:rsidRDefault="003F4291" w:rsidP="00FF5637">
            <w:pPr>
              <w:jc w:val="center"/>
              <w:rPr>
                <w:rFonts w:ascii="Arial" w:hAnsi="Arial" w:cs="Arial"/>
                <w:b/>
                <w:bCs/>
                <w:color w:val="000000"/>
              </w:rPr>
            </w:pPr>
            <w:r w:rsidRPr="004673BA">
              <w:rPr>
                <w:rFonts w:ascii="Arial" w:hAnsi="Arial" w:cs="Arial"/>
                <w:b/>
                <w:bCs/>
                <w:color w:val="000000"/>
              </w:rPr>
              <w:t>Share Capital</w:t>
            </w:r>
            <w:r w:rsidR="00FF5637">
              <w:rPr>
                <w:rFonts w:ascii="Arial" w:hAnsi="Arial" w:cs="Arial"/>
                <w:b/>
                <w:bCs/>
                <w:color w:val="000000"/>
              </w:rPr>
              <w:t>*</w:t>
            </w:r>
            <w:r w:rsidRPr="004673BA">
              <w:rPr>
                <w:rFonts w:ascii="Arial" w:hAnsi="Arial" w:cs="Arial"/>
                <w:b/>
                <w:bCs/>
                <w:color w:val="000000"/>
              </w:rPr>
              <w:t xml:space="preserve"> </w:t>
            </w:r>
          </w:p>
        </w:tc>
        <w:tc>
          <w:tcPr>
            <w:tcW w:w="1563" w:type="dxa"/>
            <w:tcBorders>
              <w:top w:val="nil"/>
              <w:left w:val="nil"/>
              <w:bottom w:val="single" w:sz="12" w:space="0" w:color="auto"/>
              <w:right w:val="nil"/>
            </w:tcBorders>
            <w:shd w:val="clear" w:color="auto" w:fill="auto"/>
            <w:noWrap/>
            <w:vAlign w:val="center"/>
            <w:hideMark/>
          </w:tcPr>
          <w:p w14:paraId="40DA9630" w14:textId="77777777" w:rsidR="003F4291" w:rsidRPr="004673BA" w:rsidRDefault="003F4291" w:rsidP="004673BA">
            <w:pPr>
              <w:jc w:val="center"/>
              <w:rPr>
                <w:rFonts w:ascii="Arial" w:hAnsi="Arial" w:cs="Arial"/>
                <w:b/>
                <w:bCs/>
                <w:color w:val="000000"/>
              </w:rPr>
            </w:pPr>
            <w:r w:rsidRPr="004673BA">
              <w:rPr>
                <w:rFonts w:ascii="Arial" w:hAnsi="Arial" w:cs="Arial"/>
                <w:b/>
                <w:bCs/>
                <w:color w:val="000000"/>
              </w:rPr>
              <w:t>Retained Earnings</w:t>
            </w:r>
          </w:p>
        </w:tc>
        <w:tc>
          <w:tcPr>
            <w:tcW w:w="1546" w:type="dxa"/>
            <w:tcBorders>
              <w:top w:val="nil"/>
              <w:left w:val="nil"/>
              <w:bottom w:val="single" w:sz="12" w:space="0" w:color="auto"/>
              <w:right w:val="nil"/>
            </w:tcBorders>
            <w:shd w:val="clear" w:color="auto" w:fill="auto"/>
            <w:noWrap/>
            <w:vAlign w:val="center"/>
            <w:hideMark/>
          </w:tcPr>
          <w:p w14:paraId="1FE6AB69" w14:textId="77777777" w:rsidR="003F4291" w:rsidRPr="004673BA" w:rsidRDefault="003F4291" w:rsidP="004673BA">
            <w:pPr>
              <w:jc w:val="center"/>
              <w:rPr>
                <w:rFonts w:ascii="Arial" w:hAnsi="Arial" w:cs="Arial"/>
                <w:b/>
                <w:bCs/>
                <w:color w:val="000000"/>
              </w:rPr>
            </w:pPr>
            <w:r w:rsidRPr="004673BA">
              <w:rPr>
                <w:rFonts w:ascii="Arial" w:hAnsi="Arial" w:cs="Arial"/>
                <w:b/>
                <w:bCs/>
                <w:color w:val="000000"/>
              </w:rPr>
              <w:t>Total</w:t>
            </w:r>
          </w:p>
        </w:tc>
      </w:tr>
      <w:tr w:rsidR="003F4291" w:rsidRPr="000A643A" w14:paraId="22DD24F9" w14:textId="77777777" w:rsidTr="004673BA">
        <w:trPr>
          <w:trHeight w:val="60"/>
          <w:jc w:val="center"/>
        </w:trPr>
        <w:tc>
          <w:tcPr>
            <w:tcW w:w="4480" w:type="dxa"/>
            <w:tcBorders>
              <w:top w:val="single" w:sz="12" w:space="0" w:color="auto"/>
              <w:left w:val="nil"/>
              <w:bottom w:val="nil"/>
              <w:right w:val="nil"/>
            </w:tcBorders>
            <w:shd w:val="clear" w:color="auto" w:fill="auto"/>
            <w:noWrap/>
            <w:vAlign w:val="center"/>
            <w:hideMark/>
          </w:tcPr>
          <w:p w14:paraId="1AA7576D" w14:textId="67B758F9" w:rsidR="003F4291" w:rsidRPr="000A643A" w:rsidRDefault="003F4291" w:rsidP="003F4291">
            <w:pPr>
              <w:rPr>
                <w:rFonts w:ascii="Arial" w:hAnsi="Arial" w:cs="Arial"/>
                <w:color w:val="000000"/>
              </w:rPr>
            </w:pPr>
            <w:r w:rsidRPr="000A643A">
              <w:rPr>
                <w:rFonts w:ascii="Arial" w:hAnsi="Arial" w:cs="Arial"/>
                <w:color w:val="000000"/>
              </w:rPr>
              <w:t>Shareholders</w:t>
            </w:r>
            <w:r w:rsidR="00773B25">
              <w:rPr>
                <w:rFonts w:ascii="Arial" w:hAnsi="Arial" w:cs="Arial"/>
                <w:color w:val="000000"/>
              </w:rPr>
              <w:t>’</w:t>
            </w:r>
            <w:r w:rsidRPr="000A643A">
              <w:rPr>
                <w:rFonts w:ascii="Arial" w:hAnsi="Arial" w:cs="Arial"/>
                <w:color w:val="000000"/>
              </w:rPr>
              <w:t xml:space="preserve"> equity June 30, 2013</w:t>
            </w:r>
          </w:p>
        </w:tc>
        <w:tc>
          <w:tcPr>
            <w:tcW w:w="1771" w:type="dxa"/>
            <w:tcBorders>
              <w:top w:val="single" w:sz="12" w:space="0" w:color="auto"/>
              <w:left w:val="nil"/>
              <w:bottom w:val="nil"/>
              <w:right w:val="nil"/>
            </w:tcBorders>
            <w:shd w:val="clear" w:color="auto" w:fill="auto"/>
            <w:noWrap/>
            <w:vAlign w:val="center"/>
            <w:hideMark/>
          </w:tcPr>
          <w:p w14:paraId="20D1BD67" w14:textId="06ED90A8" w:rsidR="003F4291" w:rsidRPr="000A643A" w:rsidRDefault="003F4291" w:rsidP="003F4291">
            <w:pPr>
              <w:jc w:val="right"/>
              <w:rPr>
                <w:rFonts w:ascii="Arial" w:hAnsi="Arial" w:cs="Arial"/>
                <w:color w:val="000000"/>
              </w:rPr>
            </w:pPr>
            <w:r w:rsidRPr="000A643A">
              <w:rPr>
                <w:rFonts w:ascii="Arial" w:hAnsi="Arial" w:cs="Arial"/>
                <w:color w:val="000000"/>
              </w:rPr>
              <w:t>$3,171,085</w:t>
            </w:r>
          </w:p>
        </w:tc>
        <w:tc>
          <w:tcPr>
            <w:tcW w:w="1563" w:type="dxa"/>
            <w:tcBorders>
              <w:top w:val="single" w:sz="12" w:space="0" w:color="auto"/>
              <w:left w:val="nil"/>
              <w:bottom w:val="nil"/>
              <w:right w:val="nil"/>
            </w:tcBorders>
            <w:shd w:val="clear" w:color="auto" w:fill="auto"/>
            <w:noWrap/>
            <w:vAlign w:val="center"/>
            <w:hideMark/>
          </w:tcPr>
          <w:p w14:paraId="42B535D6" w14:textId="4DC386DA" w:rsidR="003F4291" w:rsidRPr="000A643A" w:rsidRDefault="003F4291" w:rsidP="003F4291">
            <w:pPr>
              <w:jc w:val="right"/>
              <w:rPr>
                <w:rFonts w:ascii="Arial" w:hAnsi="Arial" w:cs="Arial"/>
                <w:color w:val="000000"/>
              </w:rPr>
            </w:pPr>
            <w:r w:rsidRPr="000A643A">
              <w:rPr>
                <w:rFonts w:ascii="Arial" w:hAnsi="Arial" w:cs="Arial"/>
                <w:color w:val="000000"/>
              </w:rPr>
              <w:t>$50,808,848</w:t>
            </w:r>
          </w:p>
        </w:tc>
        <w:tc>
          <w:tcPr>
            <w:tcW w:w="1546" w:type="dxa"/>
            <w:tcBorders>
              <w:top w:val="single" w:sz="12" w:space="0" w:color="auto"/>
              <w:left w:val="nil"/>
              <w:bottom w:val="nil"/>
              <w:right w:val="nil"/>
            </w:tcBorders>
            <w:shd w:val="clear" w:color="auto" w:fill="auto"/>
            <w:noWrap/>
            <w:vAlign w:val="center"/>
            <w:hideMark/>
          </w:tcPr>
          <w:p w14:paraId="58BB41EE" w14:textId="53A5EAA4" w:rsidR="003F4291" w:rsidRPr="000A643A" w:rsidRDefault="003F4291" w:rsidP="003F4291">
            <w:pPr>
              <w:jc w:val="right"/>
              <w:rPr>
                <w:rFonts w:ascii="Arial" w:hAnsi="Arial" w:cs="Arial"/>
                <w:color w:val="000000"/>
              </w:rPr>
            </w:pPr>
            <w:r w:rsidRPr="000A643A">
              <w:rPr>
                <w:rFonts w:ascii="Arial" w:hAnsi="Arial" w:cs="Arial"/>
                <w:color w:val="000000"/>
              </w:rPr>
              <w:t xml:space="preserve">$53,979,933 </w:t>
            </w:r>
          </w:p>
        </w:tc>
      </w:tr>
      <w:tr w:rsidR="003F4291" w:rsidRPr="000A643A" w14:paraId="3E6D7F0C"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18E0324F" w14:textId="77777777" w:rsidR="003F4291" w:rsidRPr="000A643A" w:rsidRDefault="003F4291" w:rsidP="003F4291">
            <w:pPr>
              <w:rPr>
                <w:rFonts w:ascii="Arial" w:hAnsi="Arial" w:cs="Arial"/>
                <w:color w:val="000000"/>
              </w:rPr>
            </w:pPr>
          </w:p>
        </w:tc>
        <w:tc>
          <w:tcPr>
            <w:tcW w:w="1771" w:type="dxa"/>
            <w:tcBorders>
              <w:top w:val="nil"/>
              <w:left w:val="nil"/>
              <w:bottom w:val="nil"/>
              <w:right w:val="nil"/>
            </w:tcBorders>
            <w:shd w:val="clear" w:color="auto" w:fill="auto"/>
            <w:noWrap/>
            <w:vAlign w:val="center"/>
            <w:hideMark/>
          </w:tcPr>
          <w:p w14:paraId="6BF6CFF9" w14:textId="77777777" w:rsidR="003F4291" w:rsidRPr="000A643A" w:rsidRDefault="003F4291" w:rsidP="003F4291">
            <w:pPr>
              <w:jc w:val="right"/>
              <w:rPr>
                <w:rFonts w:ascii="Arial" w:hAnsi="Arial" w:cs="Arial"/>
              </w:rPr>
            </w:pPr>
          </w:p>
        </w:tc>
        <w:tc>
          <w:tcPr>
            <w:tcW w:w="1563" w:type="dxa"/>
            <w:tcBorders>
              <w:top w:val="nil"/>
              <w:left w:val="nil"/>
              <w:bottom w:val="nil"/>
              <w:right w:val="nil"/>
            </w:tcBorders>
            <w:shd w:val="clear" w:color="auto" w:fill="auto"/>
            <w:noWrap/>
            <w:vAlign w:val="center"/>
            <w:hideMark/>
          </w:tcPr>
          <w:p w14:paraId="5C2BB2B7" w14:textId="77777777" w:rsidR="003F4291" w:rsidRPr="000A643A" w:rsidRDefault="003F4291" w:rsidP="003F4291">
            <w:pPr>
              <w:jc w:val="right"/>
              <w:rPr>
                <w:rFonts w:ascii="Arial" w:hAnsi="Arial" w:cs="Arial"/>
              </w:rPr>
            </w:pPr>
          </w:p>
        </w:tc>
        <w:tc>
          <w:tcPr>
            <w:tcW w:w="1546" w:type="dxa"/>
            <w:tcBorders>
              <w:top w:val="nil"/>
              <w:left w:val="nil"/>
              <w:bottom w:val="nil"/>
              <w:right w:val="nil"/>
            </w:tcBorders>
            <w:shd w:val="clear" w:color="auto" w:fill="auto"/>
            <w:noWrap/>
            <w:vAlign w:val="center"/>
            <w:hideMark/>
          </w:tcPr>
          <w:p w14:paraId="64BCEA18" w14:textId="77777777" w:rsidR="003F4291" w:rsidRPr="000A643A" w:rsidRDefault="003F4291" w:rsidP="003F4291">
            <w:pPr>
              <w:jc w:val="right"/>
              <w:rPr>
                <w:rFonts w:ascii="Arial" w:hAnsi="Arial" w:cs="Arial"/>
              </w:rPr>
            </w:pPr>
          </w:p>
        </w:tc>
      </w:tr>
      <w:tr w:rsidR="003F4291" w:rsidRPr="000A643A" w14:paraId="7AF5865F"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09AFD185" w14:textId="77777777" w:rsidR="003F4291" w:rsidRPr="000A643A" w:rsidRDefault="003F4291" w:rsidP="003F4291">
            <w:pPr>
              <w:rPr>
                <w:rFonts w:ascii="Arial" w:hAnsi="Arial" w:cs="Arial"/>
                <w:color w:val="000000"/>
              </w:rPr>
            </w:pPr>
            <w:r w:rsidRPr="000A643A">
              <w:rPr>
                <w:rFonts w:ascii="Arial" w:hAnsi="Arial" w:cs="Arial"/>
                <w:color w:val="000000"/>
              </w:rPr>
              <w:t>Changes during the year:</w:t>
            </w:r>
          </w:p>
        </w:tc>
        <w:tc>
          <w:tcPr>
            <w:tcW w:w="1771" w:type="dxa"/>
            <w:tcBorders>
              <w:top w:val="nil"/>
              <w:left w:val="nil"/>
              <w:bottom w:val="nil"/>
              <w:right w:val="nil"/>
            </w:tcBorders>
            <w:shd w:val="clear" w:color="auto" w:fill="auto"/>
            <w:noWrap/>
            <w:vAlign w:val="center"/>
            <w:hideMark/>
          </w:tcPr>
          <w:p w14:paraId="39058CD8" w14:textId="77777777" w:rsidR="003F4291" w:rsidRPr="000A643A" w:rsidRDefault="003F4291" w:rsidP="003F4291">
            <w:pPr>
              <w:jc w:val="right"/>
              <w:rPr>
                <w:rFonts w:ascii="Arial" w:hAnsi="Arial" w:cs="Arial"/>
                <w:color w:val="000000"/>
              </w:rPr>
            </w:pPr>
          </w:p>
        </w:tc>
        <w:tc>
          <w:tcPr>
            <w:tcW w:w="1563" w:type="dxa"/>
            <w:tcBorders>
              <w:top w:val="nil"/>
              <w:left w:val="nil"/>
              <w:bottom w:val="nil"/>
              <w:right w:val="nil"/>
            </w:tcBorders>
            <w:shd w:val="clear" w:color="auto" w:fill="auto"/>
            <w:noWrap/>
            <w:vAlign w:val="center"/>
            <w:hideMark/>
          </w:tcPr>
          <w:p w14:paraId="02EBC81B" w14:textId="77777777" w:rsidR="003F4291" w:rsidRPr="000A643A" w:rsidRDefault="003F4291" w:rsidP="003F4291">
            <w:pPr>
              <w:jc w:val="right"/>
              <w:rPr>
                <w:rFonts w:ascii="Arial" w:hAnsi="Arial" w:cs="Arial"/>
              </w:rPr>
            </w:pPr>
          </w:p>
        </w:tc>
        <w:tc>
          <w:tcPr>
            <w:tcW w:w="1546" w:type="dxa"/>
            <w:tcBorders>
              <w:top w:val="nil"/>
              <w:left w:val="nil"/>
              <w:bottom w:val="nil"/>
              <w:right w:val="nil"/>
            </w:tcBorders>
            <w:shd w:val="clear" w:color="auto" w:fill="auto"/>
            <w:noWrap/>
            <w:vAlign w:val="center"/>
            <w:hideMark/>
          </w:tcPr>
          <w:p w14:paraId="04DBAFD7" w14:textId="77777777" w:rsidR="003F4291" w:rsidRPr="000A643A" w:rsidRDefault="003F4291" w:rsidP="003F4291">
            <w:pPr>
              <w:jc w:val="right"/>
              <w:rPr>
                <w:rFonts w:ascii="Arial" w:hAnsi="Arial" w:cs="Arial"/>
              </w:rPr>
            </w:pPr>
          </w:p>
        </w:tc>
      </w:tr>
      <w:tr w:rsidR="003F4291" w:rsidRPr="000A643A" w14:paraId="68CE5071"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3830DE5A" w14:textId="77777777" w:rsidR="003F4291" w:rsidRPr="000A643A" w:rsidRDefault="003F4291" w:rsidP="003F4291">
            <w:pPr>
              <w:rPr>
                <w:rFonts w:ascii="Arial" w:hAnsi="Arial" w:cs="Arial"/>
                <w:color w:val="000000"/>
              </w:rPr>
            </w:pPr>
            <w:r w:rsidRPr="000A643A">
              <w:rPr>
                <w:rFonts w:ascii="Arial" w:hAnsi="Arial" w:cs="Arial"/>
                <w:color w:val="000000"/>
              </w:rPr>
              <w:t>Net earnings and comprehensive income</w:t>
            </w:r>
          </w:p>
        </w:tc>
        <w:tc>
          <w:tcPr>
            <w:tcW w:w="1771" w:type="dxa"/>
            <w:tcBorders>
              <w:top w:val="nil"/>
              <w:left w:val="nil"/>
              <w:bottom w:val="nil"/>
              <w:right w:val="nil"/>
            </w:tcBorders>
            <w:shd w:val="clear" w:color="auto" w:fill="auto"/>
            <w:noWrap/>
            <w:vAlign w:val="center"/>
            <w:hideMark/>
          </w:tcPr>
          <w:p w14:paraId="45CEF5A4" w14:textId="53B1DCEC" w:rsidR="003F4291" w:rsidRPr="000A643A" w:rsidRDefault="000304B9" w:rsidP="003F4291">
            <w:pPr>
              <w:jc w:val="right"/>
              <w:rPr>
                <w:rFonts w:ascii="Arial" w:hAnsi="Arial" w:cs="Arial"/>
                <w:color w:val="000000"/>
              </w:rPr>
            </w:pPr>
            <w:r>
              <w:rPr>
                <w:rFonts w:ascii="Arial" w:hAnsi="Arial" w:cs="Arial"/>
                <w:color w:val="000000"/>
              </w:rPr>
              <w:t>—</w:t>
            </w:r>
          </w:p>
        </w:tc>
        <w:tc>
          <w:tcPr>
            <w:tcW w:w="1563" w:type="dxa"/>
            <w:tcBorders>
              <w:top w:val="nil"/>
              <w:left w:val="nil"/>
              <w:bottom w:val="nil"/>
              <w:right w:val="nil"/>
            </w:tcBorders>
            <w:shd w:val="clear" w:color="auto" w:fill="auto"/>
            <w:noWrap/>
            <w:vAlign w:val="center"/>
            <w:hideMark/>
          </w:tcPr>
          <w:p w14:paraId="6BB2EB7F" w14:textId="77777777" w:rsidR="003F4291" w:rsidRPr="000A643A" w:rsidRDefault="003F4291" w:rsidP="003F4291">
            <w:pPr>
              <w:jc w:val="right"/>
              <w:rPr>
                <w:rFonts w:ascii="Arial" w:hAnsi="Arial" w:cs="Arial"/>
                <w:color w:val="000000"/>
              </w:rPr>
            </w:pPr>
            <w:r w:rsidRPr="000A643A">
              <w:rPr>
                <w:rFonts w:ascii="Arial" w:hAnsi="Arial" w:cs="Arial"/>
                <w:color w:val="000000"/>
              </w:rPr>
              <w:t>4,439,266</w:t>
            </w:r>
          </w:p>
        </w:tc>
        <w:tc>
          <w:tcPr>
            <w:tcW w:w="1546" w:type="dxa"/>
            <w:tcBorders>
              <w:top w:val="nil"/>
              <w:left w:val="nil"/>
              <w:bottom w:val="nil"/>
              <w:right w:val="nil"/>
            </w:tcBorders>
            <w:shd w:val="clear" w:color="auto" w:fill="auto"/>
            <w:noWrap/>
            <w:vAlign w:val="center"/>
            <w:hideMark/>
          </w:tcPr>
          <w:p w14:paraId="31BE3399" w14:textId="77777777" w:rsidR="003F4291" w:rsidRPr="000A643A" w:rsidRDefault="003F4291" w:rsidP="003F4291">
            <w:pPr>
              <w:jc w:val="right"/>
              <w:rPr>
                <w:rFonts w:ascii="Arial" w:hAnsi="Arial" w:cs="Arial"/>
                <w:color w:val="000000"/>
              </w:rPr>
            </w:pPr>
            <w:r w:rsidRPr="000A643A">
              <w:rPr>
                <w:rFonts w:ascii="Arial" w:hAnsi="Arial" w:cs="Arial"/>
                <w:color w:val="000000"/>
              </w:rPr>
              <w:t>4,439,266</w:t>
            </w:r>
          </w:p>
        </w:tc>
      </w:tr>
      <w:tr w:rsidR="003F4291" w:rsidRPr="000A643A" w14:paraId="09B72D31"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4DF0F36A" w14:textId="6550A30D" w:rsidR="003F4291" w:rsidRPr="000A643A" w:rsidRDefault="003F4291" w:rsidP="00986E82">
            <w:pPr>
              <w:rPr>
                <w:rFonts w:ascii="Arial" w:hAnsi="Arial" w:cs="Arial"/>
                <w:color w:val="000000"/>
              </w:rPr>
            </w:pPr>
            <w:r w:rsidRPr="000A643A">
              <w:rPr>
                <w:rFonts w:ascii="Arial" w:hAnsi="Arial" w:cs="Arial"/>
                <w:color w:val="000000"/>
              </w:rPr>
              <w:t xml:space="preserve">Dividends </w:t>
            </w:r>
          </w:p>
        </w:tc>
        <w:tc>
          <w:tcPr>
            <w:tcW w:w="1771" w:type="dxa"/>
            <w:tcBorders>
              <w:top w:val="nil"/>
              <w:left w:val="nil"/>
              <w:bottom w:val="nil"/>
              <w:right w:val="nil"/>
            </w:tcBorders>
            <w:shd w:val="clear" w:color="auto" w:fill="auto"/>
            <w:noWrap/>
            <w:vAlign w:val="center"/>
            <w:hideMark/>
          </w:tcPr>
          <w:p w14:paraId="2FB706B8" w14:textId="639A4ACF" w:rsidR="003F4291" w:rsidRPr="000A643A" w:rsidRDefault="000304B9" w:rsidP="003F4291">
            <w:pPr>
              <w:jc w:val="right"/>
              <w:rPr>
                <w:rFonts w:ascii="Arial" w:hAnsi="Arial" w:cs="Arial"/>
                <w:color w:val="000000"/>
              </w:rPr>
            </w:pPr>
            <w:r>
              <w:rPr>
                <w:rFonts w:ascii="Arial" w:hAnsi="Arial" w:cs="Arial"/>
                <w:color w:val="000000"/>
              </w:rPr>
              <w:t>—</w:t>
            </w:r>
          </w:p>
        </w:tc>
        <w:tc>
          <w:tcPr>
            <w:tcW w:w="1563" w:type="dxa"/>
            <w:tcBorders>
              <w:top w:val="nil"/>
              <w:left w:val="nil"/>
              <w:bottom w:val="nil"/>
              <w:right w:val="nil"/>
            </w:tcBorders>
            <w:shd w:val="clear" w:color="auto" w:fill="auto"/>
            <w:noWrap/>
            <w:vAlign w:val="center"/>
            <w:hideMark/>
          </w:tcPr>
          <w:p w14:paraId="08C67FD6" w14:textId="4206FE24" w:rsidR="003F4291" w:rsidRPr="000A643A" w:rsidRDefault="004821DB" w:rsidP="003F4291">
            <w:pPr>
              <w:jc w:val="right"/>
              <w:rPr>
                <w:rFonts w:ascii="Arial" w:hAnsi="Arial" w:cs="Arial"/>
                <w:color w:val="000000"/>
              </w:rPr>
            </w:pPr>
            <w:r>
              <w:rPr>
                <w:rFonts w:ascii="Arial" w:hAnsi="Arial" w:cs="Arial"/>
                <w:color w:val="000000"/>
              </w:rPr>
              <w:t>(</w:t>
            </w:r>
            <w:r w:rsidR="003F4291" w:rsidRPr="000A643A">
              <w:rPr>
                <w:rFonts w:ascii="Arial" w:hAnsi="Arial" w:cs="Arial"/>
                <w:color w:val="000000"/>
              </w:rPr>
              <w:t>805,865</w:t>
            </w:r>
            <w:r>
              <w:rPr>
                <w:rFonts w:ascii="Arial" w:hAnsi="Arial" w:cs="Arial"/>
                <w:color w:val="000000"/>
              </w:rPr>
              <w:t>)</w:t>
            </w:r>
          </w:p>
        </w:tc>
        <w:tc>
          <w:tcPr>
            <w:tcW w:w="1546" w:type="dxa"/>
            <w:tcBorders>
              <w:top w:val="nil"/>
              <w:left w:val="nil"/>
              <w:bottom w:val="nil"/>
              <w:right w:val="nil"/>
            </w:tcBorders>
            <w:shd w:val="clear" w:color="auto" w:fill="auto"/>
            <w:noWrap/>
            <w:vAlign w:val="center"/>
            <w:hideMark/>
          </w:tcPr>
          <w:p w14:paraId="50FCB4F6" w14:textId="528623CC" w:rsidR="003F4291" w:rsidRPr="000A643A" w:rsidRDefault="004821DB" w:rsidP="003F4291">
            <w:pPr>
              <w:jc w:val="right"/>
              <w:rPr>
                <w:rFonts w:ascii="Arial" w:hAnsi="Arial" w:cs="Arial"/>
                <w:color w:val="000000"/>
              </w:rPr>
            </w:pPr>
            <w:r>
              <w:rPr>
                <w:rFonts w:ascii="Arial" w:hAnsi="Arial" w:cs="Arial"/>
                <w:color w:val="000000"/>
              </w:rPr>
              <w:t>(</w:t>
            </w:r>
            <w:r w:rsidR="003F4291" w:rsidRPr="000A643A">
              <w:rPr>
                <w:rFonts w:ascii="Arial" w:hAnsi="Arial" w:cs="Arial"/>
                <w:color w:val="000000"/>
              </w:rPr>
              <w:t>805,865</w:t>
            </w:r>
            <w:r>
              <w:rPr>
                <w:rFonts w:ascii="Arial" w:hAnsi="Arial" w:cs="Arial"/>
                <w:color w:val="000000"/>
              </w:rPr>
              <w:t>)</w:t>
            </w:r>
          </w:p>
        </w:tc>
      </w:tr>
      <w:tr w:rsidR="003F4291" w:rsidRPr="000A643A" w14:paraId="1D8CE14D" w14:textId="77777777" w:rsidTr="004673BA">
        <w:trPr>
          <w:trHeight w:val="300"/>
          <w:jc w:val="center"/>
        </w:trPr>
        <w:tc>
          <w:tcPr>
            <w:tcW w:w="4480" w:type="dxa"/>
            <w:tcBorders>
              <w:top w:val="nil"/>
              <w:left w:val="nil"/>
              <w:right w:val="nil"/>
            </w:tcBorders>
            <w:shd w:val="clear" w:color="auto" w:fill="auto"/>
            <w:noWrap/>
            <w:vAlign w:val="center"/>
            <w:hideMark/>
          </w:tcPr>
          <w:p w14:paraId="534D72E3" w14:textId="237DD67E" w:rsidR="003F4291" w:rsidRPr="000A643A" w:rsidRDefault="003F4291" w:rsidP="00986E82">
            <w:pPr>
              <w:rPr>
                <w:rFonts w:ascii="Arial" w:hAnsi="Arial" w:cs="Arial"/>
                <w:color w:val="000000"/>
              </w:rPr>
            </w:pPr>
            <w:r w:rsidRPr="000A643A">
              <w:rPr>
                <w:rFonts w:ascii="Arial" w:hAnsi="Arial" w:cs="Arial"/>
                <w:color w:val="000000"/>
              </w:rPr>
              <w:t xml:space="preserve">Issuance of common shares </w:t>
            </w:r>
            <w:r w:rsidR="00B249BA">
              <w:rPr>
                <w:rFonts w:ascii="Arial" w:hAnsi="Arial" w:cs="Arial"/>
                <w:color w:val="000000"/>
              </w:rPr>
              <w:t>–</w:t>
            </w:r>
            <w:r w:rsidR="00B249BA" w:rsidRPr="000A643A">
              <w:rPr>
                <w:rFonts w:ascii="Arial" w:hAnsi="Arial" w:cs="Arial"/>
                <w:color w:val="000000"/>
              </w:rPr>
              <w:t xml:space="preserve"> </w:t>
            </w:r>
            <w:r w:rsidRPr="000A643A">
              <w:rPr>
                <w:rFonts w:ascii="Arial" w:hAnsi="Arial" w:cs="Arial"/>
                <w:color w:val="000000"/>
              </w:rPr>
              <w:t>divide</w:t>
            </w:r>
            <w:r w:rsidR="0011303C">
              <w:rPr>
                <w:rFonts w:ascii="Arial" w:hAnsi="Arial" w:cs="Arial"/>
                <w:color w:val="000000"/>
              </w:rPr>
              <w:t>n</w:t>
            </w:r>
            <w:r w:rsidRPr="000A643A">
              <w:rPr>
                <w:rFonts w:ascii="Arial" w:hAnsi="Arial" w:cs="Arial"/>
                <w:color w:val="000000"/>
              </w:rPr>
              <w:t xml:space="preserve">d reinvestment plan </w:t>
            </w:r>
          </w:p>
        </w:tc>
        <w:tc>
          <w:tcPr>
            <w:tcW w:w="1771" w:type="dxa"/>
            <w:tcBorders>
              <w:top w:val="nil"/>
              <w:left w:val="nil"/>
              <w:bottom w:val="nil"/>
              <w:right w:val="nil"/>
            </w:tcBorders>
            <w:shd w:val="clear" w:color="auto" w:fill="auto"/>
            <w:noWrap/>
            <w:vAlign w:val="center"/>
            <w:hideMark/>
          </w:tcPr>
          <w:p w14:paraId="5D3D503F" w14:textId="77777777" w:rsidR="003F4291" w:rsidRPr="000A643A" w:rsidRDefault="003F4291" w:rsidP="003F4291">
            <w:pPr>
              <w:jc w:val="right"/>
              <w:rPr>
                <w:rFonts w:ascii="Arial" w:hAnsi="Arial" w:cs="Arial"/>
                <w:color w:val="000000"/>
              </w:rPr>
            </w:pPr>
            <w:r w:rsidRPr="000A643A">
              <w:rPr>
                <w:rFonts w:ascii="Arial" w:hAnsi="Arial" w:cs="Arial"/>
                <w:color w:val="000000"/>
              </w:rPr>
              <w:t>292,544</w:t>
            </w:r>
          </w:p>
        </w:tc>
        <w:tc>
          <w:tcPr>
            <w:tcW w:w="1563" w:type="dxa"/>
            <w:tcBorders>
              <w:top w:val="nil"/>
              <w:left w:val="nil"/>
              <w:bottom w:val="nil"/>
              <w:right w:val="nil"/>
            </w:tcBorders>
            <w:shd w:val="clear" w:color="auto" w:fill="auto"/>
            <w:noWrap/>
            <w:vAlign w:val="center"/>
            <w:hideMark/>
          </w:tcPr>
          <w:p w14:paraId="6AADC086" w14:textId="4CB20E24" w:rsidR="003F4291" w:rsidRPr="000A643A" w:rsidRDefault="000304B9" w:rsidP="003F4291">
            <w:pPr>
              <w:ind w:firstLineChars="100" w:firstLine="200"/>
              <w:jc w:val="right"/>
              <w:rPr>
                <w:rFonts w:ascii="Arial" w:hAnsi="Arial" w:cs="Arial"/>
                <w:color w:val="000000"/>
              </w:rPr>
            </w:pPr>
            <w:r>
              <w:rPr>
                <w:rFonts w:ascii="Arial" w:hAnsi="Arial" w:cs="Arial"/>
                <w:color w:val="000000"/>
              </w:rPr>
              <w:t>—</w:t>
            </w:r>
          </w:p>
        </w:tc>
        <w:tc>
          <w:tcPr>
            <w:tcW w:w="1546" w:type="dxa"/>
            <w:tcBorders>
              <w:top w:val="nil"/>
              <w:left w:val="nil"/>
              <w:bottom w:val="nil"/>
              <w:right w:val="nil"/>
            </w:tcBorders>
            <w:shd w:val="clear" w:color="auto" w:fill="auto"/>
            <w:noWrap/>
            <w:vAlign w:val="center"/>
            <w:hideMark/>
          </w:tcPr>
          <w:p w14:paraId="26CCE57E" w14:textId="77777777" w:rsidR="003F4291" w:rsidRPr="000A643A" w:rsidRDefault="003F4291" w:rsidP="003F4291">
            <w:pPr>
              <w:jc w:val="right"/>
              <w:rPr>
                <w:rFonts w:ascii="Arial" w:hAnsi="Arial" w:cs="Arial"/>
                <w:color w:val="000000"/>
              </w:rPr>
            </w:pPr>
            <w:r w:rsidRPr="000A643A">
              <w:rPr>
                <w:rFonts w:ascii="Arial" w:hAnsi="Arial" w:cs="Arial"/>
                <w:color w:val="000000"/>
              </w:rPr>
              <w:t>292,544</w:t>
            </w:r>
          </w:p>
        </w:tc>
      </w:tr>
      <w:tr w:rsidR="003F4291" w:rsidRPr="000A643A" w14:paraId="70C509E5" w14:textId="77777777" w:rsidTr="000304B9">
        <w:trPr>
          <w:trHeight w:val="300"/>
          <w:jc w:val="center"/>
        </w:trPr>
        <w:tc>
          <w:tcPr>
            <w:tcW w:w="4480" w:type="dxa"/>
            <w:tcBorders>
              <w:top w:val="nil"/>
              <w:left w:val="nil"/>
              <w:bottom w:val="single" w:sz="4" w:space="0" w:color="auto"/>
              <w:right w:val="nil"/>
            </w:tcBorders>
            <w:shd w:val="clear" w:color="auto" w:fill="auto"/>
            <w:noWrap/>
            <w:vAlign w:val="center"/>
            <w:hideMark/>
          </w:tcPr>
          <w:p w14:paraId="40AC083C" w14:textId="5DA2C844" w:rsidR="003F4291" w:rsidRPr="000A643A" w:rsidRDefault="003F4291" w:rsidP="00986E82">
            <w:pPr>
              <w:rPr>
                <w:rFonts w:ascii="Arial" w:hAnsi="Arial" w:cs="Arial"/>
                <w:color w:val="000000"/>
              </w:rPr>
            </w:pPr>
            <w:r w:rsidRPr="000A643A">
              <w:rPr>
                <w:rFonts w:ascii="Arial" w:hAnsi="Arial" w:cs="Arial"/>
                <w:color w:val="000000"/>
              </w:rPr>
              <w:t xml:space="preserve">Issuance of common shares </w:t>
            </w:r>
            <w:r w:rsidR="00B249BA">
              <w:rPr>
                <w:rFonts w:ascii="Arial" w:hAnsi="Arial" w:cs="Arial"/>
                <w:color w:val="000000"/>
              </w:rPr>
              <w:t>–</w:t>
            </w:r>
            <w:r w:rsidR="00B249BA" w:rsidRPr="000A643A">
              <w:rPr>
                <w:rFonts w:ascii="Arial" w:hAnsi="Arial" w:cs="Arial"/>
                <w:color w:val="000000"/>
              </w:rPr>
              <w:t xml:space="preserve"> </w:t>
            </w:r>
            <w:r w:rsidRPr="000A643A">
              <w:rPr>
                <w:rFonts w:ascii="Arial" w:hAnsi="Arial" w:cs="Arial"/>
                <w:color w:val="000000"/>
              </w:rPr>
              <w:t>stock option plan</w:t>
            </w:r>
          </w:p>
        </w:tc>
        <w:tc>
          <w:tcPr>
            <w:tcW w:w="1771" w:type="dxa"/>
            <w:tcBorders>
              <w:top w:val="nil"/>
              <w:left w:val="nil"/>
              <w:bottom w:val="single" w:sz="4" w:space="0" w:color="auto"/>
              <w:right w:val="nil"/>
            </w:tcBorders>
            <w:shd w:val="clear" w:color="auto" w:fill="auto"/>
            <w:noWrap/>
            <w:vAlign w:val="center"/>
            <w:hideMark/>
          </w:tcPr>
          <w:p w14:paraId="22C4C7A8" w14:textId="77777777" w:rsidR="003F4291" w:rsidRPr="000A643A" w:rsidRDefault="003F4291" w:rsidP="003F4291">
            <w:pPr>
              <w:jc w:val="right"/>
              <w:rPr>
                <w:rFonts w:ascii="Arial" w:hAnsi="Arial" w:cs="Arial"/>
                <w:color w:val="000000"/>
              </w:rPr>
            </w:pPr>
            <w:r w:rsidRPr="000A643A">
              <w:rPr>
                <w:rFonts w:ascii="Arial" w:hAnsi="Arial" w:cs="Arial"/>
                <w:color w:val="000000"/>
              </w:rPr>
              <w:t>209,989</w:t>
            </w:r>
          </w:p>
        </w:tc>
        <w:tc>
          <w:tcPr>
            <w:tcW w:w="1563" w:type="dxa"/>
            <w:tcBorders>
              <w:top w:val="nil"/>
              <w:left w:val="nil"/>
              <w:bottom w:val="single" w:sz="4" w:space="0" w:color="auto"/>
              <w:right w:val="nil"/>
            </w:tcBorders>
            <w:shd w:val="clear" w:color="auto" w:fill="auto"/>
            <w:noWrap/>
            <w:vAlign w:val="center"/>
            <w:hideMark/>
          </w:tcPr>
          <w:p w14:paraId="24D59D28" w14:textId="55E181C6" w:rsidR="003F4291" w:rsidRPr="000A643A" w:rsidRDefault="000304B9" w:rsidP="003F4291">
            <w:pPr>
              <w:jc w:val="right"/>
              <w:rPr>
                <w:rFonts w:ascii="Arial" w:hAnsi="Arial" w:cs="Arial"/>
                <w:color w:val="000000"/>
              </w:rPr>
            </w:pPr>
            <w:r>
              <w:rPr>
                <w:rFonts w:ascii="Arial" w:hAnsi="Arial" w:cs="Arial"/>
                <w:color w:val="000000"/>
              </w:rPr>
              <w:t>—</w:t>
            </w:r>
          </w:p>
        </w:tc>
        <w:tc>
          <w:tcPr>
            <w:tcW w:w="1546" w:type="dxa"/>
            <w:tcBorders>
              <w:top w:val="nil"/>
              <w:left w:val="nil"/>
              <w:bottom w:val="single" w:sz="4" w:space="0" w:color="auto"/>
              <w:right w:val="nil"/>
            </w:tcBorders>
            <w:shd w:val="clear" w:color="auto" w:fill="auto"/>
            <w:noWrap/>
            <w:vAlign w:val="center"/>
            <w:hideMark/>
          </w:tcPr>
          <w:p w14:paraId="7F295C40" w14:textId="77777777" w:rsidR="003F4291" w:rsidRPr="000A643A" w:rsidRDefault="003F4291" w:rsidP="003F4291">
            <w:pPr>
              <w:jc w:val="right"/>
              <w:rPr>
                <w:rFonts w:ascii="Arial" w:hAnsi="Arial" w:cs="Arial"/>
                <w:color w:val="000000"/>
              </w:rPr>
            </w:pPr>
            <w:r w:rsidRPr="000A643A">
              <w:rPr>
                <w:rFonts w:ascii="Arial" w:hAnsi="Arial" w:cs="Arial"/>
                <w:color w:val="000000"/>
              </w:rPr>
              <w:t>209,989</w:t>
            </w:r>
          </w:p>
        </w:tc>
      </w:tr>
      <w:tr w:rsidR="003F4291" w:rsidRPr="000A643A" w14:paraId="2EE95C5F" w14:textId="77777777" w:rsidTr="000304B9">
        <w:trPr>
          <w:trHeight w:val="60"/>
          <w:jc w:val="center"/>
        </w:trPr>
        <w:tc>
          <w:tcPr>
            <w:tcW w:w="4480" w:type="dxa"/>
            <w:tcBorders>
              <w:top w:val="single" w:sz="4" w:space="0" w:color="auto"/>
              <w:left w:val="nil"/>
              <w:bottom w:val="single" w:sz="4" w:space="0" w:color="auto"/>
              <w:right w:val="nil"/>
            </w:tcBorders>
            <w:shd w:val="clear" w:color="auto" w:fill="auto"/>
            <w:noWrap/>
            <w:vAlign w:val="center"/>
            <w:hideMark/>
          </w:tcPr>
          <w:p w14:paraId="52197FC4" w14:textId="4950A636" w:rsidR="003F4291" w:rsidRPr="000A643A" w:rsidRDefault="003F4291" w:rsidP="003F4291">
            <w:pPr>
              <w:rPr>
                <w:rFonts w:ascii="Arial" w:hAnsi="Arial" w:cs="Arial"/>
                <w:color w:val="000000"/>
              </w:rPr>
            </w:pPr>
            <w:r w:rsidRPr="000A643A">
              <w:rPr>
                <w:rFonts w:ascii="Arial" w:hAnsi="Arial" w:cs="Arial"/>
                <w:color w:val="000000"/>
              </w:rPr>
              <w:t>Shareholders</w:t>
            </w:r>
            <w:r w:rsidR="002F4A02">
              <w:rPr>
                <w:rFonts w:ascii="Arial" w:hAnsi="Arial" w:cs="Arial"/>
                <w:color w:val="000000"/>
              </w:rPr>
              <w:t>’</w:t>
            </w:r>
            <w:r w:rsidRPr="000A643A">
              <w:rPr>
                <w:rFonts w:ascii="Arial" w:hAnsi="Arial" w:cs="Arial"/>
                <w:color w:val="000000"/>
              </w:rPr>
              <w:t xml:space="preserve"> equity June 30, 2014</w:t>
            </w:r>
          </w:p>
        </w:tc>
        <w:tc>
          <w:tcPr>
            <w:tcW w:w="1771" w:type="dxa"/>
            <w:tcBorders>
              <w:top w:val="single" w:sz="4" w:space="0" w:color="auto"/>
              <w:left w:val="nil"/>
              <w:bottom w:val="single" w:sz="4" w:space="0" w:color="auto"/>
              <w:right w:val="nil"/>
            </w:tcBorders>
            <w:shd w:val="clear" w:color="auto" w:fill="auto"/>
            <w:noWrap/>
            <w:vAlign w:val="center"/>
            <w:hideMark/>
          </w:tcPr>
          <w:p w14:paraId="3747597F" w14:textId="28B6D2F1" w:rsidR="003F4291" w:rsidRPr="000A643A" w:rsidRDefault="003F4291" w:rsidP="003F4291">
            <w:pPr>
              <w:jc w:val="right"/>
              <w:rPr>
                <w:rFonts w:ascii="Arial" w:hAnsi="Arial" w:cs="Arial"/>
                <w:color w:val="000000"/>
              </w:rPr>
            </w:pPr>
            <w:r w:rsidRPr="000A643A">
              <w:rPr>
                <w:rFonts w:ascii="Arial" w:hAnsi="Arial" w:cs="Arial"/>
                <w:color w:val="000000"/>
              </w:rPr>
              <w:t>$3,673,618</w:t>
            </w:r>
          </w:p>
        </w:tc>
        <w:tc>
          <w:tcPr>
            <w:tcW w:w="1563" w:type="dxa"/>
            <w:tcBorders>
              <w:top w:val="single" w:sz="4" w:space="0" w:color="auto"/>
              <w:left w:val="nil"/>
              <w:bottom w:val="single" w:sz="4" w:space="0" w:color="auto"/>
              <w:right w:val="nil"/>
            </w:tcBorders>
            <w:shd w:val="clear" w:color="auto" w:fill="auto"/>
            <w:noWrap/>
            <w:vAlign w:val="center"/>
            <w:hideMark/>
          </w:tcPr>
          <w:p w14:paraId="29AAE03B" w14:textId="528A9950" w:rsidR="003F4291" w:rsidRPr="000A643A" w:rsidRDefault="003F4291" w:rsidP="003F4291">
            <w:pPr>
              <w:jc w:val="right"/>
              <w:rPr>
                <w:rFonts w:ascii="Arial" w:hAnsi="Arial" w:cs="Arial"/>
                <w:color w:val="000000"/>
              </w:rPr>
            </w:pPr>
            <w:r w:rsidRPr="000A643A">
              <w:rPr>
                <w:rFonts w:ascii="Arial" w:hAnsi="Arial" w:cs="Arial"/>
                <w:color w:val="000000"/>
              </w:rPr>
              <w:t>$54,442,249</w:t>
            </w:r>
          </w:p>
        </w:tc>
        <w:tc>
          <w:tcPr>
            <w:tcW w:w="1546" w:type="dxa"/>
            <w:tcBorders>
              <w:top w:val="single" w:sz="4" w:space="0" w:color="auto"/>
              <w:left w:val="nil"/>
              <w:bottom w:val="single" w:sz="4" w:space="0" w:color="auto"/>
              <w:right w:val="nil"/>
            </w:tcBorders>
            <w:shd w:val="clear" w:color="auto" w:fill="auto"/>
            <w:noWrap/>
            <w:vAlign w:val="center"/>
            <w:hideMark/>
          </w:tcPr>
          <w:p w14:paraId="25224622" w14:textId="68589100" w:rsidR="003F4291" w:rsidRPr="000A643A" w:rsidRDefault="003F4291" w:rsidP="003F4291">
            <w:pPr>
              <w:jc w:val="right"/>
              <w:rPr>
                <w:rFonts w:ascii="Arial" w:hAnsi="Arial" w:cs="Arial"/>
                <w:color w:val="000000"/>
              </w:rPr>
            </w:pPr>
            <w:r w:rsidRPr="000A643A">
              <w:rPr>
                <w:rFonts w:ascii="Arial" w:hAnsi="Arial" w:cs="Arial"/>
                <w:color w:val="000000"/>
              </w:rPr>
              <w:t>$58,115,867</w:t>
            </w:r>
          </w:p>
        </w:tc>
      </w:tr>
      <w:tr w:rsidR="004673BA" w:rsidRPr="000A643A" w14:paraId="73387992" w14:textId="77777777" w:rsidTr="000304B9">
        <w:trPr>
          <w:trHeight w:val="70"/>
          <w:jc w:val="center"/>
        </w:trPr>
        <w:tc>
          <w:tcPr>
            <w:tcW w:w="4480" w:type="dxa"/>
            <w:tcBorders>
              <w:top w:val="single" w:sz="4" w:space="0" w:color="auto"/>
              <w:left w:val="nil"/>
              <w:right w:val="nil"/>
            </w:tcBorders>
            <w:shd w:val="clear" w:color="auto" w:fill="auto"/>
            <w:noWrap/>
            <w:vAlign w:val="center"/>
          </w:tcPr>
          <w:p w14:paraId="2EB38CDF" w14:textId="77777777" w:rsidR="004673BA" w:rsidRPr="000A643A" w:rsidRDefault="004673BA" w:rsidP="003F4291">
            <w:pPr>
              <w:rPr>
                <w:rFonts w:ascii="Arial" w:hAnsi="Arial" w:cs="Arial"/>
              </w:rPr>
            </w:pPr>
          </w:p>
        </w:tc>
        <w:tc>
          <w:tcPr>
            <w:tcW w:w="1771" w:type="dxa"/>
            <w:tcBorders>
              <w:top w:val="single" w:sz="4" w:space="0" w:color="auto"/>
              <w:left w:val="nil"/>
              <w:right w:val="nil"/>
            </w:tcBorders>
            <w:shd w:val="clear" w:color="auto" w:fill="auto"/>
            <w:noWrap/>
            <w:vAlign w:val="center"/>
          </w:tcPr>
          <w:p w14:paraId="39301E87" w14:textId="77777777" w:rsidR="004673BA" w:rsidRPr="000A643A" w:rsidRDefault="004673BA" w:rsidP="003F4291">
            <w:pPr>
              <w:jc w:val="right"/>
              <w:rPr>
                <w:rFonts w:ascii="Arial" w:hAnsi="Arial" w:cs="Arial"/>
              </w:rPr>
            </w:pPr>
          </w:p>
        </w:tc>
        <w:tc>
          <w:tcPr>
            <w:tcW w:w="1563" w:type="dxa"/>
            <w:tcBorders>
              <w:top w:val="single" w:sz="4" w:space="0" w:color="auto"/>
              <w:left w:val="nil"/>
              <w:right w:val="nil"/>
            </w:tcBorders>
            <w:shd w:val="clear" w:color="auto" w:fill="auto"/>
            <w:noWrap/>
            <w:vAlign w:val="center"/>
          </w:tcPr>
          <w:p w14:paraId="061000E1" w14:textId="77777777" w:rsidR="004673BA" w:rsidRPr="000A643A" w:rsidRDefault="004673BA" w:rsidP="003F4291">
            <w:pPr>
              <w:jc w:val="right"/>
              <w:rPr>
                <w:rFonts w:ascii="Arial" w:hAnsi="Arial" w:cs="Arial"/>
              </w:rPr>
            </w:pPr>
          </w:p>
        </w:tc>
        <w:tc>
          <w:tcPr>
            <w:tcW w:w="1546" w:type="dxa"/>
            <w:tcBorders>
              <w:top w:val="single" w:sz="4" w:space="0" w:color="auto"/>
              <w:left w:val="nil"/>
              <w:right w:val="nil"/>
            </w:tcBorders>
            <w:shd w:val="clear" w:color="auto" w:fill="auto"/>
            <w:noWrap/>
            <w:vAlign w:val="center"/>
          </w:tcPr>
          <w:p w14:paraId="2EFE776E" w14:textId="77777777" w:rsidR="004673BA" w:rsidRPr="000A643A" w:rsidRDefault="004673BA" w:rsidP="003F4291">
            <w:pPr>
              <w:jc w:val="right"/>
              <w:rPr>
                <w:rFonts w:ascii="Arial" w:hAnsi="Arial" w:cs="Arial"/>
              </w:rPr>
            </w:pPr>
          </w:p>
        </w:tc>
      </w:tr>
      <w:tr w:rsidR="003F4291" w:rsidRPr="000A643A" w14:paraId="24AF112A" w14:textId="77777777" w:rsidTr="004673BA">
        <w:trPr>
          <w:trHeight w:val="70"/>
          <w:jc w:val="center"/>
        </w:trPr>
        <w:tc>
          <w:tcPr>
            <w:tcW w:w="4480" w:type="dxa"/>
            <w:tcBorders>
              <w:top w:val="nil"/>
              <w:left w:val="nil"/>
              <w:right w:val="nil"/>
            </w:tcBorders>
            <w:shd w:val="clear" w:color="auto" w:fill="auto"/>
            <w:noWrap/>
            <w:vAlign w:val="center"/>
            <w:hideMark/>
          </w:tcPr>
          <w:p w14:paraId="43901BA7" w14:textId="77777777" w:rsidR="003F4291" w:rsidRPr="000A643A" w:rsidRDefault="003F4291" w:rsidP="003F4291">
            <w:pPr>
              <w:rPr>
                <w:rFonts w:ascii="Arial" w:hAnsi="Arial" w:cs="Arial"/>
              </w:rPr>
            </w:pPr>
          </w:p>
        </w:tc>
        <w:tc>
          <w:tcPr>
            <w:tcW w:w="1771" w:type="dxa"/>
            <w:tcBorders>
              <w:top w:val="nil"/>
              <w:left w:val="nil"/>
              <w:right w:val="nil"/>
            </w:tcBorders>
            <w:shd w:val="clear" w:color="auto" w:fill="auto"/>
            <w:noWrap/>
            <w:vAlign w:val="center"/>
            <w:hideMark/>
          </w:tcPr>
          <w:p w14:paraId="0A81AD43" w14:textId="77777777" w:rsidR="003F4291" w:rsidRPr="000A643A" w:rsidRDefault="003F4291" w:rsidP="003F4291">
            <w:pPr>
              <w:jc w:val="right"/>
              <w:rPr>
                <w:rFonts w:ascii="Arial" w:hAnsi="Arial" w:cs="Arial"/>
              </w:rPr>
            </w:pPr>
          </w:p>
        </w:tc>
        <w:tc>
          <w:tcPr>
            <w:tcW w:w="1563" w:type="dxa"/>
            <w:tcBorders>
              <w:top w:val="nil"/>
              <w:left w:val="nil"/>
              <w:right w:val="nil"/>
            </w:tcBorders>
            <w:shd w:val="clear" w:color="auto" w:fill="auto"/>
            <w:noWrap/>
            <w:vAlign w:val="center"/>
            <w:hideMark/>
          </w:tcPr>
          <w:p w14:paraId="63F7EB39" w14:textId="77777777" w:rsidR="003F4291" w:rsidRPr="000A643A" w:rsidRDefault="003F4291" w:rsidP="003F4291">
            <w:pPr>
              <w:jc w:val="right"/>
              <w:rPr>
                <w:rFonts w:ascii="Arial" w:hAnsi="Arial" w:cs="Arial"/>
              </w:rPr>
            </w:pPr>
          </w:p>
        </w:tc>
        <w:tc>
          <w:tcPr>
            <w:tcW w:w="1546" w:type="dxa"/>
            <w:tcBorders>
              <w:top w:val="nil"/>
              <w:left w:val="nil"/>
              <w:right w:val="nil"/>
            </w:tcBorders>
            <w:shd w:val="clear" w:color="auto" w:fill="auto"/>
            <w:noWrap/>
            <w:vAlign w:val="center"/>
            <w:hideMark/>
          </w:tcPr>
          <w:p w14:paraId="7C38A8C2" w14:textId="77777777" w:rsidR="003F4291" w:rsidRPr="000A643A" w:rsidRDefault="003F4291" w:rsidP="003F4291">
            <w:pPr>
              <w:jc w:val="right"/>
              <w:rPr>
                <w:rFonts w:ascii="Arial" w:hAnsi="Arial" w:cs="Arial"/>
              </w:rPr>
            </w:pPr>
          </w:p>
        </w:tc>
      </w:tr>
      <w:tr w:rsidR="003F4291" w:rsidRPr="000A643A" w14:paraId="2974F19E" w14:textId="77777777" w:rsidTr="004673BA">
        <w:trPr>
          <w:trHeight w:val="300"/>
          <w:jc w:val="center"/>
        </w:trPr>
        <w:tc>
          <w:tcPr>
            <w:tcW w:w="4480" w:type="dxa"/>
            <w:tcBorders>
              <w:top w:val="nil"/>
              <w:left w:val="nil"/>
              <w:bottom w:val="single" w:sz="12" w:space="0" w:color="auto"/>
              <w:right w:val="nil"/>
            </w:tcBorders>
            <w:shd w:val="clear" w:color="auto" w:fill="auto"/>
            <w:noWrap/>
            <w:vAlign w:val="center"/>
            <w:hideMark/>
          </w:tcPr>
          <w:p w14:paraId="6B32474E" w14:textId="74368B67" w:rsidR="003F4291" w:rsidRPr="000A643A" w:rsidRDefault="004673BA" w:rsidP="004673BA">
            <w:pPr>
              <w:jc w:val="right"/>
              <w:rPr>
                <w:rFonts w:ascii="Arial" w:hAnsi="Arial" w:cs="Arial"/>
                <w:b/>
                <w:bCs/>
                <w:color w:val="000000"/>
              </w:rPr>
            </w:pPr>
            <w:r>
              <w:rPr>
                <w:rFonts w:ascii="Arial" w:hAnsi="Arial" w:cs="Arial"/>
                <w:b/>
                <w:bCs/>
                <w:color w:val="000000"/>
              </w:rPr>
              <w:t>a</w:t>
            </w:r>
            <w:r w:rsidR="003F4291" w:rsidRPr="000A643A">
              <w:rPr>
                <w:rFonts w:ascii="Arial" w:hAnsi="Arial" w:cs="Arial"/>
                <w:b/>
                <w:bCs/>
                <w:color w:val="000000"/>
              </w:rPr>
              <w:t>s at June 30, 2015</w:t>
            </w:r>
          </w:p>
        </w:tc>
        <w:tc>
          <w:tcPr>
            <w:tcW w:w="1771" w:type="dxa"/>
            <w:tcBorders>
              <w:top w:val="nil"/>
              <w:left w:val="nil"/>
              <w:bottom w:val="single" w:sz="12" w:space="0" w:color="auto"/>
              <w:right w:val="nil"/>
            </w:tcBorders>
            <w:shd w:val="clear" w:color="auto" w:fill="auto"/>
            <w:noWrap/>
            <w:vAlign w:val="center"/>
            <w:hideMark/>
          </w:tcPr>
          <w:p w14:paraId="02E66D62" w14:textId="76B94469" w:rsidR="003F4291" w:rsidRPr="000A643A" w:rsidRDefault="003F4291" w:rsidP="004673BA">
            <w:pPr>
              <w:jc w:val="center"/>
              <w:rPr>
                <w:rFonts w:ascii="Arial" w:hAnsi="Arial" w:cs="Arial"/>
                <w:b/>
                <w:bCs/>
                <w:color w:val="000000"/>
              </w:rPr>
            </w:pPr>
            <w:r w:rsidRPr="000A643A">
              <w:rPr>
                <w:rFonts w:ascii="Arial" w:hAnsi="Arial" w:cs="Arial"/>
                <w:b/>
                <w:bCs/>
                <w:color w:val="000000"/>
              </w:rPr>
              <w:t>Share Capital</w:t>
            </w:r>
          </w:p>
        </w:tc>
        <w:tc>
          <w:tcPr>
            <w:tcW w:w="1563" w:type="dxa"/>
            <w:tcBorders>
              <w:top w:val="nil"/>
              <w:left w:val="nil"/>
              <w:bottom w:val="single" w:sz="12" w:space="0" w:color="auto"/>
              <w:right w:val="nil"/>
            </w:tcBorders>
            <w:shd w:val="clear" w:color="auto" w:fill="auto"/>
            <w:noWrap/>
            <w:vAlign w:val="center"/>
            <w:hideMark/>
          </w:tcPr>
          <w:p w14:paraId="3A0000A2" w14:textId="77777777" w:rsidR="003F4291" w:rsidRPr="000A643A" w:rsidRDefault="003F4291" w:rsidP="004673BA">
            <w:pPr>
              <w:jc w:val="center"/>
              <w:rPr>
                <w:rFonts w:ascii="Arial" w:hAnsi="Arial" w:cs="Arial"/>
                <w:b/>
                <w:bCs/>
                <w:color w:val="000000"/>
              </w:rPr>
            </w:pPr>
            <w:r w:rsidRPr="000A643A">
              <w:rPr>
                <w:rFonts w:ascii="Arial" w:hAnsi="Arial" w:cs="Arial"/>
                <w:b/>
                <w:bCs/>
                <w:color w:val="000000"/>
              </w:rPr>
              <w:t>Retained Earnings</w:t>
            </w:r>
          </w:p>
        </w:tc>
        <w:tc>
          <w:tcPr>
            <w:tcW w:w="1546" w:type="dxa"/>
            <w:tcBorders>
              <w:top w:val="nil"/>
              <w:left w:val="nil"/>
              <w:bottom w:val="single" w:sz="12" w:space="0" w:color="auto"/>
              <w:right w:val="nil"/>
            </w:tcBorders>
            <w:shd w:val="clear" w:color="auto" w:fill="auto"/>
            <w:noWrap/>
            <w:vAlign w:val="center"/>
            <w:hideMark/>
          </w:tcPr>
          <w:p w14:paraId="05BFC854" w14:textId="77777777" w:rsidR="003F4291" w:rsidRPr="000A643A" w:rsidRDefault="003F4291" w:rsidP="004673BA">
            <w:pPr>
              <w:jc w:val="center"/>
              <w:rPr>
                <w:rFonts w:ascii="Arial" w:hAnsi="Arial" w:cs="Arial"/>
                <w:b/>
                <w:bCs/>
                <w:color w:val="000000"/>
              </w:rPr>
            </w:pPr>
            <w:r w:rsidRPr="000A643A">
              <w:rPr>
                <w:rFonts w:ascii="Arial" w:hAnsi="Arial" w:cs="Arial"/>
                <w:b/>
                <w:bCs/>
                <w:color w:val="000000"/>
              </w:rPr>
              <w:t>Total</w:t>
            </w:r>
          </w:p>
        </w:tc>
      </w:tr>
      <w:tr w:rsidR="003F4291" w:rsidRPr="000A643A" w14:paraId="0CE9E880" w14:textId="77777777" w:rsidTr="004673BA">
        <w:trPr>
          <w:trHeight w:val="62"/>
          <w:jc w:val="center"/>
        </w:trPr>
        <w:tc>
          <w:tcPr>
            <w:tcW w:w="4480" w:type="dxa"/>
            <w:tcBorders>
              <w:top w:val="single" w:sz="12" w:space="0" w:color="auto"/>
              <w:left w:val="nil"/>
              <w:bottom w:val="nil"/>
              <w:right w:val="nil"/>
            </w:tcBorders>
            <w:shd w:val="clear" w:color="auto" w:fill="auto"/>
            <w:noWrap/>
            <w:vAlign w:val="center"/>
            <w:hideMark/>
          </w:tcPr>
          <w:p w14:paraId="06660F99" w14:textId="00BF6FEF" w:rsidR="003F4291" w:rsidRPr="000A643A" w:rsidRDefault="003F4291" w:rsidP="003F4291">
            <w:pPr>
              <w:rPr>
                <w:rFonts w:ascii="Arial" w:hAnsi="Arial" w:cs="Arial"/>
                <w:b/>
                <w:bCs/>
                <w:color w:val="000000"/>
              </w:rPr>
            </w:pPr>
            <w:r w:rsidRPr="000A643A">
              <w:rPr>
                <w:rFonts w:ascii="Arial" w:hAnsi="Arial" w:cs="Arial"/>
                <w:b/>
                <w:bCs/>
                <w:color w:val="000000"/>
              </w:rPr>
              <w:t>Shareholders</w:t>
            </w:r>
            <w:r w:rsidR="002F4A02">
              <w:rPr>
                <w:rFonts w:ascii="Arial" w:hAnsi="Arial" w:cs="Arial"/>
                <w:b/>
                <w:bCs/>
                <w:color w:val="000000"/>
              </w:rPr>
              <w:t>’</w:t>
            </w:r>
            <w:r w:rsidRPr="000A643A">
              <w:rPr>
                <w:rFonts w:ascii="Arial" w:hAnsi="Arial" w:cs="Arial"/>
                <w:b/>
                <w:bCs/>
                <w:color w:val="000000"/>
              </w:rPr>
              <w:t xml:space="preserve"> equity June 30, 2014</w:t>
            </w:r>
          </w:p>
        </w:tc>
        <w:tc>
          <w:tcPr>
            <w:tcW w:w="1771" w:type="dxa"/>
            <w:tcBorders>
              <w:top w:val="single" w:sz="12" w:space="0" w:color="auto"/>
              <w:left w:val="nil"/>
              <w:bottom w:val="nil"/>
              <w:right w:val="nil"/>
            </w:tcBorders>
            <w:shd w:val="clear" w:color="auto" w:fill="auto"/>
            <w:noWrap/>
            <w:vAlign w:val="center"/>
            <w:hideMark/>
          </w:tcPr>
          <w:p w14:paraId="147101DA" w14:textId="09A20C30" w:rsidR="003F4291" w:rsidRPr="000A643A" w:rsidRDefault="003F4291" w:rsidP="003F4291">
            <w:pPr>
              <w:jc w:val="right"/>
              <w:rPr>
                <w:rFonts w:ascii="Arial" w:hAnsi="Arial" w:cs="Arial"/>
                <w:b/>
                <w:bCs/>
                <w:color w:val="000000"/>
              </w:rPr>
            </w:pPr>
            <w:r w:rsidRPr="000A643A">
              <w:rPr>
                <w:rFonts w:ascii="Arial" w:hAnsi="Arial" w:cs="Arial"/>
                <w:b/>
                <w:bCs/>
                <w:color w:val="000000"/>
              </w:rPr>
              <w:t>$3,673,618</w:t>
            </w:r>
          </w:p>
        </w:tc>
        <w:tc>
          <w:tcPr>
            <w:tcW w:w="1563" w:type="dxa"/>
            <w:tcBorders>
              <w:top w:val="single" w:sz="12" w:space="0" w:color="auto"/>
              <w:left w:val="nil"/>
              <w:bottom w:val="nil"/>
              <w:right w:val="nil"/>
            </w:tcBorders>
            <w:shd w:val="clear" w:color="auto" w:fill="auto"/>
            <w:noWrap/>
            <w:vAlign w:val="center"/>
            <w:hideMark/>
          </w:tcPr>
          <w:p w14:paraId="73C6DC38" w14:textId="5FE26E22" w:rsidR="003F4291" w:rsidRPr="000A643A" w:rsidRDefault="003F4291" w:rsidP="003F4291">
            <w:pPr>
              <w:jc w:val="right"/>
              <w:rPr>
                <w:rFonts w:ascii="Arial" w:hAnsi="Arial" w:cs="Arial"/>
                <w:b/>
                <w:bCs/>
                <w:color w:val="000000"/>
              </w:rPr>
            </w:pPr>
            <w:r w:rsidRPr="000A643A">
              <w:rPr>
                <w:rFonts w:ascii="Arial" w:hAnsi="Arial" w:cs="Arial"/>
                <w:b/>
                <w:bCs/>
                <w:color w:val="000000"/>
              </w:rPr>
              <w:t>$54,442,2</w:t>
            </w:r>
            <w:r w:rsidR="002A0BAE">
              <w:rPr>
                <w:rFonts w:ascii="Arial" w:hAnsi="Arial" w:cs="Arial"/>
                <w:b/>
                <w:bCs/>
                <w:color w:val="000000"/>
              </w:rPr>
              <w:t>4</w:t>
            </w:r>
            <w:r w:rsidRPr="000A643A">
              <w:rPr>
                <w:rFonts w:ascii="Arial" w:hAnsi="Arial" w:cs="Arial"/>
                <w:b/>
                <w:bCs/>
                <w:color w:val="000000"/>
              </w:rPr>
              <w:t>9</w:t>
            </w:r>
          </w:p>
        </w:tc>
        <w:tc>
          <w:tcPr>
            <w:tcW w:w="1546" w:type="dxa"/>
            <w:tcBorders>
              <w:top w:val="single" w:sz="12" w:space="0" w:color="auto"/>
              <w:left w:val="nil"/>
              <w:bottom w:val="nil"/>
              <w:right w:val="nil"/>
            </w:tcBorders>
            <w:shd w:val="clear" w:color="auto" w:fill="auto"/>
            <w:noWrap/>
            <w:vAlign w:val="center"/>
            <w:hideMark/>
          </w:tcPr>
          <w:p w14:paraId="766B495A" w14:textId="4EC8C711" w:rsidR="003F4291" w:rsidRPr="000A643A" w:rsidRDefault="003F4291" w:rsidP="003F4291">
            <w:pPr>
              <w:jc w:val="right"/>
              <w:rPr>
                <w:rFonts w:ascii="Arial" w:hAnsi="Arial" w:cs="Arial"/>
                <w:b/>
                <w:bCs/>
                <w:color w:val="000000"/>
              </w:rPr>
            </w:pPr>
            <w:r w:rsidRPr="000A643A">
              <w:rPr>
                <w:rFonts w:ascii="Arial" w:hAnsi="Arial" w:cs="Arial"/>
                <w:b/>
                <w:bCs/>
                <w:color w:val="000000"/>
              </w:rPr>
              <w:t>$58,115,867</w:t>
            </w:r>
          </w:p>
        </w:tc>
      </w:tr>
      <w:tr w:rsidR="003F4291" w:rsidRPr="000A643A" w14:paraId="02F6527F"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04893212" w14:textId="77777777" w:rsidR="003F4291" w:rsidRPr="000A643A" w:rsidRDefault="003F4291" w:rsidP="003F4291">
            <w:pPr>
              <w:rPr>
                <w:rFonts w:ascii="Arial" w:hAnsi="Arial" w:cs="Arial"/>
                <w:b/>
                <w:bCs/>
                <w:color w:val="000000"/>
              </w:rPr>
            </w:pPr>
          </w:p>
        </w:tc>
        <w:tc>
          <w:tcPr>
            <w:tcW w:w="1771" w:type="dxa"/>
            <w:tcBorders>
              <w:top w:val="nil"/>
              <w:left w:val="nil"/>
              <w:bottom w:val="nil"/>
              <w:right w:val="nil"/>
            </w:tcBorders>
            <w:shd w:val="clear" w:color="auto" w:fill="auto"/>
            <w:noWrap/>
            <w:vAlign w:val="center"/>
            <w:hideMark/>
          </w:tcPr>
          <w:p w14:paraId="1E529F87" w14:textId="77777777" w:rsidR="003F4291" w:rsidRPr="000A643A" w:rsidRDefault="003F4291" w:rsidP="003F4291">
            <w:pPr>
              <w:jc w:val="right"/>
              <w:rPr>
                <w:rFonts w:ascii="Arial" w:hAnsi="Arial" w:cs="Arial"/>
              </w:rPr>
            </w:pPr>
          </w:p>
        </w:tc>
        <w:tc>
          <w:tcPr>
            <w:tcW w:w="1563" w:type="dxa"/>
            <w:tcBorders>
              <w:top w:val="nil"/>
              <w:left w:val="nil"/>
              <w:bottom w:val="nil"/>
              <w:right w:val="nil"/>
            </w:tcBorders>
            <w:shd w:val="clear" w:color="auto" w:fill="auto"/>
            <w:noWrap/>
            <w:vAlign w:val="center"/>
            <w:hideMark/>
          </w:tcPr>
          <w:p w14:paraId="4AE63362" w14:textId="77777777" w:rsidR="003F4291" w:rsidRPr="000A643A" w:rsidRDefault="003F4291" w:rsidP="003F4291">
            <w:pPr>
              <w:jc w:val="right"/>
              <w:rPr>
                <w:rFonts w:ascii="Arial" w:hAnsi="Arial" w:cs="Arial"/>
              </w:rPr>
            </w:pPr>
          </w:p>
        </w:tc>
        <w:tc>
          <w:tcPr>
            <w:tcW w:w="1546" w:type="dxa"/>
            <w:tcBorders>
              <w:top w:val="nil"/>
              <w:left w:val="nil"/>
              <w:bottom w:val="nil"/>
              <w:right w:val="nil"/>
            </w:tcBorders>
            <w:shd w:val="clear" w:color="auto" w:fill="auto"/>
            <w:noWrap/>
            <w:vAlign w:val="center"/>
            <w:hideMark/>
          </w:tcPr>
          <w:p w14:paraId="583BA358" w14:textId="77777777" w:rsidR="003F4291" w:rsidRPr="000A643A" w:rsidRDefault="003F4291" w:rsidP="003F4291">
            <w:pPr>
              <w:jc w:val="right"/>
              <w:rPr>
                <w:rFonts w:ascii="Arial" w:hAnsi="Arial" w:cs="Arial"/>
              </w:rPr>
            </w:pPr>
          </w:p>
        </w:tc>
      </w:tr>
      <w:tr w:rsidR="003F4291" w:rsidRPr="000A643A" w14:paraId="2685E34E"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3EC7785A" w14:textId="77777777" w:rsidR="003F4291" w:rsidRPr="000A643A" w:rsidRDefault="003F4291" w:rsidP="003F4291">
            <w:pPr>
              <w:rPr>
                <w:rFonts w:ascii="Arial" w:hAnsi="Arial" w:cs="Arial"/>
                <w:color w:val="000000"/>
              </w:rPr>
            </w:pPr>
            <w:r w:rsidRPr="000A643A">
              <w:rPr>
                <w:rFonts w:ascii="Arial" w:hAnsi="Arial" w:cs="Arial"/>
                <w:color w:val="000000"/>
              </w:rPr>
              <w:t>Changes during the year:</w:t>
            </w:r>
          </w:p>
        </w:tc>
        <w:tc>
          <w:tcPr>
            <w:tcW w:w="1771" w:type="dxa"/>
            <w:tcBorders>
              <w:top w:val="nil"/>
              <w:left w:val="nil"/>
              <w:bottom w:val="nil"/>
              <w:right w:val="nil"/>
            </w:tcBorders>
            <w:shd w:val="clear" w:color="auto" w:fill="auto"/>
            <w:noWrap/>
            <w:vAlign w:val="center"/>
            <w:hideMark/>
          </w:tcPr>
          <w:p w14:paraId="0560E09B" w14:textId="77777777" w:rsidR="003F4291" w:rsidRPr="000A643A" w:rsidRDefault="003F4291" w:rsidP="003F4291">
            <w:pPr>
              <w:jc w:val="right"/>
              <w:rPr>
                <w:rFonts w:ascii="Arial" w:hAnsi="Arial" w:cs="Arial"/>
                <w:color w:val="000000"/>
              </w:rPr>
            </w:pPr>
          </w:p>
        </w:tc>
        <w:tc>
          <w:tcPr>
            <w:tcW w:w="1563" w:type="dxa"/>
            <w:tcBorders>
              <w:top w:val="nil"/>
              <w:left w:val="nil"/>
              <w:bottom w:val="nil"/>
              <w:right w:val="nil"/>
            </w:tcBorders>
            <w:shd w:val="clear" w:color="auto" w:fill="auto"/>
            <w:noWrap/>
            <w:vAlign w:val="center"/>
            <w:hideMark/>
          </w:tcPr>
          <w:p w14:paraId="288B8413" w14:textId="77777777" w:rsidR="003F4291" w:rsidRPr="000A643A" w:rsidRDefault="003F4291" w:rsidP="003F4291">
            <w:pPr>
              <w:jc w:val="right"/>
              <w:rPr>
                <w:rFonts w:ascii="Arial" w:hAnsi="Arial" w:cs="Arial"/>
              </w:rPr>
            </w:pPr>
          </w:p>
        </w:tc>
        <w:tc>
          <w:tcPr>
            <w:tcW w:w="1546" w:type="dxa"/>
            <w:tcBorders>
              <w:top w:val="nil"/>
              <w:left w:val="nil"/>
              <w:bottom w:val="nil"/>
              <w:right w:val="nil"/>
            </w:tcBorders>
            <w:shd w:val="clear" w:color="auto" w:fill="auto"/>
            <w:noWrap/>
            <w:vAlign w:val="center"/>
            <w:hideMark/>
          </w:tcPr>
          <w:p w14:paraId="15BD9EE8" w14:textId="77777777" w:rsidR="003F4291" w:rsidRPr="000A643A" w:rsidRDefault="003F4291" w:rsidP="003F4291">
            <w:pPr>
              <w:jc w:val="right"/>
              <w:rPr>
                <w:rFonts w:ascii="Arial" w:hAnsi="Arial" w:cs="Arial"/>
              </w:rPr>
            </w:pPr>
          </w:p>
        </w:tc>
      </w:tr>
      <w:tr w:rsidR="003F4291" w:rsidRPr="000A643A" w14:paraId="5B0FE3C7"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796DE393" w14:textId="77777777" w:rsidR="003F4291" w:rsidRPr="000A643A" w:rsidRDefault="003F4291" w:rsidP="003F4291">
            <w:pPr>
              <w:rPr>
                <w:rFonts w:ascii="Arial" w:hAnsi="Arial" w:cs="Arial"/>
                <w:color w:val="000000"/>
              </w:rPr>
            </w:pPr>
            <w:r w:rsidRPr="000A643A">
              <w:rPr>
                <w:rFonts w:ascii="Arial" w:hAnsi="Arial" w:cs="Arial"/>
                <w:color w:val="000000"/>
              </w:rPr>
              <w:t>Net earnings and comprehensive income</w:t>
            </w:r>
          </w:p>
        </w:tc>
        <w:tc>
          <w:tcPr>
            <w:tcW w:w="1771" w:type="dxa"/>
            <w:tcBorders>
              <w:top w:val="nil"/>
              <w:left w:val="nil"/>
              <w:bottom w:val="nil"/>
              <w:right w:val="nil"/>
            </w:tcBorders>
            <w:shd w:val="clear" w:color="auto" w:fill="auto"/>
            <w:noWrap/>
            <w:vAlign w:val="center"/>
            <w:hideMark/>
          </w:tcPr>
          <w:p w14:paraId="07C0801B" w14:textId="5F2F300D" w:rsidR="003F4291" w:rsidRPr="000A643A" w:rsidRDefault="000304B9" w:rsidP="003F4291">
            <w:pPr>
              <w:jc w:val="right"/>
              <w:rPr>
                <w:rFonts w:ascii="Arial" w:hAnsi="Arial" w:cs="Arial"/>
                <w:color w:val="000000"/>
              </w:rPr>
            </w:pPr>
            <w:r>
              <w:rPr>
                <w:rFonts w:ascii="Arial" w:hAnsi="Arial" w:cs="Arial"/>
                <w:color w:val="000000"/>
              </w:rPr>
              <w:t>—</w:t>
            </w:r>
          </w:p>
        </w:tc>
        <w:tc>
          <w:tcPr>
            <w:tcW w:w="1563" w:type="dxa"/>
            <w:tcBorders>
              <w:top w:val="nil"/>
              <w:left w:val="nil"/>
              <w:bottom w:val="nil"/>
              <w:right w:val="nil"/>
            </w:tcBorders>
            <w:shd w:val="clear" w:color="auto" w:fill="auto"/>
            <w:noWrap/>
            <w:vAlign w:val="center"/>
            <w:hideMark/>
          </w:tcPr>
          <w:p w14:paraId="23988942" w14:textId="77777777" w:rsidR="003F4291" w:rsidRPr="000A643A" w:rsidRDefault="003F4291" w:rsidP="003F4291">
            <w:pPr>
              <w:jc w:val="right"/>
              <w:rPr>
                <w:rFonts w:ascii="Arial" w:hAnsi="Arial" w:cs="Arial"/>
                <w:b/>
                <w:bCs/>
                <w:color w:val="000000"/>
              </w:rPr>
            </w:pPr>
            <w:r w:rsidRPr="000A643A">
              <w:rPr>
                <w:rFonts w:ascii="Arial" w:hAnsi="Arial" w:cs="Arial"/>
                <w:b/>
                <w:bCs/>
                <w:color w:val="000000"/>
              </w:rPr>
              <w:t>6,206,973</w:t>
            </w:r>
          </w:p>
        </w:tc>
        <w:tc>
          <w:tcPr>
            <w:tcW w:w="1546" w:type="dxa"/>
            <w:tcBorders>
              <w:top w:val="nil"/>
              <w:left w:val="nil"/>
              <w:bottom w:val="nil"/>
              <w:right w:val="nil"/>
            </w:tcBorders>
            <w:shd w:val="clear" w:color="auto" w:fill="auto"/>
            <w:noWrap/>
            <w:vAlign w:val="center"/>
            <w:hideMark/>
          </w:tcPr>
          <w:p w14:paraId="182EEB91" w14:textId="77777777" w:rsidR="003F4291" w:rsidRPr="000A643A" w:rsidRDefault="003F4291" w:rsidP="003F4291">
            <w:pPr>
              <w:jc w:val="right"/>
              <w:rPr>
                <w:rFonts w:ascii="Arial" w:hAnsi="Arial" w:cs="Arial"/>
                <w:b/>
                <w:bCs/>
                <w:color w:val="000000"/>
              </w:rPr>
            </w:pPr>
            <w:r w:rsidRPr="000A643A">
              <w:rPr>
                <w:rFonts w:ascii="Arial" w:hAnsi="Arial" w:cs="Arial"/>
                <w:b/>
                <w:bCs/>
                <w:color w:val="000000"/>
              </w:rPr>
              <w:t>6,206,973</w:t>
            </w:r>
          </w:p>
        </w:tc>
      </w:tr>
      <w:tr w:rsidR="003F4291" w:rsidRPr="000A643A" w14:paraId="11890963" w14:textId="77777777" w:rsidTr="00BC311C">
        <w:trPr>
          <w:trHeight w:val="70"/>
          <w:jc w:val="center"/>
        </w:trPr>
        <w:tc>
          <w:tcPr>
            <w:tcW w:w="4480" w:type="dxa"/>
            <w:tcBorders>
              <w:top w:val="nil"/>
              <w:left w:val="nil"/>
              <w:bottom w:val="nil"/>
              <w:right w:val="nil"/>
            </w:tcBorders>
            <w:shd w:val="clear" w:color="auto" w:fill="auto"/>
            <w:noWrap/>
            <w:vAlign w:val="center"/>
            <w:hideMark/>
          </w:tcPr>
          <w:p w14:paraId="0BA23BC9" w14:textId="6910737C" w:rsidR="003F4291" w:rsidRPr="000A643A" w:rsidRDefault="003F4291" w:rsidP="00986E82">
            <w:pPr>
              <w:rPr>
                <w:rFonts w:ascii="Arial" w:hAnsi="Arial" w:cs="Arial"/>
                <w:color w:val="000000"/>
              </w:rPr>
            </w:pPr>
            <w:r w:rsidRPr="000A643A">
              <w:rPr>
                <w:rFonts w:ascii="Arial" w:hAnsi="Arial" w:cs="Arial"/>
                <w:color w:val="000000"/>
              </w:rPr>
              <w:t xml:space="preserve">Dividends </w:t>
            </w:r>
          </w:p>
        </w:tc>
        <w:tc>
          <w:tcPr>
            <w:tcW w:w="1771" w:type="dxa"/>
            <w:tcBorders>
              <w:top w:val="nil"/>
              <w:left w:val="nil"/>
              <w:bottom w:val="nil"/>
              <w:right w:val="nil"/>
            </w:tcBorders>
            <w:shd w:val="clear" w:color="auto" w:fill="auto"/>
            <w:noWrap/>
            <w:vAlign w:val="center"/>
            <w:hideMark/>
          </w:tcPr>
          <w:p w14:paraId="69DC5679" w14:textId="6CA2F213" w:rsidR="003F4291" w:rsidRPr="000A643A" w:rsidRDefault="000304B9" w:rsidP="003F4291">
            <w:pPr>
              <w:jc w:val="right"/>
              <w:rPr>
                <w:rFonts w:ascii="Arial" w:hAnsi="Arial" w:cs="Arial"/>
                <w:color w:val="000000"/>
              </w:rPr>
            </w:pPr>
            <w:r>
              <w:rPr>
                <w:rFonts w:ascii="Arial" w:hAnsi="Arial" w:cs="Arial"/>
                <w:color w:val="000000"/>
              </w:rPr>
              <w:t>—</w:t>
            </w:r>
          </w:p>
        </w:tc>
        <w:tc>
          <w:tcPr>
            <w:tcW w:w="1563" w:type="dxa"/>
            <w:tcBorders>
              <w:top w:val="nil"/>
              <w:left w:val="nil"/>
              <w:bottom w:val="nil"/>
              <w:right w:val="nil"/>
            </w:tcBorders>
            <w:shd w:val="clear" w:color="auto" w:fill="auto"/>
            <w:noWrap/>
            <w:vAlign w:val="center"/>
            <w:hideMark/>
          </w:tcPr>
          <w:p w14:paraId="05E38DFA" w14:textId="45C948E1" w:rsidR="003F4291" w:rsidRPr="000A643A" w:rsidRDefault="004821DB" w:rsidP="003F4291">
            <w:pPr>
              <w:jc w:val="right"/>
              <w:rPr>
                <w:rFonts w:ascii="Arial" w:hAnsi="Arial" w:cs="Arial"/>
                <w:b/>
                <w:bCs/>
                <w:color w:val="000000"/>
              </w:rPr>
            </w:pPr>
            <w:r>
              <w:rPr>
                <w:rFonts w:ascii="Arial" w:hAnsi="Arial" w:cs="Arial"/>
                <w:b/>
                <w:bCs/>
                <w:color w:val="000000"/>
              </w:rPr>
              <w:t>(</w:t>
            </w:r>
            <w:r w:rsidR="003F4291" w:rsidRPr="000A643A">
              <w:rPr>
                <w:rFonts w:ascii="Arial" w:hAnsi="Arial" w:cs="Arial"/>
                <w:b/>
                <w:bCs/>
                <w:color w:val="000000"/>
              </w:rPr>
              <w:t>892,934</w:t>
            </w:r>
            <w:r>
              <w:rPr>
                <w:rFonts w:ascii="Arial" w:hAnsi="Arial" w:cs="Arial"/>
                <w:b/>
                <w:bCs/>
                <w:color w:val="000000"/>
              </w:rPr>
              <w:t>)</w:t>
            </w:r>
          </w:p>
        </w:tc>
        <w:tc>
          <w:tcPr>
            <w:tcW w:w="1546" w:type="dxa"/>
            <w:tcBorders>
              <w:top w:val="nil"/>
              <w:left w:val="nil"/>
              <w:bottom w:val="nil"/>
              <w:right w:val="nil"/>
            </w:tcBorders>
            <w:shd w:val="clear" w:color="auto" w:fill="auto"/>
            <w:noWrap/>
            <w:vAlign w:val="center"/>
            <w:hideMark/>
          </w:tcPr>
          <w:p w14:paraId="42CB6FB3" w14:textId="6982CD01" w:rsidR="003F4291" w:rsidRPr="000A643A" w:rsidRDefault="004821DB" w:rsidP="003F4291">
            <w:pPr>
              <w:jc w:val="right"/>
              <w:rPr>
                <w:rFonts w:ascii="Arial" w:hAnsi="Arial" w:cs="Arial"/>
                <w:b/>
                <w:bCs/>
                <w:color w:val="000000"/>
              </w:rPr>
            </w:pPr>
            <w:r>
              <w:rPr>
                <w:rFonts w:ascii="Arial" w:hAnsi="Arial" w:cs="Arial"/>
                <w:b/>
                <w:bCs/>
                <w:color w:val="000000"/>
              </w:rPr>
              <w:t>(</w:t>
            </w:r>
            <w:r w:rsidR="003F4291" w:rsidRPr="000A643A">
              <w:rPr>
                <w:rFonts w:ascii="Arial" w:hAnsi="Arial" w:cs="Arial"/>
                <w:b/>
                <w:bCs/>
                <w:color w:val="000000"/>
              </w:rPr>
              <w:t>892,934</w:t>
            </w:r>
            <w:r>
              <w:rPr>
                <w:rFonts w:ascii="Arial" w:hAnsi="Arial" w:cs="Arial"/>
                <w:b/>
                <w:bCs/>
                <w:color w:val="000000"/>
              </w:rPr>
              <w:t>)</w:t>
            </w:r>
          </w:p>
        </w:tc>
      </w:tr>
      <w:tr w:rsidR="003F4291" w:rsidRPr="000A643A" w14:paraId="4AE975DA" w14:textId="77777777" w:rsidTr="00BC311C">
        <w:trPr>
          <w:trHeight w:val="300"/>
          <w:jc w:val="center"/>
        </w:trPr>
        <w:tc>
          <w:tcPr>
            <w:tcW w:w="4480" w:type="dxa"/>
            <w:tcBorders>
              <w:top w:val="nil"/>
              <w:left w:val="nil"/>
              <w:bottom w:val="nil"/>
              <w:right w:val="nil"/>
            </w:tcBorders>
            <w:shd w:val="clear" w:color="auto" w:fill="auto"/>
            <w:noWrap/>
            <w:vAlign w:val="center"/>
            <w:hideMark/>
          </w:tcPr>
          <w:p w14:paraId="5139C8E5" w14:textId="3911F3C7" w:rsidR="003F4291" w:rsidRPr="000A643A" w:rsidRDefault="003F4291" w:rsidP="00986E82">
            <w:pPr>
              <w:rPr>
                <w:rFonts w:ascii="Arial" w:hAnsi="Arial" w:cs="Arial"/>
                <w:color w:val="000000"/>
              </w:rPr>
            </w:pPr>
            <w:r w:rsidRPr="000A643A">
              <w:rPr>
                <w:rFonts w:ascii="Arial" w:hAnsi="Arial" w:cs="Arial"/>
                <w:color w:val="000000"/>
              </w:rPr>
              <w:t xml:space="preserve">Issuance of common shares </w:t>
            </w:r>
            <w:r w:rsidR="0011303C">
              <w:rPr>
                <w:rFonts w:ascii="Arial" w:hAnsi="Arial" w:cs="Arial"/>
                <w:color w:val="000000"/>
              </w:rPr>
              <w:t>–</w:t>
            </w:r>
            <w:r w:rsidR="0011303C" w:rsidRPr="000A643A">
              <w:rPr>
                <w:rFonts w:ascii="Arial" w:hAnsi="Arial" w:cs="Arial"/>
                <w:color w:val="000000"/>
              </w:rPr>
              <w:t xml:space="preserve"> </w:t>
            </w:r>
            <w:r w:rsidRPr="000A643A">
              <w:rPr>
                <w:rFonts w:ascii="Arial" w:hAnsi="Arial" w:cs="Arial"/>
                <w:color w:val="000000"/>
              </w:rPr>
              <w:t>divide</w:t>
            </w:r>
            <w:r w:rsidR="0011303C">
              <w:rPr>
                <w:rFonts w:ascii="Arial" w:hAnsi="Arial" w:cs="Arial"/>
                <w:color w:val="000000"/>
              </w:rPr>
              <w:t>n</w:t>
            </w:r>
            <w:r w:rsidRPr="000A643A">
              <w:rPr>
                <w:rFonts w:ascii="Arial" w:hAnsi="Arial" w:cs="Arial"/>
                <w:color w:val="000000"/>
              </w:rPr>
              <w:t xml:space="preserve">d reinvestment plan </w:t>
            </w:r>
          </w:p>
        </w:tc>
        <w:tc>
          <w:tcPr>
            <w:tcW w:w="1771" w:type="dxa"/>
            <w:tcBorders>
              <w:top w:val="nil"/>
              <w:left w:val="nil"/>
              <w:bottom w:val="nil"/>
              <w:right w:val="nil"/>
            </w:tcBorders>
            <w:shd w:val="clear" w:color="auto" w:fill="auto"/>
            <w:noWrap/>
            <w:vAlign w:val="center"/>
            <w:hideMark/>
          </w:tcPr>
          <w:p w14:paraId="30DCE04B" w14:textId="77777777" w:rsidR="003F4291" w:rsidRPr="000A643A" w:rsidRDefault="003F4291" w:rsidP="003F4291">
            <w:pPr>
              <w:jc w:val="right"/>
              <w:rPr>
                <w:rFonts w:ascii="Arial" w:hAnsi="Arial" w:cs="Arial"/>
                <w:b/>
                <w:bCs/>
                <w:color w:val="000000"/>
              </w:rPr>
            </w:pPr>
            <w:r w:rsidRPr="000A643A">
              <w:rPr>
                <w:rFonts w:ascii="Arial" w:hAnsi="Arial" w:cs="Arial"/>
                <w:b/>
                <w:bCs/>
                <w:color w:val="000000"/>
              </w:rPr>
              <w:t>337,811</w:t>
            </w:r>
          </w:p>
        </w:tc>
        <w:tc>
          <w:tcPr>
            <w:tcW w:w="1563" w:type="dxa"/>
            <w:tcBorders>
              <w:top w:val="nil"/>
              <w:left w:val="nil"/>
              <w:bottom w:val="nil"/>
              <w:right w:val="nil"/>
            </w:tcBorders>
            <w:shd w:val="clear" w:color="auto" w:fill="auto"/>
            <w:noWrap/>
            <w:vAlign w:val="center"/>
            <w:hideMark/>
          </w:tcPr>
          <w:p w14:paraId="14AA5CCE" w14:textId="235C45EE" w:rsidR="003F4291" w:rsidRPr="000A643A" w:rsidRDefault="000304B9" w:rsidP="003F4291">
            <w:pPr>
              <w:jc w:val="right"/>
              <w:rPr>
                <w:rFonts w:ascii="Arial" w:hAnsi="Arial" w:cs="Arial"/>
                <w:color w:val="000000"/>
              </w:rPr>
            </w:pPr>
            <w:r>
              <w:rPr>
                <w:rFonts w:ascii="Arial" w:hAnsi="Arial" w:cs="Arial"/>
                <w:color w:val="000000"/>
              </w:rPr>
              <w:t>—</w:t>
            </w:r>
          </w:p>
        </w:tc>
        <w:tc>
          <w:tcPr>
            <w:tcW w:w="1546" w:type="dxa"/>
            <w:tcBorders>
              <w:top w:val="nil"/>
              <w:left w:val="nil"/>
              <w:bottom w:val="nil"/>
              <w:right w:val="nil"/>
            </w:tcBorders>
            <w:shd w:val="clear" w:color="auto" w:fill="auto"/>
            <w:noWrap/>
            <w:vAlign w:val="center"/>
            <w:hideMark/>
          </w:tcPr>
          <w:p w14:paraId="17B9B88B" w14:textId="77777777" w:rsidR="003F4291" w:rsidRPr="000A643A" w:rsidRDefault="003F4291" w:rsidP="003F4291">
            <w:pPr>
              <w:jc w:val="right"/>
              <w:rPr>
                <w:rFonts w:ascii="Arial" w:hAnsi="Arial" w:cs="Arial"/>
                <w:b/>
                <w:bCs/>
                <w:color w:val="000000"/>
              </w:rPr>
            </w:pPr>
            <w:r w:rsidRPr="000A643A">
              <w:rPr>
                <w:rFonts w:ascii="Arial" w:hAnsi="Arial" w:cs="Arial"/>
                <w:b/>
                <w:bCs/>
                <w:color w:val="000000"/>
              </w:rPr>
              <w:t>337,811</w:t>
            </w:r>
          </w:p>
        </w:tc>
      </w:tr>
      <w:tr w:rsidR="003F4291" w:rsidRPr="000A643A" w14:paraId="05B4F8C0" w14:textId="77777777" w:rsidTr="000304B9">
        <w:trPr>
          <w:trHeight w:val="300"/>
          <w:jc w:val="center"/>
        </w:trPr>
        <w:tc>
          <w:tcPr>
            <w:tcW w:w="4480" w:type="dxa"/>
            <w:tcBorders>
              <w:top w:val="nil"/>
              <w:left w:val="nil"/>
              <w:bottom w:val="single" w:sz="4" w:space="0" w:color="auto"/>
              <w:right w:val="nil"/>
            </w:tcBorders>
            <w:shd w:val="clear" w:color="auto" w:fill="auto"/>
            <w:noWrap/>
            <w:vAlign w:val="center"/>
            <w:hideMark/>
          </w:tcPr>
          <w:p w14:paraId="795AFF5D" w14:textId="5E34687E" w:rsidR="003F4291" w:rsidRPr="000A643A" w:rsidRDefault="003F4291" w:rsidP="00986E82">
            <w:pPr>
              <w:rPr>
                <w:rFonts w:ascii="Arial" w:hAnsi="Arial" w:cs="Arial"/>
                <w:color w:val="000000"/>
              </w:rPr>
            </w:pPr>
            <w:r w:rsidRPr="000A643A">
              <w:rPr>
                <w:rFonts w:ascii="Arial" w:hAnsi="Arial" w:cs="Arial"/>
                <w:color w:val="000000"/>
              </w:rPr>
              <w:t xml:space="preserve">Issuance of common shares </w:t>
            </w:r>
            <w:r w:rsidR="0011303C">
              <w:rPr>
                <w:rFonts w:ascii="Arial" w:hAnsi="Arial" w:cs="Arial"/>
                <w:color w:val="000000"/>
              </w:rPr>
              <w:t>–</w:t>
            </w:r>
            <w:r w:rsidR="0011303C" w:rsidRPr="000A643A">
              <w:rPr>
                <w:rFonts w:ascii="Arial" w:hAnsi="Arial" w:cs="Arial"/>
                <w:color w:val="000000"/>
              </w:rPr>
              <w:t xml:space="preserve"> </w:t>
            </w:r>
            <w:r w:rsidRPr="000A643A">
              <w:rPr>
                <w:rFonts w:ascii="Arial" w:hAnsi="Arial" w:cs="Arial"/>
                <w:color w:val="000000"/>
              </w:rPr>
              <w:t xml:space="preserve">stock option plan </w:t>
            </w:r>
          </w:p>
        </w:tc>
        <w:tc>
          <w:tcPr>
            <w:tcW w:w="1771" w:type="dxa"/>
            <w:tcBorders>
              <w:top w:val="nil"/>
              <w:left w:val="nil"/>
              <w:bottom w:val="single" w:sz="4" w:space="0" w:color="auto"/>
              <w:right w:val="nil"/>
            </w:tcBorders>
            <w:shd w:val="clear" w:color="auto" w:fill="auto"/>
            <w:noWrap/>
            <w:vAlign w:val="center"/>
            <w:hideMark/>
          </w:tcPr>
          <w:p w14:paraId="33038474" w14:textId="77777777" w:rsidR="003F4291" w:rsidRPr="000A643A" w:rsidRDefault="003F4291" w:rsidP="003F4291">
            <w:pPr>
              <w:jc w:val="right"/>
              <w:rPr>
                <w:rFonts w:ascii="Arial" w:hAnsi="Arial" w:cs="Arial"/>
                <w:b/>
                <w:bCs/>
                <w:color w:val="000000"/>
              </w:rPr>
            </w:pPr>
            <w:r w:rsidRPr="000A643A">
              <w:rPr>
                <w:rFonts w:ascii="Arial" w:hAnsi="Arial" w:cs="Arial"/>
                <w:b/>
                <w:bCs/>
                <w:color w:val="000000"/>
              </w:rPr>
              <w:t>39,975</w:t>
            </w:r>
          </w:p>
        </w:tc>
        <w:tc>
          <w:tcPr>
            <w:tcW w:w="1563" w:type="dxa"/>
            <w:tcBorders>
              <w:top w:val="nil"/>
              <w:left w:val="nil"/>
              <w:bottom w:val="single" w:sz="4" w:space="0" w:color="auto"/>
              <w:right w:val="nil"/>
            </w:tcBorders>
            <w:shd w:val="clear" w:color="auto" w:fill="auto"/>
            <w:noWrap/>
            <w:vAlign w:val="center"/>
            <w:hideMark/>
          </w:tcPr>
          <w:p w14:paraId="11915F9B" w14:textId="46E694C2" w:rsidR="003F4291" w:rsidRPr="000A643A" w:rsidRDefault="000304B9" w:rsidP="003F4291">
            <w:pPr>
              <w:jc w:val="right"/>
              <w:rPr>
                <w:rFonts w:ascii="Arial" w:hAnsi="Arial" w:cs="Arial"/>
                <w:color w:val="000000"/>
              </w:rPr>
            </w:pPr>
            <w:r>
              <w:rPr>
                <w:rFonts w:ascii="Arial" w:hAnsi="Arial" w:cs="Arial"/>
                <w:color w:val="000000"/>
              </w:rPr>
              <w:t>—</w:t>
            </w:r>
          </w:p>
        </w:tc>
        <w:tc>
          <w:tcPr>
            <w:tcW w:w="1546" w:type="dxa"/>
            <w:tcBorders>
              <w:top w:val="nil"/>
              <w:left w:val="nil"/>
              <w:bottom w:val="single" w:sz="4" w:space="0" w:color="auto"/>
              <w:right w:val="nil"/>
            </w:tcBorders>
            <w:shd w:val="clear" w:color="auto" w:fill="auto"/>
            <w:noWrap/>
            <w:vAlign w:val="center"/>
            <w:hideMark/>
          </w:tcPr>
          <w:p w14:paraId="49EC34DE" w14:textId="4DDA329B" w:rsidR="003F4291" w:rsidRPr="000A643A" w:rsidRDefault="00995D6D" w:rsidP="003F4291">
            <w:pPr>
              <w:jc w:val="right"/>
              <w:rPr>
                <w:rFonts w:ascii="Arial" w:hAnsi="Arial" w:cs="Arial"/>
                <w:b/>
                <w:bCs/>
                <w:color w:val="000000"/>
              </w:rPr>
            </w:pPr>
            <w:r>
              <w:rPr>
                <w:rFonts w:ascii="Arial" w:hAnsi="Arial" w:cs="Arial"/>
                <w:b/>
                <w:bCs/>
                <w:color w:val="000000"/>
              </w:rPr>
              <w:t>3</w:t>
            </w:r>
            <w:r w:rsidR="003F4291" w:rsidRPr="000A643A">
              <w:rPr>
                <w:rFonts w:ascii="Arial" w:hAnsi="Arial" w:cs="Arial"/>
                <w:b/>
                <w:bCs/>
                <w:color w:val="000000"/>
              </w:rPr>
              <w:t>9,975</w:t>
            </w:r>
          </w:p>
        </w:tc>
      </w:tr>
      <w:tr w:rsidR="003F4291" w:rsidRPr="000A643A" w14:paraId="531824A8" w14:textId="77777777" w:rsidTr="000304B9">
        <w:trPr>
          <w:trHeight w:val="60"/>
          <w:jc w:val="center"/>
        </w:trPr>
        <w:tc>
          <w:tcPr>
            <w:tcW w:w="4480" w:type="dxa"/>
            <w:tcBorders>
              <w:top w:val="single" w:sz="4" w:space="0" w:color="auto"/>
              <w:left w:val="nil"/>
              <w:bottom w:val="single" w:sz="4" w:space="0" w:color="auto"/>
              <w:right w:val="nil"/>
            </w:tcBorders>
            <w:shd w:val="clear" w:color="auto" w:fill="auto"/>
            <w:noWrap/>
            <w:vAlign w:val="center"/>
            <w:hideMark/>
          </w:tcPr>
          <w:p w14:paraId="0AB797E6" w14:textId="45DB21DA" w:rsidR="003F4291" w:rsidRPr="000A643A" w:rsidRDefault="003F4291" w:rsidP="00FF5637">
            <w:pPr>
              <w:rPr>
                <w:rFonts w:ascii="Arial" w:hAnsi="Arial" w:cs="Arial"/>
                <w:b/>
                <w:bCs/>
                <w:color w:val="000000"/>
              </w:rPr>
            </w:pPr>
            <w:r w:rsidRPr="000A643A">
              <w:rPr>
                <w:rFonts w:ascii="Arial" w:hAnsi="Arial" w:cs="Arial"/>
                <w:b/>
                <w:bCs/>
                <w:color w:val="000000"/>
              </w:rPr>
              <w:t>Shareholders</w:t>
            </w:r>
            <w:r w:rsidR="002F4A02">
              <w:rPr>
                <w:rFonts w:ascii="Arial" w:hAnsi="Arial" w:cs="Arial"/>
                <w:b/>
                <w:bCs/>
                <w:color w:val="000000"/>
              </w:rPr>
              <w:t>’</w:t>
            </w:r>
            <w:r w:rsidRPr="000A643A">
              <w:rPr>
                <w:rFonts w:ascii="Arial" w:hAnsi="Arial" w:cs="Arial"/>
                <w:b/>
                <w:bCs/>
                <w:color w:val="000000"/>
              </w:rPr>
              <w:t xml:space="preserve"> equity June 30, 201</w:t>
            </w:r>
            <w:r w:rsidR="00FF5637">
              <w:rPr>
                <w:rFonts w:ascii="Arial" w:hAnsi="Arial" w:cs="Arial"/>
                <w:b/>
                <w:bCs/>
                <w:color w:val="000000"/>
              </w:rPr>
              <w:t>5</w:t>
            </w:r>
          </w:p>
        </w:tc>
        <w:tc>
          <w:tcPr>
            <w:tcW w:w="1771" w:type="dxa"/>
            <w:tcBorders>
              <w:top w:val="single" w:sz="4" w:space="0" w:color="auto"/>
              <w:left w:val="nil"/>
              <w:bottom w:val="single" w:sz="4" w:space="0" w:color="auto"/>
              <w:right w:val="nil"/>
            </w:tcBorders>
            <w:shd w:val="clear" w:color="auto" w:fill="auto"/>
            <w:noWrap/>
            <w:vAlign w:val="center"/>
            <w:hideMark/>
          </w:tcPr>
          <w:p w14:paraId="404B043C" w14:textId="3ED9B733" w:rsidR="003F4291" w:rsidRPr="000A643A" w:rsidRDefault="003F4291" w:rsidP="003F4291">
            <w:pPr>
              <w:jc w:val="right"/>
              <w:rPr>
                <w:rFonts w:ascii="Arial" w:hAnsi="Arial" w:cs="Arial"/>
                <w:b/>
                <w:bCs/>
                <w:color w:val="000000"/>
              </w:rPr>
            </w:pPr>
            <w:r w:rsidRPr="000A643A">
              <w:rPr>
                <w:rFonts w:ascii="Arial" w:hAnsi="Arial" w:cs="Arial"/>
                <w:b/>
                <w:bCs/>
                <w:color w:val="000000"/>
              </w:rPr>
              <w:t>$4,051,404</w:t>
            </w:r>
          </w:p>
        </w:tc>
        <w:tc>
          <w:tcPr>
            <w:tcW w:w="1563" w:type="dxa"/>
            <w:tcBorders>
              <w:top w:val="single" w:sz="4" w:space="0" w:color="auto"/>
              <w:left w:val="nil"/>
              <w:bottom w:val="single" w:sz="4" w:space="0" w:color="auto"/>
              <w:right w:val="nil"/>
            </w:tcBorders>
            <w:shd w:val="clear" w:color="auto" w:fill="auto"/>
            <w:noWrap/>
            <w:vAlign w:val="center"/>
            <w:hideMark/>
          </w:tcPr>
          <w:p w14:paraId="058E43C8" w14:textId="3C42D277" w:rsidR="003F4291" w:rsidRPr="000A643A" w:rsidRDefault="003F4291" w:rsidP="003F4291">
            <w:pPr>
              <w:jc w:val="right"/>
              <w:rPr>
                <w:rFonts w:ascii="Arial" w:hAnsi="Arial" w:cs="Arial"/>
                <w:b/>
                <w:bCs/>
                <w:color w:val="000000"/>
              </w:rPr>
            </w:pPr>
            <w:r w:rsidRPr="000A643A">
              <w:rPr>
                <w:rFonts w:ascii="Arial" w:hAnsi="Arial" w:cs="Arial"/>
                <w:b/>
                <w:bCs/>
                <w:color w:val="000000"/>
              </w:rPr>
              <w:t>$59,756,288</w:t>
            </w:r>
          </w:p>
        </w:tc>
        <w:tc>
          <w:tcPr>
            <w:tcW w:w="1546" w:type="dxa"/>
            <w:tcBorders>
              <w:top w:val="single" w:sz="4" w:space="0" w:color="auto"/>
              <w:left w:val="nil"/>
              <w:bottom w:val="single" w:sz="4" w:space="0" w:color="auto"/>
              <w:right w:val="nil"/>
            </w:tcBorders>
            <w:shd w:val="clear" w:color="auto" w:fill="auto"/>
            <w:noWrap/>
            <w:vAlign w:val="center"/>
            <w:hideMark/>
          </w:tcPr>
          <w:p w14:paraId="32ED4260" w14:textId="6213E3CC" w:rsidR="003F4291" w:rsidRPr="000A643A" w:rsidRDefault="003F4291" w:rsidP="003F4291">
            <w:pPr>
              <w:jc w:val="right"/>
              <w:rPr>
                <w:rFonts w:ascii="Arial" w:hAnsi="Arial" w:cs="Arial"/>
                <w:b/>
                <w:bCs/>
                <w:color w:val="000000"/>
              </w:rPr>
            </w:pPr>
            <w:r w:rsidRPr="000A643A">
              <w:rPr>
                <w:rFonts w:ascii="Arial" w:hAnsi="Arial" w:cs="Arial"/>
                <w:b/>
                <w:bCs/>
                <w:color w:val="000000"/>
              </w:rPr>
              <w:t>$63,807,692</w:t>
            </w:r>
          </w:p>
        </w:tc>
      </w:tr>
    </w:tbl>
    <w:p w14:paraId="443A2DAE" w14:textId="03A4A03A" w:rsidR="00C87C40" w:rsidRPr="000A643A" w:rsidRDefault="00C87C40" w:rsidP="002944BA">
      <w:pPr>
        <w:pStyle w:val="ExhibitText"/>
      </w:pPr>
    </w:p>
    <w:p w14:paraId="0AF4EEE7" w14:textId="25FF276D" w:rsidR="00FF5637" w:rsidRDefault="00FF5637" w:rsidP="000304B9">
      <w:pPr>
        <w:pStyle w:val="Footnote"/>
      </w:pPr>
      <w:r>
        <w:t>*</w:t>
      </w:r>
      <w:r w:rsidR="000304B9">
        <w:t xml:space="preserve"> </w:t>
      </w:r>
      <w:r w:rsidR="00FF134A" w:rsidRPr="00FF134A">
        <w:rPr>
          <w:lang w:val="en-US"/>
        </w:rPr>
        <w:t>Share Capital consists of authorized, as well as issued and outstanding no-par-value common shares</w:t>
      </w:r>
      <w:r w:rsidR="00395CCB">
        <w:t xml:space="preserve">. </w:t>
      </w:r>
    </w:p>
    <w:p w14:paraId="5DA375C9" w14:textId="42779CA8" w:rsidR="00C87C40" w:rsidRPr="000A643A" w:rsidRDefault="00C87C40" w:rsidP="00FF5637">
      <w:pPr>
        <w:pStyle w:val="ExhibitText"/>
        <w:rPr>
          <w:sz w:val="22"/>
          <w:szCs w:val="22"/>
        </w:rPr>
      </w:pPr>
      <w:r w:rsidRPr="000A643A">
        <w:br w:type="page"/>
      </w:r>
    </w:p>
    <w:p w14:paraId="3AE21D4E" w14:textId="77777777" w:rsidR="00C87C40" w:rsidRPr="000A643A" w:rsidRDefault="00C87C40" w:rsidP="00C87C40">
      <w:pPr>
        <w:pStyle w:val="ExhibitHeading"/>
      </w:pPr>
      <w:r w:rsidRPr="000A643A">
        <w:lastRenderedPageBreak/>
        <w:t>Exhibit 2 (continued)</w:t>
      </w:r>
    </w:p>
    <w:p w14:paraId="0F8AFE0C" w14:textId="77777777" w:rsidR="00C87C40" w:rsidRPr="000A643A" w:rsidRDefault="00C87C40" w:rsidP="002944BA">
      <w:pPr>
        <w:pStyle w:val="ExhibitText"/>
      </w:pPr>
    </w:p>
    <w:p w14:paraId="2B3AA3A4" w14:textId="1827CDCB" w:rsidR="003F4291" w:rsidRPr="000A643A" w:rsidRDefault="00C87C40" w:rsidP="00C87C40">
      <w:pPr>
        <w:pStyle w:val="Casehead2"/>
      </w:pPr>
      <w:r w:rsidRPr="000A643A">
        <w:t>Consolidated Statements of Cash Flows</w:t>
      </w:r>
    </w:p>
    <w:p w14:paraId="2C88D388" w14:textId="77777777" w:rsidR="00C87C40" w:rsidRPr="000A643A" w:rsidRDefault="00C87C40" w:rsidP="002944BA">
      <w:pPr>
        <w:pStyle w:val="ExhibitText"/>
      </w:pPr>
    </w:p>
    <w:tbl>
      <w:tblPr>
        <w:tblW w:w="9360" w:type="dxa"/>
        <w:tblInd w:w="-90" w:type="dxa"/>
        <w:tblLook w:val="04A0" w:firstRow="1" w:lastRow="0" w:firstColumn="1" w:lastColumn="0" w:noHBand="0" w:noVBand="1"/>
      </w:tblPr>
      <w:tblGrid>
        <w:gridCol w:w="6390"/>
        <w:gridCol w:w="1599"/>
        <w:gridCol w:w="1447"/>
      </w:tblGrid>
      <w:tr w:rsidR="00396281" w:rsidRPr="000A643A" w14:paraId="5CF397C9" w14:textId="77777777" w:rsidTr="005D0809">
        <w:trPr>
          <w:trHeight w:val="202"/>
        </w:trPr>
        <w:tc>
          <w:tcPr>
            <w:tcW w:w="6390" w:type="dxa"/>
            <w:tcBorders>
              <w:top w:val="nil"/>
              <w:left w:val="nil"/>
              <w:bottom w:val="single" w:sz="4" w:space="0" w:color="auto"/>
              <w:right w:val="nil"/>
            </w:tcBorders>
            <w:shd w:val="clear" w:color="auto" w:fill="auto"/>
            <w:noWrap/>
            <w:vAlign w:val="center"/>
            <w:hideMark/>
          </w:tcPr>
          <w:p w14:paraId="6FC42973" w14:textId="299FAF38" w:rsidR="00396281" w:rsidRPr="000A643A" w:rsidRDefault="000304B9" w:rsidP="000304B9">
            <w:pPr>
              <w:jc w:val="right"/>
              <w:rPr>
                <w:rFonts w:ascii="Arial" w:hAnsi="Arial" w:cs="Arial"/>
                <w:b/>
                <w:bCs/>
                <w:color w:val="000000"/>
                <w:sz w:val="18"/>
                <w:szCs w:val="18"/>
              </w:rPr>
            </w:pPr>
            <w:r>
              <w:rPr>
                <w:rFonts w:ascii="Arial" w:hAnsi="Arial" w:cs="Arial"/>
                <w:b/>
                <w:bCs/>
                <w:color w:val="000000"/>
                <w:sz w:val="18"/>
                <w:szCs w:val="18"/>
              </w:rPr>
              <w:t>f</w:t>
            </w:r>
            <w:r w:rsidR="00396281" w:rsidRPr="000A643A">
              <w:rPr>
                <w:rFonts w:ascii="Arial" w:hAnsi="Arial" w:cs="Arial"/>
                <w:b/>
                <w:bCs/>
                <w:color w:val="000000"/>
                <w:sz w:val="18"/>
                <w:szCs w:val="18"/>
              </w:rPr>
              <w:t>or the year ended June 30</w:t>
            </w:r>
          </w:p>
        </w:tc>
        <w:tc>
          <w:tcPr>
            <w:tcW w:w="1599" w:type="dxa"/>
            <w:tcBorders>
              <w:top w:val="nil"/>
              <w:left w:val="nil"/>
              <w:bottom w:val="single" w:sz="4" w:space="0" w:color="auto"/>
              <w:right w:val="nil"/>
            </w:tcBorders>
            <w:shd w:val="clear" w:color="auto" w:fill="auto"/>
            <w:noWrap/>
            <w:vAlign w:val="center"/>
            <w:hideMark/>
          </w:tcPr>
          <w:p w14:paraId="188A395A" w14:textId="77777777" w:rsidR="00396281" w:rsidRPr="000A643A" w:rsidRDefault="00396281" w:rsidP="00C87C40">
            <w:pPr>
              <w:jc w:val="right"/>
              <w:rPr>
                <w:rFonts w:ascii="Arial" w:hAnsi="Arial" w:cs="Arial"/>
                <w:b/>
                <w:bCs/>
                <w:color w:val="000000"/>
                <w:sz w:val="18"/>
                <w:szCs w:val="18"/>
              </w:rPr>
            </w:pPr>
            <w:r w:rsidRPr="000A643A">
              <w:rPr>
                <w:rFonts w:ascii="Arial" w:hAnsi="Arial" w:cs="Arial"/>
                <w:b/>
                <w:bCs/>
                <w:color w:val="000000"/>
                <w:sz w:val="18"/>
                <w:szCs w:val="18"/>
              </w:rPr>
              <w:t>2015</w:t>
            </w:r>
          </w:p>
        </w:tc>
        <w:tc>
          <w:tcPr>
            <w:tcW w:w="1447" w:type="dxa"/>
            <w:tcBorders>
              <w:top w:val="nil"/>
              <w:left w:val="nil"/>
              <w:bottom w:val="single" w:sz="4" w:space="0" w:color="auto"/>
              <w:right w:val="nil"/>
            </w:tcBorders>
            <w:shd w:val="clear" w:color="auto" w:fill="auto"/>
            <w:noWrap/>
            <w:vAlign w:val="center"/>
            <w:hideMark/>
          </w:tcPr>
          <w:p w14:paraId="30A59FE3" w14:textId="77777777" w:rsidR="00396281" w:rsidRPr="000A643A" w:rsidRDefault="00396281" w:rsidP="00C87C40">
            <w:pPr>
              <w:jc w:val="right"/>
              <w:rPr>
                <w:rFonts w:ascii="Arial" w:hAnsi="Arial" w:cs="Arial"/>
                <w:b/>
                <w:bCs/>
                <w:color w:val="000000"/>
                <w:sz w:val="18"/>
                <w:szCs w:val="18"/>
              </w:rPr>
            </w:pPr>
            <w:r w:rsidRPr="000A643A">
              <w:rPr>
                <w:rFonts w:ascii="Arial" w:hAnsi="Arial" w:cs="Arial"/>
                <w:b/>
                <w:bCs/>
                <w:color w:val="000000"/>
                <w:sz w:val="18"/>
                <w:szCs w:val="18"/>
              </w:rPr>
              <w:t>2014</w:t>
            </w:r>
          </w:p>
        </w:tc>
      </w:tr>
      <w:tr w:rsidR="00396281" w:rsidRPr="000A643A" w14:paraId="18E7D540" w14:textId="77777777" w:rsidTr="005D0809">
        <w:trPr>
          <w:trHeight w:val="202"/>
        </w:trPr>
        <w:tc>
          <w:tcPr>
            <w:tcW w:w="6390" w:type="dxa"/>
            <w:tcBorders>
              <w:top w:val="nil"/>
              <w:left w:val="nil"/>
              <w:bottom w:val="nil"/>
              <w:right w:val="nil"/>
            </w:tcBorders>
            <w:shd w:val="clear" w:color="auto" w:fill="auto"/>
            <w:noWrap/>
            <w:vAlign w:val="center"/>
            <w:hideMark/>
          </w:tcPr>
          <w:p w14:paraId="0812EF70" w14:textId="77777777" w:rsidR="00396281" w:rsidRPr="000A643A" w:rsidRDefault="00396281" w:rsidP="00C87C40">
            <w:pPr>
              <w:jc w:val="right"/>
              <w:rPr>
                <w:rFonts w:ascii="Arial" w:hAnsi="Arial" w:cs="Arial"/>
                <w:b/>
                <w:bCs/>
                <w:color w:val="000000"/>
                <w:sz w:val="18"/>
                <w:szCs w:val="18"/>
              </w:rPr>
            </w:pPr>
          </w:p>
        </w:tc>
        <w:tc>
          <w:tcPr>
            <w:tcW w:w="1599" w:type="dxa"/>
            <w:tcBorders>
              <w:top w:val="nil"/>
              <w:left w:val="nil"/>
              <w:bottom w:val="nil"/>
              <w:right w:val="nil"/>
            </w:tcBorders>
            <w:shd w:val="clear" w:color="auto" w:fill="auto"/>
            <w:noWrap/>
            <w:vAlign w:val="center"/>
            <w:hideMark/>
          </w:tcPr>
          <w:p w14:paraId="7562885F" w14:textId="77777777" w:rsidR="00396281" w:rsidRPr="000A643A" w:rsidRDefault="00396281" w:rsidP="00C87C40">
            <w:pPr>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5BA66119" w14:textId="77777777" w:rsidR="00396281" w:rsidRPr="000A643A" w:rsidRDefault="00396281" w:rsidP="00C87C40">
            <w:pPr>
              <w:rPr>
                <w:rFonts w:ascii="Arial" w:hAnsi="Arial" w:cs="Arial"/>
                <w:sz w:val="18"/>
                <w:szCs w:val="18"/>
              </w:rPr>
            </w:pPr>
          </w:p>
        </w:tc>
      </w:tr>
      <w:tr w:rsidR="00396281" w:rsidRPr="000A643A" w14:paraId="5827EAE7" w14:textId="77777777" w:rsidTr="005D0809">
        <w:trPr>
          <w:trHeight w:val="202"/>
        </w:trPr>
        <w:tc>
          <w:tcPr>
            <w:tcW w:w="6390" w:type="dxa"/>
            <w:tcBorders>
              <w:top w:val="nil"/>
              <w:left w:val="nil"/>
              <w:bottom w:val="nil"/>
              <w:right w:val="nil"/>
            </w:tcBorders>
            <w:shd w:val="clear" w:color="auto" w:fill="auto"/>
            <w:noWrap/>
            <w:vAlign w:val="center"/>
            <w:hideMark/>
          </w:tcPr>
          <w:p w14:paraId="10ECB193"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OPERATING ACTIVITIES</w:t>
            </w:r>
          </w:p>
        </w:tc>
        <w:tc>
          <w:tcPr>
            <w:tcW w:w="1599" w:type="dxa"/>
            <w:tcBorders>
              <w:top w:val="nil"/>
              <w:left w:val="nil"/>
              <w:bottom w:val="nil"/>
              <w:right w:val="nil"/>
            </w:tcBorders>
            <w:shd w:val="clear" w:color="auto" w:fill="auto"/>
            <w:noWrap/>
            <w:vAlign w:val="center"/>
            <w:hideMark/>
          </w:tcPr>
          <w:p w14:paraId="35A9F763" w14:textId="77777777" w:rsidR="00396281" w:rsidRPr="000A643A" w:rsidRDefault="00396281" w:rsidP="00C87C40">
            <w:pPr>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73E5F654" w14:textId="77777777" w:rsidR="00396281" w:rsidRPr="000A643A" w:rsidRDefault="00396281" w:rsidP="00C87C40">
            <w:pPr>
              <w:rPr>
                <w:rFonts w:ascii="Arial" w:hAnsi="Arial" w:cs="Arial"/>
                <w:sz w:val="18"/>
                <w:szCs w:val="18"/>
              </w:rPr>
            </w:pPr>
          </w:p>
        </w:tc>
      </w:tr>
      <w:tr w:rsidR="00396281" w:rsidRPr="000A643A" w14:paraId="06891A0F" w14:textId="77777777" w:rsidTr="005D0809">
        <w:trPr>
          <w:trHeight w:val="202"/>
        </w:trPr>
        <w:tc>
          <w:tcPr>
            <w:tcW w:w="6390" w:type="dxa"/>
            <w:tcBorders>
              <w:top w:val="nil"/>
              <w:left w:val="nil"/>
              <w:bottom w:val="nil"/>
              <w:right w:val="nil"/>
            </w:tcBorders>
            <w:shd w:val="clear" w:color="auto" w:fill="auto"/>
            <w:noWrap/>
            <w:vAlign w:val="center"/>
            <w:hideMark/>
          </w:tcPr>
          <w:p w14:paraId="0E6B7976"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Net earnings for the year</w:t>
            </w:r>
          </w:p>
        </w:tc>
        <w:tc>
          <w:tcPr>
            <w:tcW w:w="1599" w:type="dxa"/>
            <w:tcBorders>
              <w:top w:val="nil"/>
              <w:left w:val="nil"/>
              <w:bottom w:val="nil"/>
              <w:right w:val="nil"/>
            </w:tcBorders>
            <w:shd w:val="clear" w:color="auto" w:fill="auto"/>
            <w:noWrap/>
            <w:vAlign w:val="center"/>
            <w:hideMark/>
          </w:tcPr>
          <w:p w14:paraId="69BFB8A1" w14:textId="16A602B1"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$6,206,973</w:t>
            </w:r>
          </w:p>
        </w:tc>
        <w:tc>
          <w:tcPr>
            <w:tcW w:w="1447" w:type="dxa"/>
            <w:tcBorders>
              <w:top w:val="nil"/>
              <w:left w:val="nil"/>
              <w:bottom w:val="nil"/>
              <w:right w:val="nil"/>
            </w:tcBorders>
            <w:shd w:val="clear" w:color="auto" w:fill="auto"/>
            <w:noWrap/>
            <w:vAlign w:val="center"/>
            <w:hideMark/>
          </w:tcPr>
          <w:p w14:paraId="52CC669B" w14:textId="79C1F1C0"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$4,439,266</w:t>
            </w:r>
          </w:p>
        </w:tc>
      </w:tr>
      <w:tr w:rsidR="00396281" w:rsidRPr="000A643A" w14:paraId="53F32D46" w14:textId="77777777" w:rsidTr="005D0809">
        <w:trPr>
          <w:trHeight w:val="202"/>
        </w:trPr>
        <w:tc>
          <w:tcPr>
            <w:tcW w:w="6390" w:type="dxa"/>
            <w:tcBorders>
              <w:top w:val="nil"/>
              <w:left w:val="nil"/>
              <w:bottom w:val="nil"/>
              <w:right w:val="nil"/>
            </w:tcBorders>
            <w:shd w:val="clear" w:color="auto" w:fill="auto"/>
            <w:noWrap/>
            <w:vAlign w:val="center"/>
            <w:hideMark/>
          </w:tcPr>
          <w:p w14:paraId="54B96B71" w14:textId="2E80EB6A"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Add</w:t>
            </w:r>
            <w:r w:rsidR="000A643A" w:rsidRPr="000A643A">
              <w:rPr>
                <w:rFonts w:ascii="Arial" w:hAnsi="Arial" w:cs="Arial"/>
                <w:color w:val="000000"/>
                <w:sz w:val="18"/>
                <w:szCs w:val="18"/>
              </w:rPr>
              <w:t xml:space="preserve"> </w:t>
            </w:r>
            <w:r w:rsidRPr="000A643A">
              <w:rPr>
                <w:rFonts w:ascii="Arial" w:hAnsi="Arial" w:cs="Arial"/>
                <w:color w:val="000000"/>
                <w:sz w:val="18"/>
                <w:szCs w:val="18"/>
              </w:rPr>
              <w:t xml:space="preserve">(deduct) items not affecting cash and cash equivalent </w:t>
            </w:r>
          </w:p>
        </w:tc>
        <w:tc>
          <w:tcPr>
            <w:tcW w:w="1599" w:type="dxa"/>
            <w:tcBorders>
              <w:top w:val="nil"/>
              <w:left w:val="nil"/>
              <w:bottom w:val="nil"/>
              <w:right w:val="nil"/>
            </w:tcBorders>
            <w:shd w:val="clear" w:color="auto" w:fill="auto"/>
            <w:noWrap/>
            <w:vAlign w:val="center"/>
            <w:hideMark/>
          </w:tcPr>
          <w:p w14:paraId="22A8C072"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70144049" w14:textId="77777777" w:rsidR="00396281" w:rsidRPr="000A643A" w:rsidRDefault="00396281" w:rsidP="00FB734A">
            <w:pPr>
              <w:jc w:val="right"/>
              <w:rPr>
                <w:rFonts w:ascii="Arial" w:hAnsi="Arial" w:cs="Arial"/>
                <w:sz w:val="18"/>
                <w:szCs w:val="18"/>
              </w:rPr>
            </w:pPr>
          </w:p>
        </w:tc>
      </w:tr>
      <w:tr w:rsidR="00396281" w:rsidRPr="000A643A" w14:paraId="4B384001" w14:textId="77777777" w:rsidTr="005D0809">
        <w:trPr>
          <w:trHeight w:val="202"/>
        </w:trPr>
        <w:tc>
          <w:tcPr>
            <w:tcW w:w="6390" w:type="dxa"/>
            <w:tcBorders>
              <w:top w:val="nil"/>
              <w:left w:val="nil"/>
              <w:bottom w:val="nil"/>
              <w:right w:val="nil"/>
            </w:tcBorders>
            <w:shd w:val="clear" w:color="auto" w:fill="auto"/>
            <w:noWrap/>
            <w:vAlign w:val="center"/>
            <w:hideMark/>
          </w:tcPr>
          <w:p w14:paraId="331CC0E7"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Recognition of rent on a straight-line basis</w:t>
            </w:r>
          </w:p>
        </w:tc>
        <w:tc>
          <w:tcPr>
            <w:tcW w:w="1599" w:type="dxa"/>
            <w:tcBorders>
              <w:top w:val="nil"/>
              <w:left w:val="nil"/>
              <w:bottom w:val="nil"/>
              <w:right w:val="nil"/>
            </w:tcBorders>
            <w:shd w:val="clear" w:color="auto" w:fill="auto"/>
            <w:noWrap/>
            <w:vAlign w:val="center"/>
            <w:hideMark/>
          </w:tcPr>
          <w:p w14:paraId="2308B7C7" w14:textId="0460C84B"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59,587</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48499DD1" w14:textId="7BB75A40"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47,153</w:t>
            </w:r>
            <w:r>
              <w:rPr>
                <w:rFonts w:ascii="Arial" w:hAnsi="Arial" w:cs="Arial"/>
                <w:color w:val="000000"/>
                <w:sz w:val="18"/>
                <w:szCs w:val="18"/>
              </w:rPr>
              <w:t>)</w:t>
            </w:r>
          </w:p>
        </w:tc>
      </w:tr>
      <w:tr w:rsidR="00396281" w:rsidRPr="000A643A" w14:paraId="672C068D" w14:textId="77777777" w:rsidTr="005D0809">
        <w:trPr>
          <w:trHeight w:val="202"/>
        </w:trPr>
        <w:tc>
          <w:tcPr>
            <w:tcW w:w="6390" w:type="dxa"/>
            <w:tcBorders>
              <w:top w:val="nil"/>
              <w:left w:val="nil"/>
              <w:bottom w:val="nil"/>
              <w:right w:val="nil"/>
            </w:tcBorders>
            <w:shd w:val="clear" w:color="auto" w:fill="auto"/>
            <w:noWrap/>
            <w:vAlign w:val="center"/>
            <w:hideMark/>
          </w:tcPr>
          <w:p w14:paraId="47FC417A"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Non-cash lease incentives on investment properties</w:t>
            </w:r>
          </w:p>
        </w:tc>
        <w:tc>
          <w:tcPr>
            <w:tcW w:w="1599" w:type="dxa"/>
            <w:tcBorders>
              <w:top w:val="nil"/>
              <w:left w:val="nil"/>
              <w:bottom w:val="nil"/>
              <w:right w:val="nil"/>
            </w:tcBorders>
            <w:shd w:val="clear" w:color="auto" w:fill="auto"/>
            <w:noWrap/>
            <w:vAlign w:val="center"/>
            <w:hideMark/>
          </w:tcPr>
          <w:p w14:paraId="53C261D8" w14:textId="2C1372E9"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5447F26C" w14:textId="59314B86"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85,229</w:t>
            </w:r>
            <w:r>
              <w:rPr>
                <w:rFonts w:ascii="Arial" w:hAnsi="Arial" w:cs="Arial"/>
                <w:color w:val="000000"/>
                <w:sz w:val="18"/>
                <w:szCs w:val="18"/>
              </w:rPr>
              <w:t>)</w:t>
            </w:r>
          </w:p>
        </w:tc>
      </w:tr>
      <w:tr w:rsidR="00396281" w:rsidRPr="000A643A" w14:paraId="628F5D68" w14:textId="77777777" w:rsidTr="005D0809">
        <w:trPr>
          <w:trHeight w:val="202"/>
        </w:trPr>
        <w:tc>
          <w:tcPr>
            <w:tcW w:w="6390" w:type="dxa"/>
            <w:tcBorders>
              <w:top w:val="nil"/>
              <w:left w:val="nil"/>
              <w:bottom w:val="nil"/>
              <w:right w:val="nil"/>
            </w:tcBorders>
            <w:shd w:val="clear" w:color="auto" w:fill="auto"/>
            <w:noWrap/>
            <w:vAlign w:val="center"/>
            <w:hideMark/>
          </w:tcPr>
          <w:p w14:paraId="1F044FF4"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Depreciation of property and equipment</w:t>
            </w:r>
          </w:p>
        </w:tc>
        <w:tc>
          <w:tcPr>
            <w:tcW w:w="1599" w:type="dxa"/>
            <w:tcBorders>
              <w:top w:val="nil"/>
              <w:left w:val="nil"/>
              <w:bottom w:val="nil"/>
              <w:right w:val="nil"/>
            </w:tcBorders>
            <w:shd w:val="clear" w:color="auto" w:fill="auto"/>
            <w:noWrap/>
            <w:vAlign w:val="center"/>
            <w:hideMark/>
          </w:tcPr>
          <w:p w14:paraId="461A47B1"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23,843</w:t>
            </w:r>
          </w:p>
        </w:tc>
        <w:tc>
          <w:tcPr>
            <w:tcW w:w="1447" w:type="dxa"/>
            <w:tcBorders>
              <w:top w:val="nil"/>
              <w:left w:val="nil"/>
              <w:bottom w:val="nil"/>
              <w:right w:val="nil"/>
            </w:tcBorders>
            <w:shd w:val="clear" w:color="auto" w:fill="auto"/>
            <w:noWrap/>
            <w:vAlign w:val="center"/>
            <w:hideMark/>
          </w:tcPr>
          <w:p w14:paraId="3953E545"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24,285</w:t>
            </w:r>
          </w:p>
        </w:tc>
      </w:tr>
      <w:tr w:rsidR="00396281" w:rsidRPr="000A643A" w14:paraId="300B0EA3" w14:textId="77777777" w:rsidTr="005D0809">
        <w:trPr>
          <w:trHeight w:val="202"/>
        </w:trPr>
        <w:tc>
          <w:tcPr>
            <w:tcW w:w="6390" w:type="dxa"/>
            <w:tcBorders>
              <w:top w:val="nil"/>
              <w:left w:val="nil"/>
              <w:bottom w:val="nil"/>
              <w:right w:val="nil"/>
            </w:tcBorders>
            <w:shd w:val="clear" w:color="auto" w:fill="auto"/>
            <w:noWrap/>
            <w:vAlign w:val="center"/>
            <w:hideMark/>
          </w:tcPr>
          <w:p w14:paraId="30FF5AB7"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Amortization of prepaid financing fees</w:t>
            </w:r>
          </w:p>
        </w:tc>
        <w:tc>
          <w:tcPr>
            <w:tcW w:w="1599" w:type="dxa"/>
            <w:tcBorders>
              <w:top w:val="nil"/>
              <w:left w:val="nil"/>
              <w:bottom w:val="nil"/>
              <w:right w:val="nil"/>
            </w:tcBorders>
            <w:shd w:val="clear" w:color="auto" w:fill="auto"/>
            <w:noWrap/>
            <w:vAlign w:val="center"/>
            <w:hideMark/>
          </w:tcPr>
          <w:p w14:paraId="13CC98F8"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38,046</w:t>
            </w:r>
          </w:p>
        </w:tc>
        <w:tc>
          <w:tcPr>
            <w:tcW w:w="1447" w:type="dxa"/>
            <w:tcBorders>
              <w:top w:val="nil"/>
              <w:left w:val="nil"/>
              <w:bottom w:val="nil"/>
              <w:right w:val="nil"/>
            </w:tcBorders>
            <w:shd w:val="clear" w:color="auto" w:fill="auto"/>
            <w:noWrap/>
            <w:vAlign w:val="center"/>
            <w:hideMark/>
          </w:tcPr>
          <w:p w14:paraId="63B84A66"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40,410</w:t>
            </w:r>
          </w:p>
        </w:tc>
      </w:tr>
      <w:tr w:rsidR="00396281" w:rsidRPr="000A643A" w14:paraId="586326B0" w14:textId="77777777" w:rsidTr="005D0809">
        <w:trPr>
          <w:trHeight w:val="202"/>
        </w:trPr>
        <w:tc>
          <w:tcPr>
            <w:tcW w:w="6390" w:type="dxa"/>
            <w:tcBorders>
              <w:top w:val="nil"/>
              <w:left w:val="nil"/>
              <w:bottom w:val="nil"/>
              <w:right w:val="nil"/>
            </w:tcBorders>
            <w:shd w:val="clear" w:color="auto" w:fill="auto"/>
            <w:noWrap/>
            <w:vAlign w:val="center"/>
            <w:hideMark/>
          </w:tcPr>
          <w:p w14:paraId="333D460D"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Amortization of lease incentives</w:t>
            </w:r>
          </w:p>
        </w:tc>
        <w:tc>
          <w:tcPr>
            <w:tcW w:w="1599" w:type="dxa"/>
            <w:tcBorders>
              <w:top w:val="nil"/>
              <w:left w:val="nil"/>
              <w:bottom w:val="nil"/>
              <w:right w:val="nil"/>
            </w:tcBorders>
            <w:shd w:val="clear" w:color="auto" w:fill="auto"/>
            <w:noWrap/>
            <w:vAlign w:val="center"/>
            <w:hideMark/>
          </w:tcPr>
          <w:p w14:paraId="53B6F66E"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13,559</w:t>
            </w:r>
          </w:p>
        </w:tc>
        <w:tc>
          <w:tcPr>
            <w:tcW w:w="1447" w:type="dxa"/>
            <w:tcBorders>
              <w:top w:val="nil"/>
              <w:left w:val="nil"/>
              <w:bottom w:val="nil"/>
              <w:right w:val="nil"/>
            </w:tcBorders>
            <w:shd w:val="clear" w:color="auto" w:fill="auto"/>
            <w:noWrap/>
            <w:vAlign w:val="center"/>
            <w:hideMark/>
          </w:tcPr>
          <w:p w14:paraId="2BBBA2D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15,829</w:t>
            </w:r>
          </w:p>
        </w:tc>
      </w:tr>
      <w:tr w:rsidR="00396281" w:rsidRPr="000A643A" w14:paraId="0CC37C2E" w14:textId="77777777" w:rsidTr="005D0809">
        <w:trPr>
          <w:trHeight w:val="202"/>
        </w:trPr>
        <w:tc>
          <w:tcPr>
            <w:tcW w:w="6390" w:type="dxa"/>
            <w:tcBorders>
              <w:top w:val="nil"/>
              <w:left w:val="nil"/>
              <w:bottom w:val="nil"/>
              <w:right w:val="nil"/>
            </w:tcBorders>
            <w:shd w:val="clear" w:color="auto" w:fill="auto"/>
            <w:noWrap/>
            <w:vAlign w:val="center"/>
            <w:hideMark/>
          </w:tcPr>
          <w:p w14:paraId="6ED00F31"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Net earnings in equity accounted joint ventures</w:t>
            </w:r>
          </w:p>
        </w:tc>
        <w:tc>
          <w:tcPr>
            <w:tcW w:w="1599" w:type="dxa"/>
            <w:tcBorders>
              <w:top w:val="nil"/>
              <w:left w:val="nil"/>
              <w:bottom w:val="nil"/>
              <w:right w:val="nil"/>
            </w:tcBorders>
            <w:shd w:val="clear" w:color="auto" w:fill="auto"/>
            <w:noWrap/>
            <w:vAlign w:val="center"/>
            <w:hideMark/>
          </w:tcPr>
          <w:p w14:paraId="429C865F" w14:textId="13FBEAF0"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384,740</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4E256C95" w14:textId="7D662170"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532,426</w:t>
            </w:r>
            <w:r>
              <w:rPr>
                <w:rFonts w:ascii="Arial" w:hAnsi="Arial" w:cs="Arial"/>
                <w:color w:val="000000"/>
                <w:sz w:val="18"/>
                <w:szCs w:val="18"/>
              </w:rPr>
              <w:t>)</w:t>
            </w:r>
          </w:p>
        </w:tc>
      </w:tr>
      <w:tr w:rsidR="00396281" w:rsidRPr="000A643A" w14:paraId="338C4713" w14:textId="77777777" w:rsidTr="005D0809">
        <w:trPr>
          <w:trHeight w:val="202"/>
        </w:trPr>
        <w:tc>
          <w:tcPr>
            <w:tcW w:w="6390" w:type="dxa"/>
            <w:tcBorders>
              <w:top w:val="nil"/>
              <w:left w:val="nil"/>
              <w:bottom w:val="nil"/>
              <w:right w:val="nil"/>
            </w:tcBorders>
            <w:shd w:val="clear" w:color="auto" w:fill="auto"/>
            <w:noWrap/>
            <w:vAlign w:val="center"/>
            <w:hideMark/>
          </w:tcPr>
          <w:p w14:paraId="427FA157"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Gain on disposal of interest in joint venture</w:t>
            </w:r>
          </w:p>
        </w:tc>
        <w:tc>
          <w:tcPr>
            <w:tcW w:w="1599" w:type="dxa"/>
            <w:tcBorders>
              <w:top w:val="nil"/>
              <w:left w:val="nil"/>
              <w:bottom w:val="nil"/>
              <w:right w:val="nil"/>
            </w:tcBorders>
            <w:shd w:val="clear" w:color="auto" w:fill="auto"/>
            <w:noWrap/>
            <w:vAlign w:val="center"/>
            <w:hideMark/>
          </w:tcPr>
          <w:p w14:paraId="59A02EB7" w14:textId="20D104E1"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916,953</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67B8B1DD" w14:textId="6F6787D0"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r>
      <w:tr w:rsidR="00396281" w:rsidRPr="000A643A" w14:paraId="166B4C64" w14:textId="77777777" w:rsidTr="005D0809">
        <w:trPr>
          <w:trHeight w:val="202"/>
        </w:trPr>
        <w:tc>
          <w:tcPr>
            <w:tcW w:w="6390" w:type="dxa"/>
            <w:tcBorders>
              <w:top w:val="nil"/>
              <w:left w:val="nil"/>
              <w:bottom w:val="nil"/>
              <w:right w:val="nil"/>
            </w:tcBorders>
            <w:shd w:val="clear" w:color="auto" w:fill="auto"/>
            <w:noWrap/>
            <w:vAlign w:val="center"/>
            <w:hideMark/>
          </w:tcPr>
          <w:p w14:paraId="278F6AF0"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Fair value gain on investment properties</w:t>
            </w:r>
          </w:p>
        </w:tc>
        <w:tc>
          <w:tcPr>
            <w:tcW w:w="1599" w:type="dxa"/>
            <w:tcBorders>
              <w:top w:val="nil"/>
              <w:left w:val="nil"/>
              <w:bottom w:val="nil"/>
              <w:right w:val="nil"/>
            </w:tcBorders>
            <w:shd w:val="clear" w:color="auto" w:fill="auto"/>
            <w:noWrap/>
            <w:vAlign w:val="center"/>
            <w:hideMark/>
          </w:tcPr>
          <w:p w14:paraId="3D0BBA7F" w14:textId="225859AB"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3,911,020</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0F1E3F33" w14:textId="509184D4"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1,744,751</w:t>
            </w:r>
            <w:r>
              <w:rPr>
                <w:rFonts w:ascii="Arial" w:hAnsi="Arial" w:cs="Arial"/>
                <w:color w:val="000000"/>
                <w:sz w:val="18"/>
                <w:szCs w:val="18"/>
              </w:rPr>
              <w:t>)</w:t>
            </w:r>
          </w:p>
        </w:tc>
      </w:tr>
      <w:tr w:rsidR="00396281" w:rsidRPr="000A643A" w14:paraId="7A8FBF2D" w14:textId="77777777" w:rsidTr="005D0809">
        <w:trPr>
          <w:trHeight w:val="202"/>
        </w:trPr>
        <w:tc>
          <w:tcPr>
            <w:tcW w:w="6390" w:type="dxa"/>
            <w:tcBorders>
              <w:top w:val="nil"/>
              <w:left w:val="nil"/>
              <w:bottom w:val="nil"/>
              <w:right w:val="nil"/>
            </w:tcBorders>
            <w:shd w:val="clear" w:color="auto" w:fill="auto"/>
            <w:noWrap/>
            <w:vAlign w:val="center"/>
            <w:hideMark/>
          </w:tcPr>
          <w:p w14:paraId="2D5E4908"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(Gain) loss on disposal of investment properties and property and equipment</w:t>
            </w:r>
          </w:p>
        </w:tc>
        <w:tc>
          <w:tcPr>
            <w:tcW w:w="1599" w:type="dxa"/>
            <w:tcBorders>
              <w:top w:val="nil"/>
              <w:left w:val="nil"/>
              <w:bottom w:val="nil"/>
              <w:right w:val="nil"/>
            </w:tcBorders>
            <w:shd w:val="clear" w:color="auto" w:fill="auto"/>
            <w:noWrap/>
            <w:vAlign w:val="center"/>
            <w:hideMark/>
          </w:tcPr>
          <w:p w14:paraId="3759D9AA" w14:textId="57FB42EA"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4,169</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5650F33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694</w:t>
            </w:r>
          </w:p>
        </w:tc>
      </w:tr>
      <w:tr w:rsidR="00396281" w:rsidRPr="000A643A" w14:paraId="09818197" w14:textId="77777777" w:rsidTr="005D0809">
        <w:trPr>
          <w:trHeight w:val="202"/>
        </w:trPr>
        <w:tc>
          <w:tcPr>
            <w:tcW w:w="6390" w:type="dxa"/>
            <w:tcBorders>
              <w:top w:val="nil"/>
              <w:left w:val="nil"/>
              <w:bottom w:val="nil"/>
              <w:right w:val="nil"/>
            </w:tcBorders>
            <w:shd w:val="clear" w:color="auto" w:fill="auto"/>
            <w:noWrap/>
            <w:vAlign w:val="center"/>
            <w:hideMark/>
          </w:tcPr>
          <w:p w14:paraId="77A609A5" w14:textId="77777777" w:rsidR="00396281" w:rsidRPr="000A643A" w:rsidRDefault="00396281" w:rsidP="00C87C40">
            <w:pPr>
              <w:ind w:firstLineChars="100" w:firstLine="180"/>
              <w:rPr>
                <w:rFonts w:ascii="Arial" w:hAnsi="Arial" w:cs="Arial"/>
                <w:color w:val="000000"/>
                <w:sz w:val="18"/>
                <w:szCs w:val="18"/>
              </w:rPr>
            </w:pPr>
            <w:r w:rsidRPr="000A643A">
              <w:rPr>
                <w:rFonts w:ascii="Arial" w:hAnsi="Arial" w:cs="Arial"/>
                <w:color w:val="000000"/>
                <w:sz w:val="18"/>
                <w:szCs w:val="18"/>
              </w:rPr>
              <w:t>Deferred income taxes</w:t>
            </w:r>
          </w:p>
        </w:tc>
        <w:tc>
          <w:tcPr>
            <w:tcW w:w="1599" w:type="dxa"/>
            <w:tcBorders>
              <w:top w:val="nil"/>
              <w:left w:val="nil"/>
              <w:bottom w:val="nil"/>
              <w:right w:val="nil"/>
            </w:tcBorders>
            <w:shd w:val="clear" w:color="auto" w:fill="auto"/>
            <w:noWrap/>
            <w:vAlign w:val="center"/>
            <w:hideMark/>
          </w:tcPr>
          <w:p w14:paraId="4D7F0A8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725,557</w:t>
            </w:r>
          </w:p>
        </w:tc>
        <w:tc>
          <w:tcPr>
            <w:tcW w:w="1447" w:type="dxa"/>
            <w:tcBorders>
              <w:top w:val="nil"/>
              <w:left w:val="nil"/>
              <w:bottom w:val="nil"/>
              <w:right w:val="nil"/>
            </w:tcBorders>
            <w:shd w:val="clear" w:color="auto" w:fill="auto"/>
            <w:noWrap/>
            <w:vAlign w:val="center"/>
            <w:hideMark/>
          </w:tcPr>
          <w:p w14:paraId="026F78FF"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1,032,504</w:t>
            </w:r>
          </w:p>
        </w:tc>
      </w:tr>
      <w:tr w:rsidR="00396281" w:rsidRPr="000A643A" w14:paraId="4B819948" w14:textId="77777777" w:rsidTr="005D0809">
        <w:trPr>
          <w:trHeight w:val="202"/>
        </w:trPr>
        <w:tc>
          <w:tcPr>
            <w:tcW w:w="6390" w:type="dxa"/>
            <w:tcBorders>
              <w:top w:val="single" w:sz="4" w:space="0" w:color="auto"/>
              <w:left w:val="nil"/>
              <w:bottom w:val="nil"/>
              <w:right w:val="nil"/>
            </w:tcBorders>
            <w:shd w:val="clear" w:color="auto" w:fill="auto"/>
            <w:noWrap/>
            <w:vAlign w:val="center"/>
            <w:hideMark/>
          </w:tcPr>
          <w:p w14:paraId="4855451D" w14:textId="0E90510E" w:rsidR="00396281" w:rsidRPr="000A643A" w:rsidRDefault="00243097" w:rsidP="00C87C40">
            <w:pPr>
              <w:rPr>
                <w:rFonts w:ascii="Arial" w:hAnsi="Arial" w:cs="Arial"/>
                <w:color w:val="000000"/>
                <w:sz w:val="18"/>
                <w:szCs w:val="18"/>
              </w:rPr>
            </w:pPr>
            <w:r>
              <w:rPr>
                <w:rFonts w:ascii="Arial" w:hAnsi="Arial" w:cs="Arial"/>
                <w:color w:val="000000"/>
                <w:sz w:val="18"/>
                <w:szCs w:val="18"/>
              </w:rPr>
              <w:t xml:space="preserve"> </w:t>
            </w:r>
          </w:p>
        </w:tc>
        <w:tc>
          <w:tcPr>
            <w:tcW w:w="1599" w:type="dxa"/>
            <w:tcBorders>
              <w:top w:val="single" w:sz="4" w:space="0" w:color="auto"/>
              <w:left w:val="nil"/>
              <w:bottom w:val="nil"/>
              <w:right w:val="nil"/>
            </w:tcBorders>
            <w:shd w:val="clear" w:color="auto" w:fill="auto"/>
            <w:noWrap/>
            <w:vAlign w:val="center"/>
            <w:hideMark/>
          </w:tcPr>
          <w:p w14:paraId="399E5908"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1,731,509</w:t>
            </w:r>
          </w:p>
        </w:tc>
        <w:tc>
          <w:tcPr>
            <w:tcW w:w="1447" w:type="dxa"/>
            <w:tcBorders>
              <w:top w:val="single" w:sz="4" w:space="0" w:color="auto"/>
              <w:left w:val="nil"/>
              <w:bottom w:val="nil"/>
              <w:right w:val="nil"/>
            </w:tcBorders>
            <w:shd w:val="clear" w:color="auto" w:fill="auto"/>
            <w:noWrap/>
            <w:vAlign w:val="center"/>
            <w:hideMark/>
          </w:tcPr>
          <w:p w14:paraId="12791E06"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3,143,429</w:t>
            </w:r>
          </w:p>
        </w:tc>
      </w:tr>
      <w:tr w:rsidR="00396281" w:rsidRPr="000A643A" w14:paraId="1DFD0C98" w14:textId="77777777" w:rsidTr="005D0809">
        <w:trPr>
          <w:trHeight w:val="202"/>
        </w:trPr>
        <w:tc>
          <w:tcPr>
            <w:tcW w:w="6390" w:type="dxa"/>
            <w:tcBorders>
              <w:top w:val="nil"/>
              <w:left w:val="nil"/>
              <w:bottom w:val="nil"/>
              <w:right w:val="nil"/>
            </w:tcBorders>
            <w:shd w:val="clear" w:color="auto" w:fill="auto"/>
            <w:noWrap/>
            <w:vAlign w:val="center"/>
            <w:hideMark/>
          </w:tcPr>
          <w:p w14:paraId="732BEBC7"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Changes in non-cash working capital</w:t>
            </w:r>
          </w:p>
        </w:tc>
        <w:tc>
          <w:tcPr>
            <w:tcW w:w="1599" w:type="dxa"/>
            <w:tcBorders>
              <w:top w:val="nil"/>
              <w:left w:val="nil"/>
              <w:bottom w:val="nil"/>
              <w:right w:val="nil"/>
            </w:tcBorders>
            <w:shd w:val="clear" w:color="auto" w:fill="auto"/>
            <w:noWrap/>
            <w:vAlign w:val="center"/>
            <w:hideMark/>
          </w:tcPr>
          <w:p w14:paraId="0413E40B"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0E63994E" w14:textId="77777777" w:rsidR="00396281" w:rsidRPr="000A643A" w:rsidRDefault="00396281" w:rsidP="00FB734A">
            <w:pPr>
              <w:jc w:val="right"/>
              <w:rPr>
                <w:rFonts w:ascii="Arial" w:hAnsi="Arial" w:cs="Arial"/>
                <w:sz w:val="18"/>
                <w:szCs w:val="18"/>
              </w:rPr>
            </w:pPr>
          </w:p>
        </w:tc>
      </w:tr>
      <w:tr w:rsidR="00396281" w:rsidRPr="000A643A" w14:paraId="15267D56" w14:textId="77777777" w:rsidTr="005D0809">
        <w:trPr>
          <w:trHeight w:val="202"/>
        </w:trPr>
        <w:tc>
          <w:tcPr>
            <w:tcW w:w="6390" w:type="dxa"/>
            <w:tcBorders>
              <w:top w:val="nil"/>
              <w:left w:val="nil"/>
              <w:bottom w:val="nil"/>
              <w:right w:val="nil"/>
            </w:tcBorders>
            <w:shd w:val="clear" w:color="auto" w:fill="auto"/>
            <w:noWrap/>
            <w:vAlign w:val="center"/>
            <w:hideMark/>
          </w:tcPr>
          <w:p w14:paraId="0FD8F318"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Income taxes payable</w:t>
            </w:r>
          </w:p>
        </w:tc>
        <w:tc>
          <w:tcPr>
            <w:tcW w:w="1599" w:type="dxa"/>
            <w:tcBorders>
              <w:top w:val="nil"/>
              <w:left w:val="nil"/>
              <w:bottom w:val="nil"/>
              <w:right w:val="nil"/>
            </w:tcBorders>
            <w:shd w:val="clear" w:color="auto" w:fill="auto"/>
            <w:noWrap/>
            <w:vAlign w:val="center"/>
            <w:hideMark/>
          </w:tcPr>
          <w:p w14:paraId="48A34D31"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1,810,107</w:t>
            </w:r>
          </w:p>
        </w:tc>
        <w:tc>
          <w:tcPr>
            <w:tcW w:w="1447" w:type="dxa"/>
            <w:tcBorders>
              <w:top w:val="nil"/>
              <w:left w:val="nil"/>
              <w:bottom w:val="nil"/>
              <w:right w:val="nil"/>
            </w:tcBorders>
            <w:shd w:val="clear" w:color="auto" w:fill="auto"/>
            <w:noWrap/>
            <w:vAlign w:val="center"/>
            <w:hideMark/>
          </w:tcPr>
          <w:p w14:paraId="7E1C0CDD"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277,747</w:t>
            </w:r>
          </w:p>
        </w:tc>
      </w:tr>
      <w:tr w:rsidR="00396281" w:rsidRPr="000A643A" w14:paraId="6BBED571" w14:textId="77777777" w:rsidTr="005D0809">
        <w:trPr>
          <w:trHeight w:val="202"/>
        </w:trPr>
        <w:tc>
          <w:tcPr>
            <w:tcW w:w="6390" w:type="dxa"/>
            <w:tcBorders>
              <w:top w:val="nil"/>
              <w:left w:val="nil"/>
              <w:bottom w:val="nil"/>
              <w:right w:val="nil"/>
            </w:tcBorders>
            <w:shd w:val="clear" w:color="auto" w:fill="auto"/>
            <w:noWrap/>
            <w:vAlign w:val="center"/>
            <w:hideMark/>
          </w:tcPr>
          <w:p w14:paraId="00A31A3F"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Accounts receivable</w:t>
            </w:r>
          </w:p>
        </w:tc>
        <w:tc>
          <w:tcPr>
            <w:tcW w:w="1599" w:type="dxa"/>
            <w:tcBorders>
              <w:top w:val="nil"/>
              <w:left w:val="nil"/>
              <w:bottom w:val="nil"/>
              <w:right w:val="nil"/>
            </w:tcBorders>
            <w:shd w:val="clear" w:color="auto" w:fill="auto"/>
            <w:noWrap/>
            <w:vAlign w:val="center"/>
            <w:hideMark/>
          </w:tcPr>
          <w:p w14:paraId="0C4099A4"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254,094</w:t>
            </w:r>
          </w:p>
        </w:tc>
        <w:tc>
          <w:tcPr>
            <w:tcW w:w="1447" w:type="dxa"/>
            <w:tcBorders>
              <w:top w:val="nil"/>
              <w:left w:val="nil"/>
              <w:bottom w:val="nil"/>
              <w:right w:val="nil"/>
            </w:tcBorders>
            <w:shd w:val="clear" w:color="auto" w:fill="auto"/>
            <w:noWrap/>
            <w:vAlign w:val="center"/>
            <w:hideMark/>
          </w:tcPr>
          <w:p w14:paraId="796D28B0"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488,555</w:t>
            </w:r>
          </w:p>
        </w:tc>
      </w:tr>
      <w:tr w:rsidR="00396281" w:rsidRPr="000A643A" w14:paraId="4EE3A60C" w14:textId="77777777" w:rsidTr="005D0809">
        <w:trPr>
          <w:trHeight w:val="202"/>
        </w:trPr>
        <w:tc>
          <w:tcPr>
            <w:tcW w:w="6390" w:type="dxa"/>
            <w:tcBorders>
              <w:top w:val="nil"/>
              <w:left w:val="nil"/>
              <w:bottom w:val="nil"/>
              <w:right w:val="nil"/>
            </w:tcBorders>
            <w:shd w:val="clear" w:color="auto" w:fill="auto"/>
            <w:noWrap/>
            <w:vAlign w:val="center"/>
            <w:hideMark/>
          </w:tcPr>
          <w:p w14:paraId="130F4F0F"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Prepaid expenses</w:t>
            </w:r>
          </w:p>
        </w:tc>
        <w:tc>
          <w:tcPr>
            <w:tcW w:w="1599" w:type="dxa"/>
            <w:tcBorders>
              <w:top w:val="nil"/>
              <w:left w:val="nil"/>
              <w:bottom w:val="nil"/>
              <w:right w:val="nil"/>
            </w:tcBorders>
            <w:shd w:val="clear" w:color="auto" w:fill="auto"/>
            <w:noWrap/>
            <w:vAlign w:val="center"/>
            <w:hideMark/>
          </w:tcPr>
          <w:p w14:paraId="5C35CE87"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119,449</w:t>
            </w:r>
          </w:p>
        </w:tc>
        <w:tc>
          <w:tcPr>
            <w:tcW w:w="1447" w:type="dxa"/>
            <w:tcBorders>
              <w:top w:val="nil"/>
              <w:left w:val="nil"/>
              <w:bottom w:val="nil"/>
              <w:right w:val="nil"/>
            </w:tcBorders>
            <w:shd w:val="clear" w:color="auto" w:fill="auto"/>
            <w:noWrap/>
            <w:vAlign w:val="center"/>
            <w:hideMark/>
          </w:tcPr>
          <w:p w14:paraId="32FDD510" w14:textId="2A0CBCA4"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6,001</w:t>
            </w:r>
            <w:r>
              <w:rPr>
                <w:rFonts w:ascii="Arial" w:hAnsi="Arial" w:cs="Arial"/>
                <w:color w:val="000000"/>
                <w:sz w:val="18"/>
                <w:szCs w:val="18"/>
              </w:rPr>
              <w:t>)</w:t>
            </w:r>
          </w:p>
        </w:tc>
      </w:tr>
      <w:tr w:rsidR="00396281" w:rsidRPr="000A643A" w14:paraId="7B2E73AC" w14:textId="77777777" w:rsidTr="005D0809">
        <w:trPr>
          <w:trHeight w:val="202"/>
        </w:trPr>
        <w:tc>
          <w:tcPr>
            <w:tcW w:w="6390" w:type="dxa"/>
            <w:tcBorders>
              <w:top w:val="nil"/>
              <w:left w:val="nil"/>
              <w:bottom w:val="nil"/>
              <w:right w:val="nil"/>
            </w:tcBorders>
            <w:shd w:val="clear" w:color="auto" w:fill="auto"/>
            <w:noWrap/>
            <w:vAlign w:val="center"/>
            <w:hideMark/>
          </w:tcPr>
          <w:p w14:paraId="0E65EF08" w14:textId="4E1BB8F1"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Deferred revenue and tenants</w:t>
            </w:r>
            <w:r w:rsidR="00F625BE">
              <w:rPr>
                <w:rFonts w:ascii="Arial" w:hAnsi="Arial" w:cs="Arial"/>
                <w:color w:val="000000"/>
                <w:sz w:val="18"/>
                <w:szCs w:val="18"/>
              </w:rPr>
              <w:t>’</w:t>
            </w:r>
            <w:r w:rsidRPr="000A643A">
              <w:rPr>
                <w:rFonts w:ascii="Arial" w:hAnsi="Arial" w:cs="Arial"/>
                <w:color w:val="000000"/>
                <w:sz w:val="18"/>
                <w:szCs w:val="18"/>
              </w:rPr>
              <w:t xml:space="preserve"> deposits</w:t>
            </w:r>
          </w:p>
        </w:tc>
        <w:tc>
          <w:tcPr>
            <w:tcW w:w="1599" w:type="dxa"/>
            <w:tcBorders>
              <w:top w:val="nil"/>
              <w:left w:val="nil"/>
              <w:bottom w:val="nil"/>
              <w:right w:val="nil"/>
            </w:tcBorders>
            <w:shd w:val="clear" w:color="auto" w:fill="auto"/>
            <w:noWrap/>
            <w:vAlign w:val="center"/>
            <w:hideMark/>
          </w:tcPr>
          <w:p w14:paraId="613D6576" w14:textId="1A88681D"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184,098</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055724E1"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237,039</w:t>
            </w:r>
          </w:p>
        </w:tc>
      </w:tr>
      <w:tr w:rsidR="00396281" w:rsidRPr="000A643A" w14:paraId="5BD18CD4" w14:textId="77777777" w:rsidTr="005D0809">
        <w:trPr>
          <w:trHeight w:val="202"/>
        </w:trPr>
        <w:tc>
          <w:tcPr>
            <w:tcW w:w="6390" w:type="dxa"/>
            <w:tcBorders>
              <w:top w:val="nil"/>
              <w:left w:val="nil"/>
              <w:bottom w:val="nil"/>
              <w:right w:val="nil"/>
            </w:tcBorders>
            <w:shd w:val="clear" w:color="auto" w:fill="auto"/>
            <w:noWrap/>
            <w:vAlign w:val="center"/>
            <w:hideMark/>
          </w:tcPr>
          <w:p w14:paraId="40188692" w14:textId="3CFBF941"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Accounts payable and accrued liabilit</w:t>
            </w:r>
            <w:r w:rsidR="00F625BE">
              <w:rPr>
                <w:rFonts w:ascii="Arial" w:hAnsi="Arial" w:cs="Arial"/>
                <w:color w:val="000000"/>
                <w:sz w:val="18"/>
                <w:szCs w:val="18"/>
              </w:rPr>
              <w:t>i</w:t>
            </w:r>
            <w:r w:rsidRPr="000A643A">
              <w:rPr>
                <w:rFonts w:ascii="Arial" w:hAnsi="Arial" w:cs="Arial"/>
                <w:color w:val="000000"/>
                <w:sz w:val="18"/>
                <w:szCs w:val="18"/>
              </w:rPr>
              <w:t>es</w:t>
            </w:r>
          </w:p>
        </w:tc>
        <w:tc>
          <w:tcPr>
            <w:tcW w:w="1599" w:type="dxa"/>
            <w:tcBorders>
              <w:top w:val="nil"/>
              <w:left w:val="nil"/>
              <w:bottom w:val="nil"/>
              <w:right w:val="nil"/>
            </w:tcBorders>
            <w:shd w:val="clear" w:color="auto" w:fill="auto"/>
            <w:noWrap/>
            <w:vAlign w:val="center"/>
            <w:hideMark/>
          </w:tcPr>
          <w:p w14:paraId="03E57074" w14:textId="451226BD"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244,967</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6DB1DF54"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168,649</w:t>
            </w:r>
          </w:p>
        </w:tc>
      </w:tr>
      <w:tr w:rsidR="00396281" w:rsidRPr="000A643A" w14:paraId="033DB38F" w14:textId="77777777" w:rsidTr="005D0809">
        <w:trPr>
          <w:trHeight w:val="202"/>
        </w:trPr>
        <w:tc>
          <w:tcPr>
            <w:tcW w:w="6390" w:type="dxa"/>
            <w:tcBorders>
              <w:top w:val="single" w:sz="4" w:space="0" w:color="auto"/>
              <w:left w:val="nil"/>
              <w:bottom w:val="single" w:sz="4" w:space="0" w:color="auto"/>
              <w:right w:val="nil"/>
            </w:tcBorders>
            <w:shd w:val="clear" w:color="auto" w:fill="auto"/>
            <w:noWrap/>
            <w:vAlign w:val="center"/>
            <w:hideMark/>
          </w:tcPr>
          <w:p w14:paraId="11148FD6"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Cash provided by operating activities</w:t>
            </w:r>
          </w:p>
        </w:tc>
        <w:tc>
          <w:tcPr>
            <w:tcW w:w="1599" w:type="dxa"/>
            <w:tcBorders>
              <w:top w:val="single" w:sz="4" w:space="0" w:color="auto"/>
              <w:left w:val="nil"/>
              <w:bottom w:val="single" w:sz="4" w:space="0" w:color="auto"/>
              <w:right w:val="nil"/>
            </w:tcBorders>
            <w:shd w:val="clear" w:color="auto" w:fill="auto"/>
            <w:noWrap/>
            <w:vAlign w:val="center"/>
            <w:hideMark/>
          </w:tcPr>
          <w:p w14:paraId="6B058335"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3,486,094</w:t>
            </w:r>
          </w:p>
        </w:tc>
        <w:tc>
          <w:tcPr>
            <w:tcW w:w="1447" w:type="dxa"/>
            <w:tcBorders>
              <w:top w:val="single" w:sz="4" w:space="0" w:color="auto"/>
              <w:left w:val="nil"/>
              <w:bottom w:val="single" w:sz="4" w:space="0" w:color="auto"/>
              <w:right w:val="nil"/>
            </w:tcBorders>
            <w:shd w:val="clear" w:color="auto" w:fill="auto"/>
            <w:noWrap/>
            <w:vAlign w:val="center"/>
            <w:hideMark/>
          </w:tcPr>
          <w:p w14:paraId="604647CF"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4,309,418</w:t>
            </w:r>
          </w:p>
        </w:tc>
      </w:tr>
      <w:tr w:rsidR="00396281" w:rsidRPr="000A643A" w14:paraId="6D4E954A" w14:textId="77777777" w:rsidTr="005D0809">
        <w:trPr>
          <w:trHeight w:val="202"/>
        </w:trPr>
        <w:tc>
          <w:tcPr>
            <w:tcW w:w="6390" w:type="dxa"/>
            <w:tcBorders>
              <w:top w:val="nil"/>
              <w:left w:val="nil"/>
              <w:bottom w:val="nil"/>
              <w:right w:val="nil"/>
            </w:tcBorders>
            <w:shd w:val="clear" w:color="auto" w:fill="auto"/>
            <w:noWrap/>
            <w:vAlign w:val="center"/>
            <w:hideMark/>
          </w:tcPr>
          <w:p w14:paraId="711E22E1" w14:textId="77777777" w:rsidR="00396281" w:rsidRPr="000A643A" w:rsidRDefault="00396281" w:rsidP="00C87C40">
            <w:pPr>
              <w:jc w:val="right"/>
              <w:rPr>
                <w:rFonts w:ascii="Arial" w:hAnsi="Arial" w:cs="Arial"/>
                <w:color w:val="000000"/>
                <w:sz w:val="18"/>
                <w:szCs w:val="18"/>
              </w:rPr>
            </w:pPr>
          </w:p>
        </w:tc>
        <w:tc>
          <w:tcPr>
            <w:tcW w:w="1599" w:type="dxa"/>
            <w:tcBorders>
              <w:top w:val="nil"/>
              <w:left w:val="nil"/>
              <w:bottom w:val="nil"/>
              <w:right w:val="nil"/>
            </w:tcBorders>
            <w:shd w:val="clear" w:color="auto" w:fill="auto"/>
            <w:noWrap/>
            <w:vAlign w:val="center"/>
            <w:hideMark/>
          </w:tcPr>
          <w:p w14:paraId="54533EA0"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5A904FB4" w14:textId="77777777" w:rsidR="00396281" w:rsidRPr="000A643A" w:rsidRDefault="00396281" w:rsidP="00FB734A">
            <w:pPr>
              <w:jc w:val="right"/>
              <w:rPr>
                <w:rFonts w:ascii="Arial" w:hAnsi="Arial" w:cs="Arial"/>
                <w:sz w:val="18"/>
                <w:szCs w:val="18"/>
              </w:rPr>
            </w:pPr>
          </w:p>
        </w:tc>
      </w:tr>
      <w:tr w:rsidR="00396281" w:rsidRPr="000A643A" w14:paraId="136D1AA1" w14:textId="77777777" w:rsidTr="005D0809">
        <w:trPr>
          <w:trHeight w:val="202"/>
        </w:trPr>
        <w:tc>
          <w:tcPr>
            <w:tcW w:w="6390" w:type="dxa"/>
            <w:tcBorders>
              <w:top w:val="nil"/>
              <w:left w:val="nil"/>
              <w:bottom w:val="nil"/>
              <w:right w:val="nil"/>
            </w:tcBorders>
            <w:shd w:val="clear" w:color="auto" w:fill="auto"/>
            <w:noWrap/>
            <w:vAlign w:val="center"/>
            <w:hideMark/>
          </w:tcPr>
          <w:p w14:paraId="7AC21D1C"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FINANCING ACTIVITIES</w:t>
            </w:r>
          </w:p>
        </w:tc>
        <w:tc>
          <w:tcPr>
            <w:tcW w:w="1599" w:type="dxa"/>
            <w:tcBorders>
              <w:top w:val="nil"/>
              <w:left w:val="nil"/>
              <w:bottom w:val="nil"/>
              <w:right w:val="nil"/>
            </w:tcBorders>
            <w:shd w:val="clear" w:color="auto" w:fill="auto"/>
            <w:noWrap/>
            <w:vAlign w:val="center"/>
            <w:hideMark/>
          </w:tcPr>
          <w:p w14:paraId="4F22CB74"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3A98CFEA" w14:textId="77777777" w:rsidR="00396281" w:rsidRPr="000A643A" w:rsidRDefault="00396281" w:rsidP="00FB734A">
            <w:pPr>
              <w:jc w:val="right"/>
              <w:rPr>
                <w:rFonts w:ascii="Arial" w:hAnsi="Arial" w:cs="Arial"/>
                <w:sz w:val="18"/>
                <w:szCs w:val="18"/>
              </w:rPr>
            </w:pPr>
          </w:p>
        </w:tc>
      </w:tr>
      <w:tr w:rsidR="00396281" w:rsidRPr="000A643A" w14:paraId="7AFBFBCB" w14:textId="77777777" w:rsidTr="005D0809">
        <w:trPr>
          <w:trHeight w:val="202"/>
        </w:trPr>
        <w:tc>
          <w:tcPr>
            <w:tcW w:w="6390" w:type="dxa"/>
            <w:tcBorders>
              <w:top w:val="nil"/>
              <w:left w:val="nil"/>
              <w:bottom w:val="nil"/>
              <w:right w:val="nil"/>
            </w:tcBorders>
            <w:shd w:val="clear" w:color="auto" w:fill="auto"/>
            <w:noWrap/>
            <w:vAlign w:val="center"/>
            <w:hideMark/>
          </w:tcPr>
          <w:p w14:paraId="5BA34510"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Dividends paid</w:t>
            </w:r>
          </w:p>
        </w:tc>
        <w:tc>
          <w:tcPr>
            <w:tcW w:w="1599" w:type="dxa"/>
            <w:tcBorders>
              <w:top w:val="nil"/>
              <w:left w:val="nil"/>
              <w:bottom w:val="nil"/>
              <w:right w:val="nil"/>
            </w:tcBorders>
            <w:shd w:val="clear" w:color="auto" w:fill="auto"/>
            <w:noWrap/>
            <w:vAlign w:val="center"/>
            <w:hideMark/>
          </w:tcPr>
          <w:p w14:paraId="2EA9E01F" w14:textId="23294BA2"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555,123</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349CB5EC" w14:textId="73538008"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513,321</w:t>
            </w:r>
            <w:r>
              <w:rPr>
                <w:rFonts w:ascii="Arial" w:hAnsi="Arial" w:cs="Arial"/>
                <w:color w:val="000000"/>
                <w:sz w:val="18"/>
                <w:szCs w:val="18"/>
              </w:rPr>
              <w:t>)</w:t>
            </w:r>
          </w:p>
        </w:tc>
      </w:tr>
      <w:tr w:rsidR="00396281" w:rsidRPr="000A643A" w14:paraId="63E1DC9C" w14:textId="77777777" w:rsidTr="005D0809">
        <w:trPr>
          <w:trHeight w:val="202"/>
        </w:trPr>
        <w:tc>
          <w:tcPr>
            <w:tcW w:w="6390" w:type="dxa"/>
            <w:tcBorders>
              <w:top w:val="nil"/>
              <w:left w:val="nil"/>
              <w:bottom w:val="nil"/>
              <w:right w:val="nil"/>
            </w:tcBorders>
            <w:shd w:val="clear" w:color="auto" w:fill="auto"/>
            <w:noWrap/>
            <w:vAlign w:val="center"/>
            <w:hideMark/>
          </w:tcPr>
          <w:p w14:paraId="2FF78B84"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Proceeds from debt on properties</w:t>
            </w:r>
          </w:p>
        </w:tc>
        <w:tc>
          <w:tcPr>
            <w:tcW w:w="1599" w:type="dxa"/>
            <w:tcBorders>
              <w:top w:val="nil"/>
              <w:left w:val="nil"/>
              <w:bottom w:val="nil"/>
              <w:right w:val="nil"/>
            </w:tcBorders>
            <w:shd w:val="clear" w:color="auto" w:fill="auto"/>
            <w:noWrap/>
            <w:vAlign w:val="center"/>
            <w:hideMark/>
          </w:tcPr>
          <w:p w14:paraId="6A49470F"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8,862,000</w:t>
            </w:r>
          </w:p>
        </w:tc>
        <w:tc>
          <w:tcPr>
            <w:tcW w:w="1447" w:type="dxa"/>
            <w:tcBorders>
              <w:top w:val="nil"/>
              <w:left w:val="nil"/>
              <w:bottom w:val="nil"/>
              <w:right w:val="nil"/>
            </w:tcBorders>
            <w:shd w:val="clear" w:color="auto" w:fill="auto"/>
            <w:noWrap/>
            <w:vAlign w:val="center"/>
            <w:hideMark/>
          </w:tcPr>
          <w:p w14:paraId="36909646"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5,709,500</w:t>
            </w:r>
          </w:p>
        </w:tc>
      </w:tr>
      <w:tr w:rsidR="00396281" w:rsidRPr="000A643A" w14:paraId="54458B10" w14:textId="77777777" w:rsidTr="005D0809">
        <w:trPr>
          <w:trHeight w:val="202"/>
        </w:trPr>
        <w:tc>
          <w:tcPr>
            <w:tcW w:w="6390" w:type="dxa"/>
            <w:tcBorders>
              <w:top w:val="nil"/>
              <w:left w:val="nil"/>
              <w:bottom w:val="nil"/>
              <w:right w:val="nil"/>
            </w:tcBorders>
            <w:shd w:val="clear" w:color="auto" w:fill="auto"/>
            <w:noWrap/>
            <w:vAlign w:val="center"/>
            <w:hideMark/>
          </w:tcPr>
          <w:p w14:paraId="6AD93D10"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Financing cost on new debt</w:t>
            </w:r>
          </w:p>
        </w:tc>
        <w:tc>
          <w:tcPr>
            <w:tcW w:w="1599" w:type="dxa"/>
            <w:tcBorders>
              <w:top w:val="nil"/>
              <w:left w:val="nil"/>
              <w:bottom w:val="nil"/>
              <w:right w:val="nil"/>
            </w:tcBorders>
            <w:shd w:val="clear" w:color="auto" w:fill="auto"/>
            <w:noWrap/>
            <w:vAlign w:val="center"/>
            <w:hideMark/>
          </w:tcPr>
          <w:p w14:paraId="7F4A01E4" w14:textId="473B5D64"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28,040</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4D5F18C1" w14:textId="14C3A3FE"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55,259</w:t>
            </w:r>
            <w:r>
              <w:rPr>
                <w:rFonts w:ascii="Arial" w:hAnsi="Arial" w:cs="Arial"/>
                <w:color w:val="000000"/>
                <w:sz w:val="18"/>
                <w:szCs w:val="18"/>
              </w:rPr>
              <w:t>)</w:t>
            </w:r>
          </w:p>
        </w:tc>
      </w:tr>
      <w:tr w:rsidR="00396281" w:rsidRPr="000A643A" w14:paraId="4E2C59FF" w14:textId="77777777" w:rsidTr="005D0809">
        <w:trPr>
          <w:trHeight w:val="202"/>
        </w:trPr>
        <w:tc>
          <w:tcPr>
            <w:tcW w:w="6390" w:type="dxa"/>
            <w:tcBorders>
              <w:top w:val="nil"/>
              <w:left w:val="nil"/>
              <w:bottom w:val="nil"/>
              <w:right w:val="nil"/>
            </w:tcBorders>
            <w:shd w:val="clear" w:color="auto" w:fill="auto"/>
            <w:noWrap/>
            <w:vAlign w:val="center"/>
            <w:hideMark/>
          </w:tcPr>
          <w:p w14:paraId="0AF4D4AF"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Repayment of debt on properties</w:t>
            </w:r>
          </w:p>
        </w:tc>
        <w:tc>
          <w:tcPr>
            <w:tcW w:w="1599" w:type="dxa"/>
            <w:tcBorders>
              <w:top w:val="nil"/>
              <w:left w:val="nil"/>
              <w:bottom w:val="nil"/>
              <w:right w:val="nil"/>
            </w:tcBorders>
            <w:shd w:val="clear" w:color="auto" w:fill="auto"/>
            <w:noWrap/>
            <w:vAlign w:val="center"/>
            <w:hideMark/>
          </w:tcPr>
          <w:p w14:paraId="473624DA" w14:textId="7DA75D4C"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6,295,447</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77F35C64" w14:textId="567E355E"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1,746,857</w:t>
            </w:r>
            <w:r>
              <w:rPr>
                <w:rFonts w:ascii="Arial" w:hAnsi="Arial" w:cs="Arial"/>
                <w:color w:val="000000"/>
                <w:sz w:val="18"/>
                <w:szCs w:val="18"/>
              </w:rPr>
              <w:t>)</w:t>
            </w:r>
          </w:p>
        </w:tc>
      </w:tr>
      <w:tr w:rsidR="00396281" w:rsidRPr="000A643A" w14:paraId="1EA85BD8" w14:textId="77777777" w:rsidTr="005D0809">
        <w:trPr>
          <w:trHeight w:val="202"/>
        </w:trPr>
        <w:tc>
          <w:tcPr>
            <w:tcW w:w="6390" w:type="dxa"/>
            <w:tcBorders>
              <w:top w:val="nil"/>
              <w:left w:val="nil"/>
              <w:bottom w:val="nil"/>
              <w:right w:val="nil"/>
            </w:tcBorders>
            <w:shd w:val="clear" w:color="auto" w:fill="auto"/>
            <w:noWrap/>
            <w:vAlign w:val="center"/>
            <w:hideMark/>
          </w:tcPr>
          <w:p w14:paraId="16856B2C"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Stock options exercised</w:t>
            </w:r>
          </w:p>
        </w:tc>
        <w:tc>
          <w:tcPr>
            <w:tcW w:w="1599" w:type="dxa"/>
            <w:tcBorders>
              <w:top w:val="nil"/>
              <w:left w:val="nil"/>
              <w:bottom w:val="nil"/>
              <w:right w:val="nil"/>
            </w:tcBorders>
            <w:shd w:val="clear" w:color="auto" w:fill="auto"/>
            <w:noWrap/>
            <w:vAlign w:val="center"/>
            <w:hideMark/>
          </w:tcPr>
          <w:p w14:paraId="5569BB5A"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39,975</w:t>
            </w:r>
          </w:p>
        </w:tc>
        <w:tc>
          <w:tcPr>
            <w:tcW w:w="1447" w:type="dxa"/>
            <w:tcBorders>
              <w:top w:val="nil"/>
              <w:left w:val="nil"/>
              <w:bottom w:val="nil"/>
              <w:right w:val="nil"/>
            </w:tcBorders>
            <w:shd w:val="clear" w:color="auto" w:fill="auto"/>
            <w:noWrap/>
            <w:vAlign w:val="center"/>
            <w:hideMark/>
          </w:tcPr>
          <w:p w14:paraId="03102D5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209,989</w:t>
            </w:r>
          </w:p>
        </w:tc>
      </w:tr>
      <w:tr w:rsidR="00396281" w:rsidRPr="000A643A" w14:paraId="5D000A07" w14:textId="77777777" w:rsidTr="005D0809">
        <w:trPr>
          <w:trHeight w:val="202"/>
        </w:trPr>
        <w:tc>
          <w:tcPr>
            <w:tcW w:w="6390" w:type="dxa"/>
            <w:tcBorders>
              <w:top w:val="single" w:sz="4" w:space="0" w:color="auto"/>
              <w:left w:val="nil"/>
              <w:bottom w:val="single" w:sz="4" w:space="0" w:color="auto"/>
              <w:right w:val="nil"/>
            </w:tcBorders>
            <w:shd w:val="clear" w:color="auto" w:fill="auto"/>
            <w:noWrap/>
            <w:vAlign w:val="center"/>
            <w:hideMark/>
          </w:tcPr>
          <w:p w14:paraId="3BD81CE7"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Cash provided by financing activities</w:t>
            </w:r>
          </w:p>
        </w:tc>
        <w:tc>
          <w:tcPr>
            <w:tcW w:w="1599" w:type="dxa"/>
            <w:tcBorders>
              <w:top w:val="single" w:sz="4" w:space="0" w:color="auto"/>
              <w:left w:val="nil"/>
              <w:bottom w:val="single" w:sz="4" w:space="0" w:color="auto"/>
              <w:right w:val="nil"/>
            </w:tcBorders>
            <w:shd w:val="clear" w:color="auto" w:fill="auto"/>
            <w:noWrap/>
            <w:vAlign w:val="center"/>
            <w:hideMark/>
          </w:tcPr>
          <w:p w14:paraId="71FF3715"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2,023,365</w:t>
            </w:r>
          </w:p>
        </w:tc>
        <w:tc>
          <w:tcPr>
            <w:tcW w:w="1447" w:type="dxa"/>
            <w:tcBorders>
              <w:top w:val="single" w:sz="4" w:space="0" w:color="auto"/>
              <w:left w:val="nil"/>
              <w:bottom w:val="single" w:sz="4" w:space="0" w:color="auto"/>
              <w:right w:val="nil"/>
            </w:tcBorders>
            <w:shd w:val="clear" w:color="auto" w:fill="auto"/>
            <w:noWrap/>
            <w:vAlign w:val="center"/>
            <w:hideMark/>
          </w:tcPr>
          <w:p w14:paraId="46E51268"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3,604,052</w:t>
            </w:r>
          </w:p>
        </w:tc>
      </w:tr>
      <w:tr w:rsidR="00396281" w:rsidRPr="000A643A" w14:paraId="69FEFA99" w14:textId="77777777" w:rsidTr="005D0809">
        <w:trPr>
          <w:trHeight w:val="202"/>
        </w:trPr>
        <w:tc>
          <w:tcPr>
            <w:tcW w:w="6390" w:type="dxa"/>
            <w:tcBorders>
              <w:top w:val="nil"/>
              <w:left w:val="nil"/>
              <w:bottom w:val="nil"/>
              <w:right w:val="nil"/>
            </w:tcBorders>
            <w:shd w:val="clear" w:color="auto" w:fill="auto"/>
            <w:noWrap/>
            <w:vAlign w:val="center"/>
            <w:hideMark/>
          </w:tcPr>
          <w:p w14:paraId="658D9E1C" w14:textId="77777777" w:rsidR="00396281" w:rsidRPr="000A643A" w:rsidRDefault="00396281" w:rsidP="00C87C40">
            <w:pPr>
              <w:jc w:val="right"/>
              <w:rPr>
                <w:rFonts w:ascii="Arial" w:hAnsi="Arial" w:cs="Arial"/>
                <w:color w:val="000000"/>
                <w:sz w:val="18"/>
                <w:szCs w:val="18"/>
              </w:rPr>
            </w:pPr>
          </w:p>
        </w:tc>
        <w:tc>
          <w:tcPr>
            <w:tcW w:w="1599" w:type="dxa"/>
            <w:tcBorders>
              <w:top w:val="nil"/>
              <w:left w:val="nil"/>
              <w:bottom w:val="nil"/>
              <w:right w:val="nil"/>
            </w:tcBorders>
            <w:shd w:val="clear" w:color="auto" w:fill="auto"/>
            <w:noWrap/>
            <w:vAlign w:val="center"/>
            <w:hideMark/>
          </w:tcPr>
          <w:p w14:paraId="2686F01D"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6A340DB6" w14:textId="77777777" w:rsidR="00396281" w:rsidRPr="000A643A" w:rsidRDefault="00396281" w:rsidP="00FB734A">
            <w:pPr>
              <w:jc w:val="right"/>
              <w:rPr>
                <w:rFonts w:ascii="Arial" w:hAnsi="Arial" w:cs="Arial"/>
                <w:sz w:val="18"/>
                <w:szCs w:val="18"/>
              </w:rPr>
            </w:pPr>
          </w:p>
        </w:tc>
      </w:tr>
      <w:tr w:rsidR="00396281" w:rsidRPr="000A643A" w14:paraId="6F43EDED" w14:textId="77777777" w:rsidTr="005D0809">
        <w:trPr>
          <w:trHeight w:val="202"/>
        </w:trPr>
        <w:tc>
          <w:tcPr>
            <w:tcW w:w="6390" w:type="dxa"/>
            <w:tcBorders>
              <w:top w:val="nil"/>
              <w:left w:val="nil"/>
              <w:bottom w:val="nil"/>
              <w:right w:val="nil"/>
            </w:tcBorders>
            <w:shd w:val="clear" w:color="auto" w:fill="auto"/>
            <w:noWrap/>
            <w:vAlign w:val="center"/>
            <w:hideMark/>
          </w:tcPr>
          <w:p w14:paraId="75E0A69B"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INVESTING ACTIVITIES</w:t>
            </w:r>
          </w:p>
        </w:tc>
        <w:tc>
          <w:tcPr>
            <w:tcW w:w="1599" w:type="dxa"/>
            <w:tcBorders>
              <w:top w:val="nil"/>
              <w:left w:val="nil"/>
              <w:bottom w:val="nil"/>
              <w:right w:val="nil"/>
            </w:tcBorders>
            <w:shd w:val="clear" w:color="auto" w:fill="auto"/>
            <w:noWrap/>
            <w:vAlign w:val="center"/>
            <w:hideMark/>
          </w:tcPr>
          <w:p w14:paraId="186E8B94"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290CE899" w14:textId="77777777" w:rsidR="00396281" w:rsidRPr="000A643A" w:rsidRDefault="00396281" w:rsidP="00FB734A">
            <w:pPr>
              <w:jc w:val="right"/>
              <w:rPr>
                <w:rFonts w:ascii="Arial" w:hAnsi="Arial" w:cs="Arial"/>
                <w:sz w:val="18"/>
                <w:szCs w:val="18"/>
              </w:rPr>
            </w:pPr>
          </w:p>
        </w:tc>
      </w:tr>
      <w:tr w:rsidR="00396281" w:rsidRPr="000A643A" w14:paraId="09F4147F" w14:textId="77777777" w:rsidTr="005D0809">
        <w:trPr>
          <w:trHeight w:val="202"/>
        </w:trPr>
        <w:tc>
          <w:tcPr>
            <w:tcW w:w="6390" w:type="dxa"/>
            <w:tcBorders>
              <w:top w:val="nil"/>
              <w:left w:val="nil"/>
              <w:bottom w:val="nil"/>
              <w:right w:val="nil"/>
            </w:tcBorders>
            <w:shd w:val="clear" w:color="auto" w:fill="auto"/>
            <w:noWrap/>
            <w:vAlign w:val="center"/>
            <w:hideMark/>
          </w:tcPr>
          <w:p w14:paraId="1C0B8DB8"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 xml:space="preserve">Acquisition of investment properties </w:t>
            </w:r>
          </w:p>
        </w:tc>
        <w:tc>
          <w:tcPr>
            <w:tcW w:w="1599" w:type="dxa"/>
            <w:tcBorders>
              <w:top w:val="nil"/>
              <w:left w:val="nil"/>
              <w:bottom w:val="nil"/>
              <w:right w:val="nil"/>
            </w:tcBorders>
            <w:shd w:val="clear" w:color="auto" w:fill="auto"/>
            <w:noWrap/>
            <w:vAlign w:val="center"/>
            <w:hideMark/>
          </w:tcPr>
          <w:p w14:paraId="3254BDF2" w14:textId="375AE60F"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7,486,645</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5AD72004" w14:textId="0F8E5A97"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7,826,973</w:t>
            </w:r>
            <w:r>
              <w:rPr>
                <w:rFonts w:ascii="Arial" w:hAnsi="Arial" w:cs="Arial"/>
                <w:color w:val="000000"/>
                <w:sz w:val="18"/>
                <w:szCs w:val="18"/>
              </w:rPr>
              <w:t>)</w:t>
            </w:r>
          </w:p>
        </w:tc>
      </w:tr>
      <w:tr w:rsidR="00396281" w:rsidRPr="000A643A" w14:paraId="72E52D51" w14:textId="77777777" w:rsidTr="005D0809">
        <w:trPr>
          <w:trHeight w:val="202"/>
        </w:trPr>
        <w:tc>
          <w:tcPr>
            <w:tcW w:w="6390" w:type="dxa"/>
            <w:tcBorders>
              <w:top w:val="nil"/>
              <w:left w:val="nil"/>
              <w:bottom w:val="nil"/>
              <w:right w:val="nil"/>
            </w:tcBorders>
            <w:shd w:val="clear" w:color="auto" w:fill="auto"/>
            <w:noWrap/>
            <w:vAlign w:val="center"/>
            <w:hideMark/>
          </w:tcPr>
          <w:p w14:paraId="73C2F3D9"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Additions to investment properties</w:t>
            </w:r>
          </w:p>
        </w:tc>
        <w:tc>
          <w:tcPr>
            <w:tcW w:w="1599" w:type="dxa"/>
            <w:tcBorders>
              <w:top w:val="nil"/>
              <w:left w:val="nil"/>
              <w:bottom w:val="nil"/>
              <w:right w:val="nil"/>
            </w:tcBorders>
            <w:shd w:val="clear" w:color="auto" w:fill="auto"/>
            <w:noWrap/>
            <w:vAlign w:val="center"/>
            <w:hideMark/>
          </w:tcPr>
          <w:p w14:paraId="569A3762" w14:textId="45CC4C15"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373,546</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6F217DD4" w14:textId="0057469E"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713,202</w:t>
            </w:r>
            <w:r>
              <w:rPr>
                <w:rFonts w:ascii="Arial" w:hAnsi="Arial" w:cs="Arial"/>
                <w:color w:val="000000"/>
                <w:sz w:val="18"/>
                <w:szCs w:val="18"/>
              </w:rPr>
              <w:t>)</w:t>
            </w:r>
          </w:p>
        </w:tc>
      </w:tr>
      <w:tr w:rsidR="00396281" w:rsidRPr="000A643A" w14:paraId="46E82423" w14:textId="77777777" w:rsidTr="005D0809">
        <w:trPr>
          <w:trHeight w:val="202"/>
        </w:trPr>
        <w:tc>
          <w:tcPr>
            <w:tcW w:w="6390" w:type="dxa"/>
            <w:tcBorders>
              <w:top w:val="nil"/>
              <w:left w:val="nil"/>
              <w:bottom w:val="nil"/>
              <w:right w:val="nil"/>
            </w:tcBorders>
            <w:shd w:val="clear" w:color="auto" w:fill="auto"/>
            <w:noWrap/>
            <w:vAlign w:val="center"/>
            <w:hideMark/>
          </w:tcPr>
          <w:p w14:paraId="5D086DA4"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Additions to investment property under development</w:t>
            </w:r>
          </w:p>
        </w:tc>
        <w:tc>
          <w:tcPr>
            <w:tcW w:w="1599" w:type="dxa"/>
            <w:tcBorders>
              <w:top w:val="nil"/>
              <w:left w:val="nil"/>
              <w:bottom w:val="nil"/>
              <w:right w:val="nil"/>
            </w:tcBorders>
            <w:shd w:val="clear" w:color="auto" w:fill="auto"/>
            <w:noWrap/>
            <w:vAlign w:val="center"/>
            <w:hideMark/>
          </w:tcPr>
          <w:p w14:paraId="1FA06A06" w14:textId="60259ED0"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2,870,818</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50AAE38B" w14:textId="190A2624"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r>
      <w:tr w:rsidR="00396281" w:rsidRPr="000A643A" w14:paraId="73368B2B" w14:textId="77777777" w:rsidTr="005D0809">
        <w:trPr>
          <w:trHeight w:val="202"/>
        </w:trPr>
        <w:tc>
          <w:tcPr>
            <w:tcW w:w="6390" w:type="dxa"/>
            <w:tcBorders>
              <w:top w:val="nil"/>
              <w:left w:val="nil"/>
              <w:bottom w:val="nil"/>
              <w:right w:val="nil"/>
            </w:tcBorders>
            <w:shd w:val="clear" w:color="auto" w:fill="auto"/>
            <w:noWrap/>
            <w:vAlign w:val="center"/>
            <w:hideMark/>
          </w:tcPr>
          <w:p w14:paraId="52BF27FC"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Proceeds from sale of investment properties</w:t>
            </w:r>
          </w:p>
        </w:tc>
        <w:tc>
          <w:tcPr>
            <w:tcW w:w="1599" w:type="dxa"/>
            <w:tcBorders>
              <w:top w:val="nil"/>
              <w:left w:val="nil"/>
              <w:bottom w:val="nil"/>
              <w:right w:val="nil"/>
            </w:tcBorders>
            <w:shd w:val="clear" w:color="auto" w:fill="auto"/>
            <w:noWrap/>
            <w:vAlign w:val="center"/>
            <w:hideMark/>
          </w:tcPr>
          <w:p w14:paraId="2EFE230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8,004,170</w:t>
            </w:r>
          </w:p>
        </w:tc>
        <w:tc>
          <w:tcPr>
            <w:tcW w:w="1447" w:type="dxa"/>
            <w:tcBorders>
              <w:top w:val="nil"/>
              <w:left w:val="nil"/>
              <w:bottom w:val="nil"/>
              <w:right w:val="nil"/>
            </w:tcBorders>
            <w:shd w:val="clear" w:color="auto" w:fill="auto"/>
            <w:noWrap/>
            <w:vAlign w:val="center"/>
            <w:hideMark/>
          </w:tcPr>
          <w:p w14:paraId="2DC17F1F" w14:textId="23086F15"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r>
      <w:tr w:rsidR="00396281" w:rsidRPr="000A643A" w14:paraId="20924D86" w14:textId="77777777" w:rsidTr="005D0809">
        <w:trPr>
          <w:trHeight w:val="202"/>
        </w:trPr>
        <w:tc>
          <w:tcPr>
            <w:tcW w:w="6390" w:type="dxa"/>
            <w:tcBorders>
              <w:top w:val="nil"/>
              <w:left w:val="nil"/>
              <w:bottom w:val="nil"/>
              <w:right w:val="nil"/>
            </w:tcBorders>
            <w:shd w:val="clear" w:color="auto" w:fill="auto"/>
            <w:noWrap/>
            <w:vAlign w:val="center"/>
            <w:hideMark/>
          </w:tcPr>
          <w:p w14:paraId="0E85F8B2"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Proceeds from sale of joint venture interest and repayment of advances</w:t>
            </w:r>
          </w:p>
        </w:tc>
        <w:tc>
          <w:tcPr>
            <w:tcW w:w="1599" w:type="dxa"/>
            <w:tcBorders>
              <w:top w:val="nil"/>
              <w:left w:val="nil"/>
              <w:bottom w:val="nil"/>
              <w:right w:val="nil"/>
            </w:tcBorders>
            <w:shd w:val="clear" w:color="auto" w:fill="auto"/>
            <w:noWrap/>
            <w:vAlign w:val="center"/>
            <w:hideMark/>
          </w:tcPr>
          <w:p w14:paraId="2718D810"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2,391,463</w:t>
            </w:r>
          </w:p>
        </w:tc>
        <w:tc>
          <w:tcPr>
            <w:tcW w:w="1447" w:type="dxa"/>
            <w:tcBorders>
              <w:top w:val="nil"/>
              <w:left w:val="nil"/>
              <w:bottom w:val="nil"/>
              <w:right w:val="nil"/>
            </w:tcBorders>
            <w:shd w:val="clear" w:color="auto" w:fill="auto"/>
            <w:noWrap/>
            <w:vAlign w:val="center"/>
            <w:hideMark/>
          </w:tcPr>
          <w:p w14:paraId="636B25B4" w14:textId="08B40D84"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r>
      <w:tr w:rsidR="00396281" w:rsidRPr="000A643A" w14:paraId="463FB54F" w14:textId="77777777" w:rsidTr="005D0809">
        <w:trPr>
          <w:trHeight w:val="202"/>
        </w:trPr>
        <w:tc>
          <w:tcPr>
            <w:tcW w:w="6390" w:type="dxa"/>
            <w:tcBorders>
              <w:top w:val="nil"/>
              <w:left w:val="nil"/>
              <w:bottom w:val="nil"/>
              <w:right w:val="nil"/>
            </w:tcBorders>
            <w:shd w:val="clear" w:color="auto" w:fill="auto"/>
            <w:noWrap/>
            <w:vAlign w:val="center"/>
            <w:hideMark/>
          </w:tcPr>
          <w:p w14:paraId="27B4CD12"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Purchase of property and equipment</w:t>
            </w:r>
          </w:p>
        </w:tc>
        <w:tc>
          <w:tcPr>
            <w:tcW w:w="1599" w:type="dxa"/>
            <w:tcBorders>
              <w:top w:val="nil"/>
              <w:left w:val="nil"/>
              <w:bottom w:val="nil"/>
              <w:right w:val="nil"/>
            </w:tcBorders>
            <w:shd w:val="clear" w:color="auto" w:fill="auto"/>
            <w:noWrap/>
            <w:vAlign w:val="center"/>
            <w:hideMark/>
          </w:tcPr>
          <w:p w14:paraId="57EE81E5" w14:textId="6338C6B3"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5B82DC06" w14:textId="0D06DA4C"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16,942</w:t>
            </w:r>
            <w:r>
              <w:rPr>
                <w:rFonts w:ascii="Arial" w:hAnsi="Arial" w:cs="Arial"/>
                <w:color w:val="000000"/>
                <w:sz w:val="18"/>
                <w:szCs w:val="18"/>
              </w:rPr>
              <w:t>)</w:t>
            </w:r>
          </w:p>
        </w:tc>
      </w:tr>
      <w:tr w:rsidR="00396281" w:rsidRPr="000A643A" w14:paraId="3C74F7E3" w14:textId="77777777" w:rsidTr="005D0809">
        <w:trPr>
          <w:trHeight w:val="202"/>
        </w:trPr>
        <w:tc>
          <w:tcPr>
            <w:tcW w:w="6390" w:type="dxa"/>
            <w:tcBorders>
              <w:top w:val="nil"/>
              <w:left w:val="nil"/>
              <w:bottom w:val="nil"/>
              <w:right w:val="nil"/>
            </w:tcBorders>
            <w:shd w:val="clear" w:color="auto" w:fill="auto"/>
            <w:noWrap/>
            <w:vAlign w:val="center"/>
            <w:hideMark/>
          </w:tcPr>
          <w:p w14:paraId="151B7D74"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Repayment from joint arrangements</w:t>
            </w:r>
          </w:p>
        </w:tc>
        <w:tc>
          <w:tcPr>
            <w:tcW w:w="1599" w:type="dxa"/>
            <w:tcBorders>
              <w:top w:val="nil"/>
              <w:left w:val="nil"/>
              <w:bottom w:val="nil"/>
              <w:right w:val="nil"/>
            </w:tcBorders>
            <w:shd w:val="clear" w:color="auto" w:fill="auto"/>
            <w:noWrap/>
            <w:vAlign w:val="center"/>
            <w:hideMark/>
          </w:tcPr>
          <w:p w14:paraId="10E558D8"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260,000</w:t>
            </w:r>
          </w:p>
        </w:tc>
        <w:tc>
          <w:tcPr>
            <w:tcW w:w="1447" w:type="dxa"/>
            <w:tcBorders>
              <w:top w:val="nil"/>
              <w:left w:val="nil"/>
              <w:bottom w:val="nil"/>
              <w:right w:val="nil"/>
            </w:tcBorders>
            <w:shd w:val="clear" w:color="auto" w:fill="auto"/>
            <w:noWrap/>
            <w:vAlign w:val="center"/>
            <w:hideMark/>
          </w:tcPr>
          <w:p w14:paraId="6A904A08"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251,000</w:t>
            </w:r>
          </w:p>
        </w:tc>
      </w:tr>
      <w:tr w:rsidR="00396281" w:rsidRPr="000A643A" w14:paraId="7DA46BF1" w14:textId="77777777" w:rsidTr="005D0809">
        <w:trPr>
          <w:trHeight w:val="202"/>
        </w:trPr>
        <w:tc>
          <w:tcPr>
            <w:tcW w:w="6390" w:type="dxa"/>
            <w:tcBorders>
              <w:top w:val="nil"/>
              <w:left w:val="nil"/>
              <w:bottom w:val="nil"/>
              <w:right w:val="nil"/>
            </w:tcBorders>
            <w:shd w:val="clear" w:color="auto" w:fill="auto"/>
            <w:noWrap/>
            <w:vAlign w:val="center"/>
            <w:hideMark/>
          </w:tcPr>
          <w:p w14:paraId="6E569747"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Repayment of mortgages receivable</w:t>
            </w:r>
          </w:p>
        </w:tc>
        <w:tc>
          <w:tcPr>
            <w:tcW w:w="1599" w:type="dxa"/>
            <w:tcBorders>
              <w:top w:val="nil"/>
              <w:left w:val="nil"/>
              <w:bottom w:val="nil"/>
              <w:right w:val="nil"/>
            </w:tcBorders>
            <w:shd w:val="clear" w:color="auto" w:fill="auto"/>
            <w:noWrap/>
            <w:vAlign w:val="center"/>
            <w:hideMark/>
          </w:tcPr>
          <w:p w14:paraId="2CC65625"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725,568</w:t>
            </w:r>
          </w:p>
        </w:tc>
        <w:tc>
          <w:tcPr>
            <w:tcW w:w="1447" w:type="dxa"/>
            <w:tcBorders>
              <w:top w:val="nil"/>
              <w:left w:val="nil"/>
              <w:bottom w:val="nil"/>
              <w:right w:val="nil"/>
            </w:tcBorders>
            <w:shd w:val="clear" w:color="auto" w:fill="auto"/>
            <w:noWrap/>
            <w:vAlign w:val="center"/>
            <w:hideMark/>
          </w:tcPr>
          <w:p w14:paraId="68C58C4E"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42,608</w:t>
            </w:r>
          </w:p>
        </w:tc>
      </w:tr>
      <w:tr w:rsidR="00396281" w:rsidRPr="000A643A" w14:paraId="012535E8" w14:textId="77777777" w:rsidTr="005D0809">
        <w:trPr>
          <w:trHeight w:val="202"/>
        </w:trPr>
        <w:tc>
          <w:tcPr>
            <w:tcW w:w="6390" w:type="dxa"/>
            <w:tcBorders>
              <w:top w:val="nil"/>
              <w:left w:val="nil"/>
              <w:bottom w:val="nil"/>
              <w:right w:val="nil"/>
            </w:tcBorders>
            <w:shd w:val="clear" w:color="auto" w:fill="auto"/>
            <w:noWrap/>
            <w:vAlign w:val="center"/>
            <w:hideMark/>
          </w:tcPr>
          <w:p w14:paraId="27CDF410"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Advances of mortgages receivable</w:t>
            </w:r>
          </w:p>
        </w:tc>
        <w:tc>
          <w:tcPr>
            <w:tcW w:w="1599" w:type="dxa"/>
            <w:tcBorders>
              <w:top w:val="nil"/>
              <w:left w:val="nil"/>
              <w:bottom w:val="nil"/>
              <w:right w:val="nil"/>
            </w:tcBorders>
            <w:shd w:val="clear" w:color="auto" w:fill="auto"/>
            <w:noWrap/>
            <w:vAlign w:val="center"/>
            <w:hideMark/>
          </w:tcPr>
          <w:p w14:paraId="0B4461F7" w14:textId="7D138001"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133C08AB" w14:textId="4C23B8D4" w:rsidR="00396281" w:rsidRPr="000A643A" w:rsidRDefault="004821DB"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700,000</w:t>
            </w:r>
            <w:r>
              <w:rPr>
                <w:rFonts w:ascii="Arial" w:hAnsi="Arial" w:cs="Arial"/>
                <w:color w:val="000000"/>
                <w:sz w:val="18"/>
                <w:szCs w:val="18"/>
              </w:rPr>
              <w:t>)</w:t>
            </w:r>
          </w:p>
        </w:tc>
      </w:tr>
      <w:tr w:rsidR="00396281" w:rsidRPr="000A643A" w14:paraId="529B6A84" w14:textId="77777777" w:rsidTr="005D0809">
        <w:trPr>
          <w:trHeight w:val="202"/>
        </w:trPr>
        <w:tc>
          <w:tcPr>
            <w:tcW w:w="6390" w:type="dxa"/>
            <w:tcBorders>
              <w:top w:val="nil"/>
              <w:left w:val="nil"/>
              <w:bottom w:val="nil"/>
              <w:right w:val="nil"/>
            </w:tcBorders>
            <w:shd w:val="clear" w:color="auto" w:fill="auto"/>
            <w:noWrap/>
            <w:vAlign w:val="center"/>
            <w:hideMark/>
          </w:tcPr>
          <w:p w14:paraId="0B91B816" w14:textId="40D1A09D"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Net inter</w:t>
            </w:r>
            <w:r w:rsidR="0011303C">
              <w:rPr>
                <w:rFonts w:ascii="Arial" w:hAnsi="Arial" w:cs="Arial"/>
                <w:color w:val="000000"/>
                <w:sz w:val="18"/>
                <w:szCs w:val="18"/>
              </w:rPr>
              <w:t>e</w:t>
            </w:r>
            <w:r w:rsidRPr="000A643A">
              <w:rPr>
                <w:rFonts w:ascii="Arial" w:hAnsi="Arial" w:cs="Arial"/>
                <w:color w:val="000000"/>
                <w:sz w:val="18"/>
                <w:szCs w:val="18"/>
              </w:rPr>
              <w:t>st in term deposit</w:t>
            </w:r>
          </w:p>
        </w:tc>
        <w:tc>
          <w:tcPr>
            <w:tcW w:w="1599" w:type="dxa"/>
            <w:tcBorders>
              <w:top w:val="nil"/>
              <w:left w:val="nil"/>
              <w:bottom w:val="nil"/>
              <w:right w:val="nil"/>
            </w:tcBorders>
            <w:shd w:val="clear" w:color="auto" w:fill="auto"/>
            <w:noWrap/>
            <w:vAlign w:val="center"/>
            <w:hideMark/>
          </w:tcPr>
          <w:p w14:paraId="42EA29AE" w14:textId="15E4376C" w:rsidR="00396281" w:rsidRPr="000A643A" w:rsidRDefault="00760864"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9,979</w:t>
            </w: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40748EE9" w14:textId="0BFF3EC2" w:rsidR="00396281" w:rsidRPr="000A643A" w:rsidRDefault="00760864"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15,010</w:t>
            </w:r>
            <w:r>
              <w:rPr>
                <w:rFonts w:ascii="Arial" w:hAnsi="Arial" w:cs="Arial"/>
                <w:color w:val="000000"/>
                <w:sz w:val="18"/>
                <w:szCs w:val="18"/>
              </w:rPr>
              <w:t>)</w:t>
            </w:r>
          </w:p>
        </w:tc>
      </w:tr>
      <w:tr w:rsidR="00396281" w:rsidRPr="000A643A" w14:paraId="2E05CB5D" w14:textId="77777777" w:rsidTr="005D0809">
        <w:trPr>
          <w:trHeight w:val="202"/>
        </w:trPr>
        <w:tc>
          <w:tcPr>
            <w:tcW w:w="6390" w:type="dxa"/>
            <w:tcBorders>
              <w:top w:val="nil"/>
              <w:left w:val="nil"/>
              <w:bottom w:val="nil"/>
              <w:right w:val="nil"/>
            </w:tcBorders>
            <w:shd w:val="clear" w:color="auto" w:fill="auto"/>
            <w:noWrap/>
            <w:vAlign w:val="center"/>
            <w:hideMark/>
          </w:tcPr>
          <w:p w14:paraId="2F523D0B"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Increase in deposits on real estate</w:t>
            </w:r>
          </w:p>
        </w:tc>
        <w:tc>
          <w:tcPr>
            <w:tcW w:w="1599" w:type="dxa"/>
            <w:tcBorders>
              <w:top w:val="nil"/>
              <w:left w:val="nil"/>
              <w:bottom w:val="nil"/>
              <w:right w:val="nil"/>
            </w:tcBorders>
            <w:shd w:val="clear" w:color="auto" w:fill="auto"/>
            <w:noWrap/>
            <w:vAlign w:val="center"/>
            <w:hideMark/>
          </w:tcPr>
          <w:p w14:paraId="77E5EB69" w14:textId="064A605E" w:rsidR="00396281" w:rsidRPr="000A643A" w:rsidRDefault="000304B9" w:rsidP="00FB734A">
            <w:pPr>
              <w:jc w:val="right"/>
              <w:rPr>
                <w:rFonts w:ascii="Arial" w:hAnsi="Arial" w:cs="Arial"/>
                <w:color w:val="000000"/>
                <w:sz w:val="18"/>
                <w:szCs w:val="18"/>
              </w:rPr>
            </w:pPr>
            <w:r>
              <w:rPr>
                <w:rFonts w:ascii="Arial" w:hAnsi="Arial" w:cs="Arial"/>
                <w:color w:val="000000"/>
                <w:sz w:val="18"/>
                <w:szCs w:val="18"/>
              </w:rPr>
              <w:t>—</w:t>
            </w:r>
          </w:p>
        </w:tc>
        <w:tc>
          <w:tcPr>
            <w:tcW w:w="1447" w:type="dxa"/>
            <w:tcBorders>
              <w:top w:val="nil"/>
              <w:left w:val="nil"/>
              <w:bottom w:val="nil"/>
              <w:right w:val="nil"/>
            </w:tcBorders>
            <w:shd w:val="clear" w:color="auto" w:fill="auto"/>
            <w:noWrap/>
            <w:vAlign w:val="center"/>
            <w:hideMark/>
          </w:tcPr>
          <w:p w14:paraId="6F65C364" w14:textId="71A23791" w:rsidR="00396281" w:rsidRPr="000A643A" w:rsidRDefault="00760864" w:rsidP="00FB734A">
            <w:pPr>
              <w:jc w:val="right"/>
              <w:rPr>
                <w:rFonts w:ascii="Arial" w:hAnsi="Arial" w:cs="Arial"/>
                <w:color w:val="000000"/>
                <w:sz w:val="18"/>
                <w:szCs w:val="18"/>
              </w:rPr>
            </w:pPr>
            <w:r>
              <w:rPr>
                <w:rFonts w:ascii="Arial" w:hAnsi="Arial" w:cs="Arial"/>
                <w:color w:val="000000"/>
                <w:sz w:val="18"/>
                <w:szCs w:val="18"/>
              </w:rPr>
              <w:t>(</w:t>
            </w:r>
            <w:r w:rsidR="00396281" w:rsidRPr="000A643A">
              <w:rPr>
                <w:rFonts w:ascii="Arial" w:hAnsi="Arial" w:cs="Arial"/>
                <w:color w:val="000000"/>
                <w:sz w:val="18"/>
                <w:szCs w:val="18"/>
              </w:rPr>
              <w:t>500,000</w:t>
            </w:r>
            <w:r>
              <w:rPr>
                <w:rFonts w:ascii="Arial" w:hAnsi="Arial" w:cs="Arial"/>
                <w:color w:val="000000"/>
                <w:sz w:val="18"/>
                <w:szCs w:val="18"/>
              </w:rPr>
              <w:t>)</w:t>
            </w:r>
          </w:p>
        </w:tc>
      </w:tr>
      <w:tr w:rsidR="00396281" w:rsidRPr="000A643A" w14:paraId="54E1E581" w14:textId="77777777" w:rsidTr="005D0809">
        <w:trPr>
          <w:trHeight w:val="202"/>
        </w:trPr>
        <w:tc>
          <w:tcPr>
            <w:tcW w:w="6390" w:type="dxa"/>
            <w:tcBorders>
              <w:top w:val="nil"/>
              <w:left w:val="nil"/>
              <w:bottom w:val="single" w:sz="4" w:space="0" w:color="auto"/>
              <w:right w:val="nil"/>
            </w:tcBorders>
            <w:shd w:val="clear" w:color="auto" w:fill="auto"/>
            <w:noWrap/>
            <w:vAlign w:val="center"/>
            <w:hideMark/>
          </w:tcPr>
          <w:p w14:paraId="2F578853"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Decrease in deposits on real estate</w:t>
            </w:r>
          </w:p>
        </w:tc>
        <w:tc>
          <w:tcPr>
            <w:tcW w:w="1599" w:type="dxa"/>
            <w:tcBorders>
              <w:top w:val="nil"/>
              <w:left w:val="nil"/>
              <w:bottom w:val="single" w:sz="4" w:space="0" w:color="auto"/>
              <w:right w:val="nil"/>
            </w:tcBorders>
            <w:shd w:val="clear" w:color="auto" w:fill="auto"/>
            <w:noWrap/>
            <w:vAlign w:val="center"/>
            <w:hideMark/>
          </w:tcPr>
          <w:p w14:paraId="77B34AEF"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500,000</w:t>
            </w:r>
          </w:p>
        </w:tc>
        <w:tc>
          <w:tcPr>
            <w:tcW w:w="1447" w:type="dxa"/>
            <w:tcBorders>
              <w:top w:val="nil"/>
              <w:left w:val="nil"/>
              <w:bottom w:val="single" w:sz="4" w:space="0" w:color="auto"/>
              <w:right w:val="nil"/>
            </w:tcBorders>
            <w:shd w:val="clear" w:color="auto" w:fill="auto"/>
            <w:noWrap/>
            <w:vAlign w:val="center"/>
            <w:hideMark/>
          </w:tcPr>
          <w:p w14:paraId="483FDBD9"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100,000</w:t>
            </w:r>
          </w:p>
        </w:tc>
      </w:tr>
      <w:tr w:rsidR="00396281" w:rsidRPr="000A643A" w14:paraId="2CF7A581" w14:textId="77777777" w:rsidTr="005D0809">
        <w:trPr>
          <w:trHeight w:val="202"/>
        </w:trPr>
        <w:tc>
          <w:tcPr>
            <w:tcW w:w="6390" w:type="dxa"/>
            <w:tcBorders>
              <w:top w:val="nil"/>
              <w:left w:val="nil"/>
              <w:bottom w:val="single" w:sz="4" w:space="0" w:color="auto"/>
              <w:right w:val="nil"/>
            </w:tcBorders>
            <w:shd w:val="clear" w:color="auto" w:fill="auto"/>
            <w:noWrap/>
            <w:vAlign w:val="center"/>
            <w:hideMark/>
          </w:tcPr>
          <w:p w14:paraId="792E5F40"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Cash provided by (used in) investing activities</w:t>
            </w:r>
          </w:p>
        </w:tc>
        <w:tc>
          <w:tcPr>
            <w:tcW w:w="1599" w:type="dxa"/>
            <w:tcBorders>
              <w:top w:val="nil"/>
              <w:left w:val="nil"/>
              <w:bottom w:val="single" w:sz="4" w:space="0" w:color="auto"/>
              <w:right w:val="nil"/>
            </w:tcBorders>
            <w:shd w:val="clear" w:color="auto" w:fill="auto"/>
            <w:noWrap/>
            <w:vAlign w:val="center"/>
            <w:hideMark/>
          </w:tcPr>
          <w:p w14:paraId="0D8B19DD"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1,140,213</w:t>
            </w:r>
          </w:p>
        </w:tc>
        <w:tc>
          <w:tcPr>
            <w:tcW w:w="1447" w:type="dxa"/>
            <w:tcBorders>
              <w:top w:val="nil"/>
              <w:left w:val="nil"/>
              <w:bottom w:val="single" w:sz="4" w:space="0" w:color="auto"/>
              <w:right w:val="nil"/>
            </w:tcBorders>
            <w:shd w:val="clear" w:color="auto" w:fill="auto"/>
            <w:noWrap/>
            <w:vAlign w:val="center"/>
            <w:hideMark/>
          </w:tcPr>
          <w:p w14:paraId="406CE771" w14:textId="6B0C5F2F" w:rsidR="00396281" w:rsidRPr="002944BA" w:rsidRDefault="00760864" w:rsidP="00FB734A">
            <w:pPr>
              <w:jc w:val="right"/>
              <w:rPr>
                <w:rFonts w:ascii="Arial" w:hAnsi="Arial" w:cs="Arial"/>
                <w:b/>
                <w:bCs/>
                <w:color w:val="000000"/>
                <w:sz w:val="18"/>
                <w:szCs w:val="18"/>
              </w:rPr>
            </w:pPr>
            <w:r w:rsidRPr="002944BA">
              <w:rPr>
                <w:rFonts w:ascii="Arial" w:hAnsi="Arial" w:cs="Arial"/>
                <w:b/>
                <w:bCs/>
                <w:color w:val="000000"/>
                <w:sz w:val="18"/>
                <w:szCs w:val="18"/>
              </w:rPr>
              <w:t>(</w:t>
            </w:r>
            <w:r w:rsidR="00396281" w:rsidRPr="002944BA">
              <w:rPr>
                <w:rFonts w:ascii="Arial" w:hAnsi="Arial" w:cs="Arial"/>
                <w:b/>
                <w:bCs/>
                <w:color w:val="000000"/>
                <w:sz w:val="18"/>
                <w:szCs w:val="18"/>
              </w:rPr>
              <w:t>9,378,519</w:t>
            </w:r>
            <w:r w:rsidRPr="002944BA">
              <w:rPr>
                <w:rFonts w:ascii="Arial" w:hAnsi="Arial" w:cs="Arial"/>
                <w:b/>
                <w:bCs/>
                <w:color w:val="000000"/>
                <w:sz w:val="18"/>
                <w:szCs w:val="18"/>
              </w:rPr>
              <w:t>)</w:t>
            </w:r>
          </w:p>
        </w:tc>
      </w:tr>
      <w:tr w:rsidR="00396281" w:rsidRPr="000A643A" w14:paraId="2810BBDB" w14:textId="77777777" w:rsidTr="005D0809">
        <w:trPr>
          <w:trHeight w:val="202"/>
        </w:trPr>
        <w:tc>
          <w:tcPr>
            <w:tcW w:w="6390" w:type="dxa"/>
            <w:tcBorders>
              <w:top w:val="nil"/>
              <w:left w:val="nil"/>
              <w:bottom w:val="nil"/>
              <w:right w:val="nil"/>
            </w:tcBorders>
            <w:shd w:val="clear" w:color="auto" w:fill="auto"/>
            <w:noWrap/>
            <w:vAlign w:val="center"/>
            <w:hideMark/>
          </w:tcPr>
          <w:p w14:paraId="33951C55" w14:textId="77777777" w:rsidR="00396281" w:rsidRPr="000A643A" w:rsidRDefault="00396281" w:rsidP="00C87C40">
            <w:pPr>
              <w:jc w:val="right"/>
              <w:rPr>
                <w:rFonts w:ascii="Arial" w:hAnsi="Arial" w:cs="Arial"/>
                <w:color w:val="000000"/>
                <w:sz w:val="18"/>
                <w:szCs w:val="18"/>
              </w:rPr>
            </w:pPr>
          </w:p>
        </w:tc>
        <w:tc>
          <w:tcPr>
            <w:tcW w:w="1599" w:type="dxa"/>
            <w:tcBorders>
              <w:top w:val="nil"/>
              <w:left w:val="nil"/>
              <w:bottom w:val="nil"/>
              <w:right w:val="nil"/>
            </w:tcBorders>
            <w:shd w:val="clear" w:color="auto" w:fill="auto"/>
            <w:noWrap/>
            <w:vAlign w:val="center"/>
            <w:hideMark/>
          </w:tcPr>
          <w:p w14:paraId="373DB81F" w14:textId="77777777" w:rsidR="00396281" w:rsidRPr="000A643A" w:rsidRDefault="00396281" w:rsidP="00FB734A">
            <w:pPr>
              <w:jc w:val="right"/>
              <w:rPr>
                <w:rFonts w:ascii="Arial" w:hAnsi="Arial" w:cs="Arial"/>
                <w:sz w:val="18"/>
                <w:szCs w:val="18"/>
              </w:rPr>
            </w:pPr>
          </w:p>
        </w:tc>
        <w:tc>
          <w:tcPr>
            <w:tcW w:w="1447" w:type="dxa"/>
            <w:tcBorders>
              <w:top w:val="nil"/>
              <w:left w:val="nil"/>
              <w:bottom w:val="nil"/>
              <w:right w:val="nil"/>
            </w:tcBorders>
            <w:shd w:val="clear" w:color="auto" w:fill="auto"/>
            <w:noWrap/>
            <w:vAlign w:val="center"/>
            <w:hideMark/>
          </w:tcPr>
          <w:p w14:paraId="430EC10C" w14:textId="77777777" w:rsidR="00396281" w:rsidRPr="000A643A" w:rsidRDefault="00396281" w:rsidP="00FB734A">
            <w:pPr>
              <w:jc w:val="right"/>
              <w:rPr>
                <w:rFonts w:ascii="Arial" w:hAnsi="Arial" w:cs="Arial"/>
                <w:sz w:val="18"/>
                <w:szCs w:val="18"/>
              </w:rPr>
            </w:pPr>
          </w:p>
        </w:tc>
      </w:tr>
      <w:tr w:rsidR="00396281" w:rsidRPr="000A643A" w14:paraId="239CF917" w14:textId="77777777" w:rsidTr="005D0809">
        <w:trPr>
          <w:trHeight w:val="202"/>
        </w:trPr>
        <w:tc>
          <w:tcPr>
            <w:tcW w:w="6390" w:type="dxa"/>
            <w:tcBorders>
              <w:top w:val="nil"/>
              <w:left w:val="nil"/>
              <w:bottom w:val="nil"/>
              <w:right w:val="nil"/>
            </w:tcBorders>
            <w:shd w:val="clear" w:color="auto" w:fill="auto"/>
            <w:noWrap/>
            <w:vAlign w:val="center"/>
            <w:hideMark/>
          </w:tcPr>
          <w:p w14:paraId="250399E0" w14:textId="4A89A59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 xml:space="preserve">Net </w:t>
            </w:r>
            <w:r w:rsidR="005D0809">
              <w:rPr>
                <w:rFonts w:ascii="Arial" w:hAnsi="Arial" w:cs="Arial"/>
                <w:b/>
                <w:bCs/>
                <w:color w:val="000000"/>
                <w:sz w:val="18"/>
                <w:szCs w:val="18"/>
              </w:rPr>
              <w:t>i</w:t>
            </w:r>
            <w:r w:rsidRPr="000A643A">
              <w:rPr>
                <w:rFonts w:ascii="Arial" w:hAnsi="Arial" w:cs="Arial"/>
                <w:b/>
                <w:bCs/>
                <w:color w:val="000000"/>
                <w:sz w:val="18"/>
                <w:szCs w:val="18"/>
              </w:rPr>
              <w:t>ncrease (decrease) in cash and cash equivalents</w:t>
            </w:r>
          </w:p>
        </w:tc>
        <w:tc>
          <w:tcPr>
            <w:tcW w:w="1599" w:type="dxa"/>
            <w:tcBorders>
              <w:top w:val="nil"/>
              <w:left w:val="nil"/>
              <w:bottom w:val="nil"/>
              <w:right w:val="nil"/>
            </w:tcBorders>
            <w:shd w:val="clear" w:color="auto" w:fill="auto"/>
            <w:noWrap/>
            <w:vAlign w:val="center"/>
            <w:hideMark/>
          </w:tcPr>
          <w:p w14:paraId="3AD32FBA" w14:textId="77777777"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6,649,672</w:t>
            </w:r>
          </w:p>
        </w:tc>
        <w:tc>
          <w:tcPr>
            <w:tcW w:w="1447" w:type="dxa"/>
            <w:tcBorders>
              <w:top w:val="nil"/>
              <w:left w:val="nil"/>
              <w:bottom w:val="nil"/>
              <w:right w:val="nil"/>
            </w:tcBorders>
            <w:shd w:val="clear" w:color="auto" w:fill="auto"/>
            <w:noWrap/>
            <w:vAlign w:val="center"/>
            <w:hideMark/>
          </w:tcPr>
          <w:p w14:paraId="2CBE8264" w14:textId="2C45FEA5" w:rsidR="00396281" w:rsidRPr="002944BA" w:rsidRDefault="00760864" w:rsidP="00FB734A">
            <w:pPr>
              <w:jc w:val="right"/>
              <w:rPr>
                <w:rFonts w:ascii="Arial" w:hAnsi="Arial" w:cs="Arial"/>
                <w:b/>
                <w:bCs/>
                <w:color w:val="000000"/>
                <w:sz w:val="18"/>
                <w:szCs w:val="18"/>
              </w:rPr>
            </w:pPr>
            <w:r w:rsidRPr="002944BA">
              <w:rPr>
                <w:rFonts w:ascii="Arial" w:hAnsi="Arial" w:cs="Arial"/>
                <w:b/>
                <w:bCs/>
                <w:color w:val="000000"/>
                <w:sz w:val="18"/>
                <w:szCs w:val="18"/>
              </w:rPr>
              <w:t>(</w:t>
            </w:r>
            <w:r w:rsidR="00396281" w:rsidRPr="002944BA">
              <w:rPr>
                <w:rFonts w:ascii="Arial" w:hAnsi="Arial" w:cs="Arial"/>
                <w:b/>
                <w:bCs/>
                <w:color w:val="000000"/>
                <w:sz w:val="18"/>
                <w:szCs w:val="18"/>
              </w:rPr>
              <w:t>1,465,049</w:t>
            </w:r>
            <w:r w:rsidRPr="002944BA">
              <w:rPr>
                <w:rFonts w:ascii="Arial" w:hAnsi="Arial" w:cs="Arial"/>
                <w:b/>
                <w:bCs/>
                <w:color w:val="000000"/>
                <w:sz w:val="18"/>
                <w:szCs w:val="18"/>
              </w:rPr>
              <w:t>)</w:t>
            </w:r>
          </w:p>
        </w:tc>
      </w:tr>
      <w:tr w:rsidR="00396281" w:rsidRPr="000A643A" w14:paraId="58AC5CDF" w14:textId="77777777" w:rsidTr="005D0809">
        <w:trPr>
          <w:trHeight w:val="202"/>
        </w:trPr>
        <w:tc>
          <w:tcPr>
            <w:tcW w:w="6390" w:type="dxa"/>
            <w:tcBorders>
              <w:top w:val="nil"/>
              <w:left w:val="nil"/>
              <w:bottom w:val="single" w:sz="4" w:space="0" w:color="auto"/>
              <w:right w:val="nil"/>
            </w:tcBorders>
            <w:shd w:val="clear" w:color="auto" w:fill="auto"/>
            <w:noWrap/>
            <w:vAlign w:val="center"/>
            <w:hideMark/>
          </w:tcPr>
          <w:p w14:paraId="580CBB20" w14:textId="77777777" w:rsidR="00396281" w:rsidRPr="000A643A" w:rsidRDefault="00396281" w:rsidP="00C87C40">
            <w:pPr>
              <w:rPr>
                <w:rFonts w:ascii="Arial" w:hAnsi="Arial" w:cs="Arial"/>
                <w:color w:val="000000"/>
                <w:sz w:val="18"/>
                <w:szCs w:val="18"/>
              </w:rPr>
            </w:pPr>
            <w:r w:rsidRPr="000A643A">
              <w:rPr>
                <w:rFonts w:ascii="Arial" w:hAnsi="Arial" w:cs="Arial"/>
                <w:color w:val="000000"/>
                <w:sz w:val="18"/>
                <w:szCs w:val="18"/>
              </w:rPr>
              <w:t>Cash and cash equivalents, beginning of year</w:t>
            </w:r>
          </w:p>
        </w:tc>
        <w:tc>
          <w:tcPr>
            <w:tcW w:w="1599" w:type="dxa"/>
            <w:tcBorders>
              <w:top w:val="nil"/>
              <w:left w:val="nil"/>
              <w:bottom w:val="nil"/>
              <w:right w:val="nil"/>
            </w:tcBorders>
            <w:shd w:val="clear" w:color="auto" w:fill="auto"/>
            <w:noWrap/>
            <w:vAlign w:val="center"/>
            <w:hideMark/>
          </w:tcPr>
          <w:p w14:paraId="1C80A5FE"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10,499,951</w:t>
            </w:r>
          </w:p>
        </w:tc>
        <w:tc>
          <w:tcPr>
            <w:tcW w:w="1447" w:type="dxa"/>
            <w:tcBorders>
              <w:top w:val="nil"/>
              <w:left w:val="nil"/>
              <w:bottom w:val="nil"/>
              <w:right w:val="nil"/>
            </w:tcBorders>
            <w:shd w:val="clear" w:color="auto" w:fill="auto"/>
            <w:noWrap/>
            <w:vAlign w:val="center"/>
            <w:hideMark/>
          </w:tcPr>
          <w:p w14:paraId="7AD501A0" w14:textId="77777777" w:rsidR="00396281" w:rsidRPr="000A643A" w:rsidRDefault="00396281" w:rsidP="00FB734A">
            <w:pPr>
              <w:jc w:val="right"/>
              <w:rPr>
                <w:rFonts w:ascii="Arial" w:hAnsi="Arial" w:cs="Arial"/>
                <w:color w:val="000000"/>
                <w:sz w:val="18"/>
                <w:szCs w:val="18"/>
              </w:rPr>
            </w:pPr>
            <w:r w:rsidRPr="000A643A">
              <w:rPr>
                <w:rFonts w:ascii="Arial" w:hAnsi="Arial" w:cs="Arial"/>
                <w:color w:val="000000"/>
                <w:sz w:val="18"/>
                <w:szCs w:val="18"/>
              </w:rPr>
              <w:t>11,965,000</w:t>
            </w:r>
          </w:p>
        </w:tc>
      </w:tr>
      <w:tr w:rsidR="00396281" w:rsidRPr="000A643A" w14:paraId="06A5B4CB" w14:textId="77777777" w:rsidTr="005D0809">
        <w:trPr>
          <w:trHeight w:val="202"/>
        </w:trPr>
        <w:tc>
          <w:tcPr>
            <w:tcW w:w="6390" w:type="dxa"/>
            <w:tcBorders>
              <w:top w:val="single" w:sz="4" w:space="0" w:color="auto"/>
              <w:left w:val="nil"/>
              <w:bottom w:val="double" w:sz="4" w:space="0" w:color="auto"/>
              <w:right w:val="nil"/>
            </w:tcBorders>
            <w:shd w:val="clear" w:color="auto" w:fill="auto"/>
            <w:noWrap/>
            <w:vAlign w:val="center"/>
            <w:hideMark/>
          </w:tcPr>
          <w:p w14:paraId="6773B9B1" w14:textId="77777777" w:rsidR="00396281" w:rsidRPr="000A643A" w:rsidRDefault="00396281" w:rsidP="00C87C40">
            <w:pPr>
              <w:rPr>
                <w:rFonts w:ascii="Arial" w:hAnsi="Arial" w:cs="Arial"/>
                <w:b/>
                <w:bCs/>
                <w:color w:val="000000"/>
                <w:sz w:val="18"/>
                <w:szCs w:val="18"/>
              </w:rPr>
            </w:pPr>
            <w:r w:rsidRPr="000A643A">
              <w:rPr>
                <w:rFonts w:ascii="Arial" w:hAnsi="Arial" w:cs="Arial"/>
                <w:b/>
                <w:bCs/>
                <w:color w:val="000000"/>
                <w:sz w:val="18"/>
                <w:szCs w:val="18"/>
              </w:rPr>
              <w:t>Cash and cash equivalents, end of year</w:t>
            </w:r>
          </w:p>
        </w:tc>
        <w:tc>
          <w:tcPr>
            <w:tcW w:w="1599" w:type="dxa"/>
            <w:tcBorders>
              <w:top w:val="single" w:sz="4" w:space="0" w:color="auto"/>
              <w:left w:val="nil"/>
              <w:bottom w:val="double" w:sz="6" w:space="0" w:color="auto"/>
              <w:right w:val="nil"/>
            </w:tcBorders>
            <w:shd w:val="clear" w:color="auto" w:fill="auto"/>
            <w:noWrap/>
            <w:vAlign w:val="center"/>
            <w:hideMark/>
          </w:tcPr>
          <w:p w14:paraId="02562924" w14:textId="393D82DF"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$17,149,623</w:t>
            </w:r>
          </w:p>
        </w:tc>
        <w:tc>
          <w:tcPr>
            <w:tcW w:w="1447" w:type="dxa"/>
            <w:tcBorders>
              <w:top w:val="single" w:sz="4" w:space="0" w:color="auto"/>
              <w:left w:val="nil"/>
              <w:bottom w:val="double" w:sz="6" w:space="0" w:color="auto"/>
              <w:right w:val="nil"/>
            </w:tcBorders>
            <w:shd w:val="clear" w:color="auto" w:fill="auto"/>
            <w:noWrap/>
            <w:vAlign w:val="center"/>
            <w:hideMark/>
          </w:tcPr>
          <w:p w14:paraId="2852AC38" w14:textId="208E7C36" w:rsidR="00396281" w:rsidRPr="002944BA" w:rsidRDefault="00396281" w:rsidP="00FB734A">
            <w:pPr>
              <w:jc w:val="right"/>
              <w:rPr>
                <w:rFonts w:ascii="Arial" w:hAnsi="Arial" w:cs="Arial"/>
                <w:b/>
                <w:bCs/>
                <w:color w:val="000000"/>
                <w:sz w:val="18"/>
                <w:szCs w:val="18"/>
              </w:rPr>
            </w:pPr>
            <w:r w:rsidRPr="002944BA">
              <w:rPr>
                <w:rFonts w:ascii="Arial" w:hAnsi="Arial" w:cs="Arial"/>
                <w:b/>
                <w:bCs/>
                <w:color w:val="000000"/>
                <w:sz w:val="18"/>
                <w:szCs w:val="18"/>
              </w:rPr>
              <w:t>$10,499,951</w:t>
            </w:r>
          </w:p>
        </w:tc>
      </w:tr>
    </w:tbl>
    <w:p w14:paraId="4A0E9FDD" w14:textId="77777777" w:rsidR="00C87C40" w:rsidRPr="000A643A" w:rsidRDefault="00C87C40" w:rsidP="002944BA">
      <w:pPr>
        <w:pStyle w:val="ExhibitText"/>
      </w:pPr>
    </w:p>
    <w:p w14:paraId="5B48FEDB" w14:textId="5B9E52D0" w:rsidR="00FB734A" w:rsidRPr="000A643A" w:rsidRDefault="00FB734A" w:rsidP="00FB734A">
      <w:pPr>
        <w:pStyle w:val="Footnote"/>
      </w:pPr>
      <w:r w:rsidRPr="000A643A">
        <w:t>Source: Company files.</w:t>
      </w:r>
    </w:p>
    <w:p w14:paraId="63DBE19B" w14:textId="77777777" w:rsidR="00FB734A" w:rsidRPr="000A643A" w:rsidRDefault="00FB734A">
      <w:pPr>
        <w:spacing w:after="200" w:line="276" w:lineRule="auto"/>
        <w:rPr>
          <w:rFonts w:ascii="Arial" w:hAnsi="Arial" w:cs="Arial"/>
          <w:sz w:val="17"/>
          <w:szCs w:val="17"/>
        </w:rPr>
      </w:pPr>
      <w:r w:rsidRPr="000A643A">
        <w:br w:type="page"/>
      </w:r>
    </w:p>
    <w:p w14:paraId="482C03E5" w14:textId="60C7F05D" w:rsidR="00FB734A" w:rsidRPr="000A643A" w:rsidRDefault="00FB734A">
      <w:pPr>
        <w:pStyle w:val="ExhibitHeading"/>
      </w:pPr>
      <w:r w:rsidRPr="000A643A">
        <w:lastRenderedPageBreak/>
        <w:t xml:space="preserve">EXHIBIT 3: WTI CRUDE OIL </w:t>
      </w:r>
      <w:r w:rsidRPr="007A55AA">
        <w:t>PRICES</w:t>
      </w:r>
      <w:r w:rsidR="0056321E">
        <w:t>, 2000–2016</w:t>
      </w:r>
      <w:r w:rsidRPr="000A643A">
        <w:t xml:space="preserve"> </w:t>
      </w:r>
      <w:r w:rsidR="0056321E">
        <w:t xml:space="preserve">(in </w:t>
      </w:r>
      <w:r w:rsidRPr="000A643A">
        <w:t>US</w:t>
      </w:r>
      <w:r w:rsidR="0056321E">
        <w:t>$ per barrel)</w:t>
      </w:r>
    </w:p>
    <w:p w14:paraId="370AA0B6" w14:textId="77777777" w:rsidR="00FB734A" w:rsidRPr="000A643A" w:rsidRDefault="00FB734A" w:rsidP="002944BA">
      <w:pPr>
        <w:pStyle w:val="ExhibitText"/>
      </w:pPr>
    </w:p>
    <w:p w14:paraId="2DC43F49" w14:textId="5CBC8CD7" w:rsidR="00FB734A" w:rsidRPr="000A643A" w:rsidRDefault="00FB734A" w:rsidP="002944BA">
      <w:pPr>
        <w:pStyle w:val="ExhibitText"/>
        <w:jc w:val="center"/>
      </w:pPr>
      <w:r w:rsidRPr="000A643A">
        <w:rPr>
          <w:noProof/>
          <w:lang w:val="en-CA" w:eastAsia="en-CA"/>
        </w:rPr>
        <w:drawing>
          <wp:inline distT="0" distB="0" distL="0" distR="0" wp14:anchorId="4873EC39" wp14:editId="6365458E">
            <wp:extent cx="4412974" cy="252344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jardins-1024x675.png"/>
                    <pic:cNvPicPr/>
                  </pic:nvPicPr>
                  <pic:blipFill rotWithShape="1">
                    <a:blip r:embed="rId13">
                      <a:grayscl/>
                      <a:extLst>
                        <a:ext uri="{28A0092B-C50C-407E-A947-70E740481C1C}">
                          <a14:useLocalDpi xmlns:a14="http://schemas.microsoft.com/office/drawing/2010/main" val="0"/>
                        </a:ext>
                      </a:extLst>
                    </a:blip>
                    <a:srcRect l="1070" t="1623" r="2055" b="14341"/>
                    <a:stretch/>
                  </pic:blipFill>
                  <pic:spPr bwMode="auto">
                    <a:xfrm>
                      <a:off x="0" y="0"/>
                      <a:ext cx="4464308" cy="2552794"/>
                    </a:xfrm>
                    <a:prstGeom prst="rect">
                      <a:avLst/>
                    </a:prstGeom>
                    <a:ln>
                      <a:noFill/>
                    </a:ln>
                    <a:extLst>
                      <a:ext uri="{53640926-AAD7-44D8-BBD7-CCE9431645EC}">
                        <a14:shadowObscured xmlns:a14="http://schemas.microsoft.com/office/drawing/2010/main"/>
                      </a:ext>
                    </a:extLst>
                  </pic:spPr>
                </pic:pic>
              </a:graphicData>
            </a:graphic>
          </wp:inline>
        </w:drawing>
      </w:r>
    </w:p>
    <w:p w14:paraId="0E77D708" w14:textId="77777777" w:rsidR="00FB734A" w:rsidRPr="000A643A" w:rsidRDefault="00FB734A" w:rsidP="002944BA">
      <w:pPr>
        <w:pStyle w:val="ExhibitText"/>
      </w:pPr>
    </w:p>
    <w:p w14:paraId="56B6A9C7" w14:textId="1D897427" w:rsidR="0056321E" w:rsidRDefault="0056321E" w:rsidP="00FB734A">
      <w:pPr>
        <w:pStyle w:val="Footnote"/>
      </w:pPr>
      <w:r>
        <w:t xml:space="preserve">Note: WTI = West Texas Intermediate; </w:t>
      </w:r>
      <w:proofErr w:type="spellStart"/>
      <w:r>
        <w:t>bbl</w:t>
      </w:r>
      <w:proofErr w:type="spellEnd"/>
      <w:r>
        <w:t xml:space="preserve"> = barrel</w:t>
      </w:r>
      <w:r w:rsidR="005D0809">
        <w:t>.</w:t>
      </w:r>
    </w:p>
    <w:p w14:paraId="5A61FF07" w14:textId="2DF0AB44" w:rsidR="00FB734A" w:rsidRPr="000A643A" w:rsidRDefault="00FB734A" w:rsidP="00FB734A">
      <w:pPr>
        <w:pStyle w:val="Footnote"/>
      </w:pPr>
      <w:r w:rsidRPr="000A643A">
        <w:t>Source: Used with permission of original creator</w:t>
      </w:r>
      <w:r w:rsidR="0011303C">
        <w:t>,</w:t>
      </w:r>
      <w:r w:rsidRPr="000A643A">
        <w:t xml:space="preserve"> Dawn Desjardins, </w:t>
      </w:r>
      <w:r w:rsidR="0064566D">
        <w:t xml:space="preserve">Bloomberg, Wall Street Journal, </w:t>
      </w:r>
      <w:r w:rsidRPr="000A643A">
        <w:t>RBC Economic Research.</w:t>
      </w:r>
    </w:p>
    <w:p w14:paraId="1E042B3A" w14:textId="77777777" w:rsidR="00FB734A" w:rsidRPr="000A643A" w:rsidRDefault="00FB734A" w:rsidP="002944BA">
      <w:pPr>
        <w:pStyle w:val="ExhibitText"/>
      </w:pPr>
    </w:p>
    <w:p w14:paraId="20FB0A84" w14:textId="77777777" w:rsidR="00FB734A" w:rsidRPr="000A643A" w:rsidRDefault="00FB734A" w:rsidP="002944BA">
      <w:pPr>
        <w:pStyle w:val="ExhibitText"/>
      </w:pPr>
    </w:p>
    <w:p w14:paraId="06F551EA" w14:textId="56B334E8" w:rsidR="00FB734A" w:rsidRPr="000A643A" w:rsidRDefault="00FB734A" w:rsidP="002944BA">
      <w:pPr>
        <w:pStyle w:val="ExhibitHeading"/>
      </w:pPr>
      <w:r w:rsidRPr="000A643A">
        <w:t xml:space="preserve">EXHIBIT 4: SPRUCELAND SHARE </w:t>
      </w:r>
      <w:r w:rsidRPr="002944BA">
        <w:t>VALUES</w:t>
      </w:r>
      <w:r w:rsidRPr="000A643A">
        <w:t xml:space="preserve"> AND DIVIDENDS</w:t>
      </w:r>
      <w:r w:rsidR="0056321E">
        <w:t>, 2009–2016</w:t>
      </w:r>
      <w:r w:rsidR="0011303C">
        <w:t xml:space="preserve"> (IN CA$)</w:t>
      </w:r>
    </w:p>
    <w:p w14:paraId="5F6FA06A" w14:textId="77777777" w:rsidR="00FB734A" w:rsidRPr="000A643A" w:rsidRDefault="00FB734A" w:rsidP="002944BA">
      <w:pPr>
        <w:pStyle w:val="ExhibitText"/>
      </w:pPr>
    </w:p>
    <w:p w14:paraId="0C542533" w14:textId="77777777" w:rsidR="00FB734A" w:rsidRPr="000A643A" w:rsidRDefault="00FB734A" w:rsidP="002944BA">
      <w:pPr>
        <w:pStyle w:val="ExhibitText"/>
        <w:jc w:val="center"/>
      </w:pPr>
      <w:r w:rsidRPr="000A643A">
        <w:rPr>
          <w:noProof/>
          <w:lang w:val="en-CA" w:eastAsia="en-CA"/>
        </w:rPr>
        <w:drawing>
          <wp:inline distT="0" distB="0" distL="0" distR="0" wp14:anchorId="5EE01D2A" wp14:editId="49DBD723">
            <wp:extent cx="4921857" cy="282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hibit 4_GrayscaleModified.png"/>
                    <pic:cNvPicPr/>
                  </pic:nvPicPr>
                  <pic:blipFill>
                    <a:blip r:embed="rId14">
                      <a:extLst>
                        <a:ext uri="{28A0092B-C50C-407E-A947-70E740481C1C}">
                          <a14:useLocalDpi xmlns:a14="http://schemas.microsoft.com/office/drawing/2010/main" val="0"/>
                        </a:ext>
                      </a:extLst>
                    </a:blip>
                    <a:stretch>
                      <a:fillRect/>
                    </a:stretch>
                  </pic:blipFill>
                  <pic:spPr>
                    <a:xfrm>
                      <a:off x="0" y="0"/>
                      <a:ext cx="5007814" cy="2870399"/>
                    </a:xfrm>
                    <a:prstGeom prst="rect">
                      <a:avLst/>
                    </a:prstGeom>
                  </pic:spPr>
                </pic:pic>
              </a:graphicData>
            </a:graphic>
          </wp:inline>
        </w:drawing>
      </w:r>
    </w:p>
    <w:p w14:paraId="05781B5F" w14:textId="77777777" w:rsidR="00FB734A" w:rsidRPr="000A643A" w:rsidRDefault="00FB734A" w:rsidP="002944BA">
      <w:pPr>
        <w:pStyle w:val="ExhibitText"/>
      </w:pPr>
    </w:p>
    <w:p w14:paraId="59CF3781" w14:textId="70036F05" w:rsidR="00FB734A" w:rsidRPr="000A643A" w:rsidRDefault="00FB734A" w:rsidP="00FB734A">
      <w:pPr>
        <w:pStyle w:val="Footnote"/>
      </w:pPr>
      <w:r w:rsidRPr="000A643A">
        <w:t xml:space="preserve">Source: Created by the authors. </w:t>
      </w:r>
      <w:r w:rsidR="00DE4F0D">
        <w:t>The d</w:t>
      </w:r>
      <w:r w:rsidRPr="000A643A">
        <w:t xml:space="preserve">ividend value and </w:t>
      </w:r>
      <w:r w:rsidR="00DE4F0D">
        <w:t>dividend reinvestment program (</w:t>
      </w:r>
      <w:r w:rsidRPr="000A643A">
        <w:t>DRIP</w:t>
      </w:r>
      <w:r w:rsidR="00DE4F0D">
        <w:t>)</w:t>
      </w:r>
      <w:r w:rsidRPr="000A643A">
        <w:t xml:space="preserve"> price </w:t>
      </w:r>
      <w:r w:rsidR="00DE4F0D">
        <w:t>are</w:t>
      </w:r>
      <w:r w:rsidRPr="000A643A">
        <w:t xml:space="preserve"> from annual reports (</w:t>
      </w:r>
      <w:proofErr w:type="spellStart"/>
      <w:r w:rsidR="005D0809" w:rsidRPr="000A643A">
        <w:t>SpruceLand</w:t>
      </w:r>
      <w:proofErr w:type="spellEnd"/>
      <w:r w:rsidR="005D0809" w:rsidRPr="000A643A">
        <w:t xml:space="preserve"> Properties Inc.</w:t>
      </w:r>
      <w:r w:rsidR="005D0809">
        <w:t>,</w:t>
      </w:r>
      <w:r w:rsidR="005D0809" w:rsidRPr="000A643A">
        <w:t xml:space="preserve"> </w:t>
      </w:r>
      <w:r w:rsidRPr="00FE5597">
        <w:rPr>
          <w:i/>
        </w:rPr>
        <w:t>Annual Report to Shareholders</w:t>
      </w:r>
      <w:r w:rsidRPr="000A643A">
        <w:t xml:space="preserve">, 2014, 2015, and 2016, accessed </w:t>
      </w:r>
      <w:r w:rsidR="00B77E85" w:rsidRPr="0008720A">
        <w:t>May 14, 2019</w:t>
      </w:r>
      <w:r w:rsidR="00DE4F0D">
        <w:t xml:space="preserve">, </w:t>
      </w:r>
      <w:r w:rsidRPr="000A643A">
        <w:t>www.sedar.com)</w:t>
      </w:r>
      <w:r w:rsidR="00DE4F0D">
        <w:t>;</w:t>
      </w:r>
      <w:r w:rsidRPr="000A643A">
        <w:t xml:space="preserve"> book value per share was calculated </w:t>
      </w:r>
      <w:r w:rsidR="00DE4F0D">
        <w:t xml:space="preserve">from the same documents by </w:t>
      </w:r>
      <w:r w:rsidRPr="000A643A">
        <w:t>using shareholders</w:t>
      </w:r>
      <w:r w:rsidR="00DE4F0D">
        <w:t>’</w:t>
      </w:r>
      <w:r w:rsidRPr="000A643A">
        <w:t xml:space="preserve"> equity (</w:t>
      </w:r>
      <w:r w:rsidR="00DE4F0D">
        <w:t xml:space="preserve">i.e., </w:t>
      </w:r>
      <w:r w:rsidRPr="000A643A">
        <w:t xml:space="preserve">book value) and dividing it by </w:t>
      </w:r>
      <w:r w:rsidR="00DE4F0D">
        <w:t xml:space="preserve">the </w:t>
      </w:r>
      <w:r w:rsidRPr="000A643A">
        <w:t xml:space="preserve">number of shares. The </w:t>
      </w:r>
      <w:r w:rsidR="0071551C">
        <w:t>price</w:t>
      </w:r>
      <w:r w:rsidR="00DE4F0D">
        <w:t xml:space="preserve"> of </w:t>
      </w:r>
      <w:r w:rsidRPr="000A643A">
        <w:t xml:space="preserve">transactions </w:t>
      </w:r>
      <w:r w:rsidR="00DE4F0D">
        <w:t>among</w:t>
      </w:r>
      <w:r w:rsidR="00DE4F0D" w:rsidRPr="000A643A">
        <w:t xml:space="preserve"> </w:t>
      </w:r>
      <w:r w:rsidRPr="000A643A">
        <w:t xml:space="preserve">shareholders </w:t>
      </w:r>
      <w:r w:rsidR="00DE4F0D">
        <w:t xml:space="preserve">is </w:t>
      </w:r>
      <w:r w:rsidRPr="000A643A">
        <w:t>from the Quantum fairness opinion (</w:t>
      </w:r>
      <w:proofErr w:type="spellStart"/>
      <w:r w:rsidR="00D279EE" w:rsidRPr="00FB734A">
        <w:t>SpruceLand</w:t>
      </w:r>
      <w:proofErr w:type="spellEnd"/>
      <w:r w:rsidR="00D279EE">
        <w:t xml:space="preserve"> Properties Inc.</w:t>
      </w:r>
      <w:r w:rsidR="00D279EE" w:rsidRPr="000A643A">
        <w:t xml:space="preserve">, </w:t>
      </w:r>
      <w:r w:rsidR="00DE4F0D">
        <w:rPr>
          <w:i/>
        </w:rPr>
        <w:t xml:space="preserve">Notice of Annual General and Special Meeting of the Shareholders of </w:t>
      </w:r>
      <w:proofErr w:type="spellStart"/>
      <w:r w:rsidRPr="00FE5597">
        <w:rPr>
          <w:i/>
        </w:rPr>
        <w:t>SpruceLand</w:t>
      </w:r>
      <w:proofErr w:type="spellEnd"/>
      <w:r w:rsidR="00DE4F0D">
        <w:t xml:space="preserve"> </w:t>
      </w:r>
      <w:r w:rsidR="00DE4F0D">
        <w:rPr>
          <w:i/>
        </w:rPr>
        <w:t>Properties Inc. and</w:t>
      </w:r>
      <w:r w:rsidRPr="000A643A">
        <w:t xml:space="preserve"> </w:t>
      </w:r>
      <w:r w:rsidRPr="00FE5597">
        <w:rPr>
          <w:i/>
        </w:rPr>
        <w:t>Management Information Circular</w:t>
      </w:r>
      <w:r w:rsidR="00DE4F0D">
        <w:rPr>
          <w:i/>
        </w:rPr>
        <w:t xml:space="preserve"> for the Meeting to Be Held on March 10, 2016</w:t>
      </w:r>
      <w:r w:rsidR="00DE4F0D" w:rsidRPr="00FB734A">
        <w:t>,</w:t>
      </w:r>
      <w:r w:rsidR="00DE4F0D">
        <w:t xml:space="preserve"> </w:t>
      </w:r>
      <w:r w:rsidRPr="000A643A">
        <w:t xml:space="preserve">February </w:t>
      </w:r>
      <w:r w:rsidR="00DE4F0D">
        <w:t xml:space="preserve">11, </w:t>
      </w:r>
      <w:r w:rsidRPr="000A643A">
        <w:t xml:space="preserve">2016, </w:t>
      </w:r>
      <w:r w:rsidR="00D279EE">
        <w:t xml:space="preserve">28, </w:t>
      </w:r>
      <w:r w:rsidRPr="000A643A">
        <w:t>accessed</w:t>
      </w:r>
      <w:r w:rsidR="0008720A">
        <w:t xml:space="preserve"> </w:t>
      </w:r>
      <w:r w:rsidR="00B77E85">
        <w:t>May 14, 2019</w:t>
      </w:r>
      <w:r w:rsidR="00DE4F0D">
        <w:t>, www.</w:t>
      </w:r>
      <w:r w:rsidRPr="000A643A">
        <w:t xml:space="preserve">sedar.com). </w:t>
      </w:r>
    </w:p>
    <w:sectPr w:rsidR="00FB734A" w:rsidRPr="000A643A"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48CB0E" w16cid:durableId="2146FFA5"/>
  <w16cid:commentId w16cid:paraId="4BFE4C0F" w16cid:durableId="21470013"/>
  <w16cid:commentId w16cid:paraId="383AFF94" w16cid:durableId="21404F81"/>
  <w16cid:commentId w16cid:paraId="49B65207" w16cid:durableId="21404E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B615A" w14:textId="77777777" w:rsidR="00CF3A74" w:rsidRDefault="00CF3A74" w:rsidP="00D75295">
      <w:r>
        <w:separator/>
      </w:r>
    </w:p>
  </w:endnote>
  <w:endnote w:type="continuationSeparator" w:id="0">
    <w:p w14:paraId="652A98F4" w14:textId="77777777" w:rsidR="00CF3A74" w:rsidRDefault="00CF3A7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6C701" w14:textId="77777777" w:rsidR="00CF3A74" w:rsidRDefault="00CF3A74" w:rsidP="00D75295">
      <w:r>
        <w:separator/>
      </w:r>
    </w:p>
  </w:footnote>
  <w:footnote w:type="continuationSeparator" w:id="0">
    <w:p w14:paraId="2E95116C" w14:textId="77777777" w:rsidR="00CF3A74" w:rsidRDefault="00CF3A74" w:rsidP="00D75295">
      <w:r>
        <w:continuationSeparator/>
      </w:r>
    </w:p>
  </w:footnote>
  <w:footnote w:id="1">
    <w:p w14:paraId="195CD68B" w14:textId="77777777" w:rsidR="00CF3A74" w:rsidRPr="00FB734A" w:rsidRDefault="00CF3A74" w:rsidP="00FB734A">
      <w:pPr>
        <w:pStyle w:val="Footnote"/>
      </w:pPr>
      <w:r w:rsidRPr="00243097">
        <w:rPr>
          <w:rStyle w:val="FootnoteReference"/>
        </w:rPr>
        <w:footnoteRef/>
      </w:r>
      <w:r w:rsidRPr="007E3B7F">
        <w:rPr>
          <w:vertAlign w:val="superscript"/>
        </w:rPr>
        <w:t xml:space="preserve"> </w:t>
      </w:r>
      <w:proofErr w:type="spellStart"/>
      <w:r w:rsidRPr="00FB734A">
        <w:t>SpruceLand</w:t>
      </w:r>
      <w:proofErr w:type="spellEnd"/>
      <w:r w:rsidRPr="00FB734A">
        <w:t xml:space="preserve"> was formerly named Slave Lake Developments Ltd.</w:t>
      </w:r>
    </w:p>
  </w:footnote>
  <w:footnote w:id="2">
    <w:p w14:paraId="199F5F73" w14:textId="3F6C7EE4" w:rsidR="00CF3A74" w:rsidRPr="00FB734A" w:rsidRDefault="00CF3A74" w:rsidP="00FB734A">
      <w:pPr>
        <w:pStyle w:val="Footnote"/>
      </w:pPr>
      <w:r w:rsidRPr="00243097">
        <w:rPr>
          <w:rStyle w:val="FootnoteReference"/>
        </w:rPr>
        <w:footnoteRef/>
      </w:r>
      <w:r w:rsidRPr="007E3B7F">
        <w:rPr>
          <w:vertAlign w:val="superscript"/>
        </w:rPr>
        <w:t xml:space="preserve"> </w:t>
      </w:r>
      <w:r w:rsidRPr="00FB734A">
        <w:t xml:space="preserve">All </w:t>
      </w:r>
      <w:r>
        <w:t>currency</w:t>
      </w:r>
      <w:r w:rsidRPr="00FB734A">
        <w:t xml:space="preserve"> amounts are in Canadian dollars unless otherwise noted.</w:t>
      </w:r>
      <w:r>
        <w:t xml:space="preserve"> </w:t>
      </w:r>
    </w:p>
  </w:footnote>
  <w:footnote w:id="3">
    <w:p w14:paraId="121D8729" w14:textId="5E999A00" w:rsidR="00CF3A74" w:rsidRPr="00FB734A" w:rsidRDefault="00CF3A74" w:rsidP="00FB734A">
      <w:pPr>
        <w:pStyle w:val="Footnote"/>
      </w:pPr>
      <w:r w:rsidRPr="00243097">
        <w:rPr>
          <w:rStyle w:val="FootnoteReference"/>
        </w:rPr>
        <w:footnoteRef/>
      </w:r>
      <w:r w:rsidRPr="00FB734A">
        <w:t xml:space="preserve"> The shares split three for one in 2010</w:t>
      </w:r>
      <w:r>
        <w:t>;</w:t>
      </w:r>
      <w:r w:rsidRPr="00FB734A">
        <w:t xml:space="preserve"> the relative equivalent value of the original share purchase price was $0.33 per share</w:t>
      </w:r>
      <w:r>
        <w:t>.</w:t>
      </w:r>
    </w:p>
  </w:footnote>
  <w:footnote w:id="4">
    <w:p w14:paraId="44D78F21" w14:textId="45CC9948" w:rsidR="00CF3A74" w:rsidRPr="00AD588D" w:rsidRDefault="00CF3A74" w:rsidP="00AD588D">
      <w:pPr>
        <w:pStyle w:val="Footnote"/>
        <w:rPr>
          <w:lang w:val="en-US"/>
        </w:rPr>
      </w:pPr>
      <w:r>
        <w:rPr>
          <w:rStyle w:val="FootnoteReference"/>
        </w:rPr>
        <w:footnoteRef/>
      </w:r>
      <w:r>
        <w:t xml:space="preserve"> </w:t>
      </w:r>
      <w:r>
        <w:rPr>
          <w:lang w:val="en-US"/>
        </w:rPr>
        <w:t>John Gibson, “</w:t>
      </w:r>
      <w:r w:rsidRPr="00CF3A74">
        <w:rPr>
          <w:lang w:val="en-US"/>
        </w:rPr>
        <w:t xml:space="preserve">Alberta </w:t>
      </w:r>
      <w:r>
        <w:rPr>
          <w:lang w:val="en-US"/>
        </w:rPr>
        <w:t>R</w:t>
      </w:r>
      <w:r w:rsidRPr="00CF3A74">
        <w:rPr>
          <w:lang w:val="en-US"/>
        </w:rPr>
        <w:t xml:space="preserve">ecession </w:t>
      </w:r>
      <w:r>
        <w:rPr>
          <w:lang w:val="en-US"/>
        </w:rPr>
        <w:t>O</w:t>
      </w:r>
      <w:r w:rsidRPr="00CF3A74">
        <w:rPr>
          <w:lang w:val="en-US"/>
        </w:rPr>
        <w:t xml:space="preserve">ne of the </w:t>
      </w:r>
      <w:r>
        <w:rPr>
          <w:lang w:val="en-US"/>
        </w:rPr>
        <w:t>M</w:t>
      </w:r>
      <w:r w:rsidRPr="00CF3A74">
        <w:rPr>
          <w:lang w:val="en-US"/>
        </w:rPr>
        <w:t xml:space="preserve">ost </w:t>
      </w:r>
      <w:r>
        <w:rPr>
          <w:lang w:val="en-US"/>
        </w:rPr>
        <w:t>S</w:t>
      </w:r>
      <w:r w:rsidRPr="00CF3A74">
        <w:rPr>
          <w:lang w:val="en-US"/>
        </w:rPr>
        <w:t xml:space="preserve">evere </w:t>
      </w:r>
      <w:r>
        <w:rPr>
          <w:lang w:val="en-US"/>
        </w:rPr>
        <w:t>E</w:t>
      </w:r>
      <w:r w:rsidRPr="00CF3A74">
        <w:rPr>
          <w:lang w:val="en-US"/>
        </w:rPr>
        <w:t xml:space="preserve">ver, TD Economics </w:t>
      </w:r>
      <w:r>
        <w:rPr>
          <w:lang w:val="en-US"/>
        </w:rPr>
        <w:t>R</w:t>
      </w:r>
      <w:r w:rsidRPr="00CF3A74">
        <w:rPr>
          <w:lang w:val="en-US"/>
        </w:rPr>
        <w:t xml:space="preserve">eport </w:t>
      </w:r>
      <w:r>
        <w:rPr>
          <w:lang w:val="en-US"/>
        </w:rPr>
        <w:t>F</w:t>
      </w:r>
      <w:r w:rsidRPr="00CF3A74">
        <w:rPr>
          <w:lang w:val="en-US"/>
        </w:rPr>
        <w:t>inds</w:t>
      </w:r>
      <w:r>
        <w:rPr>
          <w:lang w:val="en-US"/>
        </w:rPr>
        <w:t>,”</w:t>
      </w:r>
      <w:r w:rsidR="00AD588D">
        <w:rPr>
          <w:lang w:val="en-US"/>
        </w:rPr>
        <w:t xml:space="preserve"> CBC, July 18, 2016, accessed October 16, 2019, </w:t>
      </w:r>
      <w:hyperlink r:id="rId1" w:history="1">
        <w:r w:rsidR="00AD588D" w:rsidRPr="00AD588D">
          <w:t>https://www.cbc.ca/news/canada/calgary/td-economics-report-alberta-recession-gdp-forecast-1.3684056</w:t>
        </w:r>
      </w:hyperlink>
      <w:r w:rsidR="00AD588D" w:rsidRPr="00AD588D">
        <w:t>.</w:t>
      </w:r>
    </w:p>
  </w:footnote>
  <w:footnote w:id="5">
    <w:p w14:paraId="11D6F535" w14:textId="2A6A5014" w:rsidR="00CF3A74" w:rsidRPr="00FB734A" w:rsidRDefault="00CF3A74" w:rsidP="00FB734A">
      <w:pPr>
        <w:pStyle w:val="Footnote"/>
      </w:pPr>
      <w:r w:rsidRPr="00243097">
        <w:rPr>
          <w:rStyle w:val="FootnoteReference"/>
        </w:rPr>
        <w:footnoteRef/>
      </w:r>
      <w:r w:rsidRPr="002944BA">
        <w:t xml:space="preserve"> </w:t>
      </w:r>
      <w:r w:rsidRPr="00FB734A">
        <w:t xml:space="preserve">Northern Alberta Development Council, </w:t>
      </w:r>
      <w:r w:rsidRPr="00FE5597">
        <w:rPr>
          <w:i/>
        </w:rPr>
        <w:t>NADC Area Profile: An Economic Description of the Region</w:t>
      </w:r>
      <w:r w:rsidRPr="00FB734A">
        <w:t xml:space="preserve">, May 2016, </w:t>
      </w:r>
      <w:r>
        <w:t xml:space="preserve">9, </w:t>
      </w:r>
      <w:r w:rsidRPr="00FB734A">
        <w:t>accessed August 9, 2018, www.nadc.ca/media/1189/area-profile-an-economic-description-of-the-region.pdf</w:t>
      </w:r>
      <w:r>
        <w:t>.</w:t>
      </w:r>
    </w:p>
  </w:footnote>
  <w:footnote w:id="6">
    <w:p w14:paraId="6D6BDC07" w14:textId="7E2885A3" w:rsidR="00CF3A74" w:rsidRDefault="00CF3A74" w:rsidP="002944BA">
      <w:pPr>
        <w:pStyle w:val="Footnote"/>
      </w:pPr>
      <w:r w:rsidRPr="00243097">
        <w:rPr>
          <w:rStyle w:val="FootnoteReference"/>
        </w:rPr>
        <w:footnoteRef/>
      </w:r>
      <w:r>
        <w:t xml:space="preserve"> Ibid, 2. </w:t>
      </w:r>
    </w:p>
  </w:footnote>
  <w:footnote w:id="7">
    <w:p w14:paraId="598FF102" w14:textId="259CA284" w:rsidR="00CF3A74" w:rsidRPr="00FB734A" w:rsidRDefault="00CF3A74" w:rsidP="002944BA">
      <w:pPr>
        <w:pStyle w:val="Footnote"/>
      </w:pPr>
      <w:r w:rsidRPr="00243097">
        <w:rPr>
          <w:rStyle w:val="FootnoteReference"/>
        </w:rPr>
        <w:footnoteRef/>
      </w:r>
      <w:r w:rsidRPr="00FB734A">
        <w:t xml:space="preserve"> </w:t>
      </w:r>
      <w:r>
        <w:t xml:space="preserve">Ibid, 2. </w:t>
      </w:r>
    </w:p>
  </w:footnote>
  <w:footnote w:id="8">
    <w:p w14:paraId="01C1A772" w14:textId="15655937" w:rsidR="00CF3A74" w:rsidRPr="00FB734A" w:rsidRDefault="00CF3A74" w:rsidP="00FB734A">
      <w:pPr>
        <w:pStyle w:val="Footnote"/>
      </w:pPr>
      <w:r w:rsidRPr="00243097">
        <w:rPr>
          <w:rStyle w:val="FootnoteReference"/>
        </w:rPr>
        <w:footnoteRef/>
      </w:r>
      <w:r w:rsidRPr="00FE5597">
        <w:t xml:space="preserve"> </w:t>
      </w:r>
      <w:r>
        <w:t xml:space="preserve">Ibid, 13. </w:t>
      </w:r>
    </w:p>
  </w:footnote>
  <w:footnote w:id="9">
    <w:p w14:paraId="7D4174C9" w14:textId="28002D5C" w:rsidR="00CF3A74" w:rsidRPr="00FB734A" w:rsidRDefault="00CF3A74" w:rsidP="00FB734A">
      <w:pPr>
        <w:pStyle w:val="Footnote"/>
      </w:pPr>
      <w:r w:rsidRPr="00243097">
        <w:rPr>
          <w:rStyle w:val="FootnoteReference"/>
        </w:rPr>
        <w:footnoteRef/>
      </w:r>
      <w:r w:rsidRPr="007E3B7F">
        <w:rPr>
          <w:vertAlign w:val="superscript"/>
        </w:rPr>
        <w:t xml:space="preserve"> </w:t>
      </w:r>
      <w:r w:rsidRPr="00FB734A">
        <w:t>The energy industry include</w:t>
      </w:r>
      <w:r>
        <w:t>d</w:t>
      </w:r>
      <w:r w:rsidRPr="00FB734A">
        <w:t xml:space="preserve"> oil and gas, mining, minerals</w:t>
      </w:r>
      <w:r>
        <w:t>,</w:t>
      </w:r>
      <w:r w:rsidRPr="00FB734A">
        <w:t xml:space="preserve"> and other “carbon capture and storage</w:t>
      </w:r>
      <w:r>
        <w:t>.</w:t>
      </w:r>
      <w:r w:rsidRPr="00FB734A">
        <w:t xml:space="preserve">” </w:t>
      </w:r>
      <w:r>
        <w:t xml:space="preserve">Ibid, </w:t>
      </w:r>
      <w:r w:rsidRPr="00FB734A">
        <w:t>20</w:t>
      </w:r>
      <w:r>
        <w:t xml:space="preserve">. </w:t>
      </w:r>
    </w:p>
  </w:footnote>
  <w:footnote w:id="10">
    <w:p w14:paraId="532A41F3" w14:textId="57AAA7AF" w:rsidR="00CF3A74" w:rsidRPr="00FE5597" w:rsidRDefault="00CF3A74" w:rsidP="00FB734A">
      <w:pPr>
        <w:pStyle w:val="Footnote"/>
        <w:rPr>
          <w:b/>
        </w:rPr>
      </w:pPr>
      <w:r w:rsidRPr="00243097">
        <w:rPr>
          <w:rStyle w:val="FootnoteReference"/>
        </w:rPr>
        <w:footnoteRef/>
      </w:r>
      <w:r w:rsidRPr="00FB734A">
        <w:t xml:space="preserve"> Co-West Associates</w:t>
      </w:r>
      <w:r>
        <w:t>,</w:t>
      </w:r>
      <w:r w:rsidRPr="00FB734A">
        <w:t xml:space="preserve"> </w:t>
      </w:r>
      <w:r w:rsidRPr="00FE5597">
        <w:rPr>
          <w:i/>
        </w:rPr>
        <w:t>Socio-</w:t>
      </w:r>
      <w:r>
        <w:rPr>
          <w:i/>
        </w:rPr>
        <w:t>E</w:t>
      </w:r>
      <w:r w:rsidRPr="00FE5597">
        <w:rPr>
          <w:i/>
        </w:rPr>
        <w:t>conomic Overview of Northern Alberta</w:t>
      </w:r>
      <w:r>
        <w:t>, p</w:t>
      </w:r>
      <w:r w:rsidRPr="00FB734A">
        <w:t xml:space="preserve">repared for </w:t>
      </w:r>
      <w:r>
        <w:t xml:space="preserve">the </w:t>
      </w:r>
      <w:r w:rsidRPr="00FB734A">
        <w:t>Northern Alberta Development Council, April 1981.</w:t>
      </w:r>
      <w:r>
        <w:t xml:space="preserve"> </w:t>
      </w:r>
    </w:p>
  </w:footnote>
  <w:footnote w:id="11">
    <w:p w14:paraId="1730ECA8" w14:textId="492A8910" w:rsidR="00CF3A74" w:rsidRPr="00FB734A" w:rsidRDefault="00CF3A74" w:rsidP="00FB734A">
      <w:pPr>
        <w:pStyle w:val="Footnote"/>
      </w:pPr>
      <w:r w:rsidRPr="00243097">
        <w:rPr>
          <w:rStyle w:val="FootnoteReference"/>
        </w:rPr>
        <w:footnoteRef/>
      </w:r>
      <w:r w:rsidRPr="002944BA">
        <w:t xml:space="preserve"> </w:t>
      </w:r>
      <w:r w:rsidRPr="00FB734A">
        <w:t>Northern Alberta Development Council</w:t>
      </w:r>
      <w:r>
        <w:rPr>
          <w:i/>
        </w:rPr>
        <w:t xml:space="preserve">, </w:t>
      </w:r>
      <w:r w:rsidRPr="00FE5597">
        <w:rPr>
          <w:i/>
        </w:rPr>
        <w:t>NADC Area Profile</w:t>
      </w:r>
      <w:r>
        <w:t>, op. cit., 3.</w:t>
      </w:r>
      <w:r w:rsidRPr="00FB734A">
        <w:t xml:space="preserve"> </w:t>
      </w:r>
    </w:p>
  </w:footnote>
  <w:footnote w:id="12">
    <w:p w14:paraId="4AF3B9A7" w14:textId="3BF30778" w:rsidR="00CF3A74" w:rsidRPr="007E3B7F" w:rsidRDefault="00CF3A74" w:rsidP="00FB734A">
      <w:pPr>
        <w:pStyle w:val="Footnote"/>
        <w:rPr>
          <w:spacing w:val="-6"/>
        </w:rPr>
      </w:pPr>
      <w:r w:rsidRPr="00243097">
        <w:rPr>
          <w:rStyle w:val="FootnoteReference"/>
        </w:rPr>
        <w:footnoteRef/>
      </w:r>
      <w:r w:rsidRPr="007E3B7F">
        <w:rPr>
          <w:vertAlign w:val="superscript"/>
        </w:rPr>
        <w:t xml:space="preserve"> </w:t>
      </w:r>
      <w:r w:rsidRPr="00FB734A">
        <w:t>Co-West Associates</w:t>
      </w:r>
      <w:r>
        <w:t>,</w:t>
      </w:r>
      <w:r w:rsidRPr="00FB734A">
        <w:t xml:space="preserve"> </w:t>
      </w:r>
      <w:r>
        <w:t>op. cit.</w:t>
      </w:r>
      <w:r w:rsidRPr="007E3B7F">
        <w:rPr>
          <w:spacing w:val="-6"/>
        </w:rPr>
        <w:t xml:space="preserve"> </w:t>
      </w:r>
    </w:p>
  </w:footnote>
  <w:footnote w:id="13">
    <w:p w14:paraId="69A35069" w14:textId="4300AF5F" w:rsidR="00CF3A74" w:rsidRPr="00FE5597" w:rsidRDefault="00CF3A74" w:rsidP="00FB734A">
      <w:pPr>
        <w:pStyle w:val="Footnote"/>
        <w:rPr>
          <w:b/>
        </w:rPr>
      </w:pPr>
      <w:r w:rsidRPr="00243097">
        <w:rPr>
          <w:rStyle w:val="FootnoteReference"/>
        </w:rPr>
        <w:footnoteRef/>
      </w:r>
      <w:r w:rsidRPr="00FB734A">
        <w:t xml:space="preserve"> Northern Alberta Development Council</w:t>
      </w:r>
      <w:r>
        <w:t>,</w:t>
      </w:r>
      <w:r w:rsidRPr="00FE5597">
        <w:rPr>
          <w:i/>
        </w:rPr>
        <w:t xml:space="preserve"> Economic Development of Northern Alberta</w:t>
      </w:r>
      <w:r w:rsidRPr="00FB734A">
        <w:t>, 1977</w:t>
      </w:r>
      <w:r>
        <w:t>,</w:t>
      </w:r>
      <w:r w:rsidRPr="00794C09">
        <w:t xml:space="preserve"> </w:t>
      </w:r>
      <w:r w:rsidRPr="00FB734A">
        <w:t>prefix.</w:t>
      </w:r>
      <w:r>
        <w:rPr>
          <w:b/>
        </w:rPr>
        <w:t xml:space="preserve"> </w:t>
      </w:r>
    </w:p>
  </w:footnote>
  <w:footnote w:id="14">
    <w:p w14:paraId="7DE38E5A" w14:textId="171E4D06" w:rsidR="00CF3A74" w:rsidRPr="00FE5597" w:rsidRDefault="00CF3A74" w:rsidP="002944BA">
      <w:pPr>
        <w:pStyle w:val="Footnote"/>
        <w:rPr>
          <w:b/>
          <w:spacing w:val="-4"/>
        </w:rPr>
      </w:pPr>
      <w:r w:rsidRPr="00243097">
        <w:rPr>
          <w:rStyle w:val="FootnoteReference"/>
        </w:rPr>
        <w:footnoteRef/>
      </w:r>
      <w:r w:rsidRPr="00804D33">
        <w:rPr>
          <w:spacing w:val="-4"/>
        </w:rPr>
        <w:t xml:space="preserve"> Slave Lake Developments, </w:t>
      </w:r>
      <w:r w:rsidRPr="002944BA">
        <w:rPr>
          <w:i/>
          <w:iCs/>
          <w:spacing w:val="-4"/>
        </w:rPr>
        <w:t>Prospectus: Slave Lake Development Ltd</w:t>
      </w:r>
      <w:r w:rsidRPr="00804D33">
        <w:rPr>
          <w:spacing w:val="-4"/>
        </w:rPr>
        <w:t>.</w:t>
      </w:r>
      <w:r>
        <w:rPr>
          <w:spacing w:val="-4"/>
        </w:rPr>
        <w:t>,</w:t>
      </w:r>
      <w:r w:rsidRPr="00804D33">
        <w:rPr>
          <w:spacing w:val="-4"/>
        </w:rPr>
        <w:t xml:space="preserve"> 1971.</w:t>
      </w:r>
    </w:p>
  </w:footnote>
  <w:footnote w:id="15">
    <w:p w14:paraId="68D6BC5F" w14:textId="665C3B11" w:rsidR="00CF3A74" w:rsidRPr="00FB734A" w:rsidRDefault="00CF3A74" w:rsidP="00FB734A">
      <w:pPr>
        <w:pStyle w:val="Footnote"/>
      </w:pPr>
      <w:r w:rsidRPr="00243097">
        <w:rPr>
          <w:rStyle w:val="FootnoteReference"/>
        </w:rPr>
        <w:footnoteRef/>
      </w:r>
      <w:r w:rsidRPr="00FB734A">
        <w:t xml:space="preserve"> </w:t>
      </w:r>
      <w:r>
        <w:t xml:space="preserve">Reports from January 1, 1997 forward </w:t>
      </w:r>
      <w:r w:rsidRPr="00FB734A">
        <w:t xml:space="preserve">can be found on </w:t>
      </w:r>
      <w:proofErr w:type="spellStart"/>
      <w:r>
        <w:t>Sedar</w:t>
      </w:r>
      <w:proofErr w:type="spellEnd"/>
      <w:r>
        <w:t xml:space="preserve">, </w:t>
      </w:r>
      <w:r w:rsidRPr="00FB734A">
        <w:t>the online filing database for all Canadian public corporations</w:t>
      </w:r>
      <w:r>
        <w:t xml:space="preserve">, at </w:t>
      </w:r>
      <w:r w:rsidRPr="00FB734A">
        <w:t xml:space="preserve">www.sedar.com. </w:t>
      </w:r>
      <w:r>
        <w:t>E</w:t>
      </w:r>
      <w:r w:rsidRPr="00FB734A">
        <w:t>xamples of these reports</w:t>
      </w:r>
      <w:r>
        <w:t xml:space="preserve"> can be found at </w:t>
      </w:r>
      <w:proofErr w:type="spellStart"/>
      <w:r>
        <w:t>SpruceLand</w:t>
      </w:r>
      <w:proofErr w:type="spellEnd"/>
      <w:r>
        <w:t xml:space="preserve"> Properties Inc., “President’s Message,” in </w:t>
      </w:r>
      <w:r>
        <w:rPr>
          <w:i/>
          <w:iCs/>
        </w:rPr>
        <w:t xml:space="preserve">2014 </w:t>
      </w:r>
      <w:r w:rsidRPr="0083789F">
        <w:rPr>
          <w:i/>
          <w:iCs/>
        </w:rPr>
        <w:t>Annual Report to Shareholders</w:t>
      </w:r>
      <w:r>
        <w:t xml:space="preserve">, October 2, 2014, 3–5; and </w:t>
      </w:r>
      <w:proofErr w:type="spellStart"/>
      <w:r>
        <w:t>SpruceLand</w:t>
      </w:r>
      <w:proofErr w:type="spellEnd"/>
      <w:r>
        <w:t xml:space="preserve"> Properties Inc., “President’s Message,” in </w:t>
      </w:r>
      <w:r>
        <w:rPr>
          <w:i/>
          <w:iCs/>
        </w:rPr>
        <w:t xml:space="preserve">2015 </w:t>
      </w:r>
      <w:r w:rsidRPr="002944BA">
        <w:rPr>
          <w:i/>
          <w:iCs/>
        </w:rPr>
        <w:t>Annual Report to Shareholders</w:t>
      </w:r>
      <w:r>
        <w:t>, October 1, 2015, 4–6.</w:t>
      </w:r>
    </w:p>
  </w:footnote>
  <w:footnote w:id="16">
    <w:p w14:paraId="11057443" w14:textId="53014999" w:rsidR="00CF3A74" w:rsidRPr="00FB734A" w:rsidRDefault="00CF3A74" w:rsidP="00FB734A">
      <w:pPr>
        <w:pStyle w:val="Footnote"/>
      </w:pPr>
      <w:r w:rsidRPr="00243097">
        <w:rPr>
          <w:rStyle w:val="FootnoteReference"/>
        </w:rPr>
        <w:footnoteRef/>
      </w:r>
      <w:r>
        <w:rPr>
          <w:vertAlign w:val="superscript"/>
        </w:rPr>
        <w:t xml:space="preserve"> </w:t>
      </w:r>
      <w:r>
        <w:t>To remain a private corporation, the entity must have</w:t>
      </w:r>
      <w:r w:rsidRPr="00FB734A">
        <w:t xml:space="preserve"> </w:t>
      </w:r>
      <w:r>
        <w:t>had no more than</w:t>
      </w:r>
      <w:r w:rsidRPr="00FB734A">
        <w:t xml:space="preserve"> 50 shareholders</w:t>
      </w:r>
      <w:r>
        <w:t>.</w:t>
      </w:r>
      <w:r w:rsidRPr="00FB734A">
        <w:t xml:space="preserve"> </w:t>
      </w:r>
      <w:r>
        <w:t xml:space="preserve">When a corporation had </w:t>
      </w:r>
      <w:r w:rsidRPr="00FB734A">
        <w:t>more than 50 shareholders</w:t>
      </w:r>
      <w:r>
        <w:t>,</w:t>
      </w:r>
      <w:r w:rsidRPr="00FB734A">
        <w:t xml:space="preserve"> the regulator</w:t>
      </w:r>
      <w:r>
        <w:t>’s</w:t>
      </w:r>
      <w:r w:rsidRPr="00FB734A">
        <w:t xml:space="preserve"> view </w:t>
      </w:r>
      <w:r>
        <w:t xml:space="preserve">was </w:t>
      </w:r>
      <w:r w:rsidRPr="00FB734A">
        <w:t xml:space="preserve">that </w:t>
      </w:r>
      <w:r>
        <w:t>the greater</w:t>
      </w:r>
      <w:r w:rsidRPr="00FB734A">
        <w:t xml:space="preserve"> transparency </w:t>
      </w:r>
      <w:r>
        <w:t>required of public companies wa</w:t>
      </w:r>
      <w:r w:rsidRPr="00FB734A">
        <w:t>s required to protect small investor</w:t>
      </w:r>
      <w:r>
        <w:t>s</w:t>
      </w:r>
      <w:r w:rsidRPr="00FB734A">
        <w:t>.</w:t>
      </w:r>
      <w:r>
        <w:t xml:space="preserve"> Marc Mercier, Bryan Woodman, and Richard Ngo, “Establishing a Business in Canada (Federal),” Thomson Reuters Practical Law, accessed October 3, 2019, </w:t>
      </w:r>
      <w:r w:rsidRPr="005E3C25">
        <w:t>https://ca.practicallaw.thomsonreuters.com/9-564-0499</w:t>
      </w:r>
      <w:r>
        <w:t xml:space="preserve">. </w:t>
      </w:r>
    </w:p>
  </w:footnote>
  <w:footnote w:id="17">
    <w:p w14:paraId="438E1368" w14:textId="05F19F4F" w:rsidR="00CF3A74" w:rsidRPr="00FB734A" w:rsidRDefault="00CF3A74" w:rsidP="00FB734A">
      <w:pPr>
        <w:pStyle w:val="Footnote"/>
      </w:pPr>
      <w:r w:rsidRPr="00243097">
        <w:rPr>
          <w:rStyle w:val="FootnoteReference"/>
        </w:rPr>
        <w:footnoteRef/>
      </w:r>
      <w:r w:rsidRPr="00FE5597">
        <w:t xml:space="preserve"> </w:t>
      </w:r>
      <w:r w:rsidRPr="005E3C25">
        <w:t>Northern Alberta Development Council,</w:t>
      </w:r>
      <w:r w:rsidRPr="005E3C25">
        <w:rPr>
          <w:i/>
        </w:rPr>
        <w:t xml:space="preserve"> </w:t>
      </w:r>
      <w:r>
        <w:rPr>
          <w:i/>
        </w:rPr>
        <w:t xml:space="preserve">Economic Development of Northern </w:t>
      </w:r>
      <w:r w:rsidRPr="004928D7">
        <w:rPr>
          <w:i/>
        </w:rPr>
        <w:t>Alberta</w:t>
      </w:r>
      <w:r>
        <w:t xml:space="preserve">, op. cit., 15. </w:t>
      </w:r>
    </w:p>
  </w:footnote>
  <w:footnote w:id="18">
    <w:p w14:paraId="3C8B57D2" w14:textId="77AAE3CC" w:rsidR="00CF3A74" w:rsidRPr="00FB734A" w:rsidRDefault="00CF3A74" w:rsidP="00FB734A">
      <w:pPr>
        <w:pStyle w:val="Footnote"/>
      </w:pPr>
      <w:r w:rsidRPr="00243097">
        <w:rPr>
          <w:rStyle w:val="FootnoteReference"/>
        </w:rPr>
        <w:footnoteRef/>
      </w:r>
      <w:r w:rsidRPr="00FB734A">
        <w:rPr>
          <w:vertAlign w:val="superscript"/>
        </w:rPr>
        <w:t xml:space="preserve"> </w:t>
      </w:r>
      <w:proofErr w:type="spellStart"/>
      <w:r w:rsidRPr="00FB734A">
        <w:t>SpruceLand</w:t>
      </w:r>
      <w:proofErr w:type="spellEnd"/>
      <w:r>
        <w:t xml:space="preserve"> Properties Inc.,</w:t>
      </w:r>
      <w:r w:rsidRPr="00FB734A">
        <w:t xml:space="preserve"> </w:t>
      </w:r>
      <w:r>
        <w:rPr>
          <w:i/>
        </w:rPr>
        <w:t xml:space="preserve">Notice of Annual General and Special Meeting of the Shareholders of </w:t>
      </w:r>
      <w:proofErr w:type="spellStart"/>
      <w:r>
        <w:rPr>
          <w:i/>
        </w:rPr>
        <w:t>SpruceLand</w:t>
      </w:r>
      <w:proofErr w:type="spellEnd"/>
      <w:r>
        <w:rPr>
          <w:i/>
        </w:rPr>
        <w:t xml:space="preserve"> Properties Inc. and </w:t>
      </w:r>
      <w:r w:rsidRPr="00E9672F">
        <w:rPr>
          <w:i/>
        </w:rPr>
        <w:t>Management Information Circular</w:t>
      </w:r>
      <w:r>
        <w:t xml:space="preserve"> </w:t>
      </w:r>
      <w:r>
        <w:rPr>
          <w:i/>
        </w:rPr>
        <w:t>for the Meeting to Be Held on March 10, 2016</w:t>
      </w:r>
      <w:r w:rsidRPr="00FB734A">
        <w:t>,</w:t>
      </w:r>
      <w:r>
        <w:t xml:space="preserve"> </w:t>
      </w:r>
      <w:r w:rsidRPr="00FB734A">
        <w:t xml:space="preserve">February </w:t>
      </w:r>
      <w:r>
        <w:t xml:space="preserve">11, </w:t>
      </w:r>
      <w:r w:rsidRPr="00FB734A">
        <w:t xml:space="preserve">2016, </w:t>
      </w:r>
      <w:r>
        <w:t xml:space="preserve">28, </w:t>
      </w:r>
      <w:r w:rsidRPr="004C08F8">
        <w:t>accessed May 14, 2019, www</w:t>
      </w:r>
      <w:r>
        <w:t>.</w:t>
      </w:r>
      <w:r w:rsidRPr="00FB734A">
        <w:t>sedar.com</w:t>
      </w:r>
      <w:r>
        <w:t>.</w:t>
      </w:r>
    </w:p>
  </w:footnote>
  <w:footnote w:id="19">
    <w:p w14:paraId="48B4E15D" w14:textId="1952524F" w:rsidR="00CF3A74" w:rsidRPr="00FE5597" w:rsidRDefault="00CF3A74" w:rsidP="00FB734A">
      <w:pPr>
        <w:pStyle w:val="Footnote"/>
        <w:rPr>
          <w:b/>
        </w:rPr>
      </w:pPr>
      <w:r w:rsidRPr="00243097">
        <w:rPr>
          <w:rStyle w:val="FootnoteReference"/>
        </w:rPr>
        <w:footnoteRef/>
      </w:r>
      <w:r w:rsidRPr="00FB734A">
        <w:rPr>
          <w:vertAlign w:val="superscript"/>
        </w:rPr>
        <w:t xml:space="preserve"> </w:t>
      </w:r>
      <w:r>
        <w:t>Such a gap between a low share price and high property values wa</w:t>
      </w:r>
      <w:r w:rsidRPr="00FB734A">
        <w:t xml:space="preserve">s not in itself uncommon. </w:t>
      </w:r>
      <w:r>
        <w:t>F</w:t>
      </w:r>
      <w:r w:rsidRPr="00FB734A">
        <w:t xml:space="preserve">or an in-depth discussion of </w:t>
      </w:r>
      <w:r>
        <w:t>p</w:t>
      </w:r>
      <w:r w:rsidRPr="00FB734A">
        <w:t>rice</w:t>
      </w:r>
      <w:r>
        <w:t xml:space="preserve"> </w:t>
      </w:r>
      <w:r w:rsidRPr="00FB734A">
        <w:t>to</w:t>
      </w:r>
      <w:r>
        <w:t xml:space="preserve"> net asset value (NAV) </w:t>
      </w:r>
      <w:r w:rsidRPr="00FB734A">
        <w:t xml:space="preserve">ratios for publicly traded </w:t>
      </w:r>
      <w:r>
        <w:t>real estate investment trust</w:t>
      </w:r>
      <w:r w:rsidRPr="00FB734A">
        <w:t>s</w:t>
      </w:r>
      <w:r>
        <w:t>,</w:t>
      </w:r>
      <w:r w:rsidRPr="00FB734A">
        <w:t xml:space="preserve"> </w:t>
      </w:r>
      <w:r>
        <w:t>s</w:t>
      </w:r>
      <w:r w:rsidRPr="00FB734A">
        <w:t>ee W</w:t>
      </w:r>
      <w:r>
        <w:t xml:space="preserve">illiam </w:t>
      </w:r>
      <w:r w:rsidRPr="00FB734A">
        <w:t>M. Gentry, C</w:t>
      </w:r>
      <w:r>
        <w:t xml:space="preserve">harles </w:t>
      </w:r>
      <w:r w:rsidRPr="00FB734A">
        <w:t>M. Jones, and C</w:t>
      </w:r>
      <w:r>
        <w:t xml:space="preserve">hristopher </w:t>
      </w:r>
      <w:r w:rsidRPr="00FB734A">
        <w:t>J</w:t>
      </w:r>
      <w:r>
        <w:t>.</w:t>
      </w:r>
      <w:r w:rsidRPr="00FB734A">
        <w:t xml:space="preserve"> Mayer</w:t>
      </w:r>
      <w:r>
        <w:t>,</w:t>
      </w:r>
      <w:r w:rsidRPr="00FB734A">
        <w:t xml:space="preserve"> “</w:t>
      </w:r>
      <w:r w:rsidRPr="001000F9">
        <w:t xml:space="preserve">Do </w:t>
      </w:r>
      <w:r>
        <w:t>S</w:t>
      </w:r>
      <w:r w:rsidRPr="001000F9">
        <w:t xml:space="preserve">tock </w:t>
      </w:r>
      <w:r>
        <w:t>P</w:t>
      </w:r>
      <w:r w:rsidRPr="001000F9">
        <w:t xml:space="preserve">rices </w:t>
      </w:r>
      <w:r>
        <w:t>R</w:t>
      </w:r>
      <w:r w:rsidRPr="001000F9">
        <w:t xml:space="preserve">eally </w:t>
      </w:r>
      <w:r>
        <w:t>R</w:t>
      </w:r>
      <w:r w:rsidRPr="001000F9">
        <w:t xml:space="preserve">eflect </w:t>
      </w:r>
      <w:r>
        <w:t>F</w:t>
      </w:r>
      <w:r w:rsidRPr="001000F9">
        <w:t xml:space="preserve">undamental </w:t>
      </w:r>
      <w:r>
        <w:t>V</w:t>
      </w:r>
      <w:r w:rsidRPr="001000F9">
        <w:t xml:space="preserve">alues? The </w:t>
      </w:r>
      <w:r>
        <w:t>C</w:t>
      </w:r>
      <w:r w:rsidRPr="001000F9">
        <w:t>ase of REITs</w:t>
      </w:r>
      <w:r>
        <w:t>,</w:t>
      </w:r>
      <w:r w:rsidRPr="00FB734A">
        <w:t xml:space="preserve">” NBER Working Paper Series </w:t>
      </w:r>
      <w:r>
        <w:t xml:space="preserve">no. 10850 (Cambridge, MA: National Bureau of Economic Research, October </w:t>
      </w:r>
      <w:r w:rsidRPr="00FB734A">
        <w:t>2004</w:t>
      </w:r>
      <w:r>
        <w:t xml:space="preserve">), accessed January 16, 2019, </w:t>
      </w:r>
      <w:r w:rsidRPr="00B249BA">
        <w:t>www.nber.org/papers/w10850.pdf</w:t>
      </w:r>
      <w:r w:rsidRPr="00FB734A">
        <w:t>.</w:t>
      </w:r>
      <w:r>
        <w:t xml:space="preserve"> </w:t>
      </w:r>
    </w:p>
  </w:footnote>
  <w:footnote w:id="20">
    <w:p w14:paraId="5E3690F6" w14:textId="49348FCF" w:rsidR="00CF3A74" w:rsidRPr="00FB734A" w:rsidRDefault="00CF3A74" w:rsidP="00FB734A">
      <w:pPr>
        <w:pStyle w:val="Footnote"/>
      </w:pPr>
      <w:r w:rsidRPr="00243097">
        <w:rPr>
          <w:rStyle w:val="FootnoteReference"/>
        </w:rPr>
        <w:footnoteRef/>
      </w:r>
      <w:r w:rsidRPr="00FB734A">
        <w:t xml:space="preserve"> The DRIP provided </w:t>
      </w:r>
      <w:proofErr w:type="spellStart"/>
      <w:r w:rsidRPr="00FB734A">
        <w:t>SpruceLand’s</w:t>
      </w:r>
      <w:proofErr w:type="spellEnd"/>
      <w:r w:rsidRPr="00FB734A">
        <w:t xml:space="preserve"> shareholders with “the option to reinvest dividends into common shares of the company.” </w:t>
      </w:r>
      <w:proofErr w:type="spellStart"/>
      <w:r w:rsidRPr="00FB734A">
        <w:t>SpruceLand</w:t>
      </w:r>
      <w:proofErr w:type="spellEnd"/>
      <w:r w:rsidRPr="00FB734A">
        <w:t xml:space="preserve"> Properties Inc., </w:t>
      </w:r>
      <w:r w:rsidRPr="00FE5597">
        <w:rPr>
          <w:i/>
        </w:rPr>
        <w:t>Annual Report to Shareholder</w:t>
      </w:r>
      <w:r>
        <w:rPr>
          <w:i/>
        </w:rPr>
        <w:t>s</w:t>
      </w:r>
      <w:r w:rsidRPr="00FB734A">
        <w:t xml:space="preserve">, </w:t>
      </w:r>
      <w:r w:rsidRPr="002944BA">
        <w:rPr>
          <w:iCs/>
        </w:rPr>
        <w:t>2015</w:t>
      </w:r>
      <w:r>
        <w:rPr>
          <w:iCs/>
        </w:rPr>
        <w:t>,</w:t>
      </w:r>
      <w:r w:rsidRPr="00FE5597">
        <w:rPr>
          <w:i/>
        </w:rPr>
        <w:t xml:space="preserve"> </w:t>
      </w:r>
      <w:r>
        <w:t xml:space="preserve">October 5, 2015, </w:t>
      </w:r>
      <w:r w:rsidRPr="00FB734A">
        <w:t>45, accessed August 14, 2018</w:t>
      </w:r>
      <w:r>
        <w:t>,</w:t>
      </w:r>
      <w:r w:rsidRPr="00FB734A">
        <w:t xml:space="preserve"> </w:t>
      </w:r>
      <w:r w:rsidRPr="002944BA">
        <w:t>www.sedar.com</w:t>
      </w:r>
      <w:r w:rsidRPr="00FB734A">
        <w:t>. For more detail on the DRIP program and fair value assessment</w:t>
      </w:r>
      <w:r>
        <w:t>,</w:t>
      </w:r>
      <w:r w:rsidRPr="00FB734A">
        <w:t xml:space="preserve"> </w:t>
      </w:r>
      <w:r>
        <w:t>see others of</w:t>
      </w:r>
      <w:r w:rsidRPr="00FB734A">
        <w:t xml:space="preserve"> </w:t>
      </w:r>
      <w:proofErr w:type="spellStart"/>
      <w:r w:rsidRPr="00FB734A">
        <w:t>SpruceLand’s</w:t>
      </w:r>
      <w:proofErr w:type="spellEnd"/>
      <w:r w:rsidRPr="00FB734A">
        <w:t xml:space="preserve"> financial reports </w:t>
      </w:r>
      <w:r>
        <w:t xml:space="preserve">filed on </w:t>
      </w:r>
      <w:proofErr w:type="spellStart"/>
      <w:r>
        <w:t>Sedar</w:t>
      </w:r>
      <w:proofErr w:type="spellEnd"/>
      <w:r>
        <w:t xml:space="preserve">, </w:t>
      </w:r>
      <w:r w:rsidRPr="00FB734A">
        <w:t>www.sedar.com</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32EAA3E" w:rsidR="00CF3A74" w:rsidRPr="00C92CC4" w:rsidRDefault="00CF3A7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8435D">
      <w:rPr>
        <w:rFonts w:ascii="Arial" w:hAnsi="Arial"/>
        <w:b/>
        <w:noProof/>
      </w:rPr>
      <w:t>12</w:t>
    </w:r>
    <w:r>
      <w:rPr>
        <w:rFonts w:ascii="Arial" w:hAnsi="Arial"/>
        <w:b/>
      </w:rPr>
      <w:fldChar w:fldCharType="end"/>
    </w:r>
    <w:r>
      <w:rPr>
        <w:rFonts w:ascii="Arial" w:hAnsi="Arial"/>
        <w:b/>
      </w:rPr>
      <w:tab/>
    </w:r>
    <w:r w:rsidR="00C46961">
      <w:rPr>
        <w:rFonts w:ascii="Arial" w:hAnsi="Arial"/>
        <w:b/>
      </w:rPr>
      <w:t>9B19M100</w:t>
    </w:r>
  </w:p>
  <w:p w14:paraId="2B53C0A0" w14:textId="77777777" w:rsidR="00CF3A74" w:rsidRDefault="00CF3A74" w:rsidP="00D13667">
    <w:pPr>
      <w:pStyle w:val="Header"/>
      <w:tabs>
        <w:tab w:val="clear" w:pos="4680"/>
      </w:tabs>
      <w:rPr>
        <w:sz w:val="18"/>
        <w:szCs w:val="18"/>
      </w:rPr>
    </w:pPr>
  </w:p>
  <w:p w14:paraId="47119730" w14:textId="77777777" w:rsidR="00CF3A74" w:rsidRPr="00C92CC4" w:rsidRDefault="00CF3A7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D6D4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68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5E00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5CEF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7CC9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2673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4243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00EB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807F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E81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CF3"/>
    <w:rsid w:val="00013360"/>
    <w:rsid w:val="00016759"/>
    <w:rsid w:val="000216CE"/>
    <w:rsid w:val="00024ED4"/>
    <w:rsid w:val="00025DC7"/>
    <w:rsid w:val="000304B9"/>
    <w:rsid w:val="00035F09"/>
    <w:rsid w:val="00044ECC"/>
    <w:rsid w:val="000531D3"/>
    <w:rsid w:val="0005646B"/>
    <w:rsid w:val="000572F8"/>
    <w:rsid w:val="000615D1"/>
    <w:rsid w:val="00073457"/>
    <w:rsid w:val="00073837"/>
    <w:rsid w:val="00075BDC"/>
    <w:rsid w:val="0008102D"/>
    <w:rsid w:val="00086B26"/>
    <w:rsid w:val="0008720A"/>
    <w:rsid w:val="00094C0E"/>
    <w:rsid w:val="000A146D"/>
    <w:rsid w:val="000A643A"/>
    <w:rsid w:val="000C23C0"/>
    <w:rsid w:val="000D2A2F"/>
    <w:rsid w:val="000D7091"/>
    <w:rsid w:val="000E19B8"/>
    <w:rsid w:val="000F0C22"/>
    <w:rsid w:val="000F6B09"/>
    <w:rsid w:val="000F6FDC"/>
    <w:rsid w:val="001000F9"/>
    <w:rsid w:val="00104567"/>
    <w:rsid w:val="00104916"/>
    <w:rsid w:val="00104AA7"/>
    <w:rsid w:val="0011303C"/>
    <w:rsid w:val="0012732D"/>
    <w:rsid w:val="00143F25"/>
    <w:rsid w:val="00152682"/>
    <w:rsid w:val="00154FC9"/>
    <w:rsid w:val="00185DDB"/>
    <w:rsid w:val="001901C0"/>
    <w:rsid w:val="0019241A"/>
    <w:rsid w:val="00192A18"/>
    <w:rsid w:val="001A22D1"/>
    <w:rsid w:val="001A752D"/>
    <w:rsid w:val="001A757E"/>
    <w:rsid w:val="001B5032"/>
    <w:rsid w:val="001C7777"/>
    <w:rsid w:val="001D1F5C"/>
    <w:rsid w:val="001D344B"/>
    <w:rsid w:val="001E364F"/>
    <w:rsid w:val="001F1793"/>
    <w:rsid w:val="001F4222"/>
    <w:rsid w:val="00203AA1"/>
    <w:rsid w:val="00213E98"/>
    <w:rsid w:val="00230150"/>
    <w:rsid w:val="0023081A"/>
    <w:rsid w:val="00233111"/>
    <w:rsid w:val="0024144D"/>
    <w:rsid w:val="00243097"/>
    <w:rsid w:val="002566EF"/>
    <w:rsid w:val="00265FA8"/>
    <w:rsid w:val="00275D99"/>
    <w:rsid w:val="00293486"/>
    <w:rsid w:val="002944BA"/>
    <w:rsid w:val="002A0BAE"/>
    <w:rsid w:val="002A0C6C"/>
    <w:rsid w:val="002B40FF"/>
    <w:rsid w:val="002C4E29"/>
    <w:rsid w:val="002D5655"/>
    <w:rsid w:val="002F460C"/>
    <w:rsid w:val="002F48D6"/>
    <w:rsid w:val="002F4A02"/>
    <w:rsid w:val="003011BB"/>
    <w:rsid w:val="00317391"/>
    <w:rsid w:val="00324FE6"/>
    <w:rsid w:val="00326216"/>
    <w:rsid w:val="00336580"/>
    <w:rsid w:val="00354899"/>
    <w:rsid w:val="00355FD6"/>
    <w:rsid w:val="00364A5C"/>
    <w:rsid w:val="003730A6"/>
    <w:rsid w:val="00373FB1"/>
    <w:rsid w:val="00382D04"/>
    <w:rsid w:val="00383A32"/>
    <w:rsid w:val="00395CCB"/>
    <w:rsid w:val="00396281"/>
    <w:rsid w:val="00396C76"/>
    <w:rsid w:val="003B30D8"/>
    <w:rsid w:val="003B7EF2"/>
    <w:rsid w:val="003C3FA4"/>
    <w:rsid w:val="003D02F4"/>
    <w:rsid w:val="003D0BA1"/>
    <w:rsid w:val="003E1AD1"/>
    <w:rsid w:val="003F2B0C"/>
    <w:rsid w:val="003F4291"/>
    <w:rsid w:val="003F7246"/>
    <w:rsid w:val="004009AB"/>
    <w:rsid w:val="004105B2"/>
    <w:rsid w:val="0041145A"/>
    <w:rsid w:val="004124AD"/>
    <w:rsid w:val="00412900"/>
    <w:rsid w:val="004221E4"/>
    <w:rsid w:val="004273F8"/>
    <w:rsid w:val="004355A3"/>
    <w:rsid w:val="00437412"/>
    <w:rsid w:val="00446546"/>
    <w:rsid w:val="0045109F"/>
    <w:rsid w:val="00452769"/>
    <w:rsid w:val="00454FA7"/>
    <w:rsid w:val="00457757"/>
    <w:rsid w:val="00465348"/>
    <w:rsid w:val="004673BA"/>
    <w:rsid w:val="00475EEA"/>
    <w:rsid w:val="00477219"/>
    <w:rsid w:val="004804E4"/>
    <w:rsid w:val="004821DB"/>
    <w:rsid w:val="0048435D"/>
    <w:rsid w:val="00490CFD"/>
    <w:rsid w:val="004928D7"/>
    <w:rsid w:val="004979A5"/>
    <w:rsid w:val="004A1244"/>
    <w:rsid w:val="004A25E0"/>
    <w:rsid w:val="004A61C1"/>
    <w:rsid w:val="004B0629"/>
    <w:rsid w:val="004B1CCB"/>
    <w:rsid w:val="004B632F"/>
    <w:rsid w:val="004B6869"/>
    <w:rsid w:val="004C08F8"/>
    <w:rsid w:val="004D3FB1"/>
    <w:rsid w:val="004D6F21"/>
    <w:rsid w:val="004D73A5"/>
    <w:rsid w:val="005160F1"/>
    <w:rsid w:val="00524F2F"/>
    <w:rsid w:val="00527E5C"/>
    <w:rsid w:val="00532CF5"/>
    <w:rsid w:val="00533500"/>
    <w:rsid w:val="005528CB"/>
    <w:rsid w:val="0056321E"/>
    <w:rsid w:val="00566771"/>
    <w:rsid w:val="00581E2E"/>
    <w:rsid w:val="00583B19"/>
    <w:rsid w:val="00584F15"/>
    <w:rsid w:val="005870D0"/>
    <w:rsid w:val="0059514B"/>
    <w:rsid w:val="005A1B0F"/>
    <w:rsid w:val="005B4CE6"/>
    <w:rsid w:val="005B5EFE"/>
    <w:rsid w:val="005C66C8"/>
    <w:rsid w:val="005C6BFF"/>
    <w:rsid w:val="005D0809"/>
    <w:rsid w:val="005E3C25"/>
    <w:rsid w:val="00614CD8"/>
    <w:rsid w:val="006163F7"/>
    <w:rsid w:val="00627C63"/>
    <w:rsid w:val="0063350B"/>
    <w:rsid w:val="00637BB5"/>
    <w:rsid w:val="0064566D"/>
    <w:rsid w:val="006469FD"/>
    <w:rsid w:val="00652606"/>
    <w:rsid w:val="006743A6"/>
    <w:rsid w:val="0067470F"/>
    <w:rsid w:val="006946EE"/>
    <w:rsid w:val="006A58A9"/>
    <w:rsid w:val="006A606D"/>
    <w:rsid w:val="006C0371"/>
    <w:rsid w:val="006C08B6"/>
    <w:rsid w:val="006C0B1A"/>
    <w:rsid w:val="006C6065"/>
    <w:rsid w:val="006C7F9F"/>
    <w:rsid w:val="006E2F6D"/>
    <w:rsid w:val="006E58F6"/>
    <w:rsid w:val="006E77E1"/>
    <w:rsid w:val="006F131D"/>
    <w:rsid w:val="00711642"/>
    <w:rsid w:val="0071551C"/>
    <w:rsid w:val="00733ABE"/>
    <w:rsid w:val="007507C6"/>
    <w:rsid w:val="00751E0B"/>
    <w:rsid w:val="00752BCD"/>
    <w:rsid w:val="00760864"/>
    <w:rsid w:val="00766DA1"/>
    <w:rsid w:val="00773B25"/>
    <w:rsid w:val="00780D94"/>
    <w:rsid w:val="007866A6"/>
    <w:rsid w:val="00794C09"/>
    <w:rsid w:val="007A130D"/>
    <w:rsid w:val="007A55AA"/>
    <w:rsid w:val="007C1C91"/>
    <w:rsid w:val="007D1A2D"/>
    <w:rsid w:val="007D32E6"/>
    <w:rsid w:val="007D4102"/>
    <w:rsid w:val="007D6BE3"/>
    <w:rsid w:val="007E3B7F"/>
    <w:rsid w:val="007E54A7"/>
    <w:rsid w:val="007F43B7"/>
    <w:rsid w:val="00804D33"/>
    <w:rsid w:val="008114B2"/>
    <w:rsid w:val="00821FFC"/>
    <w:rsid w:val="008271CA"/>
    <w:rsid w:val="008467D5"/>
    <w:rsid w:val="00853819"/>
    <w:rsid w:val="00892C3C"/>
    <w:rsid w:val="00893D99"/>
    <w:rsid w:val="008A23A5"/>
    <w:rsid w:val="008A4DC4"/>
    <w:rsid w:val="008B438C"/>
    <w:rsid w:val="008C0DC9"/>
    <w:rsid w:val="008D06CA"/>
    <w:rsid w:val="008D3A46"/>
    <w:rsid w:val="008F2385"/>
    <w:rsid w:val="00901DA7"/>
    <w:rsid w:val="009067A4"/>
    <w:rsid w:val="00930885"/>
    <w:rsid w:val="00933D68"/>
    <w:rsid w:val="009340DB"/>
    <w:rsid w:val="0094618C"/>
    <w:rsid w:val="00952B1A"/>
    <w:rsid w:val="00952B47"/>
    <w:rsid w:val="0095684B"/>
    <w:rsid w:val="00972498"/>
    <w:rsid w:val="0097481F"/>
    <w:rsid w:val="00974CC6"/>
    <w:rsid w:val="00976AD4"/>
    <w:rsid w:val="00983C52"/>
    <w:rsid w:val="00986E82"/>
    <w:rsid w:val="00994977"/>
    <w:rsid w:val="00995547"/>
    <w:rsid w:val="00995D6D"/>
    <w:rsid w:val="009A312F"/>
    <w:rsid w:val="009A5348"/>
    <w:rsid w:val="009B0AB7"/>
    <w:rsid w:val="009B4F54"/>
    <w:rsid w:val="009C76D5"/>
    <w:rsid w:val="009D3557"/>
    <w:rsid w:val="009F7AA4"/>
    <w:rsid w:val="00A10AD7"/>
    <w:rsid w:val="00A2017F"/>
    <w:rsid w:val="00A24F6D"/>
    <w:rsid w:val="00A31D96"/>
    <w:rsid w:val="00A323B0"/>
    <w:rsid w:val="00A32DD0"/>
    <w:rsid w:val="00A559DB"/>
    <w:rsid w:val="00A569EA"/>
    <w:rsid w:val="00A56C84"/>
    <w:rsid w:val="00A62972"/>
    <w:rsid w:val="00A676A0"/>
    <w:rsid w:val="00A912E7"/>
    <w:rsid w:val="00AB12BF"/>
    <w:rsid w:val="00AC323F"/>
    <w:rsid w:val="00AD588D"/>
    <w:rsid w:val="00AF35FC"/>
    <w:rsid w:val="00AF5556"/>
    <w:rsid w:val="00B009C1"/>
    <w:rsid w:val="00B02EC5"/>
    <w:rsid w:val="00B03639"/>
    <w:rsid w:val="00B0652A"/>
    <w:rsid w:val="00B068EB"/>
    <w:rsid w:val="00B111D4"/>
    <w:rsid w:val="00B249BA"/>
    <w:rsid w:val="00B40937"/>
    <w:rsid w:val="00B423EF"/>
    <w:rsid w:val="00B453DE"/>
    <w:rsid w:val="00B62497"/>
    <w:rsid w:val="00B70BD8"/>
    <w:rsid w:val="00B72597"/>
    <w:rsid w:val="00B77E85"/>
    <w:rsid w:val="00B87DC0"/>
    <w:rsid w:val="00B901F9"/>
    <w:rsid w:val="00BA7C06"/>
    <w:rsid w:val="00BB0863"/>
    <w:rsid w:val="00BB12E5"/>
    <w:rsid w:val="00BC311C"/>
    <w:rsid w:val="00BC4D98"/>
    <w:rsid w:val="00BD6EFB"/>
    <w:rsid w:val="00BE3DF5"/>
    <w:rsid w:val="00BF49F1"/>
    <w:rsid w:val="00BF54FC"/>
    <w:rsid w:val="00BF5EAB"/>
    <w:rsid w:val="00C02410"/>
    <w:rsid w:val="00C1584D"/>
    <w:rsid w:val="00C15BE2"/>
    <w:rsid w:val="00C3447F"/>
    <w:rsid w:val="00C35078"/>
    <w:rsid w:val="00C44714"/>
    <w:rsid w:val="00C46961"/>
    <w:rsid w:val="00C62FF8"/>
    <w:rsid w:val="00C67102"/>
    <w:rsid w:val="00C81491"/>
    <w:rsid w:val="00C81676"/>
    <w:rsid w:val="00C83C73"/>
    <w:rsid w:val="00C846CF"/>
    <w:rsid w:val="00C85C5D"/>
    <w:rsid w:val="00C87C40"/>
    <w:rsid w:val="00C92CC4"/>
    <w:rsid w:val="00C951BD"/>
    <w:rsid w:val="00CA0AFB"/>
    <w:rsid w:val="00CA2CE1"/>
    <w:rsid w:val="00CA3976"/>
    <w:rsid w:val="00CA50E3"/>
    <w:rsid w:val="00CA757B"/>
    <w:rsid w:val="00CC1787"/>
    <w:rsid w:val="00CC182C"/>
    <w:rsid w:val="00CD0824"/>
    <w:rsid w:val="00CD2908"/>
    <w:rsid w:val="00CF3A74"/>
    <w:rsid w:val="00D03A82"/>
    <w:rsid w:val="00D05FE4"/>
    <w:rsid w:val="00D13667"/>
    <w:rsid w:val="00D15344"/>
    <w:rsid w:val="00D23F57"/>
    <w:rsid w:val="00D279EE"/>
    <w:rsid w:val="00D31BEC"/>
    <w:rsid w:val="00D4111D"/>
    <w:rsid w:val="00D44748"/>
    <w:rsid w:val="00D50CA7"/>
    <w:rsid w:val="00D63150"/>
    <w:rsid w:val="00D636BA"/>
    <w:rsid w:val="00D64A32"/>
    <w:rsid w:val="00D64EFC"/>
    <w:rsid w:val="00D75295"/>
    <w:rsid w:val="00D76CE9"/>
    <w:rsid w:val="00D97F12"/>
    <w:rsid w:val="00DA6095"/>
    <w:rsid w:val="00DB42E7"/>
    <w:rsid w:val="00DC09D8"/>
    <w:rsid w:val="00DE01A6"/>
    <w:rsid w:val="00DE2C2D"/>
    <w:rsid w:val="00DE4F0D"/>
    <w:rsid w:val="00DE7A98"/>
    <w:rsid w:val="00DF32C2"/>
    <w:rsid w:val="00DF6B98"/>
    <w:rsid w:val="00E02A0A"/>
    <w:rsid w:val="00E471A7"/>
    <w:rsid w:val="00E635CF"/>
    <w:rsid w:val="00E9672F"/>
    <w:rsid w:val="00EA0201"/>
    <w:rsid w:val="00EB1E3B"/>
    <w:rsid w:val="00EB4BE7"/>
    <w:rsid w:val="00EC6E0A"/>
    <w:rsid w:val="00ED4E18"/>
    <w:rsid w:val="00ED7922"/>
    <w:rsid w:val="00EE02C4"/>
    <w:rsid w:val="00EE1F37"/>
    <w:rsid w:val="00F0159C"/>
    <w:rsid w:val="00F105B7"/>
    <w:rsid w:val="00F13220"/>
    <w:rsid w:val="00F17A21"/>
    <w:rsid w:val="00F36C90"/>
    <w:rsid w:val="00F36FC2"/>
    <w:rsid w:val="00F37B27"/>
    <w:rsid w:val="00F46556"/>
    <w:rsid w:val="00F50E91"/>
    <w:rsid w:val="00F54BA9"/>
    <w:rsid w:val="00F56799"/>
    <w:rsid w:val="00F57D29"/>
    <w:rsid w:val="00F60786"/>
    <w:rsid w:val="00F625BE"/>
    <w:rsid w:val="00F62C28"/>
    <w:rsid w:val="00F91BC7"/>
    <w:rsid w:val="00F96201"/>
    <w:rsid w:val="00F964D1"/>
    <w:rsid w:val="00FA1468"/>
    <w:rsid w:val="00FA1BBC"/>
    <w:rsid w:val="00FA6802"/>
    <w:rsid w:val="00FB6697"/>
    <w:rsid w:val="00FB734A"/>
    <w:rsid w:val="00FD0B18"/>
    <w:rsid w:val="00FD2FAD"/>
    <w:rsid w:val="00FE5597"/>
    <w:rsid w:val="00FE714F"/>
    <w:rsid w:val="00FF134A"/>
    <w:rsid w:val="00FF1C78"/>
    <w:rsid w:val="00FF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D3192E1E-9EB9-47E0-ACEE-D1D47BE7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3097"/>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243097"/>
    <w:pPr>
      <w:keepNext/>
    </w:pPr>
    <w:rPr>
      <w:rFonts w:ascii="Arial" w:hAnsi="Arial" w:cs="Arial"/>
      <w:b/>
      <w:caps/>
      <w:sz w:val="20"/>
      <w:szCs w:val="20"/>
    </w:rPr>
  </w:style>
  <w:style w:type="character" w:customStyle="1" w:styleId="Casehead1Char">
    <w:name w:val="Casehead 1 Char"/>
    <w:basedOn w:val="BodyTextMainChar"/>
    <w:link w:val="Casehead1"/>
    <w:rsid w:val="00243097"/>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F1793"/>
    <w:rPr>
      <w:b w:val="0"/>
      <w:color w:val="auto"/>
      <w:vertAlign w:val="superscript"/>
    </w:rPr>
  </w:style>
  <w:style w:type="paragraph" w:customStyle="1" w:styleId="Footnote">
    <w:name w:val="Footnote"/>
    <w:basedOn w:val="FootnoteText"/>
    <w:link w:val="FootnoteChar"/>
    <w:qFormat/>
    <w:rsid w:val="001F1793"/>
    <w:pPr>
      <w:jc w:val="both"/>
    </w:pPr>
    <w:rPr>
      <w:rFonts w:ascii="Arial" w:hAnsi="Arial" w:cs="Arial"/>
      <w:sz w:val="17"/>
      <w:szCs w:val="17"/>
    </w:rPr>
  </w:style>
  <w:style w:type="character" w:customStyle="1" w:styleId="FootnoteChar">
    <w:name w:val="Footnote Char"/>
    <w:basedOn w:val="FootnoteTextChar"/>
    <w:link w:val="Footnote"/>
    <w:rsid w:val="001F1793"/>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243097"/>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243097"/>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10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3703">
      <w:bodyDiv w:val="1"/>
      <w:marLeft w:val="0"/>
      <w:marRight w:val="0"/>
      <w:marTop w:val="0"/>
      <w:marBottom w:val="0"/>
      <w:divBdr>
        <w:top w:val="none" w:sz="0" w:space="0" w:color="auto"/>
        <w:left w:val="none" w:sz="0" w:space="0" w:color="auto"/>
        <w:bottom w:val="none" w:sz="0" w:space="0" w:color="auto"/>
        <w:right w:val="none" w:sz="0" w:space="0" w:color="auto"/>
      </w:divBdr>
    </w:div>
    <w:div w:id="554658669">
      <w:bodyDiv w:val="1"/>
      <w:marLeft w:val="0"/>
      <w:marRight w:val="0"/>
      <w:marTop w:val="0"/>
      <w:marBottom w:val="0"/>
      <w:divBdr>
        <w:top w:val="none" w:sz="0" w:space="0" w:color="auto"/>
        <w:left w:val="none" w:sz="0" w:space="0" w:color="auto"/>
        <w:bottom w:val="none" w:sz="0" w:space="0" w:color="auto"/>
        <w:right w:val="none" w:sz="0" w:space="0" w:color="auto"/>
      </w:divBdr>
    </w:div>
    <w:div w:id="723136121">
      <w:bodyDiv w:val="1"/>
      <w:marLeft w:val="0"/>
      <w:marRight w:val="0"/>
      <w:marTop w:val="0"/>
      <w:marBottom w:val="0"/>
      <w:divBdr>
        <w:top w:val="none" w:sz="0" w:space="0" w:color="auto"/>
        <w:left w:val="none" w:sz="0" w:space="0" w:color="auto"/>
        <w:bottom w:val="none" w:sz="0" w:space="0" w:color="auto"/>
        <w:right w:val="none" w:sz="0" w:space="0" w:color="auto"/>
      </w:divBdr>
    </w:div>
    <w:div w:id="901717143">
      <w:bodyDiv w:val="1"/>
      <w:marLeft w:val="0"/>
      <w:marRight w:val="0"/>
      <w:marTop w:val="0"/>
      <w:marBottom w:val="0"/>
      <w:divBdr>
        <w:top w:val="none" w:sz="0" w:space="0" w:color="auto"/>
        <w:left w:val="none" w:sz="0" w:space="0" w:color="auto"/>
        <w:bottom w:val="none" w:sz="0" w:space="0" w:color="auto"/>
        <w:right w:val="none" w:sz="0" w:space="0" w:color="auto"/>
      </w:divBdr>
    </w:div>
    <w:div w:id="909002516">
      <w:bodyDiv w:val="1"/>
      <w:marLeft w:val="0"/>
      <w:marRight w:val="0"/>
      <w:marTop w:val="0"/>
      <w:marBottom w:val="0"/>
      <w:divBdr>
        <w:top w:val="none" w:sz="0" w:space="0" w:color="auto"/>
        <w:left w:val="none" w:sz="0" w:space="0" w:color="auto"/>
        <w:bottom w:val="none" w:sz="0" w:space="0" w:color="auto"/>
        <w:right w:val="none" w:sz="0" w:space="0" w:color="auto"/>
      </w:divBdr>
    </w:div>
    <w:div w:id="990256464">
      <w:bodyDiv w:val="1"/>
      <w:marLeft w:val="0"/>
      <w:marRight w:val="0"/>
      <w:marTop w:val="0"/>
      <w:marBottom w:val="0"/>
      <w:divBdr>
        <w:top w:val="none" w:sz="0" w:space="0" w:color="auto"/>
        <w:left w:val="none" w:sz="0" w:space="0" w:color="auto"/>
        <w:bottom w:val="none" w:sz="0" w:space="0" w:color="auto"/>
        <w:right w:val="none" w:sz="0" w:space="0" w:color="auto"/>
      </w:divBdr>
    </w:div>
    <w:div w:id="1009714390">
      <w:bodyDiv w:val="1"/>
      <w:marLeft w:val="0"/>
      <w:marRight w:val="0"/>
      <w:marTop w:val="0"/>
      <w:marBottom w:val="0"/>
      <w:divBdr>
        <w:top w:val="none" w:sz="0" w:space="0" w:color="auto"/>
        <w:left w:val="none" w:sz="0" w:space="0" w:color="auto"/>
        <w:bottom w:val="none" w:sz="0" w:space="0" w:color="auto"/>
        <w:right w:val="none" w:sz="0" w:space="0" w:color="auto"/>
      </w:divBdr>
    </w:div>
    <w:div w:id="1279988736">
      <w:bodyDiv w:val="1"/>
      <w:marLeft w:val="0"/>
      <w:marRight w:val="0"/>
      <w:marTop w:val="0"/>
      <w:marBottom w:val="0"/>
      <w:divBdr>
        <w:top w:val="none" w:sz="0" w:space="0" w:color="auto"/>
        <w:left w:val="none" w:sz="0" w:space="0" w:color="auto"/>
        <w:bottom w:val="none" w:sz="0" w:space="0" w:color="auto"/>
        <w:right w:val="none" w:sz="0" w:space="0" w:color="auto"/>
      </w:divBdr>
    </w:div>
    <w:div w:id="1354649840">
      <w:bodyDiv w:val="1"/>
      <w:marLeft w:val="0"/>
      <w:marRight w:val="0"/>
      <w:marTop w:val="0"/>
      <w:marBottom w:val="0"/>
      <w:divBdr>
        <w:top w:val="none" w:sz="0" w:space="0" w:color="auto"/>
        <w:left w:val="none" w:sz="0" w:space="0" w:color="auto"/>
        <w:bottom w:val="none" w:sz="0" w:space="0" w:color="auto"/>
        <w:right w:val="none" w:sz="0" w:space="0" w:color="auto"/>
      </w:divBdr>
    </w:div>
    <w:div w:id="142619450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25650310">
      <w:bodyDiv w:val="1"/>
      <w:marLeft w:val="0"/>
      <w:marRight w:val="0"/>
      <w:marTop w:val="0"/>
      <w:marBottom w:val="0"/>
      <w:divBdr>
        <w:top w:val="none" w:sz="0" w:space="0" w:color="auto"/>
        <w:left w:val="none" w:sz="0" w:space="0" w:color="auto"/>
        <w:bottom w:val="none" w:sz="0" w:space="0" w:color="auto"/>
        <w:right w:val="none" w:sz="0" w:space="0" w:color="auto"/>
      </w:divBdr>
    </w:div>
    <w:div w:id="176444658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78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cbc.ca/news/canada/calgary/td-economics-report-alberta-recession-gdp-forecast-1.3684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B35D0-513A-4624-BFFC-B351D70C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4</cp:revision>
  <cp:lastPrinted>2019-10-10T17:48:00Z</cp:lastPrinted>
  <dcterms:created xsi:type="dcterms:W3CDTF">2019-10-16T18:18:00Z</dcterms:created>
  <dcterms:modified xsi:type="dcterms:W3CDTF">2019-10-16T18:43:00Z</dcterms:modified>
</cp:coreProperties>
</file>