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7B2F29" w14:textId="21C7DC72" w:rsidR="00B02D49" w:rsidRPr="000A349E" w:rsidRDefault="000A349E" w:rsidP="00C02410">
      <w:pPr>
        <w:pBdr>
          <w:bottom w:val="single" w:sz="18" w:space="1" w:color="auto"/>
        </w:pBdr>
        <w:tabs>
          <w:tab w:val="left" w:pos="-1440"/>
          <w:tab w:val="left" w:pos="-720"/>
          <w:tab w:val="left" w:pos="1"/>
        </w:tabs>
        <w:jc w:val="both"/>
        <w:rPr>
          <w:rFonts w:ascii="Arial" w:hAnsi="Arial"/>
          <w:b/>
          <w:sz w:val="24"/>
          <w:lang w:val="en-CA"/>
        </w:rPr>
      </w:pPr>
      <w:r w:rsidRPr="000A349E">
        <w:rPr>
          <w:rFonts w:ascii="Arial" w:hAnsi="Arial"/>
          <w:b/>
          <w:noProof/>
          <w:sz w:val="24"/>
          <w:lang w:val="en-CA" w:eastAsia="en-CA"/>
        </w:rPr>
        <w:drawing>
          <wp:inline distT="0" distB="0" distL="0" distR="0" wp14:anchorId="4CCF73EB" wp14:editId="4D9EDCDC">
            <wp:extent cx="2613804" cy="551245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blishing-Logo.jpg"/>
                    <pic:cNvPicPr/>
                  </pic:nvPicPr>
                  <pic:blipFill>
                    <a:blip r:embed="rId8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656" cy="55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BD9A0" w14:textId="3A632BE8" w:rsidR="00C02410" w:rsidRPr="000A349E" w:rsidRDefault="000A349E" w:rsidP="00C02410">
      <w:pPr>
        <w:pStyle w:val="ProductNumber"/>
        <w:rPr>
          <w:lang w:val="en-CA"/>
        </w:rPr>
      </w:pPr>
      <w:r w:rsidRPr="000A349E">
        <w:rPr>
          <w:lang w:val="en-CA"/>
        </w:rPr>
        <w:t>9B19M</w:t>
      </w:r>
      <w:r w:rsidR="00301D54">
        <w:rPr>
          <w:lang w:val="en-CA"/>
        </w:rPr>
        <w:t>101</w:t>
      </w:r>
    </w:p>
    <w:p w14:paraId="4E057522" w14:textId="7A113CB1" w:rsidR="00D75295" w:rsidRPr="000A349E" w:rsidRDefault="00D75295" w:rsidP="00D75295">
      <w:pPr>
        <w:jc w:val="right"/>
        <w:rPr>
          <w:rFonts w:ascii="Arial" w:hAnsi="Arial"/>
          <w:b/>
          <w:lang w:val="en-CA"/>
        </w:rPr>
      </w:pPr>
    </w:p>
    <w:p w14:paraId="02524312" w14:textId="77777777" w:rsidR="001901C0" w:rsidRPr="000A349E" w:rsidRDefault="001901C0" w:rsidP="00D75295">
      <w:pPr>
        <w:jc w:val="right"/>
        <w:rPr>
          <w:rFonts w:ascii="Arial" w:hAnsi="Arial"/>
          <w:b/>
          <w:lang w:val="en-CA"/>
        </w:rPr>
      </w:pPr>
    </w:p>
    <w:p w14:paraId="2F03D26A" w14:textId="1469D3AC" w:rsidR="00013360" w:rsidRPr="000A349E" w:rsidRDefault="00B02D49" w:rsidP="00013360">
      <w:pPr>
        <w:pStyle w:val="CaseTitle"/>
        <w:spacing w:after="0" w:line="240" w:lineRule="auto"/>
        <w:rPr>
          <w:sz w:val="20"/>
          <w:szCs w:val="20"/>
          <w:lang w:val="en-CA"/>
        </w:rPr>
      </w:pPr>
      <w:r w:rsidRPr="000A349E">
        <w:rPr>
          <w:lang w:val="en-CA"/>
        </w:rPr>
        <w:t xml:space="preserve">OECM: TRANSFORMING </w:t>
      </w:r>
      <w:proofErr w:type="gramStart"/>
      <w:r w:rsidR="0090529A" w:rsidRPr="000A349E">
        <w:rPr>
          <w:lang w:val="en-CA"/>
        </w:rPr>
        <w:t>PUBLIC-</w:t>
      </w:r>
      <w:r w:rsidRPr="000A349E">
        <w:rPr>
          <w:lang w:val="en-CA"/>
        </w:rPr>
        <w:t>SECTOR</w:t>
      </w:r>
      <w:proofErr w:type="gramEnd"/>
      <w:r w:rsidRPr="000A349E">
        <w:rPr>
          <w:lang w:val="en-CA"/>
        </w:rPr>
        <w:t xml:space="preserve"> CULTURE AND</w:t>
      </w:r>
      <w:r w:rsidR="00F364DE" w:rsidRPr="000A349E">
        <w:rPr>
          <w:lang w:val="en-CA"/>
        </w:rPr>
        <w:t xml:space="preserve"> SCALING</w:t>
      </w:r>
      <w:r w:rsidRPr="000A349E">
        <w:rPr>
          <w:lang w:val="en-CA"/>
        </w:rPr>
        <w:t xml:space="preserve"> FOR GROWTH</w:t>
      </w:r>
    </w:p>
    <w:p w14:paraId="40ABF6FD" w14:textId="77777777" w:rsidR="00CA3976" w:rsidRPr="000A349E" w:rsidRDefault="00CA3976" w:rsidP="00013360">
      <w:pPr>
        <w:pStyle w:val="CaseTitle"/>
        <w:spacing w:after="0" w:line="240" w:lineRule="auto"/>
        <w:rPr>
          <w:sz w:val="20"/>
          <w:szCs w:val="20"/>
          <w:lang w:val="en-CA"/>
        </w:rPr>
      </w:pPr>
    </w:p>
    <w:p w14:paraId="202F1085" w14:textId="77777777" w:rsidR="00013360" w:rsidRPr="000A349E" w:rsidRDefault="00013360" w:rsidP="00013360">
      <w:pPr>
        <w:pStyle w:val="CaseTitle"/>
        <w:spacing w:after="0" w:line="240" w:lineRule="auto"/>
        <w:rPr>
          <w:sz w:val="20"/>
          <w:szCs w:val="20"/>
          <w:lang w:val="en-CA"/>
        </w:rPr>
      </w:pPr>
    </w:p>
    <w:p w14:paraId="58B0C73F" w14:textId="1BB37ED8" w:rsidR="00086B26" w:rsidRPr="000A349E" w:rsidRDefault="009130B1" w:rsidP="00086B26">
      <w:pPr>
        <w:pStyle w:val="StyleCopyrightStatementAfter0ptBottomSinglesolidline1"/>
        <w:rPr>
          <w:lang w:val="en-CA"/>
        </w:rPr>
      </w:pPr>
      <w:r w:rsidRPr="000A349E">
        <w:rPr>
          <w:lang w:val="en-CA"/>
        </w:rPr>
        <w:t xml:space="preserve">Dr. </w:t>
      </w:r>
      <w:r w:rsidR="00B02D49" w:rsidRPr="000A349E">
        <w:rPr>
          <w:lang w:val="en-CA"/>
        </w:rPr>
        <w:t>Farzad Alvi and Amir Nematbakhsh</w:t>
      </w:r>
      <w:r w:rsidR="00ED7922" w:rsidRPr="000A349E">
        <w:rPr>
          <w:rFonts w:cs="Arial"/>
          <w:szCs w:val="16"/>
          <w:lang w:val="en-CA"/>
        </w:rPr>
        <w:t xml:space="preserve"> </w:t>
      </w:r>
      <w:r w:rsidR="00086B26" w:rsidRPr="000A349E">
        <w:rPr>
          <w:lang w:val="en-CA"/>
        </w:rPr>
        <w:t>wrote this case solely to provide material for class discussion. The authors do not intend to illustrate either effective or ineffective handling of a managerial situation. The authors may have disguised certain names and other identifying information to protect confidentiality.</w:t>
      </w:r>
    </w:p>
    <w:p w14:paraId="10D89D5F" w14:textId="77777777" w:rsidR="00086B26" w:rsidRPr="000A349E" w:rsidRDefault="00086B26" w:rsidP="00086B26">
      <w:pPr>
        <w:pStyle w:val="StyleCopyrightStatementAfter0ptBottomSinglesolidline1"/>
        <w:rPr>
          <w:lang w:val="en-CA"/>
        </w:rPr>
      </w:pPr>
    </w:p>
    <w:p w14:paraId="201F0E48" w14:textId="77777777" w:rsidR="000A349E" w:rsidRPr="000A349E" w:rsidRDefault="000A349E" w:rsidP="000A349E">
      <w:pPr>
        <w:pStyle w:val="StyleStyleCopyrightStatementAfter0ptBottomSinglesolid"/>
        <w:rPr>
          <w:rFonts w:cs="Arial"/>
          <w:color w:val="FFFFFF" w:themeColor="background1"/>
          <w:szCs w:val="16"/>
          <w:lang w:val="en-CA"/>
        </w:rPr>
      </w:pPr>
      <w:r w:rsidRPr="000A349E">
        <w:rPr>
          <w:rFonts w:cs="Arial"/>
          <w:szCs w:val="16"/>
          <w:lang w:val="en-CA"/>
        </w:rPr>
        <w:t xml:space="preserve">This publication </w:t>
      </w:r>
      <w:proofErr w:type="gramStart"/>
      <w:r w:rsidRPr="000A349E">
        <w:rPr>
          <w:rFonts w:cs="Arial"/>
          <w:szCs w:val="16"/>
          <w:lang w:val="en-CA"/>
        </w:rPr>
        <w:t>may not be transmitted, photocopied, digitized, or otherwise reproduced in any form or by any means without the permission of the copyright holder</w:t>
      </w:r>
      <w:proofErr w:type="gramEnd"/>
      <w:r w:rsidRPr="000A349E">
        <w:rPr>
          <w:rFonts w:cs="Arial"/>
          <w:szCs w:val="16"/>
          <w:lang w:val="en-CA"/>
        </w:rPr>
        <w:t xml:space="preserve">. Reproduction of this material </w:t>
      </w:r>
      <w:proofErr w:type="gramStart"/>
      <w:r w:rsidRPr="000A349E">
        <w:rPr>
          <w:rFonts w:cs="Arial"/>
          <w:szCs w:val="16"/>
          <w:lang w:val="en-CA"/>
        </w:rPr>
        <w:t>is not covered</w:t>
      </w:r>
      <w:proofErr w:type="gramEnd"/>
      <w:r w:rsidRPr="000A349E">
        <w:rPr>
          <w:rFonts w:cs="Arial"/>
          <w:szCs w:val="16"/>
          <w:lang w:val="en-CA"/>
        </w:rPr>
        <w:t xml:space="preserve"> under authorization by any reproduction rights organization. To order copies or request permission to reproduce materials, contact Ivey Publishing, Ivey Business School, Western University, London, Ontario, Canada, N6G 0N1; (t) 519.661.3208; (e) cases@ivey.ca; www.iveycases.com. Our goal is to publish materials of the highest quality; submit any errata to publishcases@ivey.ca. </w:t>
      </w:r>
      <w:r w:rsidRPr="000A349E">
        <w:rPr>
          <w:rFonts w:cs="Arial"/>
          <w:color w:val="FFFFFF" w:themeColor="background1"/>
          <w:szCs w:val="16"/>
          <w:lang w:val="en-CA"/>
        </w:rPr>
        <w:t>i1v2e5y5pubs</w:t>
      </w:r>
    </w:p>
    <w:p w14:paraId="0C0C84D0" w14:textId="77777777" w:rsidR="000A349E" w:rsidRPr="000A349E" w:rsidRDefault="000A349E" w:rsidP="000A349E">
      <w:pPr>
        <w:pStyle w:val="StyleStyleCopyrightStatementAfter0ptBottomSinglesolid"/>
        <w:rPr>
          <w:rFonts w:cs="Arial"/>
          <w:color w:val="FFFFFF" w:themeColor="background1"/>
          <w:szCs w:val="16"/>
          <w:lang w:val="en-CA"/>
        </w:rPr>
      </w:pPr>
    </w:p>
    <w:p w14:paraId="3922E14F" w14:textId="0F82FA2C" w:rsidR="00751E0B" w:rsidRPr="000A349E" w:rsidRDefault="000A349E" w:rsidP="00A323B0">
      <w:pPr>
        <w:pStyle w:val="StyleStyleCopyrightStatementAfter0ptBottomSinglesolid"/>
        <w:rPr>
          <w:rFonts w:cs="Arial"/>
          <w:color w:val="FFFFFF" w:themeColor="background1"/>
          <w:szCs w:val="16"/>
          <w:lang w:val="en-CA"/>
        </w:rPr>
      </w:pPr>
      <w:r w:rsidRPr="000A349E">
        <w:rPr>
          <w:rFonts w:cs="Arial"/>
          <w:iCs w:val="0"/>
          <w:color w:val="auto"/>
          <w:szCs w:val="16"/>
          <w:lang w:val="en-CA"/>
        </w:rPr>
        <w:t>Copyright © 2019, Ivey Business School Foundation</w:t>
      </w:r>
      <w:r w:rsidR="00A323B0" w:rsidRPr="000A349E">
        <w:rPr>
          <w:rFonts w:cs="Arial"/>
          <w:iCs w:val="0"/>
          <w:color w:val="auto"/>
          <w:szCs w:val="16"/>
          <w:lang w:val="en-CA"/>
        </w:rPr>
        <w:tab/>
      </w:r>
      <w:r w:rsidR="008D604C" w:rsidRPr="000A349E">
        <w:rPr>
          <w:rFonts w:cs="Arial"/>
          <w:iCs w:val="0"/>
          <w:color w:val="auto"/>
          <w:szCs w:val="16"/>
          <w:lang w:val="en-CA"/>
        </w:rPr>
        <w:t>Version: 2019-0</w:t>
      </w:r>
      <w:r w:rsidR="00301D54">
        <w:rPr>
          <w:rFonts w:cs="Arial"/>
          <w:iCs w:val="0"/>
          <w:color w:val="auto"/>
          <w:szCs w:val="16"/>
          <w:lang w:val="en-CA"/>
        </w:rPr>
        <w:t>9</w:t>
      </w:r>
      <w:r w:rsidR="008D604C" w:rsidRPr="000A349E">
        <w:rPr>
          <w:rFonts w:cs="Arial"/>
          <w:iCs w:val="0"/>
          <w:color w:val="auto"/>
          <w:szCs w:val="16"/>
          <w:lang w:val="en-CA"/>
        </w:rPr>
        <w:t>-</w:t>
      </w:r>
      <w:r w:rsidR="006A09A2">
        <w:rPr>
          <w:rFonts w:cs="Arial"/>
          <w:iCs w:val="0"/>
          <w:color w:val="auto"/>
          <w:szCs w:val="16"/>
          <w:lang w:val="en-CA"/>
        </w:rPr>
        <w:t>06</w:t>
      </w:r>
    </w:p>
    <w:p w14:paraId="0A2A54E4" w14:textId="77777777" w:rsidR="00751E0B" w:rsidRPr="000A349E" w:rsidRDefault="00751E0B" w:rsidP="00751E0B">
      <w:pPr>
        <w:pStyle w:val="StyleCopyrightStatementAfter0ptBottomSinglesolidline1"/>
        <w:rPr>
          <w:rFonts w:ascii="Times New Roman" w:hAnsi="Times New Roman"/>
          <w:szCs w:val="16"/>
          <w:lang w:val="en-CA"/>
        </w:rPr>
      </w:pPr>
    </w:p>
    <w:p w14:paraId="416D1939" w14:textId="77777777" w:rsidR="00B02D49" w:rsidRPr="000A349E" w:rsidRDefault="00B02D49" w:rsidP="00751E0B">
      <w:pPr>
        <w:pStyle w:val="StyleCopyrightStatementAfter0ptBottomSinglesolidline1"/>
        <w:rPr>
          <w:rFonts w:ascii="Times New Roman" w:hAnsi="Times New Roman"/>
          <w:szCs w:val="16"/>
          <w:lang w:val="en-CA"/>
        </w:rPr>
      </w:pPr>
    </w:p>
    <w:p w14:paraId="03F4E769" w14:textId="06663CD0" w:rsidR="00B02D49" w:rsidRPr="000A349E" w:rsidRDefault="00B02D49" w:rsidP="00B02D49">
      <w:pPr>
        <w:pStyle w:val="BodyTextMain"/>
        <w:rPr>
          <w:rFonts w:eastAsia="Yu Mincho"/>
          <w:spacing w:val="-4"/>
          <w:kern w:val="22"/>
          <w:lang w:val="en-CA"/>
        </w:rPr>
      </w:pPr>
      <w:r w:rsidRPr="000A349E">
        <w:rPr>
          <w:rFonts w:eastAsia="Yu Mincho"/>
          <w:spacing w:val="-4"/>
          <w:kern w:val="22"/>
          <w:lang w:val="en-CA"/>
        </w:rPr>
        <w:t xml:space="preserve">In </w:t>
      </w:r>
      <w:r w:rsidR="00EA1817" w:rsidRPr="000A349E">
        <w:rPr>
          <w:rFonts w:eastAsia="Yu Mincho"/>
          <w:spacing w:val="-4"/>
          <w:kern w:val="22"/>
          <w:lang w:val="en-CA"/>
        </w:rPr>
        <w:t>January</w:t>
      </w:r>
      <w:r w:rsidRPr="000A349E">
        <w:rPr>
          <w:rFonts w:eastAsia="Yu Mincho"/>
          <w:spacing w:val="-4"/>
          <w:kern w:val="22"/>
          <w:lang w:val="en-CA"/>
        </w:rPr>
        <w:t xml:space="preserve"> 2018, </w:t>
      </w:r>
      <w:r w:rsidR="001F03D4" w:rsidRPr="000A349E">
        <w:rPr>
          <w:rFonts w:eastAsia="Yu Mincho"/>
          <w:spacing w:val="-4"/>
          <w:kern w:val="22"/>
          <w:lang w:val="en-CA"/>
        </w:rPr>
        <w:t>Ontario Education Collaborative Marketplace (</w:t>
      </w:r>
      <w:r w:rsidRPr="000A349E">
        <w:rPr>
          <w:rFonts w:eastAsia="Yu Mincho"/>
          <w:spacing w:val="-4"/>
          <w:kern w:val="22"/>
          <w:lang w:val="en-CA"/>
        </w:rPr>
        <w:t>OECM) was entering a period of unprecedented growth and formulating an organizational strategy for mastering that growth. OECM was a strategic sourcing organization focused on the education sector in Ontario, Canada</w:t>
      </w:r>
      <w:r w:rsidR="001F03D4" w:rsidRPr="000A349E">
        <w:rPr>
          <w:rFonts w:eastAsia="Yu Mincho"/>
          <w:spacing w:val="-4"/>
          <w:kern w:val="22"/>
          <w:lang w:val="en-CA"/>
        </w:rPr>
        <w:t>, where u</w:t>
      </w:r>
      <w:r w:rsidRPr="000A349E">
        <w:rPr>
          <w:rFonts w:eastAsia="Yu Mincho"/>
          <w:spacing w:val="-4"/>
          <w:kern w:val="22"/>
          <w:lang w:val="en-CA"/>
        </w:rPr>
        <w:t xml:space="preserve">niversities, colleges, and school boards </w:t>
      </w:r>
      <w:r w:rsidR="001F03D4" w:rsidRPr="000A349E">
        <w:rPr>
          <w:rFonts w:eastAsia="Yu Mincho"/>
          <w:spacing w:val="-4"/>
          <w:kern w:val="22"/>
          <w:lang w:val="en-CA"/>
        </w:rPr>
        <w:t xml:space="preserve">spent </w:t>
      </w:r>
      <w:r w:rsidRPr="000A349E">
        <w:rPr>
          <w:rFonts w:eastAsia="Yu Mincho"/>
          <w:spacing w:val="-4"/>
          <w:kern w:val="22"/>
          <w:lang w:val="en-CA"/>
        </w:rPr>
        <w:t>approximately CA$4</w:t>
      </w:r>
      <w:r w:rsidR="00C11F82" w:rsidRPr="000A349E">
        <w:rPr>
          <w:rFonts w:eastAsia="Yu Mincho"/>
          <w:spacing w:val="-4"/>
          <w:kern w:val="22"/>
          <w:lang w:val="en-CA"/>
        </w:rPr>
        <w:t xml:space="preserve"> </w:t>
      </w:r>
      <w:r w:rsidRPr="000A349E">
        <w:rPr>
          <w:rFonts w:eastAsia="Yu Mincho"/>
          <w:spacing w:val="-4"/>
          <w:kern w:val="22"/>
          <w:lang w:val="en-CA"/>
        </w:rPr>
        <w:t>b</w:t>
      </w:r>
      <w:r w:rsidR="001F03D4" w:rsidRPr="000A349E">
        <w:rPr>
          <w:rFonts w:eastAsia="Yu Mincho"/>
          <w:spacing w:val="-4"/>
          <w:kern w:val="22"/>
          <w:lang w:val="en-CA"/>
        </w:rPr>
        <w:t>illio</w:t>
      </w:r>
      <w:r w:rsidRPr="000A349E">
        <w:rPr>
          <w:rFonts w:eastAsia="Yu Mincho"/>
          <w:spacing w:val="-4"/>
          <w:kern w:val="22"/>
          <w:lang w:val="en-CA"/>
        </w:rPr>
        <w:t>n</w:t>
      </w:r>
      <w:r w:rsidR="002C0285" w:rsidRPr="000A349E">
        <w:rPr>
          <w:rStyle w:val="FootnoteReference"/>
          <w:rFonts w:eastAsia="Yu Mincho"/>
          <w:spacing w:val="-4"/>
          <w:kern w:val="22"/>
          <w:lang w:val="en-CA"/>
        </w:rPr>
        <w:footnoteReference w:id="1"/>
      </w:r>
      <w:r w:rsidRPr="000A349E">
        <w:rPr>
          <w:rFonts w:eastAsia="Yu Mincho"/>
          <w:spacing w:val="-4"/>
          <w:kern w:val="22"/>
          <w:lang w:val="en-CA"/>
        </w:rPr>
        <w:t xml:space="preserve"> annually </w:t>
      </w:r>
      <w:r w:rsidR="001F03D4" w:rsidRPr="000A349E">
        <w:rPr>
          <w:rFonts w:eastAsia="Yu Mincho"/>
          <w:spacing w:val="-4"/>
          <w:kern w:val="22"/>
          <w:lang w:val="en-CA"/>
        </w:rPr>
        <w:t xml:space="preserve">to </w:t>
      </w:r>
      <w:r w:rsidRPr="000A349E">
        <w:rPr>
          <w:rFonts w:eastAsia="Yu Mincho"/>
          <w:spacing w:val="-4"/>
          <w:kern w:val="22"/>
          <w:lang w:val="en-CA"/>
        </w:rPr>
        <w:t>procure everyth</w:t>
      </w:r>
      <w:r w:rsidR="000A349E" w:rsidRPr="000A349E">
        <w:rPr>
          <w:rFonts w:eastAsia="Yu Mincho"/>
          <w:spacing w:val="-4"/>
          <w:kern w:val="22"/>
          <w:lang w:val="en-CA"/>
        </w:rPr>
        <w:t>ing from pencils to computers.</w:t>
      </w:r>
    </w:p>
    <w:p w14:paraId="655E60D6" w14:textId="77777777" w:rsidR="00B02D49" w:rsidRPr="000A349E" w:rsidRDefault="00B02D49" w:rsidP="00B02D49">
      <w:pPr>
        <w:pStyle w:val="BodyTextMain"/>
        <w:rPr>
          <w:rFonts w:eastAsia="Yu Mincho"/>
          <w:sz w:val="18"/>
          <w:szCs w:val="18"/>
          <w:lang w:val="en-CA"/>
        </w:rPr>
      </w:pPr>
    </w:p>
    <w:p w14:paraId="70B5ECB2" w14:textId="52CE9197" w:rsidR="00B02D49" w:rsidRPr="000A349E" w:rsidRDefault="00B02D49" w:rsidP="00B02D49">
      <w:pPr>
        <w:pStyle w:val="BodyTextMain"/>
        <w:rPr>
          <w:rFonts w:eastAsia="Yu Mincho"/>
          <w:lang w:val="en-CA"/>
        </w:rPr>
      </w:pPr>
      <w:r w:rsidRPr="000A349E">
        <w:rPr>
          <w:rFonts w:eastAsia="Yu Mincho"/>
          <w:lang w:val="en-CA"/>
        </w:rPr>
        <w:t>John Sabo</w:t>
      </w:r>
      <w:r w:rsidR="001F03D4" w:rsidRPr="000A349E">
        <w:rPr>
          <w:rFonts w:eastAsia="Yu Mincho"/>
          <w:lang w:val="en-CA"/>
        </w:rPr>
        <w:t>, who</w:t>
      </w:r>
      <w:r w:rsidRPr="000A349E">
        <w:rPr>
          <w:rFonts w:eastAsia="Yu Mincho"/>
          <w:lang w:val="en-CA"/>
        </w:rPr>
        <w:t xml:space="preserve"> </w:t>
      </w:r>
      <w:r w:rsidR="001F03D4" w:rsidRPr="000A349E">
        <w:rPr>
          <w:rFonts w:eastAsia="Yu Mincho"/>
          <w:lang w:val="en-CA"/>
        </w:rPr>
        <w:t>became chief executive officer</w:t>
      </w:r>
      <w:r w:rsidRPr="000A349E">
        <w:rPr>
          <w:rFonts w:eastAsia="Yu Mincho"/>
          <w:lang w:val="en-CA"/>
        </w:rPr>
        <w:t xml:space="preserve"> of OECM on May 2</w:t>
      </w:r>
      <w:r w:rsidR="009C4C2F" w:rsidRPr="000A349E">
        <w:rPr>
          <w:rFonts w:eastAsia="Yu Mincho"/>
          <w:lang w:val="en-CA"/>
        </w:rPr>
        <w:t xml:space="preserve">, </w:t>
      </w:r>
      <w:r w:rsidRPr="000A349E">
        <w:rPr>
          <w:rFonts w:eastAsia="Yu Mincho"/>
          <w:lang w:val="en-CA"/>
        </w:rPr>
        <w:t>2016</w:t>
      </w:r>
      <w:r w:rsidR="001F03D4" w:rsidRPr="000A349E">
        <w:rPr>
          <w:rFonts w:eastAsia="Yu Mincho"/>
          <w:lang w:val="en-CA"/>
        </w:rPr>
        <w:t>, had previous</w:t>
      </w:r>
      <w:r w:rsidR="007476DC" w:rsidRPr="000A349E">
        <w:rPr>
          <w:rFonts w:eastAsia="Yu Mincho"/>
          <w:lang w:val="en-CA"/>
        </w:rPr>
        <w:t>ly</w:t>
      </w:r>
      <w:r w:rsidR="001F03D4" w:rsidRPr="000A349E">
        <w:rPr>
          <w:rFonts w:eastAsia="Yu Mincho"/>
          <w:lang w:val="en-CA"/>
        </w:rPr>
        <w:t xml:space="preserve"> c</w:t>
      </w:r>
      <w:r w:rsidRPr="000A349E">
        <w:rPr>
          <w:rFonts w:eastAsia="Yu Mincho"/>
          <w:lang w:val="en-CA"/>
        </w:rPr>
        <w:t>hair</w:t>
      </w:r>
      <w:r w:rsidR="001F03D4" w:rsidRPr="000A349E">
        <w:rPr>
          <w:rFonts w:eastAsia="Yu Mincho"/>
          <w:lang w:val="en-CA"/>
        </w:rPr>
        <w:t>ed</w:t>
      </w:r>
      <w:r w:rsidRPr="000A349E">
        <w:rPr>
          <w:rFonts w:eastAsia="Yu Mincho"/>
          <w:lang w:val="en-CA"/>
        </w:rPr>
        <w:t xml:space="preserve"> a multi-billion</w:t>
      </w:r>
      <w:r w:rsidR="001F03D4" w:rsidRPr="000A349E">
        <w:rPr>
          <w:rFonts w:eastAsia="Yu Mincho"/>
          <w:lang w:val="en-CA"/>
        </w:rPr>
        <w:t>-dollar</w:t>
      </w:r>
      <w:r w:rsidRPr="000A349E">
        <w:rPr>
          <w:rFonts w:eastAsia="Yu Mincho"/>
          <w:lang w:val="en-CA"/>
        </w:rPr>
        <w:t xml:space="preserve"> pension fund, served on the </w:t>
      </w:r>
      <w:r w:rsidR="001F03D4" w:rsidRPr="000A349E">
        <w:rPr>
          <w:rFonts w:eastAsia="Yu Mincho"/>
          <w:lang w:val="en-CA"/>
        </w:rPr>
        <w:t>b</w:t>
      </w:r>
      <w:r w:rsidRPr="000A349E">
        <w:rPr>
          <w:rFonts w:eastAsia="Yu Mincho"/>
          <w:lang w:val="en-CA"/>
        </w:rPr>
        <w:t xml:space="preserve">oard of OECM, and </w:t>
      </w:r>
      <w:r w:rsidR="00D217E3" w:rsidRPr="000A349E">
        <w:rPr>
          <w:rFonts w:eastAsia="Yu Mincho"/>
          <w:lang w:val="en-CA"/>
        </w:rPr>
        <w:t>acted as chief financial officer</w:t>
      </w:r>
      <w:r w:rsidRPr="000A349E">
        <w:rPr>
          <w:rFonts w:eastAsia="Yu Mincho"/>
          <w:lang w:val="en-CA"/>
        </w:rPr>
        <w:t xml:space="preserve"> of a large school board in Ontario. Seeing </w:t>
      </w:r>
      <w:r w:rsidR="00D217E3" w:rsidRPr="000A349E">
        <w:rPr>
          <w:rFonts w:eastAsia="Yu Mincho"/>
          <w:lang w:val="en-CA"/>
        </w:rPr>
        <w:t>a chance to create</w:t>
      </w:r>
      <w:r w:rsidRPr="000A349E">
        <w:rPr>
          <w:rFonts w:eastAsia="Yu Mincho"/>
          <w:lang w:val="en-CA"/>
        </w:rPr>
        <w:t xml:space="preserve"> a strategy for unprecedented growth, Sabo was readying himself for the first strategy offsite </w:t>
      </w:r>
      <w:r w:rsidR="00D217E3" w:rsidRPr="000A349E">
        <w:rPr>
          <w:rFonts w:eastAsia="Yu Mincho"/>
          <w:lang w:val="en-CA"/>
        </w:rPr>
        <w:t xml:space="preserve">meeting </w:t>
      </w:r>
      <w:r w:rsidRPr="000A349E">
        <w:rPr>
          <w:rFonts w:eastAsia="Yu Mincho"/>
          <w:lang w:val="en-CA"/>
        </w:rPr>
        <w:t xml:space="preserve">of a newly constituted </w:t>
      </w:r>
      <w:r w:rsidR="00D217E3" w:rsidRPr="000A349E">
        <w:rPr>
          <w:rFonts w:eastAsia="Yu Mincho"/>
          <w:lang w:val="en-CA"/>
        </w:rPr>
        <w:t>b</w:t>
      </w:r>
      <w:r w:rsidRPr="000A349E">
        <w:rPr>
          <w:rFonts w:eastAsia="Yu Mincho"/>
          <w:lang w:val="en-CA"/>
        </w:rPr>
        <w:t>oard in March 2018. What strategy would emerge, if any, from the offsite discussion</w:t>
      </w:r>
      <w:r w:rsidR="00D217E3" w:rsidRPr="000A349E">
        <w:rPr>
          <w:rFonts w:eastAsia="Yu Mincho"/>
          <w:lang w:val="en-CA"/>
        </w:rPr>
        <w:t>?</w:t>
      </w:r>
      <w:r w:rsidRPr="000A349E">
        <w:rPr>
          <w:rFonts w:eastAsia="Yu Mincho"/>
          <w:lang w:val="en-CA"/>
        </w:rPr>
        <w:t xml:space="preserve"> </w:t>
      </w:r>
      <w:r w:rsidR="00D217E3" w:rsidRPr="000A349E">
        <w:rPr>
          <w:rFonts w:eastAsia="Yu Mincho"/>
          <w:lang w:val="en-CA"/>
        </w:rPr>
        <w:t>W</w:t>
      </w:r>
      <w:r w:rsidRPr="000A349E">
        <w:rPr>
          <w:rFonts w:eastAsia="Yu Mincho"/>
          <w:lang w:val="en-CA"/>
        </w:rPr>
        <w:t>hat</w:t>
      </w:r>
      <w:r w:rsidR="00D217E3" w:rsidRPr="000A349E">
        <w:rPr>
          <w:rFonts w:eastAsia="Yu Mincho"/>
          <w:lang w:val="en-CA"/>
        </w:rPr>
        <w:t xml:space="preserve"> </w:t>
      </w:r>
      <w:r w:rsidRPr="000A349E">
        <w:rPr>
          <w:rFonts w:eastAsia="Yu Mincho"/>
          <w:lang w:val="en-CA"/>
        </w:rPr>
        <w:t xml:space="preserve">strategy </w:t>
      </w:r>
      <w:r w:rsidR="00D217E3" w:rsidRPr="000A349E">
        <w:rPr>
          <w:rFonts w:eastAsia="Yu Mincho"/>
          <w:lang w:val="en-CA"/>
        </w:rPr>
        <w:t xml:space="preserve">would OECM </w:t>
      </w:r>
      <w:r w:rsidR="006A09A2">
        <w:rPr>
          <w:rFonts w:eastAsia="Yu Mincho"/>
          <w:lang w:val="en-CA"/>
        </w:rPr>
        <w:t>use</w:t>
      </w:r>
      <w:r w:rsidR="00D217E3" w:rsidRPr="000A349E">
        <w:rPr>
          <w:rFonts w:eastAsia="Yu Mincho"/>
          <w:lang w:val="en-CA"/>
        </w:rPr>
        <w:t xml:space="preserve"> </w:t>
      </w:r>
      <w:r w:rsidRPr="000A349E">
        <w:rPr>
          <w:rFonts w:eastAsia="Yu Mincho"/>
          <w:lang w:val="en-CA"/>
        </w:rPr>
        <w:t xml:space="preserve">to achieve its aggressive growth targets? How should OECM scale? </w:t>
      </w:r>
    </w:p>
    <w:p w14:paraId="0E466BA4" w14:textId="77777777" w:rsidR="00B02D49" w:rsidRPr="000A349E" w:rsidRDefault="00B02D49" w:rsidP="00B02D49">
      <w:pPr>
        <w:pStyle w:val="BodyTextMain"/>
        <w:rPr>
          <w:rFonts w:eastAsia="Yu Mincho"/>
          <w:sz w:val="18"/>
          <w:szCs w:val="18"/>
          <w:lang w:val="en-CA"/>
        </w:rPr>
      </w:pPr>
    </w:p>
    <w:p w14:paraId="58602A8F" w14:textId="77777777" w:rsidR="00B02D49" w:rsidRPr="000A349E" w:rsidRDefault="00B02D49" w:rsidP="00B02D49">
      <w:pPr>
        <w:pStyle w:val="BodyTextMain"/>
        <w:rPr>
          <w:rFonts w:eastAsia="Yu Mincho"/>
          <w:sz w:val="18"/>
          <w:szCs w:val="18"/>
          <w:lang w:val="en-CA"/>
        </w:rPr>
      </w:pPr>
    </w:p>
    <w:p w14:paraId="3E9C3989" w14:textId="77777777" w:rsidR="00B02D49" w:rsidRPr="000A349E" w:rsidRDefault="00B02D49" w:rsidP="00B02D49">
      <w:pPr>
        <w:pStyle w:val="Casehead1"/>
        <w:rPr>
          <w:rFonts w:eastAsia="Yu Gothic Light"/>
          <w:lang w:val="en-CA"/>
        </w:rPr>
      </w:pPr>
      <w:bookmarkStart w:id="0" w:name="_Toc515971098"/>
      <w:r w:rsidRPr="000A349E">
        <w:rPr>
          <w:rFonts w:eastAsia="Yu Gothic Light"/>
          <w:lang w:val="en-CA"/>
        </w:rPr>
        <w:t>FORMATION AND BUSINESS MODEL</w:t>
      </w:r>
      <w:bookmarkStart w:id="1" w:name="_Hlk510428925"/>
      <w:bookmarkEnd w:id="0"/>
    </w:p>
    <w:p w14:paraId="5E9A0F61" w14:textId="77777777" w:rsidR="00B02D49" w:rsidRPr="000A349E" w:rsidRDefault="00B02D49" w:rsidP="00B02D49">
      <w:pPr>
        <w:pStyle w:val="BodyTextMain"/>
        <w:rPr>
          <w:rFonts w:eastAsia="Yu Gothic Light"/>
          <w:sz w:val="18"/>
          <w:szCs w:val="18"/>
          <w:lang w:val="en-CA"/>
        </w:rPr>
      </w:pPr>
    </w:p>
    <w:p w14:paraId="0A581723" w14:textId="272EFCC6" w:rsidR="00B02D49" w:rsidRPr="000A349E" w:rsidRDefault="00B02D49" w:rsidP="00B02D49">
      <w:pPr>
        <w:pStyle w:val="BodyTextMain"/>
        <w:rPr>
          <w:rFonts w:eastAsia="Yu Mincho"/>
          <w:lang w:val="en-CA"/>
        </w:rPr>
      </w:pPr>
      <w:bookmarkStart w:id="2" w:name="_Hlk510428928"/>
      <w:bookmarkEnd w:id="1"/>
      <w:r w:rsidRPr="000A349E">
        <w:rPr>
          <w:rFonts w:eastAsia="Yu Mincho"/>
          <w:lang w:val="en-CA"/>
        </w:rPr>
        <w:t xml:space="preserve">OECM was a quasi-public-sector organization, initially backed by the Ontario government and now a private, not-for-profit </w:t>
      </w:r>
      <w:r w:rsidR="005611BC" w:rsidRPr="000A349E">
        <w:rPr>
          <w:rFonts w:eastAsia="Yu Mincho"/>
          <w:lang w:val="en-CA"/>
        </w:rPr>
        <w:t>organization</w:t>
      </w:r>
      <w:r w:rsidRPr="000A349E">
        <w:rPr>
          <w:rFonts w:eastAsia="Yu Mincho"/>
          <w:lang w:val="en-CA"/>
        </w:rPr>
        <w:t xml:space="preserve">. </w:t>
      </w:r>
      <w:r w:rsidR="007476DC" w:rsidRPr="000A349E">
        <w:rPr>
          <w:rFonts w:eastAsia="Yu Mincho"/>
          <w:lang w:val="en-CA"/>
        </w:rPr>
        <w:t>It originated in</w:t>
      </w:r>
      <w:r w:rsidRPr="000A349E">
        <w:rPr>
          <w:rFonts w:eastAsia="Yu Mincho"/>
          <w:lang w:val="en-CA"/>
        </w:rPr>
        <w:t xml:space="preserve"> 2004</w:t>
      </w:r>
      <w:r w:rsidR="007476DC" w:rsidRPr="000A349E">
        <w:rPr>
          <w:rFonts w:eastAsia="Yu Mincho"/>
          <w:lang w:val="en-CA"/>
        </w:rPr>
        <w:t>,</w:t>
      </w:r>
      <w:r w:rsidRPr="000A349E">
        <w:rPr>
          <w:rFonts w:eastAsia="Yu Mincho"/>
          <w:lang w:val="en-CA"/>
        </w:rPr>
        <w:t xml:space="preserve"> </w:t>
      </w:r>
      <w:r w:rsidR="007476DC" w:rsidRPr="000A349E">
        <w:rPr>
          <w:rFonts w:eastAsia="Yu Mincho"/>
          <w:lang w:val="en-CA"/>
        </w:rPr>
        <w:t>when</w:t>
      </w:r>
      <w:r w:rsidRPr="000A349E">
        <w:rPr>
          <w:rFonts w:eastAsia="Yu Mincho"/>
          <w:lang w:val="en-CA"/>
        </w:rPr>
        <w:t xml:space="preserve"> a group of procurement professionals from the education sector experimented with </w:t>
      </w:r>
      <w:r w:rsidR="007476DC" w:rsidRPr="000A349E">
        <w:rPr>
          <w:rFonts w:eastAsia="Yu Mincho"/>
          <w:lang w:val="en-CA"/>
        </w:rPr>
        <w:t xml:space="preserve">ways to mitigate the </w:t>
      </w:r>
      <w:r w:rsidRPr="000A349E">
        <w:rPr>
          <w:rFonts w:eastAsia="Yu Mincho"/>
          <w:lang w:val="en-CA"/>
        </w:rPr>
        <w:t xml:space="preserve">costly procurement process required </w:t>
      </w:r>
      <w:r w:rsidR="007476DC" w:rsidRPr="000A349E">
        <w:rPr>
          <w:rFonts w:eastAsia="Yu Mincho"/>
          <w:lang w:val="en-CA"/>
        </w:rPr>
        <w:t>for</w:t>
      </w:r>
      <w:r w:rsidRPr="000A349E">
        <w:rPr>
          <w:rFonts w:eastAsia="Yu Mincho"/>
          <w:lang w:val="en-CA"/>
        </w:rPr>
        <w:t xml:space="preserve"> </w:t>
      </w:r>
      <w:r w:rsidR="007476DC" w:rsidRPr="000A349E">
        <w:rPr>
          <w:rFonts w:eastAsia="Yu Mincho"/>
          <w:lang w:val="en-CA"/>
        </w:rPr>
        <w:t xml:space="preserve">purchases </w:t>
      </w:r>
      <w:r w:rsidR="007476DC" w:rsidRPr="000A349E">
        <w:rPr>
          <w:lang w:val="en-CA"/>
        </w:rPr>
        <w:t xml:space="preserve">of goods and services </w:t>
      </w:r>
      <w:r w:rsidR="007476DC" w:rsidRPr="000A349E">
        <w:rPr>
          <w:rFonts w:eastAsia="Yu Mincho"/>
          <w:lang w:val="en-CA"/>
        </w:rPr>
        <w:t>over $100,000</w:t>
      </w:r>
      <w:r w:rsidR="007476DC" w:rsidRPr="000A349E">
        <w:rPr>
          <w:lang w:val="en-CA"/>
        </w:rPr>
        <w:t xml:space="preserve"> using public funds (see Exhibit 1)</w:t>
      </w:r>
      <w:r w:rsidR="007476DC" w:rsidRPr="000A349E">
        <w:rPr>
          <w:rFonts w:eastAsia="Yu Mincho"/>
          <w:lang w:val="en-CA"/>
        </w:rPr>
        <w:t>.</w:t>
      </w:r>
      <w:r w:rsidRPr="000A349E">
        <w:rPr>
          <w:rFonts w:eastAsia="Yu Mincho"/>
          <w:vertAlign w:val="superscript"/>
          <w:lang w:val="en-CA"/>
        </w:rPr>
        <w:footnoteReference w:id="2"/>
      </w:r>
      <w:r w:rsidRPr="000A349E">
        <w:rPr>
          <w:rFonts w:eastAsia="Yu Mincho"/>
          <w:lang w:val="en-CA"/>
        </w:rPr>
        <w:t xml:space="preserve"> </w:t>
      </w:r>
      <w:r w:rsidR="007476DC" w:rsidRPr="000A349E">
        <w:rPr>
          <w:rFonts w:eastAsia="Yu Mincho"/>
          <w:lang w:val="en-CA"/>
        </w:rPr>
        <w:t xml:space="preserve">By collaborating, they </w:t>
      </w:r>
      <w:r w:rsidRPr="000A349E">
        <w:rPr>
          <w:rFonts w:eastAsia="Yu Mincho"/>
          <w:lang w:val="en-CA"/>
        </w:rPr>
        <w:t xml:space="preserve">alleviated the need for </w:t>
      </w:r>
      <w:r w:rsidR="007476DC" w:rsidRPr="000A349E">
        <w:rPr>
          <w:rFonts w:eastAsia="Yu Mincho"/>
          <w:lang w:val="en-CA"/>
        </w:rPr>
        <w:t xml:space="preserve">duplication in </w:t>
      </w:r>
      <w:r w:rsidRPr="000A349E">
        <w:rPr>
          <w:rFonts w:eastAsia="Yu Mincho"/>
          <w:lang w:val="en-CA"/>
        </w:rPr>
        <w:t xml:space="preserve">sourcing. </w:t>
      </w:r>
    </w:p>
    <w:p w14:paraId="707C4F70" w14:textId="77777777" w:rsidR="00B02D49" w:rsidRPr="000A349E" w:rsidRDefault="00B02D49" w:rsidP="00B02D49">
      <w:pPr>
        <w:pStyle w:val="BodyTextMain"/>
        <w:rPr>
          <w:rFonts w:eastAsia="Yu Mincho"/>
          <w:sz w:val="18"/>
          <w:szCs w:val="18"/>
          <w:lang w:val="en-CA"/>
        </w:rPr>
      </w:pPr>
    </w:p>
    <w:p w14:paraId="6C005E97" w14:textId="16CA599E" w:rsidR="00B02D49" w:rsidRPr="000A349E" w:rsidRDefault="00B02D49" w:rsidP="00B02D49">
      <w:pPr>
        <w:pStyle w:val="BodyTextMain"/>
        <w:rPr>
          <w:rFonts w:eastAsia="Yu Mincho"/>
          <w:lang w:val="en-CA"/>
        </w:rPr>
      </w:pPr>
      <w:r w:rsidRPr="000A349E">
        <w:rPr>
          <w:rFonts w:eastAsia="Yu Mincho"/>
          <w:lang w:val="en-CA"/>
        </w:rPr>
        <w:t xml:space="preserve">OECM created a transparent and competitive market by aggregating orders from the education sector to negotiate better prices from vendors. </w:t>
      </w:r>
      <w:r w:rsidR="002C0285" w:rsidRPr="000A349E">
        <w:rPr>
          <w:rFonts w:eastAsia="Yu Mincho"/>
          <w:lang w:val="en-CA"/>
        </w:rPr>
        <w:t>It</w:t>
      </w:r>
      <w:r w:rsidRPr="000A349E">
        <w:rPr>
          <w:rFonts w:eastAsia="Yu Mincho"/>
          <w:lang w:val="en-CA"/>
        </w:rPr>
        <w:t xml:space="preserve"> earned a fee for bringing together buyers and sellers, and </w:t>
      </w:r>
      <w:r w:rsidR="002C0285" w:rsidRPr="000A349E">
        <w:rPr>
          <w:rFonts w:eastAsia="Yu Mincho"/>
          <w:lang w:val="en-CA"/>
        </w:rPr>
        <w:t xml:space="preserve">it earned </w:t>
      </w:r>
      <w:r w:rsidRPr="000A349E">
        <w:rPr>
          <w:rFonts w:eastAsia="Yu Mincho"/>
          <w:lang w:val="en-CA"/>
        </w:rPr>
        <w:t>plaudits from the government</w:t>
      </w:r>
      <w:r w:rsidR="002C0285" w:rsidRPr="000A349E">
        <w:rPr>
          <w:rFonts w:eastAsia="Yu Mincho"/>
          <w:lang w:val="en-CA"/>
        </w:rPr>
        <w:t>,</w:t>
      </w:r>
      <w:r w:rsidRPr="000A349E">
        <w:rPr>
          <w:rFonts w:eastAsia="Yu Mincho"/>
          <w:lang w:val="en-CA"/>
        </w:rPr>
        <w:t xml:space="preserve"> whose interests </w:t>
      </w:r>
      <w:proofErr w:type="gramStart"/>
      <w:r w:rsidRPr="000A349E">
        <w:rPr>
          <w:rFonts w:eastAsia="Yu Mincho"/>
          <w:lang w:val="en-CA"/>
        </w:rPr>
        <w:t>were served</w:t>
      </w:r>
      <w:proofErr w:type="gramEnd"/>
      <w:r w:rsidRPr="000A349E">
        <w:rPr>
          <w:rFonts w:eastAsia="Yu Mincho"/>
          <w:lang w:val="en-CA"/>
        </w:rPr>
        <w:t xml:space="preserve"> whenever taxpayer dollars were spent more efficiently. The buyers were happy to get better price</w:t>
      </w:r>
      <w:r w:rsidR="002C0285" w:rsidRPr="000A349E">
        <w:rPr>
          <w:rFonts w:eastAsia="Yu Mincho"/>
          <w:lang w:val="en-CA"/>
        </w:rPr>
        <w:t>s</w:t>
      </w:r>
      <w:r w:rsidRPr="000A349E">
        <w:rPr>
          <w:rFonts w:eastAsia="Yu Mincho"/>
          <w:lang w:val="en-CA"/>
        </w:rPr>
        <w:t xml:space="preserve"> by </w:t>
      </w:r>
      <w:proofErr w:type="gramStart"/>
      <w:r w:rsidRPr="000A349E">
        <w:rPr>
          <w:rFonts w:eastAsia="Yu Mincho"/>
          <w:lang w:val="en-CA"/>
        </w:rPr>
        <w:t>joining together</w:t>
      </w:r>
      <w:proofErr w:type="gramEnd"/>
      <w:r w:rsidRPr="000A349E">
        <w:rPr>
          <w:rFonts w:eastAsia="Yu Mincho"/>
          <w:lang w:val="en-CA"/>
        </w:rPr>
        <w:t xml:space="preserve">, </w:t>
      </w:r>
      <w:r w:rsidR="002C0285" w:rsidRPr="000A349E">
        <w:rPr>
          <w:rFonts w:eastAsia="Yu Mincho"/>
          <w:lang w:val="en-CA"/>
        </w:rPr>
        <w:t xml:space="preserve">and </w:t>
      </w:r>
      <w:r w:rsidRPr="000A349E">
        <w:rPr>
          <w:rFonts w:eastAsia="Yu Mincho"/>
          <w:lang w:val="en-CA"/>
        </w:rPr>
        <w:t>the vendors were incentivized by negotiating with a collective and thereby transacting fewer, larger orders.</w:t>
      </w:r>
    </w:p>
    <w:p w14:paraId="733D6BB6" w14:textId="032B0E87" w:rsidR="00B02D49" w:rsidRPr="000A349E" w:rsidRDefault="00B02D49" w:rsidP="00B02D49">
      <w:pPr>
        <w:pStyle w:val="BodyTextMain"/>
        <w:rPr>
          <w:rFonts w:eastAsia="Yu Mincho"/>
          <w:spacing w:val="-4"/>
          <w:kern w:val="22"/>
          <w:lang w:val="en-CA"/>
        </w:rPr>
      </w:pPr>
      <w:r w:rsidRPr="000A349E">
        <w:rPr>
          <w:rFonts w:eastAsia="Yu Mincho"/>
          <w:spacing w:val="-4"/>
          <w:kern w:val="22"/>
          <w:lang w:val="en-CA"/>
        </w:rPr>
        <w:lastRenderedPageBreak/>
        <w:t xml:space="preserve">In 2017, OECM intermediated </w:t>
      </w:r>
      <w:r w:rsidR="002C0285" w:rsidRPr="000A349E">
        <w:rPr>
          <w:rFonts w:eastAsia="Yu Mincho"/>
          <w:spacing w:val="-4"/>
          <w:kern w:val="22"/>
          <w:lang w:val="en-CA"/>
        </w:rPr>
        <w:t xml:space="preserve">transactions worth </w:t>
      </w:r>
      <w:r w:rsidRPr="000A349E">
        <w:rPr>
          <w:rFonts w:eastAsia="Yu Mincho"/>
          <w:spacing w:val="-4"/>
          <w:kern w:val="22"/>
          <w:lang w:val="en-CA"/>
        </w:rPr>
        <w:t>$</w:t>
      </w:r>
      <w:r w:rsidR="002C0285" w:rsidRPr="000A349E">
        <w:rPr>
          <w:rFonts w:eastAsia="Yu Mincho"/>
          <w:spacing w:val="-4"/>
          <w:kern w:val="22"/>
          <w:lang w:val="en-CA"/>
        </w:rPr>
        <w:t xml:space="preserve">255 million </w:t>
      </w:r>
      <w:r w:rsidRPr="000A349E">
        <w:rPr>
          <w:rFonts w:eastAsia="Yu Mincho"/>
          <w:spacing w:val="-4"/>
          <w:kern w:val="22"/>
          <w:lang w:val="en-CA"/>
        </w:rPr>
        <w:t>in a $4</w:t>
      </w:r>
      <w:r w:rsidR="002C0285" w:rsidRPr="000A349E">
        <w:rPr>
          <w:rFonts w:eastAsia="Yu Mincho"/>
          <w:spacing w:val="-4"/>
          <w:kern w:val="22"/>
          <w:lang w:val="en-CA"/>
        </w:rPr>
        <w:t xml:space="preserve"> billion </w:t>
      </w:r>
      <w:r w:rsidRPr="000A349E">
        <w:rPr>
          <w:rFonts w:eastAsia="Yu Mincho"/>
          <w:spacing w:val="-4"/>
          <w:kern w:val="22"/>
          <w:lang w:val="en-CA"/>
        </w:rPr>
        <w:t xml:space="preserve">market, </w:t>
      </w:r>
      <w:r w:rsidR="002C0285" w:rsidRPr="000A349E">
        <w:rPr>
          <w:rFonts w:eastAsia="Yu Mincho"/>
          <w:spacing w:val="-4"/>
          <w:kern w:val="22"/>
          <w:lang w:val="en-CA"/>
        </w:rPr>
        <w:t xml:space="preserve">which represented </w:t>
      </w:r>
      <w:r w:rsidRPr="000A349E">
        <w:rPr>
          <w:rFonts w:eastAsia="Yu Mincho"/>
          <w:spacing w:val="-4"/>
          <w:kern w:val="22"/>
          <w:lang w:val="en-CA"/>
        </w:rPr>
        <w:t>a 32</w:t>
      </w:r>
      <w:r w:rsidR="002C0285" w:rsidRPr="000A349E">
        <w:rPr>
          <w:rFonts w:eastAsia="Yu Mincho"/>
          <w:spacing w:val="-4"/>
          <w:kern w:val="22"/>
          <w:lang w:val="en-CA"/>
        </w:rPr>
        <w:t xml:space="preserve"> per cent </w:t>
      </w:r>
      <w:r w:rsidRPr="000A349E">
        <w:rPr>
          <w:rFonts w:eastAsia="Yu Mincho"/>
          <w:spacing w:val="-4"/>
          <w:kern w:val="22"/>
          <w:lang w:val="en-CA"/>
        </w:rPr>
        <w:t>growth over 2016. Over the near term, OECM hoped to facilitate at least $2</w:t>
      </w:r>
      <w:r w:rsidR="002C0285" w:rsidRPr="000A349E">
        <w:rPr>
          <w:rFonts w:eastAsia="Yu Mincho"/>
          <w:spacing w:val="-4"/>
          <w:kern w:val="22"/>
          <w:lang w:val="en-CA"/>
        </w:rPr>
        <w:t xml:space="preserve"> billion </w:t>
      </w:r>
      <w:r w:rsidRPr="000A349E">
        <w:rPr>
          <w:rFonts w:eastAsia="Yu Mincho"/>
          <w:spacing w:val="-4"/>
          <w:kern w:val="22"/>
          <w:lang w:val="en-CA"/>
        </w:rPr>
        <w:t>of overall market transactions</w:t>
      </w:r>
      <w:r w:rsidR="002C0285" w:rsidRPr="000A349E">
        <w:rPr>
          <w:rFonts w:eastAsia="Yu Mincho"/>
          <w:spacing w:val="-4"/>
          <w:kern w:val="22"/>
          <w:lang w:val="en-CA"/>
        </w:rPr>
        <w:t>, but it had not yet formally developed a</w:t>
      </w:r>
      <w:r w:rsidRPr="000A349E">
        <w:rPr>
          <w:rFonts w:eastAsia="Yu Mincho"/>
          <w:spacing w:val="-4"/>
          <w:kern w:val="22"/>
          <w:lang w:val="en-CA"/>
        </w:rPr>
        <w:t xml:space="preserve"> strategy for achieving such an aggressive high growth target.</w:t>
      </w:r>
    </w:p>
    <w:p w14:paraId="1BAFA89B" w14:textId="77777777" w:rsidR="00B02D49" w:rsidRPr="00301D54" w:rsidRDefault="00B02D49" w:rsidP="00B02D49">
      <w:pPr>
        <w:pStyle w:val="BodyTextMain"/>
        <w:rPr>
          <w:rFonts w:eastAsia="Yu Mincho"/>
          <w:sz w:val="14"/>
          <w:szCs w:val="14"/>
          <w:lang w:val="en-CA"/>
        </w:rPr>
      </w:pPr>
    </w:p>
    <w:p w14:paraId="750E68DC" w14:textId="5CFA4B5B" w:rsidR="00FD5209" w:rsidRPr="000A349E" w:rsidRDefault="00B02D49" w:rsidP="00B02D49">
      <w:pPr>
        <w:pStyle w:val="BodyTextMain"/>
        <w:rPr>
          <w:rFonts w:eastAsia="Yu Mincho"/>
          <w:lang w:val="en-CA"/>
        </w:rPr>
      </w:pPr>
      <w:r w:rsidRPr="000A349E">
        <w:rPr>
          <w:rFonts w:eastAsia="Yu Mincho"/>
          <w:lang w:val="en-CA"/>
        </w:rPr>
        <w:t xml:space="preserve">Sabo described OECM’s business model as the “Amazon of </w:t>
      </w:r>
      <w:r w:rsidR="00BA166E" w:rsidRPr="000A349E">
        <w:rPr>
          <w:rFonts w:eastAsia="Yu Mincho"/>
          <w:lang w:val="en-CA"/>
        </w:rPr>
        <w:t>public-</w:t>
      </w:r>
      <w:r w:rsidRPr="000A349E">
        <w:rPr>
          <w:rFonts w:eastAsia="Yu Mincho"/>
          <w:lang w:val="en-CA"/>
        </w:rPr>
        <w:t>sector education procurement” in the Province of Ontario. Like Amazon</w:t>
      </w:r>
      <w:r w:rsidR="006A09A2">
        <w:rPr>
          <w:rFonts w:eastAsia="Yu Mincho"/>
          <w:lang w:val="en-CA"/>
        </w:rPr>
        <w:t>.com, Inc.</w:t>
      </w:r>
      <w:r w:rsidRPr="000A349E">
        <w:rPr>
          <w:rFonts w:eastAsia="Yu Mincho"/>
          <w:lang w:val="en-CA"/>
        </w:rPr>
        <w:t>’s marketplace, OECM facilitated collaboration</w:t>
      </w:r>
      <w:r w:rsidR="002C0285" w:rsidRPr="000A349E">
        <w:rPr>
          <w:rFonts w:eastAsia="Yu Mincho"/>
          <w:lang w:val="en-CA"/>
        </w:rPr>
        <w:t>s</w:t>
      </w:r>
      <w:r w:rsidRPr="000A349E">
        <w:rPr>
          <w:rFonts w:eastAsia="Yu Mincho"/>
          <w:lang w:val="en-CA"/>
        </w:rPr>
        <w:t xml:space="preserve"> between buyers (</w:t>
      </w:r>
      <w:r w:rsidR="002C0285" w:rsidRPr="000A349E">
        <w:rPr>
          <w:rFonts w:eastAsia="Yu Mincho"/>
          <w:lang w:val="en-CA"/>
        </w:rPr>
        <w:t>c</w:t>
      </w:r>
      <w:r w:rsidRPr="000A349E">
        <w:rPr>
          <w:rFonts w:eastAsia="Yu Mincho"/>
          <w:lang w:val="en-CA"/>
        </w:rPr>
        <w:t>ustomers</w:t>
      </w:r>
      <w:r w:rsidR="002C0285" w:rsidRPr="000A349E">
        <w:rPr>
          <w:rFonts w:eastAsia="Yu Mincho"/>
          <w:lang w:val="en-CA"/>
        </w:rPr>
        <w:t>)</w:t>
      </w:r>
      <w:r w:rsidRPr="000A349E">
        <w:rPr>
          <w:rFonts w:eastAsia="Yu Mincho"/>
          <w:vertAlign w:val="superscript"/>
          <w:lang w:val="en-CA"/>
        </w:rPr>
        <w:footnoteReference w:id="3"/>
      </w:r>
      <w:r w:rsidRPr="000A349E">
        <w:rPr>
          <w:rFonts w:eastAsia="Yu Mincho"/>
          <w:lang w:val="en-CA"/>
        </w:rPr>
        <w:t xml:space="preserve"> and sellers (</w:t>
      </w:r>
      <w:r w:rsidR="002C0285" w:rsidRPr="000A349E">
        <w:rPr>
          <w:rFonts w:eastAsia="Yu Mincho"/>
          <w:lang w:val="en-CA"/>
        </w:rPr>
        <w:t>s</w:t>
      </w:r>
      <w:r w:rsidRPr="000A349E">
        <w:rPr>
          <w:rFonts w:eastAsia="Yu Mincho"/>
          <w:lang w:val="en-CA"/>
        </w:rPr>
        <w:t>uppliers</w:t>
      </w:r>
      <w:r w:rsidR="002C0285" w:rsidRPr="000A349E">
        <w:rPr>
          <w:rFonts w:eastAsia="Yu Mincho"/>
          <w:lang w:val="en-CA"/>
        </w:rPr>
        <w:t>),</w:t>
      </w:r>
      <w:r w:rsidRPr="000A349E">
        <w:rPr>
          <w:rFonts w:eastAsia="Yu Mincho"/>
          <w:vertAlign w:val="superscript"/>
          <w:lang w:val="en-CA"/>
        </w:rPr>
        <w:footnoteReference w:id="4"/>
      </w:r>
      <w:r w:rsidRPr="000A349E">
        <w:rPr>
          <w:rFonts w:eastAsia="Yu Mincho"/>
          <w:lang w:val="en-CA"/>
        </w:rPr>
        <w:t xml:space="preserve"> and </w:t>
      </w:r>
      <w:r w:rsidR="002C0285" w:rsidRPr="000A349E">
        <w:rPr>
          <w:rFonts w:eastAsia="Yu Mincho"/>
          <w:lang w:val="en-CA"/>
        </w:rPr>
        <w:t>it received c</w:t>
      </w:r>
      <w:r w:rsidRPr="000A349E">
        <w:rPr>
          <w:rFonts w:eastAsia="Yu Mincho"/>
          <w:lang w:val="en-CA"/>
        </w:rPr>
        <w:t xml:space="preserve">ost </w:t>
      </w:r>
      <w:r w:rsidR="002C0285" w:rsidRPr="000A349E">
        <w:rPr>
          <w:rFonts w:eastAsia="Yu Mincho"/>
          <w:lang w:val="en-CA"/>
        </w:rPr>
        <w:t>r</w:t>
      </w:r>
      <w:r w:rsidRPr="000A349E">
        <w:rPr>
          <w:rFonts w:eastAsia="Yu Mincho"/>
          <w:lang w:val="en-CA"/>
        </w:rPr>
        <w:t xml:space="preserve">ecovery </w:t>
      </w:r>
      <w:r w:rsidR="002C0285" w:rsidRPr="000A349E">
        <w:rPr>
          <w:rFonts w:eastAsia="Yu Mincho"/>
          <w:lang w:val="en-CA"/>
        </w:rPr>
        <w:t>f</w:t>
      </w:r>
      <w:r w:rsidRPr="000A349E">
        <w:rPr>
          <w:rFonts w:eastAsia="Yu Mincho"/>
          <w:lang w:val="en-CA"/>
        </w:rPr>
        <w:t>ee</w:t>
      </w:r>
      <w:r w:rsidR="002C0285" w:rsidRPr="000A349E">
        <w:rPr>
          <w:rFonts w:eastAsia="Yu Mincho"/>
          <w:lang w:val="en-CA"/>
        </w:rPr>
        <w:t>s</w:t>
      </w:r>
      <w:r w:rsidRPr="000A349E">
        <w:rPr>
          <w:rFonts w:eastAsia="Yu Mincho"/>
          <w:lang w:val="en-CA"/>
        </w:rPr>
        <w:t xml:space="preserve"> (CRF</w:t>
      </w:r>
      <w:r w:rsidR="002C0285" w:rsidRPr="000A349E">
        <w:rPr>
          <w:rFonts w:eastAsia="Yu Mincho"/>
          <w:lang w:val="en-CA"/>
        </w:rPr>
        <w:t>s</w:t>
      </w:r>
      <w:r w:rsidRPr="000A349E">
        <w:rPr>
          <w:rFonts w:eastAsia="Yu Mincho"/>
          <w:lang w:val="en-CA"/>
        </w:rPr>
        <w:t>)</w:t>
      </w:r>
      <w:r w:rsidRPr="000A349E">
        <w:rPr>
          <w:rFonts w:eastAsia="Yu Mincho"/>
          <w:vertAlign w:val="superscript"/>
          <w:lang w:val="en-CA"/>
        </w:rPr>
        <w:footnoteReference w:id="5"/>
      </w:r>
      <w:r w:rsidRPr="000A349E">
        <w:rPr>
          <w:rFonts w:eastAsia="Yu Mincho"/>
          <w:lang w:val="en-CA"/>
        </w:rPr>
        <w:t xml:space="preserve"> based on supplier partner</w:t>
      </w:r>
      <w:r w:rsidR="002C0285" w:rsidRPr="000A349E">
        <w:rPr>
          <w:rFonts w:eastAsia="Yu Mincho"/>
          <w:lang w:val="en-CA"/>
        </w:rPr>
        <w:t>s’</w:t>
      </w:r>
      <w:r w:rsidRPr="000A349E">
        <w:rPr>
          <w:rFonts w:eastAsia="Yu Mincho"/>
          <w:lang w:val="en-CA"/>
        </w:rPr>
        <w:t xml:space="preserve"> sales to customers. OECM’s </w:t>
      </w:r>
      <w:r w:rsidR="004210C6" w:rsidRPr="000A349E">
        <w:rPr>
          <w:rFonts w:eastAsia="Yu Mincho"/>
          <w:lang w:val="en-CA"/>
        </w:rPr>
        <w:t>c</w:t>
      </w:r>
      <w:r w:rsidRPr="000A349E">
        <w:rPr>
          <w:rFonts w:eastAsia="Yu Mincho"/>
          <w:lang w:val="en-CA"/>
        </w:rPr>
        <w:t xml:space="preserve">ustomers viewed products and services on OECM’s online marketplace, signed </w:t>
      </w:r>
      <w:r w:rsidR="004210C6" w:rsidRPr="000A349E">
        <w:rPr>
          <w:rFonts w:eastAsia="Yu Mincho"/>
          <w:lang w:val="en-CA"/>
        </w:rPr>
        <w:t>c</w:t>
      </w:r>
      <w:r w:rsidRPr="000A349E">
        <w:rPr>
          <w:rFonts w:eastAsia="Yu Mincho"/>
          <w:lang w:val="en-CA"/>
        </w:rPr>
        <w:t xml:space="preserve">lient </w:t>
      </w:r>
      <w:r w:rsidR="004210C6" w:rsidRPr="000A349E">
        <w:rPr>
          <w:rFonts w:eastAsia="Yu Mincho"/>
          <w:lang w:val="en-CA"/>
        </w:rPr>
        <w:t>s</w:t>
      </w:r>
      <w:r w:rsidRPr="000A349E">
        <w:rPr>
          <w:rFonts w:eastAsia="Yu Mincho"/>
          <w:lang w:val="en-CA"/>
        </w:rPr>
        <w:t xml:space="preserve">upplier </w:t>
      </w:r>
      <w:r w:rsidR="004210C6" w:rsidRPr="000A349E">
        <w:rPr>
          <w:rFonts w:eastAsia="Yu Mincho"/>
          <w:lang w:val="en-CA"/>
        </w:rPr>
        <w:t>a</w:t>
      </w:r>
      <w:r w:rsidRPr="000A349E">
        <w:rPr>
          <w:rFonts w:eastAsia="Yu Mincho"/>
          <w:lang w:val="en-CA"/>
        </w:rPr>
        <w:t>greement</w:t>
      </w:r>
      <w:r w:rsidR="004210C6" w:rsidRPr="000A349E">
        <w:rPr>
          <w:rFonts w:eastAsia="Yu Mincho"/>
          <w:lang w:val="en-CA"/>
        </w:rPr>
        <w:t>s</w:t>
      </w:r>
      <w:r w:rsidRPr="000A349E">
        <w:rPr>
          <w:rFonts w:eastAsia="Yu Mincho"/>
          <w:lang w:val="en-CA"/>
        </w:rPr>
        <w:t xml:space="preserve"> (CSA</w:t>
      </w:r>
      <w:r w:rsidR="004210C6" w:rsidRPr="000A349E">
        <w:rPr>
          <w:rFonts w:eastAsia="Yu Mincho"/>
          <w:lang w:val="en-CA"/>
        </w:rPr>
        <w:t>s</w:t>
      </w:r>
      <w:r w:rsidRPr="000A349E">
        <w:rPr>
          <w:rFonts w:eastAsia="Yu Mincho"/>
          <w:lang w:val="en-CA"/>
        </w:rPr>
        <w:t>)</w:t>
      </w:r>
      <w:r w:rsidR="00256821" w:rsidRPr="000A349E">
        <w:rPr>
          <w:rFonts w:eastAsia="Yu Mincho"/>
          <w:lang w:val="en-CA"/>
        </w:rPr>
        <w:t>,</w:t>
      </w:r>
      <w:r w:rsidRPr="000A349E">
        <w:rPr>
          <w:rFonts w:eastAsia="Yu Mincho"/>
          <w:vertAlign w:val="superscript"/>
          <w:lang w:val="en-CA"/>
        </w:rPr>
        <w:footnoteReference w:id="6"/>
      </w:r>
      <w:r w:rsidRPr="000A349E">
        <w:rPr>
          <w:rFonts w:eastAsia="Yu Mincho"/>
          <w:lang w:val="en-CA"/>
        </w:rPr>
        <w:t xml:space="preserve"> and purchased from OECM’s awarded </w:t>
      </w:r>
      <w:r w:rsidR="004210C6" w:rsidRPr="000A349E">
        <w:rPr>
          <w:rFonts w:eastAsia="Yu Mincho"/>
          <w:lang w:val="en-CA"/>
        </w:rPr>
        <w:t>s</w:t>
      </w:r>
      <w:r w:rsidRPr="000A349E">
        <w:rPr>
          <w:rFonts w:eastAsia="Yu Mincho"/>
          <w:lang w:val="en-CA"/>
        </w:rPr>
        <w:t xml:space="preserve">uppliers. OECM often awarded contracts to multiple </w:t>
      </w:r>
      <w:r w:rsidR="004210C6" w:rsidRPr="000A349E">
        <w:rPr>
          <w:rFonts w:eastAsia="Yu Mincho"/>
          <w:lang w:val="en-CA"/>
        </w:rPr>
        <w:t>s</w:t>
      </w:r>
      <w:r w:rsidRPr="000A349E">
        <w:rPr>
          <w:rFonts w:eastAsia="Yu Mincho"/>
          <w:lang w:val="en-CA"/>
        </w:rPr>
        <w:t xml:space="preserve">uppliers, </w:t>
      </w:r>
      <w:r w:rsidR="004210C6" w:rsidRPr="000A349E">
        <w:rPr>
          <w:rFonts w:eastAsia="Yu Mincho"/>
          <w:lang w:val="en-CA"/>
        </w:rPr>
        <w:t>which allowed its c</w:t>
      </w:r>
      <w:r w:rsidRPr="000A349E">
        <w:rPr>
          <w:rFonts w:eastAsia="Yu Mincho"/>
          <w:lang w:val="en-CA"/>
        </w:rPr>
        <w:t xml:space="preserve">ustomers to choose </w:t>
      </w:r>
      <w:r w:rsidR="004210C6" w:rsidRPr="000A349E">
        <w:rPr>
          <w:rFonts w:eastAsia="Yu Mincho"/>
          <w:lang w:val="en-CA"/>
        </w:rPr>
        <w:t xml:space="preserve">from </w:t>
      </w:r>
      <w:r w:rsidRPr="000A349E">
        <w:rPr>
          <w:rFonts w:eastAsia="Yu Mincho"/>
          <w:lang w:val="en-CA"/>
        </w:rPr>
        <w:t>a wide array of products and services. The CRF</w:t>
      </w:r>
      <w:r w:rsidR="004210C6" w:rsidRPr="000A349E">
        <w:rPr>
          <w:rFonts w:eastAsia="Yu Mincho"/>
          <w:lang w:val="en-CA"/>
        </w:rPr>
        <w:t>s</w:t>
      </w:r>
      <w:r w:rsidRPr="000A349E">
        <w:rPr>
          <w:rFonts w:eastAsia="Yu Mincho"/>
          <w:lang w:val="en-CA"/>
        </w:rPr>
        <w:t xml:space="preserve"> for sourcing and facilitating the transaction</w:t>
      </w:r>
      <w:r w:rsidR="004210C6" w:rsidRPr="000A349E">
        <w:rPr>
          <w:rFonts w:eastAsia="Yu Mincho"/>
          <w:lang w:val="en-CA"/>
        </w:rPr>
        <w:t>s</w:t>
      </w:r>
      <w:r w:rsidRPr="000A349E">
        <w:rPr>
          <w:rFonts w:eastAsia="Yu Mincho"/>
          <w:lang w:val="en-CA"/>
        </w:rPr>
        <w:t xml:space="preserve"> between </w:t>
      </w:r>
      <w:r w:rsidR="004210C6" w:rsidRPr="000A349E">
        <w:rPr>
          <w:rFonts w:eastAsia="Yu Mincho"/>
          <w:lang w:val="en-CA"/>
        </w:rPr>
        <w:t>c</w:t>
      </w:r>
      <w:r w:rsidRPr="000A349E">
        <w:rPr>
          <w:rFonts w:eastAsia="Yu Mincho"/>
          <w:lang w:val="en-CA"/>
        </w:rPr>
        <w:t xml:space="preserve">ustomers and </w:t>
      </w:r>
      <w:r w:rsidR="004210C6" w:rsidRPr="000A349E">
        <w:rPr>
          <w:rFonts w:eastAsia="Yu Mincho"/>
          <w:lang w:val="en-CA"/>
        </w:rPr>
        <w:t>s</w:t>
      </w:r>
      <w:r w:rsidRPr="000A349E">
        <w:rPr>
          <w:rFonts w:eastAsia="Yu Mincho"/>
          <w:lang w:val="en-CA"/>
        </w:rPr>
        <w:t xml:space="preserve">uppliers covered OECM’s operational expenses and enabled growth into new procurement contracts, </w:t>
      </w:r>
      <w:r w:rsidR="004210C6" w:rsidRPr="000A349E">
        <w:rPr>
          <w:rFonts w:eastAsia="Yu Mincho"/>
          <w:lang w:val="en-CA"/>
        </w:rPr>
        <w:t>which provided c</w:t>
      </w:r>
      <w:r w:rsidRPr="000A349E">
        <w:rPr>
          <w:rFonts w:eastAsia="Yu Mincho"/>
          <w:lang w:val="en-CA"/>
        </w:rPr>
        <w:t xml:space="preserve">ustomers </w:t>
      </w:r>
      <w:r w:rsidR="004210C6" w:rsidRPr="000A349E">
        <w:rPr>
          <w:rFonts w:eastAsia="Yu Mincho"/>
          <w:lang w:val="en-CA"/>
        </w:rPr>
        <w:t xml:space="preserve">with greater </w:t>
      </w:r>
      <w:r w:rsidRPr="000A349E">
        <w:rPr>
          <w:rFonts w:eastAsia="Yu Mincho"/>
          <w:lang w:val="en-CA"/>
        </w:rPr>
        <w:t>choice, options, and savings. CRF</w:t>
      </w:r>
      <w:r w:rsidR="004210C6" w:rsidRPr="000A349E">
        <w:rPr>
          <w:rFonts w:eastAsia="Yu Mincho"/>
          <w:lang w:val="en-CA"/>
        </w:rPr>
        <w:t>s,</w:t>
      </w:r>
      <w:r w:rsidRPr="000A349E">
        <w:rPr>
          <w:rFonts w:eastAsia="Yu Mincho"/>
          <w:lang w:val="en-CA"/>
        </w:rPr>
        <w:t xml:space="preserve"> charged directly to the </w:t>
      </w:r>
      <w:r w:rsidR="004210C6" w:rsidRPr="000A349E">
        <w:rPr>
          <w:rFonts w:eastAsia="Yu Mincho"/>
          <w:lang w:val="en-CA"/>
        </w:rPr>
        <w:t>s</w:t>
      </w:r>
      <w:r w:rsidRPr="000A349E">
        <w:rPr>
          <w:rFonts w:eastAsia="Yu Mincho"/>
          <w:lang w:val="en-CA"/>
        </w:rPr>
        <w:t>upplier</w:t>
      </w:r>
      <w:r w:rsidR="004210C6" w:rsidRPr="000A349E">
        <w:rPr>
          <w:rFonts w:eastAsia="Yu Mincho"/>
          <w:lang w:val="en-CA"/>
        </w:rPr>
        <w:t>s</w:t>
      </w:r>
      <w:r w:rsidRPr="000A349E">
        <w:rPr>
          <w:rFonts w:eastAsia="Yu Mincho"/>
          <w:lang w:val="en-CA"/>
        </w:rPr>
        <w:t xml:space="preserve">, ranged </w:t>
      </w:r>
      <w:r w:rsidR="004210C6" w:rsidRPr="000A349E">
        <w:rPr>
          <w:rFonts w:eastAsia="Yu Mincho"/>
          <w:lang w:val="en-CA"/>
        </w:rPr>
        <w:t xml:space="preserve">from </w:t>
      </w:r>
      <w:r w:rsidR="00147279">
        <w:rPr>
          <w:rFonts w:eastAsia="Yu Mincho"/>
          <w:lang w:val="en-CA"/>
        </w:rPr>
        <w:t>one</w:t>
      </w:r>
      <w:r w:rsidR="004210C6" w:rsidRPr="000A349E">
        <w:rPr>
          <w:rFonts w:eastAsia="Yu Mincho"/>
          <w:lang w:val="en-CA"/>
        </w:rPr>
        <w:t xml:space="preserve"> </w:t>
      </w:r>
      <w:r w:rsidRPr="000A349E">
        <w:rPr>
          <w:rFonts w:eastAsia="Yu Mincho"/>
          <w:lang w:val="en-CA"/>
        </w:rPr>
        <w:t xml:space="preserve">to </w:t>
      </w:r>
      <w:r w:rsidR="00147279">
        <w:rPr>
          <w:rFonts w:eastAsia="Yu Mincho"/>
          <w:lang w:val="en-CA"/>
        </w:rPr>
        <w:t>three</w:t>
      </w:r>
      <w:r w:rsidR="004210C6" w:rsidRPr="000A349E">
        <w:rPr>
          <w:rFonts w:eastAsia="Yu Mincho"/>
          <w:lang w:val="en-CA"/>
        </w:rPr>
        <w:t xml:space="preserve"> per cent </w:t>
      </w:r>
      <w:r w:rsidRPr="000A349E">
        <w:rPr>
          <w:rFonts w:eastAsia="Yu Mincho"/>
          <w:lang w:val="en-CA"/>
        </w:rPr>
        <w:t xml:space="preserve">of the total value of </w:t>
      </w:r>
      <w:r w:rsidR="004210C6" w:rsidRPr="000A349E">
        <w:rPr>
          <w:rFonts w:eastAsia="Yu Mincho"/>
          <w:lang w:val="en-CA"/>
        </w:rPr>
        <w:t xml:space="preserve">each </w:t>
      </w:r>
      <w:r w:rsidRPr="000A349E">
        <w:rPr>
          <w:rFonts w:eastAsia="Yu Mincho"/>
          <w:lang w:val="en-CA"/>
        </w:rPr>
        <w:t xml:space="preserve">transaction. </w:t>
      </w:r>
      <w:r w:rsidR="00633D93" w:rsidRPr="000A349E">
        <w:rPr>
          <w:rFonts w:eastAsia="Yu Mincho"/>
          <w:lang w:val="en-CA"/>
        </w:rPr>
        <w:t>From 2007</w:t>
      </w:r>
      <w:r w:rsidR="004210C6" w:rsidRPr="000A349E">
        <w:rPr>
          <w:rFonts w:eastAsia="Yu Mincho"/>
          <w:lang w:val="en-CA"/>
        </w:rPr>
        <w:t xml:space="preserve"> to </w:t>
      </w:r>
      <w:r w:rsidR="0044253F" w:rsidRPr="000A349E">
        <w:rPr>
          <w:rFonts w:eastAsia="Yu Mincho"/>
          <w:lang w:val="en-CA"/>
        </w:rPr>
        <w:t>201</w:t>
      </w:r>
      <w:r w:rsidR="001E211A" w:rsidRPr="000A349E">
        <w:rPr>
          <w:rFonts w:eastAsia="Yu Mincho"/>
          <w:lang w:val="en-CA"/>
        </w:rPr>
        <w:t>5</w:t>
      </w:r>
      <w:r w:rsidRPr="000A349E">
        <w:rPr>
          <w:rFonts w:eastAsia="Yu Mincho"/>
          <w:lang w:val="en-CA"/>
        </w:rPr>
        <w:t xml:space="preserve">, OECM was dependent on </w:t>
      </w:r>
      <w:r w:rsidR="009C4C2F" w:rsidRPr="000A349E">
        <w:rPr>
          <w:rFonts w:eastAsia="Yu Mincho"/>
          <w:lang w:val="en-CA"/>
        </w:rPr>
        <w:t xml:space="preserve">significant </w:t>
      </w:r>
      <w:r w:rsidRPr="000A349E">
        <w:rPr>
          <w:rFonts w:eastAsia="Yu Mincho"/>
          <w:lang w:val="en-CA"/>
        </w:rPr>
        <w:t>transfer payments</w:t>
      </w:r>
      <w:r w:rsidRPr="000A349E">
        <w:rPr>
          <w:rFonts w:eastAsia="Yu Mincho"/>
          <w:vertAlign w:val="superscript"/>
          <w:lang w:val="en-CA"/>
        </w:rPr>
        <w:footnoteReference w:id="7"/>
      </w:r>
      <w:r w:rsidRPr="000A349E">
        <w:rPr>
          <w:rFonts w:eastAsia="Yu Mincho"/>
          <w:lang w:val="en-CA"/>
        </w:rPr>
        <w:t xml:space="preserve"> from the government to fund </w:t>
      </w:r>
      <w:r w:rsidR="004210C6" w:rsidRPr="000A349E">
        <w:rPr>
          <w:rFonts w:eastAsia="Yu Mincho"/>
          <w:lang w:val="en-CA"/>
        </w:rPr>
        <w:t xml:space="preserve">its </w:t>
      </w:r>
      <w:r w:rsidRPr="000A349E">
        <w:rPr>
          <w:rFonts w:eastAsia="Yu Mincho"/>
          <w:lang w:val="en-CA"/>
        </w:rPr>
        <w:t>operations</w:t>
      </w:r>
      <w:r w:rsidR="004210C6" w:rsidRPr="000A349E">
        <w:rPr>
          <w:rFonts w:eastAsia="Yu Mincho"/>
          <w:lang w:val="en-CA"/>
        </w:rPr>
        <w:t>,</w:t>
      </w:r>
      <w:r w:rsidRPr="000A349E">
        <w:rPr>
          <w:rFonts w:eastAsia="Yu Mincho"/>
          <w:lang w:val="en-CA"/>
        </w:rPr>
        <w:t xml:space="preserve"> since the CRF</w:t>
      </w:r>
      <w:r w:rsidR="00F471E0" w:rsidRPr="000A349E">
        <w:rPr>
          <w:rFonts w:eastAsia="Yu Mincho"/>
          <w:lang w:val="en-CA"/>
        </w:rPr>
        <w:t xml:space="preserve"> </w:t>
      </w:r>
      <w:r w:rsidRPr="000A349E">
        <w:rPr>
          <w:rFonts w:eastAsia="Yu Mincho"/>
          <w:lang w:val="en-CA"/>
        </w:rPr>
        <w:t>revenues</w:t>
      </w:r>
      <w:r w:rsidR="00710BD0" w:rsidRPr="000A349E">
        <w:rPr>
          <w:rFonts w:eastAsia="Yu Mincho"/>
          <w:lang w:val="en-CA"/>
        </w:rPr>
        <w:t>, which were based on</w:t>
      </w:r>
      <w:r w:rsidRPr="000A349E">
        <w:rPr>
          <w:rFonts w:eastAsia="Yu Mincho"/>
          <w:lang w:val="en-CA"/>
        </w:rPr>
        <w:t xml:space="preserve"> the </w:t>
      </w:r>
      <w:r w:rsidR="004210C6" w:rsidRPr="000A349E">
        <w:rPr>
          <w:rFonts w:eastAsia="Yu Mincho"/>
          <w:lang w:val="en-CA"/>
        </w:rPr>
        <w:t xml:space="preserve">amount of </w:t>
      </w:r>
      <w:r w:rsidR="00710BD0" w:rsidRPr="000A349E">
        <w:rPr>
          <w:rFonts w:eastAsia="Yu Mincho"/>
          <w:lang w:val="en-CA"/>
        </w:rPr>
        <w:t xml:space="preserve">each </w:t>
      </w:r>
      <w:r w:rsidR="004210C6" w:rsidRPr="000A349E">
        <w:rPr>
          <w:rFonts w:eastAsia="Yu Mincho"/>
          <w:lang w:val="en-CA"/>
        </w:rPr>
        <w:t>customer</w:t>
      </w:r>
      <w:r w:rsidR="00710BD0" w:rsidRPr="000A349E">
        <w:rPr>
          <w:rFonts w:eastAsia="Yu Mincho"/>
          <w:lang w:val="en-CA"/>
        </w:rPr>
        <w:t>’</w:t>
      </w:r>
      <w:r w:rsidR="004210C6" w:rsidRPr="000A349E">
        <w:rPr>
          <w:rFonts w:eastAsia="Yu Mincho"/>
          <w:lang w:val="en-CA"/>
        </w:rPr>
        <w:t xml:space="preserve">s transaction with </w:t>
      </w:r>
      <w:r w:rsidR="00710BD0" w:rsidRPr="000A349E">
        <w:rPr>
          <w:rFonts w:eastAsia="Yu Mincho"/>
          <w:lang w:val="en-CA"/>
        </w:rPr>
        <w:t xml:space="preserve">a </w:t>
      </w:r>
      <w:r w:rsidR="004210C6" w:rsidRPr="000A349E">
        <w:rPr>
          <w:rFonts w:eastAsia="Yu Mincho"/>
          <w:lang w:val="en-CA"/>
        </w:rPr>
        <w:t xml:space="preserve">supplier using </w:t>
      </w:r>
      <w:r w:rsidR="00710BD0" w:rsidRPr="000A349E">
        <w:rPr>
          <w:rFonts w:eastAsia="Yu Mincho"/>
          <w:lang w:val="en-CA"/>
        </w:rPr>
        <w:t xml:space="preserve">an </w:t>
      </w:r>
      <w:r w:rsidR="004210C6" w:rsidRPr="000A349E">
        <w:rPr>
          <w:rFonts w:eastAsia="Yu Mincho"/>
          <w:lang w:val="en-CA"/>
        </w:rPr>
        <w:t>OECM agreement (</w:t>
      </w:r>
      <w:proofErr w:type="gramStart"/>
      <w:r w:rsidR="004210C6" w:rsidRPr="000A349E">
        <w:rPr>
          <w:rFonts w:eastAsia="Yu Mincho"/>
          <w:lang w:val="en-CA"/>
        </w:rPr>
        <w:t>the s</w:t>
      </w:r>
      <w:r w:rsidRPr="000A349E">
        <w:rPr>
          <w:rFonts w:eastAsia="Yu Mincho"/>
          <w:lang w:val="en-CA"/>
        </w:rPr>
        <w:t>pend</w:t>
      </w:r>
      <w:proofErr w:type="gramEnd"/>
      <w:r w:rsidR="004210C6" w:rsidRPr="000A349E">
        <w:rPr>
          <w:rFonts w:eastAsia="Yu Mincho"/>
          <w:lang w:val="en-CA"/>
        </w:rPr>
        <w:t>)</w:t>
      </w:r>
      <w:r w:rsidR="00710BD0" w:rsidRPr="000A349E">
        <w:rPr>
          <w:rFonts w:eastAsia="Yu Mincho"/>
          <w:lang w:val="en-CA"/>
        </w:rPr>
        <w:t>,</w:t>
      </w:r>
      <w:r w:rsidRPr="000A349E">
        <w:rPr>
          <w:rFonts w:eastAsia="Yu Mincho"/>
          <w:lang w:val="en-CA"/>
        </w:rPr>
        <w:t xml:space="preserve"> </w:t>
      </w:r>
      <w:r w:rsidR="00FD5209" w:rsidRPr="000A349E">
        <w:rPr>
          <w:rFonts w:eastAsia="Yu Mincho"/>
          <w:lang w:val="en-CA"/>
        </w:rPr>
        <w:t>were</w:t>
      </w:r>
      <w:r w:rsidRPr="000A349E">
        <w:rPr>
          <w:rFonts w:eastAsia="Yu Mincho"/>
          <w:lang w:val="en-CA"/>
        </w:rPr>
        <w:t xml:space="preserve"> insufficient to </w:t>
      </w:r>
      <w:r w:rsidR="007E3BBF" w:rsidRPr="000A349E">
        <w:rPr>
          <w:rFonts w:eastAsia="Yu Mincho"/>
          <w:lang w:val="en-CA"/>
        </w:rPr>
        <w:t xml:space="preserve">comfortably </w:t>
      </w:r>
      <w:r w:rsidRPr="000A349E">
        <w:rPr>
          <w:rFonts w:eastAsia="Yu Mincho"/>
          <w:lang w:val="en-CA"/>
        </w:rPr>
        <w:t>cover operating costs</w:t>
      </w:r>
      <w:r w:rsidR="009C4C2F" w:rsidRPr="000A349E">
        <w:rPr>
          <w:rFonts w:eastAsia="Yu Mincho"/>
          <w:lang w:val="en-CA"/>
        </w:rPr>
        <w:t xml:space="preserve"> </w:t>
      </w:r>
      <w:r w:rsidR="0088024C" w:rsidRPr="000A349E">
        <w:rPr>
          <w:rFonts w:eastAsia="Yu Mincho"/>
          <w:lang w:val="en-CA"/>
        </w:rPr>
        <w:t>(</w:t>
      </w:r>
      <w:r w:rsidR="007E3BBF" w:rsidRPr="000A349E">
        <w:rPr>
          <w:rFonts w:eastAsia="Yu Mincho"/>
          <w:lang w:val="en-CA"/>
        </w:rPr>
        <w:t xml:space="preserve">see </w:t>
      </w:r>
      <w:r w:rsidR="0088024C" w:rsidRPr="000A349E">
        <w:rPr>
          <w:rFonts w:eastAsia="Yu Mincho"/>
          <w:lang w:val="en-CA"/>
        </w:rPr>
        <w:t xml:space="preserve">Exhibit </w:t>
      </w:r>
      <w:r w:rsidR="007E3BBF" w:rsidRPr="000A349E">
        <w:rPr>
          <w:rFonts w:eastAsia="Yu Mincho"/>
          <w:lang w:val="en-CA"/>
        </w:rPr>
        <w:t>2</w:t>
      </w:r>
      <w:r w:rsidR="0088024C" w:rsidRPr="000A349E">
        <w:rPr>
          <w:rFonts w:eastAsia="Yu Mincho"/>
          <w:lang w:val="en-CA"/>
        </w:rPr>
        <w:t>)</w:t>
      </w:r>
      <w:r w:rsidRPr="000A349E">
        <w:rPr>
          <w:rFonts w:eastAsia="Yu Mincho"/>
          <w:lang w:val="en-CA"/>
        </w:rPr>
        <w:t>.</w:t>
      </w:r>
      <w:r w:rsidR="004F25E3" w:rsidRPr="000A349E">
        <w:rPr>
          <w:rFonts w:eastAsia="Yu Mincho"/>
          <w:lang w:val="en-CA"/>
        </w:rPr>
        <w:t xml:space="preserve"> </w:t>
      </w:r>
    </w:p>
    <w:p w14:paraId="4437F482" w14:textId="77777777" w:rsidR="00FD5209" w:rsidRPr="00301D54" w:rsidRDefault="00FD5209" w:rsidP="00B02D49">
      <w:pPr>
        <w:pStyle w:val="BodyTextMain"/>
        <w:rPr>
          <w:rFonts w:eastAsia="Yu Mincho"/>
          <w:sz w:val="14"/>
          <w:szCs w:val="14"/>
          <w:lang w:val="en-CA"/>
        </w:rPr>
      </w:pPr>
    </w:p>
    <w:p w14:paraId="3CE3F69C" w14:textId="57595084" w:rsidR="00B02D49" w:rsidRPr="000A349E" w:rsidRDefault="004F25E3" w:rsidP="00B02D49">
      <w:pPr>
        <w:pStyle w:val="BodyTextMain"/>
        <w:rPr>
          <w:rFonts w:eastAsia="Yu Mincho"/>
          <w:lang w:val="en-CA"/>
        </w:rPr>
      </w:pPr>
      <w:r w:rsidRPr="000A349E">
        <w:rPr>
          <w:rFonts w:eastAsia="Yu Mincho"/>
          <w:lang w:val="en-CA"/>
        </w:rPr>
        <w:t xml:space="preserve">OECM’s journey to </w:t>
      </w:r>
      <w:r w:rsidR="0088024C" w:rsidRPr="000A349E">
        <w:rPr>
          <w:rFonts w:eastAsia="Yu Mincho"/>
          <w:lang w:val="en-CA"/>
        </w:rPr>
        <w:t xml:space="preserve">self-sustaining </w:t>
      </w:r>
      <w:r w:rsidR="00FD5209" w:rsidRPr="000A349E">
        <w:rPr>
          <w:rFonts w:eastAsia="Yu Mincho"/>
          <w:lang w:val="en-CA"/>
        </w:rPr>
        <w:t xml:space="preserve">financial </w:t>
      </w:r>
      <w:r w:rsidRPr="000A349E">
        <w:rPr>
          <w:rFonts w:eastAsia="Yu Mincho"/>
          <w:lang w:val="en-CA"/>
        </w:rPr>
        <w:t xml:space="preserve">independence </w:t>
      </w:r>
      <w:r w:rsidR="00FD5209" w:rsidRPr="000A349E">
        <w:rPr>
          <w:rFonts w:eastAsia="Yu Mincho"/>
          <w:lang w:val="en-CA"/>
        </w:rPr>
        <w:t xml:space="preserve">began with </w:t>
      </w:r>
      <w:r w:rsidR="00664061" w:rsidRPr="000A349E">
        <w:rPr>
          <w:rFonts w:eastAsia="Yu Mincho"/>
          <w:lang w:val="en-CA"/>
        </w:rPr>
        <w:t>experimentation</w:t>
      </w:r>
      <w:r w:rsidR="00147279">
        <w:rPr>
          <w:rFonts w:eastAsia="Yu Mincho"/>
          <w:lang w:val="en-CA"/>
        </w:rPr>
        <w:t>—</w:t>
      </w:r>
      <w:r w:rsidR="00664061" w:rsidRPr="000A349E">
        <w:rPr>
          <w:rFonts w:eastAsia="Yu Mincho"/>
          <w:lang w:val="en-CA"/>
        </w:rPr>
        <w:t>the organization encouraged</w:t>
      </w:r>
      <w:r w:rsidR="00FD5209" w:rsidRPr="000A349E">
        <w:rPr>
          <w:rFonts w:eastAsia="Yu Mincho"/>
          <w:lang w:val="en-CA"/>
        </w:rPr>
        <w:t xml:space="preserve"> </w:t>
      </w:r>
      <w:r w:rsidR="00664061" w:rsidRPr="000A349E">
        <w:rPr>
          <w:rFonts w:eastAsia="Yu Mincho"/>
          <w:lang w:val="en-CA"/>
        </w:rPr>
        <w:t>public-</w:t>
      </w:r>
      <w:r w:rsidR="00FD5209" w:rsidRPr="000A349E">
        <w:rPr>
          <w:rFonts w:eastAsia="Yu Mincho"/>
          <w:lang w:val="en-CA"/>
        </w:rPr>
        <w:t xml:space="preserve">sector cooperation, </w:t>
      </w:r>
      <w:r w:rsidR="00664061" w:rsidRPr="000A349E">
        <w:rPr>
          <w:rFonts w:eastAsia="Yu Mincho"/>
          <w:lang w:val="en-CA"/>
        </w:rPr>
        <w:t xml:space="preserve">realized </w:t>
      </w:r>
      <w:r w:rsidR="00FD5209" w:rsidRPr="000A349E">
        <w:rPr>
          <w:rFonts w:eastAsia="Yu Mincho"/>
          <w:lang w:val="en-CA"/>
        </w:rPr>
        <w:t xml:space="preserve">that the idea of collaboration could be viable in the market, and </w:t>
      </w:r>
      <w:r w:rsidR="00664061" w:rsidRPr="000A349E">
        <w:rPr>
          <w:rFonts w:eastAsia="Yu Mincho"/>
          <w:lang w:val="en-CA"/>
        </w:rPr>
        <w:t xml:space="preserve">reorganized </w:t>
      </w:r>
      <w:r w:rsidR="00FD5209" w:rsidRPr="000A349E">
        <w:rPr>
          <w:rFonts w:eastAsia="Yu Mincho"/>
          <w:lang w:val="en-CA"/>
        </w:rPr>
        <w:t>itself with a start-up mentality</w:t>
      </w:r>
      <w:r w:rsidR="0088024C" w:rsidRPr="000A349E">
        <w:rPr>
          <w:rFonts w:eastAsia="Yu Mincho"/>
          <w:lang w:val="en-CA"/>
        </w:rPr>
        <w:t xml:space="preserve"> to achieve further growth</w:t>
      </w:r>
      <w:r w:rsidR="00FD5209" w:rsidRPr="000A349E">
        <w:rPr>
          <w:rFonts w:eastAsia="Yu Mincho"/>
          <w:lang w:val="en-CA"/>
        </w:rPr>
        <w:t>.</w:t>
      </w:r>
      <w:r w:rsidR="0088024C" w:rsidRPr="000A349E">
        <w:rPr>
          <w:rFonts w:eastAsia="Yu Mincho"/>
          <w:lang w:val="en-CA"/>
        </w:rPr>
        <w:t xml:space="preserve"> By 2015, OECM </w:t>
      </w:r>
      <w:r w:rsidR="00664061" w:rsidRPr="000A349E">
        <w:rPr>
          <w:rFonts w:eastAsia="Yu Mincho"/>
          <w:lang w:val="en-CA"/>
        </w:rPr>
        <w:t xml:space="preserve">had </w:t>
      </w:r>
      <w:r w:rsidR="006A183B" w:rsidRPr="000A349E">
        <w:rPr>
          <w:rFonts w:eastAsia="Yu Mincho"/>
          <w:lang w:val="en-CA"/>
        </w:rPr>
        <w:t>edged into</w:t>
      </w:r>
      <w:r w:rsidR="0088024C" w:rsidRPr="000A349E">
        <w:rPr>
          <w:rFonts w:eastAsia="Yu Mincho"/>
          <w:lang w:val="en-CA"/>
        </w:rPr>
        <w:t xml:space="preserve"> </w:t>
      </w:r>
      <w:r w:rsidR="00664061" w:rsidRPr="000A349E">
        <w:rPr>
          <w:rFonts w:eastAsia="Yu Mincho"/>
          <w:lang w:val="en-CA"/>
        </w:rPr>
        <w:t xml:space="preserve">a </w:t>
      </w:r>
      <w:r w:rsidR="0088024C" w:rsidRPr="000A349E">
        <w:rPr>
          <w:rFonts w:eastAsia="Yu Mincho"/>
          <w:lang w:val="en-CA"/>
        </w:rPr>
        <w:t>surplus</w:t>
      </w:r>
      <w:r w:rsidR="00664061" w:rsidRPr="000A349E">
        <w:rPr>
          <w:rFonts w:eastAsia="Yu Mincho"/>
          <w:lang w:val="en-CA"/>
        </w:rPr>
        <w:t xml:space="preserve">, </w:t>
      </w:r>
      <w:r w:rsidR="0088024C" w:rsidRPr="000A349E">
        <w:rPr>
          <w:rFonts w:eastAsia="Yu Mincho"/>
          <w:lang w:val="en-CA"/>
        </w:rPr>
        <w:t>making $280,</w:t>
      </w:r>
      <w:r w:rsidR="00521644" w:rsidRPr="000A349E">
        <w:rPr>
          <w:rFonts w:eastAsia="Yu Mincho"/>
          <w:lang w:val="en-CA"/>
        </w:rPr>
        <w:t xml:space="preserve">335 with a </w:t>
      </w:r>
      <w:r w:rsidR="00147279">
        <w:rPr>
          <w:rFonts w:eastAsia="Yu Mincho"/>
          <w:lang w:val="en-CA"/>
        </w:rPr>
        <w:t>transfer payment agreement (</w:t>
      </w:r>
      <w:r w:rsidR="00521644" w:rsidRPr="000A349E">
        <w:rPr>
          <w:rFonts w:eastAsia="Yu Mincho"/>
          <w:lang w:val="en-CA"/>
        </w:rPr>
        <w:t>TPA</w:t>
      </w:r>
      <w:r w:rsidR="00147279">
        <w:rPr>
          <w:rFonts w:eastAsia="Yu Mincho"/>
          <w:lang w:val="en-CA"/>
        </w:rPr>
        <w:t>)</w:t>
      </w:r>
      <w:r w:rsidR="00521644" w:rsidRPr="000A349E">
        <w:rPr>
          <w:rFonts w:eastAsia="Yu Mincho"/>
          <w:lang w:val="en-CA"/>
        </w:rPr>
        <w:t xml:space="preserve"> of over $1.</w:t>
      </w:r>
      <w:r w:rsidR="00664061" w:rsidRPr="000A349E">
        <w:rPr>
          <w:rFonts w:eastAsia="Yu Mincho"/>
          <w:lang w:val="en-CA"/>
        </w:rPr>
        <w:t>9 million</w:t>
      </w:r>
      <w:r w:rsidR="00521644" w:rsidRPr="000A349E">
        <w:rPr>
          <w:rFonts w:eastAsia="Yu Mincho"/>
          <w:lang w:val="en-CA"/>
        </w:rPr>
        <w:t xml:space="preserve">, </w:t>
      </w:r>
      <w:r w:rsidR="00664061" w:rsidRPr="000A349E">
        <w:rPr>
          <w:rFonts w:eastAsia="Yu Mincho"/>
          <w:lang w:val="en-CA"/>
        </w:rPr>
        <w:t xml:space="preserve">and </w:t>
      </w:r>
      <w:r w:rsidR="00521644" w:rsidRPr="000A349E">
        <w:rPr>
          <w:rFonts w:eastAsia="Yu Mincho"/>
          <w:lang w:val="en-CA"/>
        </w:rPr>
        <w:t xml:space="preserve">surpluses </w:t>
      </w:r>
      <w:r w:rsidR="00664061" w:rsidRPr="000A349E">
        <w:rPr>
          <w:rFonts w:eastAsia="Yu Mincho"/>
          <w:lang w:val="en-CA"/>
        </w:rPr>
        <w:t xml:space="preserve">became </w:t>
      </w:r>
      <w:r w:rsidR="00521644" w:rsidRPr="000A349E">
        <w:rPr>
          <w:rFonts w:eastAsia="Yu Mincho"/>
          <w:lang w:val="en-CA"/>
        </w:rPr>
        <w:t>entrenched by 2017</w:t>
      </w:r>
      <w:r w:rsidR="00664061" w:rsidRPr="000A349E">
        <w:rPr>
          <w:rFonts w:eastAsia="Yu Mincho"/>
          <w:lang w:val="en-CA"/>
        </w:rPr>
        <w:t xml:space="preserve">, when it made </w:t>
      </w:r>
      <w:r w:rsidR="00521644" w:rsidRPr="000A349E">
        <w:rPr>
          <w:rFonts w:eastAsia="Yu Mincho"/>
          <w:lang w:val="en-CA"/>
        </w:rPr>
        <w:t>$993,112 without a TPA (</w:t>
      </w:r>
      <w:r w:rsidR="007E3BBF" w:rsidRPr="000A349E">
        <w:rPr>
          <w:rFonts w:eastAsia="Yu Mincho"/>
          <w:lang w:val="en-CA"/>
        </w:rPr>
        <w:t xml:space="preserve">see </w:t>
      </w:r>
      <w:r w:rsidR="00521644" w:rsidRPr="000A349E">
        <w:rPr>
          <w:rFonts w:eastAsia="Yu Mincho"/>
          <w:lang w:val="en-CA"/>
        </w:rPr>
        <w:t xml:space="preserve">Exhibit </w:t>
      </w:r>
      <w:r w:rsidR="007E3BBF" w:rsidRPr="000A349E">
        <w:rPr>
          <w:rFonts w:eastAsia="Yu Mincho"/>
          <w:lang w:val="en-CA"/>
        </w:rPr>
        <w:t>2</w:t>
      </w:r>
      <w:r w:rsidR="00521644" w:rsidRPr="000A349E">
        <w:rPr>
          <w:rFonts w:eastAsia="Yu Mincho"/>
          <w:lang w:val="en-CA"/>
        </w:rPr>
        <w:t>).</w:t>
      </w:r>
      <w:r w:rsidR="00FD5209" w:rsidRPr="000A349E">
        <w:rPr>
          <w:rFonts w:eastAsia="Yu Mincho"/>
          <w:lang w:val="en-CA"/>
        </w:rPr>
        <w:t xml:space="preserve">  </w:t>
      </w:r>
    </w:p>
    <w:p w14:paraId="10789046" w14:textId="77777777" w:rsidR="00B02D49" w:rsidRPr="00301D54" w:rsidRDefault="00B02D49" w:rsidP="000A349E">
      <w:pPr>
        <w:pStyle w:val="BodyTextMain"/>
        <w:rPr>
          <w:rFonts w:eastAsia="Yu Mincho"/>
          <w:sz w:val="14"/>
          <w:szCs w:val="14"/>
        </w:rPr>
      </w:pPr>
    </w:p>
    <w:p w14:paraId="7ECE4B95" w14:textId="77777777" w:rsidR="00B02D49" w:rsidRPr="00301D54" w:rsidRDefault="00B02D49" w:rsidP="000A349E">
      <w:pPr>
        <w:pStyle w:val="BodyTextMain"/>
        <w:rPr>
          <w:rFonts w:eastAsia="Yu Mincho"/>
          <w:sz w:val="14"/>
          <w:szCs w:val="14"/>
        </w:rPr>
      </w:pPr>
    </w:p>
    <w:p w14:paraId="7C43797C" w14:textId="5AA9BBD8" w:rsidR="00B02D49" w:rsidRPr="000A349E" w:rsidRDefault="0061328A" w:rsidP="00B02D49">
      <w:pPr>
        <w:pStyle w:val="Casehead1"/>
        <w:rPr>
          <w:rFonts w:eastAsia="Yu Gothic Light"/>
          <w:lang w:val="en-CA"/>
        </w:rPr>
      </w:pPr>
      <w:bookmarkStart w:id="3" w:name="_Toc515971099"/>
      <w:r w:rsidRPr="000A349E">
        <w:rPr>
          <w:rFonts w:eastAsia="Yu Gothic Light"/>
          <w:lang w:val="en-CA"/>
        </w:rPr>
        <w:t>GROWTH</w:t>
      </w:r>
      <w:r w:rsidR="00B02D49" w:rsidRPr="000A349E">
        <w:rPr>
          <w:rFonts w:eastAsia="Yu Gothic Light"/>
          <w:lang w:val="en-CA"/>
        </w:rPr>
        <w:t xml:space="preserve"> CONSIDERATIONS</w:t>
      </w:r>
      <w:bookmarkEnd w:id="3"/>
    </w:p>
    <w:p w14:paraId="4B369B46" w14:textId="77777777" w:rsidR="00B02D49" w:rsidRPr="00301D54" w:rsidRDefault="00B02D49" w:rsidP="00B02D49">
      <w:pPr>
        <w:pStyle w:val="BodyTextMain"/>
        <w:rPr>
          <w:rFonts w:eastAsia="Yu Gothic Light"/>
          <w:sz w:val="14"/>
          <w:szCs w:val="14"/>
          <w:lang w:val="en-CA"/>
        </w:rPr>
      </w:pPr>
    </w:p>
    <w:p w14:paraId="3C378FA5" w14:textId="50CC9EBA" w:rsidR="00664061" w:rsidRPr="000A349E" w:rsidRDefault="00B02D49" w:rsidP="00B02D49">
      <w:pPr>
        <w:pStyle w:val="BodyTextMain"/>
        <w:rPr>
          <w:rFonts w:eastAsia="Yu Mincho"/>
          <w:lang w:val="en-CA"/>
        </w:rPr>
      </w:pPr>
      <w:r w:rsidRPr="000A349E">
        <w:rPr>
          <w:rFonts w:eastAsia="Yu Mincho"/>
          <w:lang w:val="en-CA"/>
        </w:rPr>
        <w:t xml:space="preserve">Sabo set out the </w:t>
      </w:r>
      <w:r w:rsidR="0061328A" w:rsidRPr="000A349E">
        <w:rPr>
          <w:rFonts w:eastAsia="Yu Mincho"/>
          <w:lang w:val="en-CA"/>
        </w:rPr>
        <w:t>growth</w:t>
      </w:r>
      <w:r w:rsidRPr="000A349E">
        <w:rPr>
          <w:rFonts w:eastAsia="Yu Mincho"/>
          <w:lang w:val="en-CA"/>
        </w:rPr>
        <w:t xml:space="preserve"> challenge as follows:</w:t>
      </w:r>
    </w:p>
    <w:p w14:paraId="099EAF47" w14:textId="77777777" w:rsidR="00664061" w:rsidRPr="00301D54" w:rsidRDefault="00664061" w:rsidP="00B02D49">
      <w:pPr>
        <w:pStyle w:val="BodyTextMain"/>
        <w:rPr>
          <w:rFonts w:eastAsia="Yu Mincho"/>
          <w:sz w:val="14"/>
          <w:szCs w:val="14"/>
          <w:lang w:val="en-CA"/>
        </w:rPr>
      </w:pPr>
    </w:p>
    <w:p w14:paraId="73EF39D5" w14:textId="3178E9D3" w:rsidR="00664061" w:rsidRPr="000A349E" w:rsidRDefault="00B02D49" w:rsidP="00664061">
      <w:pPr>
        <w:pStyle w:val="BodyTextMain"/>
        <w:ind w:left="720"/>
        <w:rPr>
          <w:rFonts w:eastAsia="Yu Mincho"/>
          <w:lang w:val="en-CA"/>
        </w:rPr>
      </w:pPr>
      <w:r w:rsidRPr="000A349E">
        <w:rPr>
          <w:rFonts w:eastAsia="Yu Mincho"/>
          <w:lang w:val="en-CA"/>
        </w:rPr>
        <w:t>I want to get to a point where</w:t>
      </w:r>
      <w:r w:rsidR="00664061" w:rsidRPr="000A349E">
        <w:rPr>
          <w:rFonts w:eastAsia="Yu Mincho"/>
          <w:lang w:val="en-CA"/>
        </w:rPr>
        <w:t>,</w:t>
      </w:r>
      <w:r w:rsidRPr="000A349E">
        <w:rPr>
          <w:rFonts w:eastAsia="Yu Mincho"/>
          <w:lang w:val="en-CA"/>
        </w:rPr>
        <w:t xml:space="preserve"> if one of our </w:t>
      </w:r>
      <w:r w:rsidR="00664061" w:rsidRPr="000A349E">
        <w:rPr>
          <w:rFonts w:eastAsia="Yu Mincho"/>
          <w:lang w:val="en-CA"/>
        </w:rPr>
        <w:t>c</w:t>
      </w:r>
      <w:r w:rsidRPr="000A349E">
        <w:rPr>
          <w:rFonts w:eastAsia="Yu Mincho"/>
          <w:lang w:val="en-CA"/>
        </w:rPr>
        <w:t xml:space="preserve">ustomers requires sourcing, the default is to come to OECM first and access from us. The only reason they </w:t>
      </w:r>
      <w:proofErr w:type="gramStart"/>
      <w:r w:rsidRPr="000A349E">
        <w:rPr>
          <w:rFonts w:eastAsia="Yu Mincho"/>
          <w:lang w:val="en-CA"/>
        </w:rPr>
        <w:t>don’t</w:t>
      </w:r>
      <w:proofErr w:type="gramEnd"/>
      <w:r w:rsidRPr="000A349E">
        <w:rPr>
          <w:rFonts w:eastAsia="Yu Mincho"/>
          <w:lang w:val="en-CA"/>
        </w:rPr>
        <w:t xml:space="preserve"> use us is that we don’t offer what they require. Ideally</w:t>
      </w:r>
      <w:r w:rsidR="009C4C2F" w:rsidRPr="000A349E">
        <w:rPr>
          <w:rFonts w:eastAsia="Yu Mincho"/>
          <w:lang w:val="en-CA"/>
        </w:rPr>
        <w:t>,</w:t>
      </w:r>
      <w:r w:rsidRPr="000A349E">
        <w:rPr>
          <w:rFonts w:eastAsia="Yu Mincho"/>
          <w:lang w:val="en-CA"/>
        </w:rPr>
        <w:t xml:space="preserve"> we want to get to a point where we do offer most if not everything our </w:t>
      </w:r>
      <w:r w:rsidR="00664061" w:rsidRPr="000A349E">
        <w:rPr>
          <w:rFonts w:eastAsia="Yu Mincho"/>
          <w:lang w:val="en-CA"/>
        </w:rPr>
        <w:t>c</w:t>
      </w:r>
      <w:r w:rsidRPr="000A349E">
        <w:rPr>
          <w:rFonts w:eastAsia="Yu Mincho"/>
          <w:lang w:val="en-CA"/>
        </w:rPr>
        <w:t>ustomers require. If we do that, we will max out</w:t>
      </w:r>
      <w:r w:rsidR="00664061" w:rsidRPr="000A349E">
        <w:rPr>
          <w:rFonts w:eastAsia="Yu Mincho"/>
          <w:lang w:val="en-CA"/>
        </w:rPr>
        <w:t>.</w:t>
      </w:r>
    </w:p>
    <w:p w14:paraId="35F158A9" w14:textId="06AF0119" w:rsidR="00664061" w:rsidRPr="00301D54" w:rsidRDefault="00664061" w:rsidP="00B02D49">
      <w:pPr>
        <w:pStyle w:val="BodyTextMain"/>
        <w:rPr>
          <w:rFonts w:eastAsia="Yu Mincho"/>
          <w:sz w:val="14"/>
          <w:szCs w:val="14"/>
          <w:lang w:val="en-CA"/>
        </w:rPr>
      </w:pPr>
    </w:p>
    <w:p w14:paraId="439882C2" w14:textId="651210A1" w:rsidR="00B02D49" w:rsidRPr="000A349E" w:rsidRDefault="0061328A" w:rsidP="00B02D49">
      <w:pPr>
        <w:pStyle w:val="BodyTextMain"/>
        <w:rPr>
          <w:rFonts w:eastAsia="Yu Mincho"/>
          <w:lang w:val="en-CA"/>
        </w:rPr>
      </w:pPr>
      <w:r w:rsidRPr="000A349E">
        <w:rPr>
          <w:rFonts w:eastAsia="Yu Mincho"/>
          <w:lang w:val="en-CA"/>
        </w:rPr>
        <w:t xml:space="preserve">To achieve its growth to date, </w:t>
      </w:r>
      <w:r w:rsidR="00B02D49" w:rsidRPr="000A349E">
        <w:rPr>
          <w:rFonts w:eastAsia="Yu Mincho"/>
          <w:lang w:val="en-CA"/>
        </w:rPr>
        <w:t xml:space="preserve">OECM </w:t>
      </w:r>
      <w:r w:rsidR="00664061" w:rsidRPr="000A349E">
        <w:rPr>
          <w:rFonts w:eastAsia="Yu Mincho"/>
          <w:lang w:val="en-CA"/>
        </w:rPr>
        <w:t xml:space="preserve">had overcome </w:t>
      </w:r>
      <w:r w:rsidR="00B02D49" w:rsidRPr="000A349E">
        <w:rPr>
          <w:rFonts w:eastAsia="Yu Mincho"/>
          <w:lang w:val="en-CA"/>
        </w:rPr>
        <w:t xml:space="preserve">internal challenges </w:t>
      </w:r>
      <w:r w:rsidRPr="000A349E">
        <w:rPr>
          <w:rFonts w:eastAsia="Yu Mincho"/>
          <w:lang w:val="en-CA"/>
        </w:rPr>
        <w:t>through</w:t>
      </w:r>
      <w:r w:rsidR="00B02D49" w:rsidRPr="000A349E">
        <w:rPr>
          <w:rFonts w:eastAsia="Yu Mincho"/>
          <w:lang w:val="en-CA"/>
        </w:rPr>
        <w:t xml:space="preserve"> a four-point plan</w:t>
      </w:r>
      <w:r w:rsidR="00664061" w:rsidRPr="000A349E">
        <w:rPr>
          <w:rFonts w:eastAsia="Yu Mincho"/>
          <w:lang w:val="en-CA"/>
        </w:rPr>
        <w:t>,</w:t>
      </w:r>
      <w:r w:rsidR="00B02D49" w:rsidRPr="000A349E">
        <w:rPr>
          <w:rFonts w:eastAsia="Yu Mincho"/>
          <w:lang w:val="en-CA"/>
        </w:rPr>
        <w:t xml:space="preserve"> </w:t>
      </w:r>
      <w:r w:rsidRPr="000A349E">
        <w:rPr>
          <w:rFonts w:eastAsia="Yu Mincho"/>
          <w:lang w:val="en-CA"/>
        </w:rPr>
        <w:t>implemented</w:t>
      </w:r>
      <w:r w:rsidR="00B02D49" w:rsidRPr="000A349E">
        <w:rPr>
          <w:rFonts w:eastAsia="Yu Mincho"/>
          <w:lang w:val="en-CA"/>
        </w:rPr>
        <w:t xml:space="preserve"> </w:t>
      </w:r>
      <w:r w:rsidR="0051188F" w:rsidRPr="000A349E">
        <w:rPr>
          <w:rFonts w:eastAsia="Yu Mincho"/>
          <w:lang w:val="en-CA"/>
        </w:rPr>
        <w:t>between 2016 and 2018</w:t>
      </w:r>
      <w:r w:rsidR="00664061" w:rsidRPr="000A349E">
        <w:rPr>
          <w:rFonts w:eastAsia="Yu Mincho"/>
          <w:lang w:val="en-CA"/>
        </w:rPr>
        <w:t xml:space="preserve">, that included technology, governance, the implementation of a </w:t>
      </w:r>
      <w:r w:rsidR="00B02D49" w:rsidRPr="000A349E">
        <w:rPr>
          <w:rFonts w:eastAsia="Yu Mincho"/>
          <w:lang w:val="en-CA"/>
        </w:rPr>
        <w:t xml:space="preserve">people strategy, </w:t>
      </w:r>
      <w:r w:rsidR="00664061" w:rsidRPr="000A349E">
        <w:rPr>
          <w:rFonts w:eastAsia="Yu Mincho"/>
          <w:lang w:val="en-CA"/>
        </w:rPr>
        <w:t xml:space="preserve">and </w:t>
      </w:r>
      <w:r w:rsidR="00B02D49" w:rsidRPr="000A349E">
        <w:rPr>
          <w:rFonts w:eastAsia="Yu Mincho"/>
          <w:lang w:val="en-CA"/>
        </w:rPr>
        <w:t>increasing contract categories and participation.</w:t>
      </w:r>
      <w:r w:rsidRPr="000A349E">
        <w:rPr>
          <w:rFonts w:eastAsia="Yu Mincho"/>
          <w:lang w:val="en-CA"/>
        </w:rPr>
        <w:t xml:space="preserve"> </w:t>
      </w:r>
      <w:r w:rsidR="00A2108D" w:rsidRPr="000A349E">
        <w:rPr>
          <w:rFonts w:eastAsia="Yu Mincho"/>
          <w:lang w:val="en-CA"/>
        </w:rPr>
        <w:t>How to further scale the growth to date remained an open question.</w:t>
      </w:r>
      <w:r w:rsidR="0051188F" w:rsidRPr="000A349E">
        <w:rPr>
          <w:rFonts w:eastAsia="Yu Mincho"/>
          <w:lang w:val="en-CA"/>
        </w:rPr>
        <w:t xml:space="preserve"> </w:t>
      </w:r>
    </w:p>
    <w:p w14:paraId="4CDD17EE" w14:textId="77777777" w:rsidR="00B02D49" w:rsidRPr="00301D54" w:rsidRDefault="00B02D49" w:rsidP="000A349E">
      <w:pPr>
        <w:pStyle w:val="BodyTextMain"/>
        <w:rPr>
          <w:rFonts w:eastAsia="Yu Mincho"/>
          <w:sz w:val="14"/>
          <w:szCs w:val="14"/>
        </w:rPr>
      </w:pPr>
    </w:p>
    <w:p w14:paraId="21F1829A" w14:textId="16CFD18F" w:rsidR="00B02D49" w:rsidRPr="00301D54" w:rsidRDefault="00B02D49" w:rsidP="000A349E">
      <w:pPr>
        <w:pStyle w:val="BodyTextMain"/>
        <w:rPr>
          <w:rFonts w:eastAsia="Yu Mincho"/>
          <w:sz w:val="14"/>
          <w:szCs w:val="14"/>
        </w:rPr>
      </w:pPr>
    </w:p>
    <w:p w14:paraId="58EBDBED" w14:textId="5FCC05B6" w:rsidR="00B02D49" w:rsidRPr="000A349E" w:rsidRDefault="00B02D49" w:rsidP="000A349E">
      <w:pPr>
        <w:pStyle w:val="Casehead2"/>
        <w:rPr>
          <w:rFonts w:eastAsia="Yu Gothic Light"/>
          <w:lang w:val="en-CA"/>
        </w:rPr>
      </w:pPr>
      <w:bookmarkStart w:id="4" w:name="_Toc515971100"/>
      <w:r w:rsidRPr="000A349E">
        <w:rPr>
          <w:rFonts w:eastAsia="Yu Gothic Light"/>
          <w:lang w:val="en-CA"/>
        </w:rPr>
        <w:t xml:space="preserve">People </w:t>
      </w:r>
      <w:bookmarkEnd w:id="4"/>
      <w:r w:rsidR="00664061" w:rsidRPr="000A349E">
        <w:rPr>
          <w:rFonts w:eastAsia="Yu Gothic Light"/>
          <w:lang w:val="en-CA"/>
        </w:rPr>
        <w:t>Strategy</w:t>
      </w:r>
    </w:p>
    <w:p w14:paraId="7BE2324F" w14:textId="77777777" w:rsidR="00B02D49" w:rsidRPr="00301D54" w:rsidRDefault="00B02D49" w:rsidP="000A349E">
      <w:pPr>
        <w:pStyle w:val="BodyTextMain"/>
        <w:rPr>
          <w:rFonts w:eastAsia="Yu Gothic Light"/>
          <w:sz w:val="14"/>
          <w:szCs w:val="14"/>
          <w:lang w:val="en-CA"/>
        </w:rPr>
      </w:pPr>
    </w:p>
    <w:p w14:paraId="6B610476" w14:textId="52D8829A" w:rsidR="00B02D49" w:rsidRPr="000A349E" w:rsidRDefault="00B02D49" w:rsidP="000A349E">
      <w:pPr>
        <w:pStyle w:val="BodyTextMain"/>
        <w:rPr>
          <w:rFonts w:eastAsia="Yu Mincho"/>
          <w:lang w:val="en-CA"/>
        </w:rPr>
      </w:pPr>
      <w:r w:rsidRPr="000A349E">
        <w:rPr>
          <w:rFonts w:eastAsia="Yu Mincho"/>
          <w:lang w:val="en-CA"/>
        </w:rPr>
        <w:t xml:space="preserve">OECM implemented a people strategy to increase the efficiency of </w:t>
      </w:r>
      <w:r w:rsidR="00664061" w:rsidRPr="000A349E">
        <w:rPr>
          <w:rFonts w:eastAsia="Yu Mincho"/>
          <w:lang w:val="en-CA"/>
        </w:rPr>
        <w:t xml:space="preserve">its </w:t>
      </w:r>
      <w:r w:rsidRPr="000A349E">
        <w:rPr>
          <w:rFonts w:eastAsia="Yu Mincho"/>
          <w:lang w:val="en-CA"/>
        </w:rPr>
        <w:t xml:space="preserve">employees. </w:t>
      </w:r>
      <w:r w:rsidR="00E65A2E" w:rsidRPr="000A349E">
        <w:rPr>
          <w:rFonts w:eastAsia="Yu Mincho"/>
          <w:lang w:val="en-CA"/>
        </w:rPr>
        <w:t>Sabo</w:t>
      </w:r>
      <w:r w:rsidRPr="000A349E">
        <w:rPr>
          <w:rFonts w:eastAsia="Yu Mincho"/>
          <w:lang w:val="en-CA"/>
        </w:rPr>
        <w:t xml:space="preserve"> recognized that without </w:t>
      </w:r>
      <w:r w:rsidR="00256821" w:rsidRPr="000A349E">
        <w:rPr>
          <w:rFonts w:eastAsia="Yu Mincho"/>
          <w:lang w:val="en-CA"/>
        </w:rPr>
        <w:t xml:space="preserve">a </w:t>
      </w:r>
      <w:r w:rsidRPr="000A349E">
        <w:rPr>
          <w:rFonts w:eastAsia="Yu Mincho"/>
          <w:lang w:val="en-CA"/>
        </w:rPr>
        <w:t>team</w:t>
      </w:r>
      <w:r w:rsidR="009812FB" w:rsidRPr="000A349E">
        <w:rPr>
          <w:rFonts w:eastAsia="Yu Mincho"/>
          <w:lang w:val="en-CA"/>
        </w:rPr>
        <w:t xml:space="preserve"> of top performers</w:t>
      </w:r>
      <w:r w:rsidRPr="000A349E">
        <w:rPr>
          <w:rFonts w:eastAsia="Yu Mincho"/>
          <w:lang w:val="en-CA"/>
        </w:rPr>
        <w:t xml:space="preserve"> and the willingness to pay for high performers, achieving the </w:t>
      </w:r>
      <w:r w:rsidR="00664061" w:rsidRPr="000A349E">
        <w:rPr>
          <w:rFonts w:eastAsia="Yu Mincho"/>
          <w:lang w:val="en-CA"/>
        </w:rPr>
        <w:t xml:space="preserve">organization’s </w:t>
      </w:r>
      <w:r w:rsidRPr="000A349E">
        <w:rPr>
          <w:rFonts w:eastAsia="Yu Mincho"/>
          <w:lang w:val="en-CA"/>
        </w:rPr>
        <w:t>growth targets would be difficult. Headcount had grown 35</w:t>
      </w:r>
      <w:r w:rsidR="00664061" w:rsidRPr="000A349E">
        <w:rPr>
          <w:rFonts w:eastAsia="Yu Mincho"/>
          <w:lang w:val="en-CA"/>
        </w:rPr>
        <w:t xml:space="preserve"> per cent </w:t>
      </w:r>
      <w:r w:rsidRPr="000A349E">
        <w:rPr>
          <w:rFonts w:eastAsia="Yu Mincho"/>
          <w:lang w:val="en-CA"/>
        </w:rPr>
        <w:t>year</w:t>
      </w:r>
      <w:r w:rsidR="003C3425" w:rsidRPr="000A349E">
        <w:rPr>
          <w:rFonts w:eastAsia="Yu Mincho"/>
          <w:lang w:val="en-CA"/>
        </w:rPr>
        <w:t xml:space="preserve"> </w:t>
      </w:r>
      <w:r w:rsidRPr="000A349E">
        <w:rPr>
          <w:rFonts w:eastAsia="Yu Mincho"/>
          <w:lang w:val="en-CA"/>
        </w:rPr>
        <w:t>over</w:t>
      </w:r>
      <w:r w:rsidR="003C3425" w:rsidRPr="000A349E">
        <w:rPr>
          <w:rFonts w:eastAsia="Yu Mincho"/>
          <w:lang w:val="en-CA"/>
        </w:rPr>
        <w:t xml:space="preserve"> </w:t>
      </w:r>
      <w:r w:rsidRPr="000A349E">
        <w:rPr>
          <w:rFonts w:eastAsia="Yu Mincho"/>
          <w:lang w:val="en-CA"/>
        </w:rPr>
        <w:t>year</w:t>
      </w:r>
      <w:r w:rsidR="00664061" w:rsidRPr="000A349E">
        <w:rPr>
          <w:rFonts w:eastAsia="Yu Mincho"/>
          <w:lang w:val="en-CA"/>
        </w:rPr>
        <w:t>,</w:t>
      </w:r>
      <w:r w:rsidRPr="000A349E">
        <w:rPr>
          <w:rFonts w:eastAsia="Yu Mincho"/>
          <w:lang w:val="en-CA"/>
        </w:rPr>
        <w:t xml:space="preserve"> from 22 employees in 2015, to 53 by early 2018. There continued to be some unfilled positions, and as the company scaled, the possibility of more vacancies remained a real concern.</w:t>
      </w:r>
    </w:p>
    <w:p w14:paraId="6D49A6FA" w14:textId="57172935" w:rsidR="00B02D49" w:rsidRPr="000A349E" w:rsidRDefault="00B02D49" w:rsidP="00B02D49">
      <w:pPr>
        <w:pStyle w:val="BodyTextMain"/>
        <w:rPr>
          <w:rFonts w:eastAsia="Yu Mincho"/>
          <w:lang w:val="en-CA"/>
        </w:rPr>
      </w:pPr>
      <w:r w:rsidRPr="000A349E">
        <w:rPr>
          <w:rFonts w:eastAsia="Yu Mincho"/>
          <w:lang w:val="en-CA"/>
        </w:rPr>
        <w:lastRenderedPageBreak/>
        <w:t xml:space="preserve">In order to reduce high employee turnover and retain </w:t>
      </w:r>
      <w:r w:rsidR="00664061" w:rsidRPr="000A349E">
        <w:rPr>
          <w:rFonts w:eastAsia="Yu Mincho"/>
          <w:lang w:val="en-CA"/>
        </w:rPr>
        <w:t xml:space="preserve">the </w:t>
      </w:r>
      <w:r w:rsidRPr="000A349E">
        <w:rPr>
          <w:rFonts w:eastAsia="Yu Mincho"/>
          <w:lang w:val="en-CA"/>
        </w:rPr>
        <w:t xml:space="preserve">high performers </w:t>
      </w:r>
      <w:r w:rsidR="00664061" w:rsidRPr="000A349E">
        <w:rPr>
          <w:rFonts w:eastAsia="Yu Mincho"/>
          <w:lang w:val="en-CA"/>
        </w:rPr>
        <w:t xml:space="preserve">who were </w:t>
      </w:r>
      <w:r w:rsidRPr="000A349E">
        <w:rPr>
          <w:rFonts w:eastAsia="Yu Mincho"/>
          <w:lang w:val="en-CA"/>
        </w:rPr>
        <w:t>necessary to scale</w:t>
      </w:r>
      <w:r w:rsidR="00664061" w:rsidRPr="000A349E">
        <w:rPr>
          <w:rFonts w:eastAsia="Yu Mincho"/>
          <w:lang w:val="en-CA"/>
        </w:rPr>
        <w:t>,</w:t>
      </w:r>
      <w:r w:rsidRPr="000A349E">
        <w:rPr>
          <w:rFonts w:eastAsia="Yu Mincho"/>
          <w:lang w:val="en-CA"/>
        </w:rPr>
        <w:t xml:space="preserve"> OECM embraced a workplace culture associated with start-ups: a fun environment with energetic employees, a lounge and games room for breaks, and organizational and community volunteering events to promote employee bonding and morale. OECM hoped that the shift in culture, along with </w:t>
      </w:r>
      <w:r w:rsidR="00664061" w:rsidRPr="000A349E">
        <w:rPr>
          <w:rFonts w:eastAsia="Yu Mincho"/>
          <w:lang w:val="en-CA"/>
        </w:rPr>
        <w:t xml:space="preserve">an </w:t>
      </w:r>
      <w:r w:rsidRPr="000A349E">
        <w:rPr>
          <w:rFonts w:eastAsia="Yu Mincho"/>
          <w:lang w:val="en-CA"/>
        </w:rPr>
        <w:t>improved compensation and benefits program</w:t>
      </w:r>
      <w:r w:rsidR="00664061" w:rsidRPr="000A349E">
        <w:rPr>
          <w:rFonts w:eastAsia="Yu Mincho"/>
          <w:lang w:val="en-CA"/>
        </w:rPr>
        <w:t>,</w:t>
      </w:r>
      <w:r w:rsidRPr="000A349E">
        <w:rPr>
          <w:rFonts w:eastAsia="Yu Mincho"/>
          <w:lang w:val="en-CA"/>
        </w:rPr>
        <w:t xml:space="preserve"> would reduce turnover </w:t>
      </w:r>
      <w:r w:rsidR="00664061" w:rsidRPr="000A349E">
        <w:rPr>
          <w:rFonts w:eastAsia="Yu Mincho"/>
          <w:lang w:val="en-CA"/>
        </w:rPr>
        <w:t xml:space="preserve">by ensuring </w:t>
      </w:r>
      <w:r w:rsidRPr="000A349E">
        <w:rPr>
          <w:rFonts w:eastAsia="Yu Mincho"/>
          <w:lang w:val="en-CA"/>
        </w:rPr>
        <w:t xml:space="preserve">more motivated and fulfilled staff. </w:t>
      </w:r>
    </w:p>
    <w:p w14:paraId="3D97BBF5" w14:textId="29F19C62" w:rsidR="00B02D49" w:rsidRPr="000A349E" w:rsidRDefault="00B02D49" w:rsidP="00B02D49">
      <w:pPr>
        <w:pStyle w:val="BodyTextMain"/>
        <w:rPr>
          <w:rFonts w:eastAsia="Yu Mincho"/>
          <w:sz w:val="18"/>
          <w:szCs w:val="18"/>
          <w:lang w:val="en-CA"/>
        </w:rPr>
      </w:pPr>
    </w:p>
    <w:p w14:paraId="3509306C" w14:textId="77777777" w:rsidR="00B02D49" w:rsidRPr="000A349E" w:rsidRDefault="00B02D49" w:rsidP="00B02D49">
      <w:pPr>
        <w:pStyle w:val="BodyTextMain"/>
        <w:rPr>
          <w:rFonts w:eastAsia="Yu Mincho"/>
          <w:sz w:val="18"/>
          <w:szCs w:val="18"/>
          <w:lang w:val="en-CA"/>
        </w:rPr>
      </w:pPr>
    </w:p>
    <w:p w14:paraId="011278A7" w14:textId="77777777" w:rsidR="00B02D49" w:rsidRPr="000A349E" w:rsidRDefault="00B02D49" w:rsidP="00B02D49">
      <w:pPr>
        <w:pStyle w:val="Casehead2"/>
        <w:rPr>
          <w:rFonts w:eastAsia="Yu Gothic Light"/>
          <w:lang w:val="en-CA"/>
        </w:rPr>
      </w:pPr>
      <w:bookmarkStart w:id="5" w:name="_Toc515971101"/>
      <w:r w:rsidRPr="000A349E">
        <w:rPr>
          <w:rFonts w:eastAsia="Yu Gothic Light"/>
          <w:lang w:val="en-CA"/>
        </w:rPr>
        <w:t>Contract Categories</w:t>
      </w:r>
      <w:bookmarkEnd w:id="5"/>
      <w:r w:rsidRPr="000A349E">
        <w:rPr>
          <w:rFonts w:eastAsia="Yu Gothic Light"/>
          <w:lang w:val="en-CA"/>
        </w:rPr>
        <w:t xml:space="preserve"> and Contract Participation</w:t>
      </w:r>
    </w:p>
    <w:p w14:paraId="3C936A63" w14:textId="77777777" w:rsidR="00B02D49" w:rsidRPr="000A349E" w:rsidRDefault="00B02D49" w:rsidP="00B02D49">
      <w:pPr>
        <w:pStyle w:val="BodyTextMain"/>
        <w:rPr>
          <w:rFonts w:eastAsia="Yu Gothic Light"/>
          <w:sz w:val="18"/>
          <w:szCs w:val="18"/>
          <w:lang w:val="en-CA"/>
        </w:rPr>
      </w:pPr>
    </w:p>
    <w:p w14:paraId="3CAB5F8E" w14:textId="0B4B8497" w:rsidR="00B02D49" w:rsidRPr="000A349E" w:rsidRDefault="00B02D49" w:rsidP="00B02D49">
      <w:pPr>
        <w:pStyle w:val="BodyTextMain"/>
        <w:rPr>
          <w:rFonts w:eastAsia="Yu Mincho"/>
          <w:spacing w:val="-2"/>
          <w:kern w:val="22"/>
          <w:lang w:val="en-CA"/>
        </w:rPr>
      </w:pPr>
      <w:r w:rsidRPr="000A349E">
        <w:rPr>
          <w:rFonts w:eastAsia="Yu Mincho"/>
          <w:spacing w:val="-2"/>
          <w:kern w:val="22"/>
          <w:lang w:val="en-CA"/>
        </w:rPr>
        <w:t xml:space="preserve">The heart of OECM’s procurement process was issuing </w:t>
      </w:r>
      <w:r w:rsidR="003C3425" w:rsidRPr="000A349E">
        <w:rPr>
          <w:rFonts w:eastAsia="Yu Mincho"/>
          <w:spacing w:val="-2"/>
          <w:kern w:val="22"/>
          <w:lang w:val="en-CA"/>
        </w:rPr>
        <w:t>c</w:t>
      </w:r>
      <w:r w:rsidRPr="000A349E">
        <w:rPr>
          <w:rFonts w:eastAsia="Yu Mincho"/>
          <w:spacing w:val="-2"/>
          <w:kern w:val="22"/>
          <w:lang w:val="en-CA"/>
        </w:rPr>
        <w:t>ontracts</w:t>
      </w:r>
      <w:r w:rsidRPr="000A349E">
        <w:rPr>
          <w:rFonts w:eastAsia="Yu Mincho"/>
          <w:spacing w:val="-2"/>
          <w:kern w:val="22"/>
          <w:vertAlign w:val="superscript"/>
          <w:lang w:val="en-CA"/>
        </w:rPr>
        <w:footnoteReference w:id="8"/>
      </w:r>
      <w:r w:rsidRPr="000A349E">
        <w:rPr>
          <w:rFonts w:eastAsia="Yu Mincho"/>
          <w:spacing w:val="-2"/>
          <w:kern w:val="22"/>
          <w:lang w:val="en-CA"/>
        </w:rPr>
        <w:t xml:space="preserve"> with </w:t>
      </w:r>
      <w:r w:rsidR="003C3425" w:rsidRPr="000A349E">
        <w:rPr>
          <w:rFonts w:eastAsia="Yu Mincho"/>
          <w:spacing w:val="-2"/>
          <w:kern w:val="22"/>
          <w:lang w:val="en-CA"/>
        </w:rPr>
        <w:t>s</w:t>
      </w:r>
      <w:r w:rsidRPr="000A349E">
        <w:rPr>
          <w:rFonts w:eastAsia="Yu Mincho"/>
          <w:spacing w:val="-2"/>
          <w:kern w:val="22"/>
          <w:lang w:val="en-CA"/>
        </w:rPr>
        <w:t xml:space="preserve">uppliers for products and services that would be of interest to </w:t>
      </w:r>
      <w:r w:rsidR="003C3425" w:rsidRPr="000A349E">
        <w:rPr>
          <w:rFonts w:eastAsia="Yu Mincho"/>
          <w:spacing w:val="-2"/>
          <w:kern w:val="22"/>
          <w:lang w:val="en-CA"/>
        </w:rPr>
        <w:t>its c</w:t>
      </w:r>
      <w:r w:rsidRPr="000A349E">
        <w:rPr>
          <w:rFonts w:eastAsia="Yu Mincho"/>
          <w:spacing w:val="-2"/>
          <w:kern w:val="22"/>
          <w:lang w:val="en-CA"/>
        </w:rPr>
        <w:t xml:space="preserve">ustomers. OECM planned to increase the number and variety of </w:t>
      </w:r>
      <w:r w:rsidR="00681525" w:rsidRPr="000A349E">
        <w:rPr>
          <w:rFonts w:eastAsia="Yu Mincho"/>
          <w:spacing w:val="-2"/>
          <w:kern w:val="22"/>
          <w:lang w:val="en-CA"/>
        </w:rPr>
        <w:t xml:space="preserve">its </w:t>
      </w:r>
      <w:r w:rsidR="003C3425" w:rsidRPr="000A349E">
        <w:rPr>
          <w:rFonts w:eastAsia="Yu Mincho"/>
          <w:spacing w:val="-2"/>
          <w:kern w:val="22"/>
          <w:lang w:val="en-CA"/>
        </w:rPr>
        <w:t>c</w:t>
      </w:r>
      <w:r w:rsidRPr="000A349E">
        <w:rPr>
          <w:rFonts w:eastAsia="Yu Mincho"/>
          <w:spacing w:val="-2"/>
          <w:kern w:val="22"/>
          <w:lang w:val="en-CA"/>
        </w:rPr>
        <w:t xml:space="preserve">ontract </w:t>
      </w:r>
      <w:r w:rsidR="003C3425" w:rsidRPr="000A349E">
        <w:rPr>
          <w:rFonts w:eastAsia="Yu Mincho"/>
          <w:spacing w:val="-2"/>
          <w:kern w:val="22"/>
          <w:lang w:val="en-CA"/>
        </w:rPr>
        <w:t>c</w:t>
      </w:r>
      <w:r w:rsidRPr="000A349E">
        <w:rPr>
          <w:rFonts w:eastAsia="Yu Mincho"/>
          <w:spacing w:val="-2"/>
          <w:kern w:val="22"/>
          <w:lang w:val="en-CA"/>
        </w:rPr>
        <w:t>ategories</w:t>
      </w:r>
      <w:r w:rsidRPr="000A349E">
        <w:rPr>
          <w:rFonts w:eastAsia="Yu Mincho"/>
          <w:spacing w:val="-2"/>
          <w:kern w:val="22"/>
          <w:vertAlign w:val="superscript"/>
          <w:lang w:val="en-CA"/>
        </w:rPr>
        <w:footnoteReference w:id="9"/>
      </w:r>
      <w:r w:rsidRPr="000A349E">
        <w:rPr>
          <w:rFonts w:eastAsia="Yu Mincho"/>
          <w:spacing w:val="-2"/>
          <w:kern w:val="22"/>
          <w:lang w:val="en-CA"/>
        </w:rPr>
        <w:t xml:space="preserve"> (</w:t>
      </w:r>
      <w:r w:rsidR="007E3BBF" w:rsidRPr="000A349E">
        <w:rPr>
          <w:rFonts w:eastAsia="Yu Mincho"/>
          <w:spacing w:val="-2"/>
          <w:kern w:val="22"/>
          <w:lang w:val="en-CA"/>
        </w:rPr>
        <w:t xml:space="preserve">see </w:t>
      </w:r>
      <w:r w:rsidRPr="000A349E">
        <w:rPr>
          <w:rFonts w:eastAsia="Yu Mincho"/>
          <w:spacing w:val="-2"/>
          <w:kern w:val="22"/>
          <w:lang w:val="en-CA"/>
        </w:rPr>
        <w:t xml:space="preserve">Exhibit </w:t>
      </w:r>
      <w:r w:rsidR="007E3BBF" w:rsidRPr="000A349E">
        <w:rPr>
          <w:rFonts w:eastAsia="Yu Mincho"/>
          <w:spacing w:val="-2"/>
          <w:kern w:val="22"/>
          <w:lang w:val="en-CA"/>
        </w:rPr>
        <w:t>3</w:t>
      </w:r>
      <w:r w:rsidRPr="000A349E">
        <w:rPr>
          <w:rFonts w:eastAsia="Yu Mincho"/>
          <w:spacing w:val="-2"/>
          <w:kern w:val="22"/>
          <w:lang w:val="en-CA"/>
        </w:rPr>
        <w:t>)</w:t>
      </w:r>
      <w:r w:rsidR="009C4C2F" w:rsidRPr="000A349E">
        <w:rPr>
          <w:rFonts w:eastAsia="Yu Mincho"/>
          <w:spacing w:val="-2"/>
          <w:kern w:val="22"/>
          <w:lang w:val="en-CA"/>
        </w:rPr>
        <w:t xml:space="preserve"> </w:t>
      </w:r>
      <w:r w:rsidRPr="000A349E">
        <w:rPr>
          <w:rFonts w:eastAsia="Yu Mincho"/>
          <w:spacing w:val="-2"/>
          <w:kern w:val="22"/>
          <w:lang w:val="en-CA"/>
        </w:rPr>
        <w:t xml:space="preserve">and </w:t>
      </w:r>
      <w:r w:rsidR="003C3425" w:rsidRPr="000A349E">
        <w:rPr>
          <w:rFonts w:eastAsia="Yu Mincho"/>
          <w:spacing w:val="-2"/>
          <w:kern w:val="22"/>
          <w:lang w:val="en-CA"/>
        </w:rPr>
        <w:t xml:space="preserve">to </w:t>
      </w:r>
      <w:r w:rsidRPr="000A349E">
        <w:rPr>
          <w:rFonts w:eastAsia="Yu Mincho"/>
          <w:spacing w:val="-2"/>
          <w:kern w:val="22"/>
          <w:lang w:val="en-CA"/>
        </w:rPr>
        <w:t xml:space="preserve">promote </w:t>
      </w:r>
      <w:r w:rsidR="003C3425" w:rsidRPr="000A349E">
        <w:rPr>
          <w:rFonts w:eastAsia="Yu Mincho"/>
          <w:spacing w:val="-2"/>
          <w:kern w:val="22"/>
          <w:lang w:val="en-CA"/>
        </w:rPr>
        <w:t>increased s</w:t>
      </w:r>
      <w:r w:rsidRPr="000A349E">
        <w:rPr>
          <w:rFonts w:eastAsia="Yu Mincho"/>
          <w:spacing w:val="-2"/>
          <w:kern w:val="22"/>
          <w:lang w:val="en-CA"/>
        </w:rPr>
        <w:t>pend</w:t>
      </w:r>
      <w:r w:rsidR="004407E3" w:rsidRPr="000A349E">
        <w:rPr>
          <w:rFonts w:eastAsia="Yu Mincho"/>
          <w:spacing w:val="-2"/>
          <w:kern w:val="22"/>
          <w:lang w:val="en-CA"/>
        </w:rPr>
        <w:t>ing</w:t>
      </w:r>
      <w:r w:rsidRPr="000A349E">
        <w:rPr>
          <w:rFonts w:eastAsia="Yu Mincho"/>
          <w:spacing w:val="-2"/>
          <w:kern w:val="22"/>
          <w:lang w:val="en-CA"/>
        </w:rPr>
        <w:t xml:space="preserve"> by increasing </w:t>
      </w:r>
      <w:r w:rsidR="003C3425" w:rsidRPr="000A349E">
        <w:rPr>
          <w:rFonts w:eastAsia="Yu Mincho"/>
          <w:spacing w:val="-2"/>
          <w:kern w:val="22"/>
          <w:lang w:val="en-CA"/>
        </w:rPr>
        <w:t>c</w:t>
      </w:r>
      <w:r w:rsidRPr="000A349E">
        <w:rPr>
          <w:rFonts w:eastAsia="Yu Mincho"/>
          <w:spacing w:val="-2"/>
          <w:kern w:val="22"/>
          <w:lang w:val="en-CA"/>
        </w:rPr>
        <w:t xml:space="preserve">ontract </w:t>
      </w:r>
      <w:r w:rsidR="003C3425" w:rsidRPr="000A349E">
        <w:rPr>
          <w:rFonts w:eastAsia="Yu Mincho"/>
          <w:spacing w:val="-2"/>
          <w:kern w:val="22"/>
          <w:lang w:val="en-CA"/>
        </w:rPr>
        <w:t>p</w:t>
      </w:r>
      <w:r w:rsidRPr="000A349E">
        <w:rPr>
          <w:rFonts w:eastAsia="Yu Mincho"/>
          <w:spacing w:val="-2"/>
          <w:kern w:val="22"/>
          <w:lang w:val="en-CA"/>
        </w:rPr>
        <w:t>articipation</w:t>
      </w:r>
      <w:r w:rsidR="003C3425" w:rsidRPr="000A349E">
        <w:rPr>
          <w:rFonts w:eastAsia="Yu Mincho"/>
          <w:spacing w:val="-2"/>
          <w:kern w:val="22"/>
          <w:lang w:val="en-CA"/>
        </w:rPr>
        <w:t>.</w:t>
      </w:r>
      <w:r w:rsidRPr="000A349E">
        <w:rPr>
          <w:rFonts w:eastAsia="Yu Mincho"/>
          <w:spacing w:val="-2"/>
          <w:kern w:val="22"/>
          <w:vertAlign w:val="superscript"/>
          <w:lang w:val="en-CA"/>
        </w:rPr>
        <w:footnoteReference w:id="10"/>
      </w:r>
      <w:r w:rsidRPr="000A349E">
        <w:rPr>
          <w:rFonts w:eastAsia="Yu Mincho"/>
          <w:spacing w:val="-2"/>
          <w:kern w:val="22"/>
          <w:lang w:val="en-CA"/>
        </w:rPr>
        <w:t xml:space="preserve"> OECM drew on the substantive industry knowledge of subject matter experts to create procurement </w:t>
      </w:r>
      <w:r w:rsidR="003C3425" w:rsidRPr="000A349E">
        <w:rPr>
          <w:rFonts w:eastAsia="Yu Mincho"/>
          <w:spacing w:val="-2"/>
          <w:kern w:val="22"/>
          <w:lang w:val="en-CA"/>
        </w:rPr>
        <w:t>r</w:t>
      </w:r>
      <w:r w:rsidRPr="000A349E">
        <w:rPr>
          <w:rFonts w:eastAsia="Yu Mincho"/>
          <w:spacing w:val="-2"/>
          <w:kern w:val="22"/>
          <w:lang w:val="en-CA"/>
        </w:rPr>
        <w:t>equest</w:t>
      </w:r>
      <w:r w:rsidR="003C3425" w:rsidRPr="000A349E">
        <w:rPr>
          <w:rFonts w:eastAsia="Yu Mincho"/>
          <w:spacing w:val="-2"/>
          <w:kern w:val="22"/>
          <w:lang w:val="en-CA"/>
        </w:rPr>
        <w:t>s</w:t>
      </w:r>
      <w:r w:rsidRPr="000A349E">
        <w:rPr>
          <w:rFonts w:eastAsia="Yu Mincho"/>
          <w:spacing w:val="-2"/>
          <w:kern w:val="22"/>
          <w:lang w:val="en-CA"/>
        </w:rPr>
        <w:t xml:space="preserve"> for </w:t>
      </w:r>
      <w:r w:rsidR="003C3425" w:rsidRPr="000A349E">
        <w:rPr>
          <w:rFonts w:eastAsia="Yu Mincho"/>
          <w:spacing w:val="-2"/>
          <w:kern w:val="22"/>
          <w:lang w:val="en-CA"/>
        </w:rPr>
        <w:t>p</w:t>
      </w:r>
      <w:r w:rsidRPr="000A349E">
        <w:rPr>
          <w:rFonts w:eastAsia="Yu Mincho"/>
          <w:spacing w:val="-2"/>
          <w:kern w:val="22"/>
          <w:lang w:val="en-CA"/>
        </w:rPr>
        <w:t>roposal (RFPs)</w:t>
      </w:r>
      <w:r w:rsidRPr="000A349E">
        <w:rPr>
          <w:rFonts w:eastAsia="Yu Mincho"/>
          <w:spacing w:val="-2"/>
          <w:kern w:val="22"/>
          <w:vertAlign w:val="superscript"/>
          <w:lang w:val="en-CA"/>
        </w:rPr>
        <w:footnoteReference w:id="11"/>
      </w:r>
      <w:r w:rsidRPr="000A349E">
        <w:rPr>
          <w:rFonts w:eastAsia="Yu Mincho"/>
          <w:spacing w:val="-2"/>
          <w:kern w:val="22"/>
          <w:lang w:val="en-CA"/>
        </w:rPr>
        <w:t xml:space="preserve"> and </w:t>
      </w:r>
      <w:r w:rsidR="003C3425" w:rsidRPr="000A349E">
        <w:rPr>
          <w:rFonts w:eastAsia="Yu Mincho"/>
          <w:spacing w:val="-2"/>
          <w:kern w:val="22"/>
          <w:lang w:val="en-CA"/>
        </w:rPr>
        <w:t>c</w:t>
      </w:r>
      <w:r w:rsidRPr="000A349E">
        <w:rPr>
          <w:rFonts w:eastAsia="Yu Mincho"/>
          <w:spacing w:val="-2"/>
          <w:kern w:val="22"/>
          <w:lang w:val="en-CA"/>
        </w:rPr>
        <w:t xml:space="preserve">ontracts that would be of interest to </w:t>
      </w:r>
      <w:r w:rsidR="003C3425" w:rsidRPr="000A349E">
        <w:rPr>
          <w:rFonts w:eastAsia="Yu Mincho"/>
          <w:spacing w:val="-2"/>
          <w:kern w:val="22"/>
          <w:lang w:val="en-CA"/>
        </w:rPr>
        <w:t>its c</w:t>
      </w:r>
      <w:r w:rsidRPr="000A349E">
        <w:rPr>
          <w:rFonts w:eastAsia="Yu Mincho"/>
          <w:spacing w:val="-2"/>
          <w:kern w:val="22"/>
          <w:lang w:val="en-CA"/>
        </w:rPr>
        <w:t xml:space="preserve">ustomers. The experts provided guidance in the field to ensure that the </w:t>
      </w:r>
      <w:r w:rsidR="003C3425" w:rsidRPr="000A349E">
        <w:rPr>
          <w:rFonts w:eastAsia="Yu Mincho"/>
          <w:spacing w:val="-2"/>
          <w:kern w:val="22"/>
          <w:lang w:val="en-CA"/>
        </w:rPr>
        <w:t>c</w:t>
      </w:r>
      <w:r w:rsidRPr="000A349E">
        <w:rPr>
          <w:rFonts w:eastAsia="Yu Mincho"/>
          <w:spacing w:val="-2"/>
          <w:kern w:val="22"/>
          <w:lang w:val="en-CA"/>
        </w:rPr>
        <w:t>ontract</w:t>
      </w:r>
      <w:r w:rsidR="003C3425" w:rsidRPr="000A349E">
        <w:rPr>
          <w:rFonts w:eastAsia="Yu Mincho"/>
          <w:spacing w:val="-2"/>
          <w:kern w:val="22"/>
          <w:lang w:val="en-CA"/>
        </w:rPr>
        <w:t>s</w:t>
      </w:r>
      <w:r w:rsidRPr="000A349E">
        <w:rPr>
          <w:rFonts w:eastAsia="Yu Mincho"/>
          <w:spacing w:val="-2"/>
          <w:kern w:val="22"/>
          <w:lang w:val="en-CA"/>
        </w:rPr>
        <w:t xml:space="preserve"> met industry and </w:t>
      </w:r>
      <w:proofErr w:type="gramStart"/>
      <w:r w:rsidR="003C3425" w:rsidRPr="000A349E">
        <w:rPr>
          <w:rFonts w:eastAsia="Yu Mincho"/>
          <w:spacing w:val="-2"/>
          <w:kern w:val="22"/>
          <w:lang w:val="en-CA"/>
        </w:rPr>
        <w:t>public-</w:t>
      </w:r>
      <w:r w:rsidRPr="000A349E">
        <w:rPr>
          <w:rFonts w:eastAsia="Yu Mincho"/>
          <w:spacing w:val="-2"/>
          <w:kern w:val="22"/>
          <w:lang w:val="en-CA"/>
        </w:rPr>
        <w:t>sector</w:t>
      </w:r>
      <w:proofErr w:type="gramEnd"/>
      <w:r w:rsidRPr="000A349E">
        <w:rPr>
          <w:rFonts w:eastAsia="Yu Mincho"/>
          <w:spacing w:val="-2"/>
          <w:kern w:val="22"/>
          <w:lang w:val="en-CA"/>
        </w:rPr>
        <w:t xml:space="preserve"> standards and the needs of the </w:t>
      </w:r>
      <w:r w:rsidR="003C3425" w:rsidRPr="000A349E">
        <w:rPr>
          <w:rFonts w:eastAsia="Yu Mincho"/>
          <w:spacing w:val="-2"/>
          <w:kern w:val="22"/>
          <w:lang w:val="en-CA"/>
        </w:rPr>
        <w:t>c</w:t>
      </w:r>
      <w:r w:rsidRPr="000A349E">
        <w:rPr>
          <w:rFonts w:eastAsia="Yu Mincho"/>
          <w:spacing w:val="-2"/>
          <w:kern w:val="22"/>
          <w:lang w:val="en-CA"/>
        </w:rPr>
        <w:t>ustomers.</w:t>
      </w:r>
    </w:p>
    <w:p w14:paraId="157DAFF8" w14:textId="77777777" w:rsidR="00B02D49" w:rsidRPr="000A349E" w:rsidRDefault="00B02D49" w:rsidP="000A349E">
      <w:pPr>
        <w:pStyle w:val="BodyTextMain"/>
        <w:rPr>
          <w:rFonts w:eastAsia="Yu Mincho"/>
          <w:sz w:val="18"/>
          <w:szCs w:val="18"/>
        </w:rPr>
      </w:pPr>
    </w:p>
    <w:p w14:paraId="21FD3287" w14:textId="77777777" w:rsidR="00B02D49" w:rsidRPr="000A349E" w:rsidRDefault="00B02D49" w:rsidP="000A349E">
      <w:pPr>
        <w:pStyle w:val="BodyTextMain"/>
        <w:rPr>
          <w:rFonts w:eastAsia="Yu Mincho"/>
          <w:sz w:val="18"/>
          <w:szCs w:val="18"/>
        </w:rPr>
      </w:pPr>
    </w:p>
    <w:p w14:paraId="11D472D2" w14:textId="50FE2486" w:rsidR="00B02D49" w:rsidRPr="000A349E" w:rsidRDefault="0061328A" w:rsidP="00B02D49">
      <w:pPr>
        <w:pStyle w:val="Casehead2"/>
        <w:rPr>
          <w:rFonts w:eastAsia="Yu Gothic Light"/>
          <w:lang w:val="en-CA"/>
        </w:rPr>
      </w:pPr>
      <w:bookmarkStart w:id="6" w:name="_Toc515971102"/>
      <w:r w:rsidRPr="000A349E">
        <w:rPr>
          <w:rFonts w:eastAsia="Yu Gothic Light"/>
          <w:lang w:val="en-CA"/>
        </w:rPr>
        <w:t>T</w:t>
      </w:r>
      <w:r w:rsidR="00B02D49" w:rsidRPr="000A349E">
        <w:rPr>
          <w:rFonts w:eastAsia="Yu Gothic Light"/>
          <w:lang w:val="en-CA"/>
        </w:rPr>
        <w:t>echnology</w:t>
      </w:r>
      <w:bookmarkEnd w:id="6"/>
    </w:p>
    <w:p w14:paraId="79FE7038" w14:textId="77777777" w:rsidR="00B02D49" w:rsidRPr="000A349E" w:rsidRDefault="00B02D49" w:rsidP="00B02D49">
      <w:pPr>
        <w:pStyle w:val="BodyTextMain"/>
        <w:rPr>
          <w:rFonts w:eastAsia="Yu Gothic Light"/>
          <w:sz w:val="18"/>
          <w:szCs w:val="18"/>
          <w:lang w:val="en-CA"/>
        </w:rPr>
      </w:pPr>
    </w:p>
    <w:p w14:paraId="1E459ED5" w14:textId="4BC74D6F" w:rsidR="00B02D49" w:rsidRPr="000A349E" w:rsidRDefault="00B02D49" w:rsidP="00B02D49">
      <w:pPr>
        <w:pStyle w:val="BodyTextMain"/>
        <w:rPr>
          <w:rFonts w:eastAsia="Yu Mincho"/>
          <w:lang w:val="en-CA"/>
        </w:rPr>
      </w:pPr>
      <w:r w:rsidRPr="000A349E">
        <w:rPr>
          <w:rFonts w:eastAsia="Yu Mincho"/>
          <w:lang w:val="en-CA"/>
        </w:rPr>
        <w:t xml:space="preserve">OECM hoped to innovate its customer-centric orientation by utilizing data analytics on </w:t>
      </w:r>
      <w:r w:rsidR="003C3425" w:rsidRPr="000A349E">
        <w:rPr>
          <w:rFonts w:eastAsia="Yu Mincho"/>
          <w:lang w:val="en-CA"/>
        </w:rPr>
        <w:t>c</w:t>
      </w:r>
      <w:r w:rsidRPr="000A349E">
        <w:rPr>
          <w:rFonts w:eastAsia="Yu Mincho"/>
          <w:lang w:val="en-CA"/>
        </w:rPr>
        <w:t xml:space="preserve">ustomers’ purchasing behaviours, perhaps even anticipating </w:t>
      </w:r>
      <w:r w:rsidR="003C3425" w:rsidRPr="000A349E">
        <w:rPr>
          <w:rFonts w:eastAsia="Yu Mincho"/>
          <w:lang w:val="en-CA"/>
        </w:rPr>
        <w:t>c</w:t>
      </w:r>
      <w:r w:rsidRPr="000A349E">
        <w:rPr>
          <w:rFonts w:eastAsia="Yu Mincho"/>
          <w:lang w:val="en-CA"/>
        </w:rPr>
        <w:t xml:space="preserve">ustomer needs. </w:t>
      </w:r>
      <w:r w:rsidR="003C3425" w:rsidRPr="000A349E">
        <w:rPr>
          <w:rFonts w:eastAsia="Yu Mincho"/>
          <w:lang w:val="en-CA"/>
        </w:rPr>
        <w:t xml:space="preserve">It was also using technology </w:t>
      </w:r>
      <w:r w:rsidRPr="000A349E">
        <w:rPr>
          <w:rFonts w:eastAsia="Yu Mincho"/>
          <w:lang w:val="en-CA"/>
        </w:rPr>
        <w:t xml:space="preserve">to create operational efficiencies in what </w:t>
      </w:r>
      <w:r w:rsidR="003C3425" w:rsidRPr="000A349E">
        <w:rPr>
          <w:rFonts w:eastAsia="Yu Mincho"/>
          <w:lang w:val="en-CA"/>
        </w:rPr>
        <w:t xml:space="preserve">was still </w:t>
      </w:r>
      <w:r w:rsidRPr="000A349E">
        <w:rPr>
          <w:rFonts w:eastAsia="Yu Mincho"/>
          <w:lang w:val="en-CA"/>
        </w:rPr>
        <w:t xml:space="preserve">a costly procurement process. </w:t>
      </w:r>
      <w:r w:rsidR="00CF3F7F" w:rsidRPr="000A349E">
        <w:rPr>
          <w:rFonts w:eastAsia="Yu Mincho"/>
          <w:lang w:val="en-CA"/>
        </w:rPr>
        <w:t xml:space="preserve">Given </w:t>
      </w:r>
      <w:r w:rsidR="00681525" w:rsidRPr="000A349E">
        <w:rPr>
          <w:rFonts w:eastAsia="Yu Mincho"/>
          <w:lang w:val="en-CA"/>
        </w:rPr>
        <w:t>a</w:t>
      </w:r>
      <w:r w:rsidR="00CF3F7F" w:rsidRPr="000A349E">
        <w:rPr>
          <w:rFonts w:eastAsia="Yu Mincho"/>
          <w:lang w:val="en-CA"/>
        </w:rPr>
        <w:t xml:space="preserve"> recent increase in labour costs, i</w:t>
      </w:r>
      <w:r w:rsidR="001D0F8B" w:rsidRPr="000A349E">
        <w:rPr>
          <w:rFonts w:eastAsia="Yu Mincho"/>
          <w:lang w:val="en-CA"/>
        </w:rPr>
        <w:t>t would need to combine</w:t>
      </w:r>
      <w:r w:rsidRPr="000A349E">
        <w:rPr>
          <w:rFonts w:eastAsia="Yu Mincho"/>
          <w:lang w:val="en-CA"/>
        </w:rPr>
        <w:t xml:space="preserve"> technology, business transformation, and training to achieve </w:t>
      </w:r>
      <w:r w:rsidR="00CF3F7F" w:rsidRPr="000A349E">
        <w:rPr>
          <w:rFonts w:eastAsia="Yu Mincho"/>
          <w:lang w:val="en-CA"/>
        </w:rPr>
        <w:t xml:space="preserve">tenfold </w:t>
      </w:r>
      <w:r w:rsidRPr="000A349E">
        <w:rPr>
          <w:rFonts w:eastAsia="Yu Mincho"/>
          <w:lang w:val="en-CA"/>
        </w:rPr>
        <w:t xml:space="preserve">growth. </w:t>
      </w:r>
      <w:r w:rsidR="00E65A2E" w:rsidRPr="000A349E">
        <w:rPr>
          <w:rFonts w:eastAsia="Yu Mincho"/>
          <w:lang w:val="en-CA"/>
        </w:rPr>
        <w:t>Sabo</w:t>
      </w:r>
      <w:r w:rsidRPr="000A349E">
        <w:rPr>
          <w:rFonts w:eastAsia="Yu Mincho"/>
          <w:lang w:val="en-CA"/>
        </w:rPr>
        <w:t xml:space="preserve"> wanted to build a robust technology platform </w:t>
      </w:r>
      <w:r w:rsidR="00CF3F7F" w:rsidRPr="000A349E">
        <w:rPr>
          <w:rFonts w:eastAsia="Yu Mincho"/>
          <w:lang w:val="en-CA"/>
        </w:rPr>
        <w:t xml:space="preserve">that would </w:t>
      </w:r>
      <w:r w:rsidRPr="000A349E">
        <w:rPr>
          <w:rFonts w:eastAsia="Yu Mincho"/>
          <w:lang w:val="en-CA"/>
        </w:rPr>
        <w:t xml:space="preserve">allow for better analysis of </w:t>
      </w:r>
      <w:r w:rsidR="00CF3F7F" w:rsidRPr="000A349E">
        <w:rPr>
          <w:rFonts w:eastAsia="Yu Mincho"/>
          <w:lang w:val="en-CA"/>
        </w:rPr>
        <w:t>c</w:t>
      </w:r>
      <w:r w:rsidRPr="000A349E">
        <w:rPr>
          <w:rFonts w:eastAsia="Yu Mincho"/>
          <w:lang w:val="en-CA"/>
        </w:rPr>
        <w:t>ustomer needs. “We need to be careful with technology</w:t>
      </w:r>
      <w:r w:rsidR="00681525" w:rsidRPr="000A349E">
        <w:rPr>
          <w:rFonts w:eastAsia="Yu Mincho"/>
          <w:lang w:val="en-CA"/>
        </w:rPr>
        <w:t>,</w:t>
      </w:r>
      <w:r w:rsidRPr="000A349E">
        <w:rPr>
          <w:rFonts w:eastAsia="Yu Mincho"/>
          <w:lang w:val="en-CA"/>
        </w:rPr>
        <w:t>” he explained</w:t>
      </w:r>
      <w:r w:rsidR="00CF3F7F" w:rsidRPr="000A349E">
        <w:rPr>
          <w:rFonts w:eastAsia="Yu Mincho"/>
          <w:lang w:val="en-CA"/>
        </w:rPr>
        <w:t xml:space="preserve">. </w:t>
      </w:r>
      <w:r w:rsidRPr="000A349E">
        <w:rPr>
          <w:rFonts w:eastAsia="Yu Mincho"/>
          <w:lang w:val="en-CA"/>
        </w:rPr>
        <w:t>“We need to make sure we manage technology while staying efficient. Just throwing money at new technology won’t make us more efficient</w:t>
      </w:r>
      <w:r w:rsidR="00CF3F7F" w:rsidRPr="000A349E">
        <w:rPr>
          <w:rFonts w:eastAsia="Yu Mincho"/>
          <w:lang w:val="en-CA"/>
        </w:rPr>
        <w:t>.</w:t>
      </w:r>
      <w:r w:rsidRPr="000A349E">
        <w:rPr>
          <w:rFonts w:eastAsia="Yu Mincho"/>
          <w:lang w:val="en-CA"/>
        </w:rPr>
        <w:t xml:space="preserve">” One innovative step OECM took was </w:t>
      </w:r>
      <w:r w:rsidR="00CF3F7F" w:rsidRPr="000A349E">
        <w:rPr>
          <w:rFonts w:eastAsia="Yu Mincho"/>
          <w:lang w:val="en-CA"/>
        </w:rPr>
        <w:t xml:space="preserve">to </w:t>
      </w:r>
      <w:r w:rsidRPr="000A349E">
        <w:rPr>
          <w:rFonts w:eastAsia="Yu Mincho"/>
          <w:lang w:val="en-CA"/>
        </w:rPr>
        <w:t xml:space="preserve">use </w:t>
      </w:r>
      <w:r w:rsidR="00CF3F7F" w:rsidRPr="000A349E">
        <w:rPr>
          <w:rFonts w:eastAsia="Yu Mincho"/>
          <w:lang w:val="en-CA"/>
        </w:rPr>
        <w:t>an online solution, e-p</w:t>
      </w:r>
      <w:r w:rsidRPr="000A349E">
        <w:rPr>
          <w:rFonts w:eastAsia="Yu Mincho"/>
          <w:lang w:val="en-CA"/>
        </w:rPr>
        <w:t>rocurement,</w:t>
      </w:r>
      <w:r w:rsidR="00CF3F7F" w:rsidRPr="000A349E">
        <w:rPr>
          <w:rFonts w:eastAsia="Yu Mincho"/>
          <w:lang w:val="en-CA"/>
        </w:rPr>
        <w:t xml:space="preserve"> which </w:t>
      </w:r>
      <w:r w:rsidRPr="000A349E">
        <w:rPr>
          <w:rFonts w:eastAsia="Yu Mincho"/>
          <w:lang w:val="en-CA"/>
        </w:rPr>
        <w:t xml:space="preserve">allowed organizations to source </w:t>
      </w:r>
      <w:r w:rsidR="00CF3F7F" w:rsidRPr="000A349E">
        <w:rPr>
          <w:rFonts w:eastAsia="Yu Mincho"/>
          <w:lang w:val="en-CA"/>
        </w:rPr>
        <w:t xml:space="preserve">products </w:t>
      </w:r>
      <w:r w:rsidRPr="000A349E">
        <w:rPr>
          <w:rFonts w:eastAsia="Yu Mincho"/>
          <w:lang w:val="en-CA"/>
        </w:rPr>
        <w:t xml:space="preserve">online through the Ontario Tenders Portal, commonly used in Ontario’s public sector. </w:t>
      </w:r>
      <w:r w:rsidR="00CF3F7F" w:rsidRPr="000A349E">
        <w:rPr>
          <w:rFonts w:eastAsia="Yu Mincho"/>
          <w:lang w:val="en-CA"/>
        </w:rPr>
        <w:t xml:space="preserve">It also used the </w:t>
      </w:r>
      <w:proofErr w:type="spellStart"/>
      <w:r w:rsidRPr="000A349E">
        <w:rPr>
          <w:rFonts w:eastAsia="Yu Mincho"/>
          <w:lang w:val="en-CA"/>
        </w:rPr>
        <w:t>Merx</w:t>
      </w:r>
      <w:proofErr w:type="spellEnd"/>
      <w:r w:rsidRPr="000A349E">
        <w:rPr>
          <w:rFonts w:eastAsia="Yu Mincho"/>
          <w:lang w:val="en-CA"/>
        </w:rPr>
        <w:t xml:space="preserve"> and </w:t>
      </w:r>
      <w:proofErr w:type="spellStart"/>
      <w:r w:rsidRPr="000A349E">
        <w:rPr>
          <w:rFonts w:eastAsia="Yu Mincho"/>
          <w:lang w:val="en-CA"/>
        </w:rPr>
        <w:t>Biddingo</w:t>
      </w:r>
      <w:proofErr w:type="spellEnd"/>
      <w:r w:rsidRPr="000A349E">
        <w:rPr>
          <w:rFonts w:eastAsia="Yu Mincho"/>
          <w:lang w:val="en-CA"/>
        </w:rPr>
        <w:t xml:space="preserve"> platforms. </w:t>
      </w:r>
      <w:proofErr w:type="gramStart"/>
      <w:r w:rsidRPr="000A349E">
        <w:rPr>
          <w:rFonts w:eastAsia="Yu Mincho"/>
          <w:lang w:val="en-CA"/>
        </w:rPr>
        <w:t>This</w:t>
      </w:r>
      <w:proofErr w:type="gramEnd"/>
      <w:r w:rsidRPr="000A349E">
        <w:rPr>
          <w:rFonts w:eastAsia="Yu Mincho"/>
          <w:lang w:val="en-CA"/>
        </w:rPr>
        <w:t xml:space="preserve"> shift reduced OECM’s sourcing costs (one of OECM’s biggest expenses) and created a more transparent environment for </w:t>
      </w:r>
      <w:r w:rsidR="00CF3F7F" w:rsidRPr="000A349E">
        <w:rPr>
          <w:rFonts w:eastAsia="Yu Mincho"/>
          <w:lang w:val="en-CA"/>
        </w:rPr>
        <w:t>s</w:t>
      </w:r>
      <w:r w:rsidRPr="000A349E">
        <w:rPr>
          <w:rFonts w:eastAsia="Yu Mincho"/>
          <w:lang w:val="en-CA"/>
        </w:rPr>
        <w:t xml:space="preserve">uppliers. </w:t>
      </w:r>
    </w:p>
    <w:p w14:paraId="6FEB2239" w14:textId="77777777" w:rsidR="00B02D49" w:rsidRPr="000A349E" w:rsidRDefault="00B02D49" w:rsidP="00B02D49">
      <w:pPr>
        <w:pStyle w:val="BodyTextMain"/>
        <w:rPr>
          <w:rFonts w:eastAsia="Yu Mincho"/>
          <w:sz w:val="18"/>
          <w:szCs w:val="18"/>
          <w:lang w:val="en-CA"/>
        </w:rPr>
      </w:pPr>
    </w:p>
    <w:p w14:paraId="0A55B468" w14:textId="77777777" w:rsidR="00B02D49" w:rsidRPr="000A349E" w:rsidRDefault="00B02D49" w:rsidP="00B02D49">
      <w:pPr>
        <w:pStyle w:val="BodyTextMain"/>
        <w:rPr>
          <w:rFonts w:eastAsia="Yu Mincho"/>
          <w:sz w:val="18"/>
          <w:szCs w:val="18"/>
          <w:lang w:val="en-CA"/>
        </w:rPr>
      </w:pPr>
    </w:p>
    <w:p w14:paraId="2A8CE489" w14:textId="77777777" w:rsidR="00B02D49" w:rsidRPr="000A349E" w:rsidRDefault="00B02D49" w:rsidP="000A349E">
      <w:pPr>
        <w:pStyle w:val="Casehead2"/>
        <w:rPr>
          <w:rFonts w:eastAsia="Yu Gothic Light"/>
          <w:lang w:val="en-CA"/>
        </w:rPr>
      </w:pPr>
      <w:bookmarkStart w:id="7" w:name="_Toc515971103"/>
      <w:r w:rsidRPr="000A349E">
        <w:rPr>
          <w:rFonts w:eastAsia="Yu Gothic Light"/>
          <w:lang w:val="en-CA"/>
        </w:rPr>
        <w:t>Governance</w:t>
      </w:r>
      <w:bookmarkEnd w:id="7"/>
    </w:p>
    <w:p w14:paraId="69DD9ED1" w14:textId="77777777" w:rsidR="00B02D49" w:rsidRPr="000A349E" w:rsidRDefault="00B02D49" w:rsidP="000A349E">
      <w:pPr>
        <w:pStyle w:val="BodyTextMain"/>
        <w:rPr>
          <w:rFonts w:eastAsia="Yu Gothic Light"/>
          <w:sz w:val="18"/>
          <w:szCs w:val="18"/>
          <w:lang w:val="en-CA"/>
        </w:rPr>
      </w:pPr>
    </w:p>
    <w:p w14:paraId="7A28311C" w14:textId="35546C49" w:rsidR="00B02D49" w:rsidRPr="000A349E" w:rsidRDefault="00B02D49" w:rsidP="000A349E">
      <w:pPr>
        <w:pStyle w:val="BodyTextMain"/>
        <w:rPr>
          <w:rFonts w:eastAsia="Yu Mincho"/>
          <w:lang w:val="en-CA"/>
        </w:rPr>
      </w:pPr>
      <w:r w:rsidRPr="000A349E">
        <w:rPr>
          <w:rFonts w:eastAsia="Yu Mincho"/>
          <w:lang w:val="en-CA"/>
        </w:rPr>
        <w:t>From 2006</w:t>
      </w:r>
      <w:r w:rsidR="00CF3F7F" w:rsidRPr="000A349E">
        <w:rPr>
          <w:rFonts w:eastAsia="Yu Mincho"/>
          <w:lang w:val="en-CA"/>
        </w:rPr>
        <w:t xml:space="preserve"> to </w:t>
      </w:r>
      <w:r w:rsidR="0044253F" w:rsidRPr="000A349E">
        <w:rPr>
          <w:rFonts w:eastAsia="Yu Mincho"/>
          <w:lang w:val="en-CA"/>
        </w:rPr>
        <w:t>201</w:t>
      </w:r>
      <w:r w:rsidR="001E211A" w:rsidRPr="000A349E">
        <w:rPr>
          <w:rFonts w:eastAsia="Yu Mincho"/>
          <w:lang w:val="en-CA"/>
        </w:rPr>
        <w:t>5</w:t>
      </w:r>
      <w:r w:rsidRPr="000A349E">
        <w:rPr>
          <w:rFonts w:eastAsia="Yu Mincho"/>
          <w:lang w:val="en-CA"/>
        </w:rPr>
        <w:t xml:space="preserve">, </w:t>
      </w:r>
      <w:proofErr w:type="gramStart"/>
      <w:r w:rsidRPr="000A349E">
        <w:rPr>
          <w:rFonts w:eastAsia="Yu Mincho"/>
          <w:lang w:val="en-CA"/>
        </w:rPr>
        <w:t xml:space="preserve">OECM was </w:t>
      </w:r>
      <w:r w:rsidR="00CF3F7F" w:rsidRPr="000A349E">
        <w:rPr>
          <w:rFonts w:eastAsia="Yu Mincho"/>
          <w:lang w:val="en-CA"/>
        </w:rPr>
        <w:t xml:space="preserve">heavily </w:t>
      </w:r>
      <w:r w:rsidRPr="000A349E">
        <w:rPr>
          <w:rFonts w:eastAsia="Yu Mincho"/>
          <w:lang w:val="en-CA"/>
        </w:rPr>
        <w:t>subsidized by the Province of Ontario</w:t>
      </w:r>
      <w:proofErr w:type="gramEnd"/>
      <w:r w:rsidRPr="000A349E">
        <w:rPr>
          <w:rFonts w:eastAsia="Yu Mincho"/>
          <w:lang w:val="en-CA"/>
        </w:rPr>
        <w:t xml:space="preserve">. The </w:t>
      </w:r>
      <w:r w:rsidR="00CF3F7F" w:rsidRPr="000A349E">
        <w:rPr>
          <w:rFonts w:eastAsia="Yu Mincho"/>
          <w:lang w:val="en-CA"/>
        </w:rPr>
        <w:t>b</w:t>
      </w:r>
      <w:r w:rsidRPr="000A349E">
        <w:rPr>
          <w:rFonts w:eastAsia="Yu Mincho"/>
          <w:lang w:val="en-CA"/>
        </w:rPr>
        <w:t>oard and many staff</w:t>
      </w:r>
      <w:r w:rsidR="00CF3F7F" w:rsidRPr="000A349E">
        <w:rPr>
          <w:rFonts w:eastAsia="Yu Mincho"/>
          <w:lang w:val="en-CA"/>
        </w:rPr>
        <w:t xml:space="preserve"> members</w:t>
      </w:r>
      <w:r w:rsidRPr="000A349E">
        <w:rPr>
          <w:rFonts w:eastAsia="Yu Mincho"/>
          <w:lang w:val="en-CA"/>
        </w:rPr>
        <w:t xml:space="preserve"> </w:t>
      </w:r>
      <w:r w:rsidR="00CF3F7F" w:rsidRPr="000A349E">
        <w:rPr>
          <w:rFonts w:eastAsia="Yu Mincho"/>
          <w:lang w:val="en-CA"/>
        </w:rPr>
        <w:t xml:space="preserve">came </w:t>
      </w:r>
      <w:r w:rsidRPr="000A349E">
        <w:rPr>
          <w:rFonts w:eastAsia="Yu Mincho"/>
          <w:lang w:val="en-CA"/>
        </w:rPr>
        <w:t xml:space="preserve">from </w:t>
      </w:r>
      <w:r w:rsidR="00BA166E" w:rsidRPr="000A349E">
        <w:rPr>
          <w:rFonts w:eastAsia="Yu Mincho"/>
          <w:lang w:val="en-CA"/>
        </w:rPr>
        <w:t>public-</w:t>
      </w:r>
      <w:r w:rsidRPr="000A349E">
        <w:rPr>
          <w:rFonts w:eastAsia="Yu Mincho"/>
          <w:lang w:val="en-CA"/>
        </w:rPr>
        <w:t xml:space="preserve">sector backgrounds, but it was evident that </w:t>
      </w:r>
      <w:r w:rsidR="006F52FB" w:rsidRPr="000A349E">
        <w:rPr>
          <w:rFonts w:eastAsia="Yu Mincho"/>
          <w:lang w:val="en-CA"/>
        </w:rPr>
        <w:t>the</w:t>
      </w:r>
      <w:r w:rsidR="00681525" w:rsidRPr="000A349E">
        <w:rPr>
          <w:rFonts w:eastAsia="Yu Mincho"/>
          <w:lang w:val="en-CA"/>
        </w:rPr>
        <w:t xml:space="preserve"> organization</w:t>
      </w:r>
      <w:r w:rsidR="006F52FB" w:rsidRPr="000A349E">
        <w:rPr>
          <w:rFonts w:eastAsia="Yu Mincho"/>
          <w:lang w:val="en-CA"/>
        </w:rPr>
        <w:t xml:space="preserve"> needed to make </w:t>
      </w:r>
      <w:r w:rsidRPr="000A349E">
        <w:rPr>
          <w:rFonts w:eastAsia="Yu Mincho"/>
          <w:lang w:val="en-CA"/>
        </w:rPr>
        <w:t>changes in order to become financially self-sustaining. “We’re in the education business, but we’re also a big business, and to be a big business</w:t>
      </w:r>
      <w:r w:rsidR="006F52FB" w:rsidRPr="000A349E">
        <w:rPr>
          <w:rFonts w:eastAsia="Yu Mincho"/>
          <w:lang w:val="en-CA"/>
        </w:rPr>
        <w:t>,</w:t>
      </w:r>
      <w:r w:rsidRPr="000A349E">
        <w:rPr>
          <w:rFonts w:eastAsia="Yu Mincho"/>
          <w:lang w:val="en-CA"/>
        </w:rPr>
        <w:t xml:space="preserve"> you need to be governed properly</w:t>
      </w:r>
      <w:r w:rsidR="00CF3F7F" w:rsidRPr="000A349E">
        <w:rPr>
          <w:rFonts w:eastAsia="Yu Mincho"/>
          <w:lang w:val="en-CA"/>
        </w:rPr>
        <w:t>,</w:t>
      </w:r>
      <w:r w:rsidRPr="000A349E">
        <w:rPr>
          <w:rFonts w:eastAsia="Yu Mincho"/>
          <w:lang w:val="en-CA"/>
        </w:rPr>
        <w:t xml:space="preserve">” explained Sabo. The initial </w:t>
      </w:r>
      <w:r w:rsidR="00CF3F7F" w:rsidRPr="000A349E">
        <w:rPr>
          <w:rFonts w:eastAsia="Yu Mincho"/>
          <w:lang w:val="en-CA"/>
        </w:rPr>
        <w:t>b</w:t>
      </w:r>
      <w:r w:rsidRPr="000A349E">
        <w:rPr>
          <w:rFonts w:eastAsia="Yu Mincho"/>
          <w:lang w:val="en-CA"/>
        </w:rPr>
        <w:t xml:space="preserve">oard </w:t>
      </w:r>
      <w:proofErr w:type="gramStart"/>
      <w:r w:rsidRPr="000A349E">
        <w:rPr>
          <w:rFonts w:eastAsia="Yu Mincho"/>
          <w:lang w:val="en-CA"/>
        </w:rPr>
        <w:t>had been made up</w:t>
      </w:r>
      <w:proofErr w:type="gramEnd"/>
      <w:r w:rsidRPr="000A349E">
        <w:rPr>
          <w:rFonts w:eastAsia="Yu Mincho"/>
          <w:lang w:val="en-CA"/>
        </w:rPr>
        <w:t xml:space="preserve"> of volunteers </w:t>
      </w:r>
      <w:r w:rsidR="006F52FB" w:rsidRPr="000A349E">
        <w:rPr>
          <w:rFonts w:eastAsia="Yu Mincho"/>
          <w:lang w:val="en-CA"/>
        </w:rPr>
        <w:t xml:space="preserve">who worked </w:t>
      </w:r>
      <w:r w:rsidRPr="000A349E">
        <w:rPr>
          <w:rFonts w:eastAsia="Yu Mincho"/>
          <w:lang w:val="en-CA"/>
        </w:rPr>
        <w:t xml:space="preserve">in procurement at educational institutions, </w:t>
      </w:r>
      <w:r w:rsidR="006F52FB" w:rsidRPr="000A349E">
        <w:rPr>
          <w:rFonts w:eastAsia="Yu Mincho"/>
          <w:lang w:val="en-CA"/>
        </w:rPr>
        <w:t>which created</w:t>
      </w:r>
      <w:r w:rsidRPr="000A349E">
        <w:rPr>
          <w:rFonts w:eastAsia="Yu Mincho"/>
          <w:lang w:val="en-CA"/>
        </w:rPr>
        <w:t xml:space="preserve"> conflict</w:t>
      </w:r>
      <w:r w:rsidR="006F52FB" w:rsidRPr="000A349E">
        <w:rPr>
          <w:rFonts w:eastAsia="Yu Mincho"/>
          <w:lang w:val="en-CA"/>
        </w:rPr>
        <w:t>s</w:t>
      </w:r>
      <w:r w:rsidRPr="000A349E">
        <w:rPr>
          <w:rFonts w:eastAsia="Yu Mincho"/>
          <w:lang w:val="en-CA"/>
        </w:rPr>
        <w:t xml:space="preserve"> of interest between their </w:t>
      </w:r>
      <w:r w:rsidR="006F52FB" w:rsidRPr="000A349E">
        <w:rPr>
          <w:rFonts w:eastAsia="Yu Mincho"/>
          <w:lang w:val="en-CA"/>
        </w:rPr>
        <w:t xml:space="preserve">OECM </w:t>
      </w:r>
      <w:r w:rsidRPr="000A349E">
        <w:rPr>
          <w:rFonts w:eastAsia="Yu Mincho"/>
          <w:lang w:val="en-CA"/>
        </w:rPr>
        <w:t>role</w:t>
      </w:r>
      <w:r w:rsidR="006F52FB" w:rsidRPr="000A349E">
        <w:rPr>
          <w:rFonts w:eastAsia="Yu Mincho"/>
          <w:lang w:val="en-CA"/>
        </w:rPr>
        <w:t>s</w:t>
      </w:r>
      <w:r w:rsidRPr="000A349E">
        <w:rPr>
          <w:rFonts w:eastAsia="Yu Mincho"/>
          <w:lang w:val="en-CA"/>
        </w:rPr>
        <w:t xml:space="preserve"> and their </w:t>
      </w:r>
      <w:r w:rsidR="006F52FB" w:rsidRPr="000A349E">
        <w:rPr>
          <w:rFonts w:eastAsia="Yu Mincho"/>
          <w:lang w:val="en-CA"/>
        </w:rPr>
        <w:t xml:space="preserve">paid </w:t>
      </w:r>
      <w:r w:rsidRPr="000A349E">
        <w:rPr>
          <w:rFonts w:eastAsia="Yu Mincho"/>
          <w:lang w:val="en-CA"/>
        </w:rPr>
        <w:t xml:space="preserve">positions. </w:t>
      </w:r>
      <w:r w:rsidR="00681525" w:rsidRPr="000A349E">
        <w:rPr>
          <w:rFonts w:eastAsia="Yu Mincho"/>
          <w:lang w:val="en-CA"/>
        </w:rPr>
        <w:t>As a result</w:t>
      </w:r>
      <w:r w:rsidRPr="000A349E">
        <w:rPr>
          <w:rFonts w:eastAsia="Yu Mincho"/>
          <w:lang w:val="en-CA"/>
        </w:rPr>
        <w:t>, OECM</w:t>
      </w:r>
      <w:r w:rsidR="006F52FB" w:rsidRPr="000A349E">
        <w:rPr>
          <w:rFonts w:eastAsia="Yu Mincho"/>
          <w:lang w:val="en-CA"/>
        </w:rPr>
        <w:t>’s</w:t>
      </w:r>
      <w:r w:rsidRPr="000A349E">
        <w:rPr>
          <w:rFonts w:eastAsia="Yu Mincho"/>
          <w:lang w:val="en-CA"/>
        </w:rPr>
        <w:t xml:space="preserve"> </w:t>
      </w:r>
      <w:r w:rsidR="006F52FB" w:rsidRPr="000A349E">
        <w:rPr>
          <w:rFonts w:eastAsia="Yu Mincho"/>
          <w:lang w:val="en-CA"/>
        </w:rPr>
        <w:t xml:space="preserve">governance </w:t>
      </w:r>
      <w:proofErr w:type="gramStart"/>
      <w:r w:rsidR="006F52FB" w:rsidRPr="000A349E">
        <w:rPr>
          <w:rFonts w:eastAsia="Yu Mincho"/>
          <w:lang w:val="en-CA"/>
        </w:rPr>
        <w:t xml:space="preserve">was </w:t>
      </w:r>
      <w:r w:rsidRPr="000A349E">
        <w:rPr>
          <w:rFonts w:eastAsia="Yu Mincho"/>
          <w:lang w:val="en-CA"/>
        </w:rPr>
        <w:t>shifted</w:t>
      </w:r>
      <w:proofErr w:type="gramEnd"/>
      <w:r w:rsidRPr="000A349E">
        <w:rPr>
          <w:rFonts w:eastAsia="Yu Mincho"/>
          <w:lang w:val="en-CA"/>
        </w:rPr>
        <w:t xml:space="preserve"> from volunteer </w:t>
      </w:r>
      <w:r w:rsidR="006F52FB" w:rsidRPr="000A349E">
        <w:rPr>
          <w:rFonts w:eastAsia="Yu Mincho"/>
          <w:lang w:val="en-CA"/>
        </w:rPr>
        <w:t xml:space="preserve">board </w:t>
      </w:r>
      <w:r w:rsidRPr="000A349E">
        <w:rPr>
          <w:rFonts w:eastAsia="Yu Mincho"/>
          <w:lang w:val="en-CA"/>
        </w:rPr>
        <w:t xml:space="preserve">members representing the education sector to </w:t>
      </w:r>
      <w:r w:rsidR="006F52FB" w:rsidRPr="000A349E">
        <w:rPr>
          <w:rFonts w:eastAsia="Yu Mincho"/>
          <w:lang w:val="en-CA"/>
        </w:rPr>
        <w:t xml:space="preserve">a </w:t>
      </w:r>
      <w:r w:rsidRPr="000A349E">
        <w:rPr>
          <w:rFonts w:eastAsia="Yu Mincho"/>
          <w:lang w:val="en-CA"/>
        </w:rPr>
        <w:t xml:space="preserve">skills-based, paid </w:t>
      </w:r>
      <w:r w:rsidR="006F52FB" w:rsidRPr="000A349E">
        <w:rPr>
          <w:rFonts w:eastAsia="Yu Mincho"/>
          <w:lang w:val="en-CA"/>
        </w:rPr>
        <w:t>b</w:t>
      </w:r>
      <w:r w:rsidRPr="000A349E">
        <w:rPr>
          <w:rFonts w:eastAsia="Yu Mincho"/>
          <w:lang w:val="en-CA"/>
        </w:rPr>
        <w:t xml:space="preserve">oard typical of a corporate setting. “To be an effective </w:t>
      </w:r>
      <w:r w:rsidR="006F52FB" w:rsidRPr="000A349E">
        <w:rPr>
          <w:rFonts w:eastAsia="Yu Mincho"/>
          <w:lang w:val="en-CA"/>
        </w:rPr>
        <w:t>b</w:t>
      </w:r>
      <w:r w:rsidRPr="000A349E">
        <w:rPr>
          <w:rFonts w:eastAsia="Yu Mincho"/>
          <w:lang w:val="en-CA"/>
        </w:rPr>
        <w:t>oard member, you need to clearly understand your role and your fiduciary responsibilities to the organization</w:t>
      </w:r>
      <w:r w:rsidR="006F52FB" w:rsidRPr="000A349E">
        <w:rPr>
          <w:rFonts w:eastAsia="Yu Mincho"/>
          <w:lang w:val="en-CA"/>
        </w:rPr>
        <w:t>,</w:t>
      </w:r>
      <w:r w:rsidRPr="000A349E">
        <w:rPr>
          <w:rFonts w:eastAsia="Yu Mincho"/>
          <w:lang w:val="en-CA"/>
        </w:rPr>
        <w:t xml:space="preserve">” explained Sabo. </w:t>
      </w:r>
    </w:p>
    <w:p w14:paraId="137598C4" w14:textId="77777777" w:rsidR="00B02D49" w:rsidRPr="000A349E" w:rsidRDefault="00B02D49" w:rsidP="00B02D49">
      <w:pPr>
        <w:pStyle w:val="BodyTextMain"/>
        <w:rPr>
          <w:rFonts w:eastAsia="Yu Mincho"/>
          <w:sz w:val="18"/>
          <w:szCs w:val="18"/>
          <w:lang w:val="en-CA"/>
        </w:rPr>
      </w:pPr>
    </w:p>
    <w:p w14:paraId="21DDFF12" w14:textId="3DFC0CFA" w:rsidR="00B02D49" w:rsidRPr="000A349E" w:rsidRDefault="00B02D49" w:rsidP="00B02D49">
      <w:pPr>
        <w:pStyle w:val="BodyTextMain"/>
        <w:rPr>
          <w:rFonts w:eastAsia="Yu Mincho"/>
          <w:lang w:val="en-CA"/>
        </w:rPr>
      </w:pPr>
      <w:r w:rsidRPr="000A349E">
        <w:rPr>
          <w:rFonts w:eastAsia="Yu Mincho"/>
          <w:lang w:val="en-CA"/>
        </w:rPr>
        <w:lastRenderedPageBreak/>
        <w:t>To effectively manage the business and promote growth, OECM created committees and processes</w:t>
      </w:r>
      <w:r w:rsidR="006F52FB" w:rsidRPr="000A349E">
        <w:rPr>
          <w:rFonts w:eastAsia="Yu Mincho"/>
          <w:lang w:val="en-CA"/>
        </w:rPr>
        <w:t xml:space="preserve"> that ensured c</w:t>
      </w:r>
      <w:r w:rsidRPr="000A349E">
        <w:rPr>
          <w:rFonts w:eastAsia="Yu Mincho"/>
          <w:lang w:val="en-CA"/>
        </w:rPr>
        <w:t xml:space="preserve">ustomer needs </w:t>
      </w:r>
      <w:proofErr w:type="gramStart"/>
      <w:r w:rsidRPr="000A349E">
        <w:rPr>
          <w:rFonts w:eastAsia="Yu Mincho"/>
          <w:lang w:val="en-CA"/>
        </w:rPr>
        <w:t>were being addressed</w:t>
      </w:r>
      <w:proofErr w:type="gramEnd"/>
      <w:r w:rsidRPr="000A349E">
        <w:rPr>
          <w:rFonts w:eastAsia="Yu Mincho"/>
          <w:lang w:val="en-CA"/>
        </w:rPr>
        <w:t xml:space="preserve">. One such initiative was the </w:t>
      </w:r>
      <w:r w:rsidR="006F52FB" w:rsidRPr="000A349E">
        <w:rPr>
          <w:rFonts w:eastAsia="Yu Mincho"/>
          <w:lang w:val="en-CA"/>
        </w:rPr>
        <w:t>c</w:t>
      </w:r>
      <w:r w:rsidRPr="000A349E">
        <w:rPr>
          <w:rFonts w:eastAsia="Yu Mincho"/>
          <w:lang w:val="en-CA"/>
        </w:rPr>
        <w:t xml:space="preserve">ustomer </w:t>
      </w:r>
      <w:r w:rsidR="006F52FB" w:rsidRPr="000A349E">
        <w:rPr>
          <w:rFonts w:eastAsia="Yu Mincho"/>
          <w:lang w:val="en-CA"/>
        </w:rPr>
        <w:t>c</w:t>
      </w:r>
      <w:r w:rsidRPr="000A349E">
        <w:rPr>
          <w:rFonts w:eastAsia="Yu Mincho"/>
          <w:lang w:val="en-CA"/>
        </w:rPr>
        <w:t xml:space="preserve">ouncil </w:t>
      </w:r>
      <w:r w:rsidR="006F52FB" w:rsidRPr="000A349E">
        <w:rPr>
          <w:rFonts w:eastAsia="Yu Mincho"/>
          <w:lang w:val="en-CA"/>
        </w:rPr>
        <w:t>c</w:t>
      </w:r>
      <w:r w:rsidRPr="000A349E">
        <w:rPr>
          <w:rFonts w:eastAsia="Yu Mincho"/>
          <w:lang w:val="en-CA"/>
        </w:rPr>
        <w:t xml:space="preserve">ommittee </w:t>
      </w:r>
      <w:r w:rsidR="006F52FB" w:rsidRPr="000A349E">
        <w:rPr>
          <w:rFonts w:eastAsia="Yu Mincho"/>
          <w:lang w:val="en-CA"/>
        </w:rPr>
        <w:t>(</w:t>
      </w:r>
      <w:r w:rsidRPr="000A349E">
        <w:rPr>
          <w:rFonts w:eastAsia="Yu Mincho"/>
          <w:lang w:val="en-CA"/>
        </w:rPr>
        <w:t>CCC</w:t>
      </w:r>
      <w:r w:rsidR="006F52FB" w:rsidRPr="000A349E">
        <w:rPr>
          <w:rFonts w:eastAsia="Yu Mincho"/>
          <w:lang w:val="en-CA"/>
        </w:rPr>
        <w:t>).</w:t>
      </w:r>
      <w:r w:rsidRPr="000A349E">
        <w:rPr>
          <w:rFonts w:eastAsia="Yu Mincho"/>
          <w:lang w:val="en-CA"/>
        </w:rPr>
        <w:t xml:space="preserve"> The CCC </w:t>
      </w:r>
      <w:proofErr w:type="gramStart"/>
      <w:r w:rsidRPr="000A349E">
        <w:rPr>
          <w:rFonts w:eastAsia="Yu Mincho"/>
          <w:lang w:val="en-CA"/>
        </w:rPr>
        <w:t>was made up</w:t>
      </w:r>
      <w:proofErr w:type="gramEnd"/>
      <w:r w:rsidRPr="000A349E">
        <w:rPr>
          <w:rFonts w:eastAsia="Yu Mincho"/>
          <w:lang w:val="en-CA"/>
        </w:rPr>
        <w:t xml:space="preserve"> of senior leaders from OECM’s </w:t>
      </w:r>
      <w:r w:rsidR="006F52FB" w:rsidRPr="000A349E">
        <w:rPr>
          <w:rFonts w:eastAsia="Yu Mincho"/>
          <w:lang w:val="en-CA"/>
        </w:rPr>
        <w:t>c</w:t>
      </w:r>
      <w:r w:rsidRPr="000A349E">
        <w:rPr>
          <w:rFonts w:eastAsia="Yu Mincho"/>
          <w:lang w:val="en-CA"/>
        </w:rPr>
        <w:t xml:space="preserve">ustomers (universities, colleges, and school boards). Utilizing information communicated by </w:t>
      </w:r>
      <w:r w:rsidR="006F52FB" w:rsidRPr="000A349E">
        <w:rPr>
          <w:rFonts w:eastAsia="Yu Mincho"/>
          <w:lang w:val="en-CA"/>
        </w:rPr>
        <w:t>c</w:t>
      </w:r>
      <w:r w:rsidRPr="000A349E">
        <w:rPr>
          <w:rFonts w:eastAsia="Yu Mincho"/>
          <w:lang w:val="en-CA"/>
        </w:rPr>
        <w:t xml:space="preserve">ustomers, </w:t>
      </w:r>
      <w:r w:rsidR="006F52FB" w:rsidRPr="000A349E">
        <w:rPr>
          <w:rFonts w:eastAsia="Yu Mincho"/>
          <w:lang w:val="en-CA"/>
        </w:rPr>
        <w:t xml:space="preserve">the </w:t>
      </w:r>
      <w:r w:rsidRPr="000A349E">
        <w:rPr>
          <w:rFonts w:eastAsia="Yu Mincho"/>
          <w:lang w:val="en-CA"/>
        </w:rPr>
        <w:t xml:space="preserve">CCC provided strategic </w:t>
      </w:r>
      <w:r w:rsidR="006F52FB" w:rsidRPr="000A349E">
        <w:rPr>
          <w:rFonts w:eastAsia="Yu Mincho"/>
          <w:lang w:val="en-CA"/>
        </w:rPr>
        <w:t xml:space="preserve">feedback </w:t>
      </w:r>
      <w:r w:rsidRPr="000A349E">
        <w:rPr>
          <w:rFonts w:eastAsia="Yu Mincho"/>
          <w:lang w:val="en-CA"/>
        </w:rPr>
        <w:t xml:space="preserve">regarding </w:t>
      </w:r>
      <w:r w:rsidR="006F52FB" w:rsidRPr="000A349E">
        <w:rPr>
          <w:rFonts w:eastAsia="Yu Mincho"/>
          <w:lang w:val="en-CA"/>
        </w:rPr>
        <w:t xml:space="preserve">the </w:t>
      </w:r>
      <w:r w:rsidRPr="000A349E">
        <w:rPr>
          <w:rFonts w:eastAsia="Yu Mincho"/>
          <w:lang w:val="en-CA"/>
        </w:rPr>
        <w:t>effectiveness of OECM’s products</w:t>
      </w:r>
      <w:r w:rsidR="006F52FB" w:rsidRPr="000A349E">
        <w:rPr>
          <w:rFonts w:eastAsia="Yu Mincho"/>
          <w:lang w:val="en-CA"/>
        </w:rPr>
        <w:t>,</w:t>
      </w:r>
      <w:r w:rsidRPr="000A349E">
        <w:rPr>
          <w:rFonts w:eastAsia="Yu Mincho"/>
          <w:lang w:val="en-CA"/>
        </w:rPr>
        <w:t xml:space="preserve"> services</w:t>
      </w:r>
      <w:r w:rsidR="009C4C2F" w:rsidRPr="000A349E">
        <w:rPr>
          <w:rFonts w:eastAsia="Yu Mincho"/>
          <w:lang w:val="en-CA"/>
        </w:rPr>
        <w:t>,</w:t>
      </w:r>
      <w:r w:rsidRPr="000A349E">
        <w:rPr>
          <w:rFonts w:eastAsia="Yu Mincho"/>
          <w:lang w:val="en-CA"/>
        </w:rPr>
        <w:t xml:space="preserve"> business priorities</w:t>
      </w:r>
      <w:r w:rsidR="006F52FB" w:rsidRPr="000A349E">
        <w:rPr>
          <w:rFonts w:eastAsia="Yu Mincho"/>
          <w:lang w:val="en-CA"/>
        </w:rPr>
        <w:t>,</w:t>
      </w:r>
      <w:r w:rsidRPr="000A349E">
        <w:rPr>
          <w:rFonts w:eastAsia="Yu Mincho"/>
          <w:lang w:val="en-CA"/>
        </w:rPr>
        <w:t xml:space="preserve"> and business performance</w:t>
      </w:r>
      <w:r w:rsidR="006F52FB" w:rsidRPr="000A349E">
        <w:rPr>
          <w:rFonts w:eastAsia="Yu Mincho"/>
          <w:lang w:val="en-CA"/>
        </w:rPr>
        <w:t xml:space="preserve">. It also advised OECM regarding </w:t>
      </w:r>
      <w:r w:rsidRPr="000A349E">
        <w:rPr>
          <w:rFonts w:eastAsia="Yu Mincho"/>
          <w:lang w:val="en-CA"/>
        </w:rPr>
        <w:t xml:space="preserve">new products or services </w:t>
      </w:r>
      <w:r w:rsidR="006F52FB" w:rsidRPr="000A349E">
        <w:rPr>
          <w:rFonts w:eastAsia="Yu Mincho"/>
          <w:lang w:val="en-CA"/>
        </w:rPr>
        <w:t xml:space="preserve">that were </w:t>
      </w:r>
      <w:r w:rsidRPr="000A349E">
        <w:rPr>
          <w:rFonts w:eastAsia="Yu Mincho"/>
          <w:lang w:val="en-CA"/>
        </w:rPr>
        <w:t>needed in the market and ensure</w:t>
      </w:r>
      <w:r w:rsidR="006F52FB" w:rsidRPr="000A349E">
        <w:rPr>
          <w:rFonts w:eastAsia="Yu Mincho"/>
          <w:lang w:val="en-CA"/>
        </w:rPr>
        <w:t>d its</w:t>
      </w:r>
      <w:r w:rsidRPr="000A349E">
        <w:rPr>
          <w:rFonts w:eastAsia="Yu Mincho"/>
          <w:lang w:val="en-CA"/>
        </w:rPr>
        <w:t xml:space="preserve"> </w:t>
      </w:r>
      <w:r w:rsidR="006F52FB" w:rsidRPr="000A349E">
        <w:rPr>
          <w:rFonts w:eastAsia="Yu Mincho"/>
          <w:lang w:val="en-CA"/>
        </w:rPr>
        <w:t xml:space="preserve">plans </w:t>
      </w:r>
      <w:proofErr w:type="gramStart"/>
      <w:r w:rsidR="006F52FB" w:rsidRPr="000A349E">
        <w:rPr>
          <w:rFonts w:eastAsia="Yu Mincho"/>
          <w:lang w:val="en-CA"/>
        </w:rPr>
        <w:t>were aligned</w:t>
      </w:r>
      <w:proofErr w:type="gramEnd"/>
      <w:r w:rsidR="006F52FB" w:rsidRPr="000A349E">
        <w:rPr>
          <w:rFonts w:eastAsia="Yu Mincho"/>
          <w:lang w:val="en-CA"/>
        </w:rPr>
        <w:t xml:space="preserve"> </w:t>
      </w:r>
      <w:r w:rsidRPr="000A349E">
        <w:rPr>
          <w:rFonts w:eastAsia="Yu Mincho"/>
          <w:lang w:val="en-CA"/>
        </w:rPr>
        <w:t xml:space="preserve">with </w:t>
      </w:r>
      <w:r w:rsidR="006F52FB" w:rsidRPr="000A349E">
        <w:rPr>
          <w:rFonts w:eastAsia="Yu Mincho"/>
          <w:lang w:val="en-CA"/>
        </w:rPr>
        <w:t>c</w:t>
      </w:r>
      <w:r w:rsidRPr="000A349E">
        <w:rPr>
          <w:rFonts w:eastAsia="Yu Mincho"/>
          <w:lang w:val="en-CA"/>
        </w:rPr>
        <w:t>ustomer needs.</w:t>
      </w:r>
    </w:p>
    <w:p w14:paraId="5C8F1B4C" w14:textId="322FE178" w:rsidR="00B02D49" w:rsidRPr="000A349E" w:rsidRDefault="00B02D49" w:rsidP="00B02D49">
      <w:pPr>
        <w:pStyle w:val="BodyTextMain"/>
        <w:rPr>
          <w:sz w:val="18"/>
          <w:szCs w:val="18"/>
          <w:lang w:val="en-CA"/>
        </w:rPr>
      </w:pPr>
    </w:p>
    <w:p w14:paraId="71E975F5" w14:textId="628F07DE" w:rsidR="0051188F" w:rsidRPr="000A349E" w:rsidRDefault="0051188F" w:rsidP="00B02D49">
      <w:pPr>
        <w:pStyle w:val="BodyTextMain"/>
        <w:rPr>
          <w:lang w:val="en-CA"/>
        </w:rPr>
      </w:pPr>
      <w:r w:rsidRPr="000A349E">
        <w:rPr>
          <w:lang w:val="en-CA"/>
        </w:rPr>
        <w:t xml:space="preserve">The four-point plan had worked well to </w:t>
      </w:r>
      <w:r w:rsidR="009A59C7" w:rsidRPr="000A349E">
        <w:rPr>
          <w:lang w:val="en-CA"/>
        </w:rPr>
        <w:t>accelerate</w:t>
      </w:r>
      <w:r w:rsidRPr="000A349E">
        <w:rPr>
          <w:lang w:val="en-CA"/>
        </w:rPr>
        <w:t xml:space="preserve"> OECM’s growth and </w:t>
      </w:r>
      <w:r w:rsidR="009A59C7" w:rsidRPr="000A349E">
        <w:rPr>
          <w:lang w:val="en-CA"/>
        </w:rPr>
        <w:t xml:space="preserve">helped the organization </w:t>
      </w:r>
      <w:r w:rsidRPr="000A349E">
        <w:rPr>
          <w:lang w:val="en-CA"/>
        </w:rPr>
        <w:t xml:space="preserve">achieve independence from </w:t>
      </w:r>
      <w:r w:rsidR="009A59C7" w:rsidRPr="000A349E">
        <w:rPr>
          <w:lang w:val="en-CA"/>
        </w:rPr>
        <w:t xml:space="preserve">the </w:t>
      </w:r>
      <w:r w:rsidRPr="000A349E">
        <w:rPr>
          <w:lang w:val="en-CA"/>
        </w:rPr>
        <w:t xml:space="preserve">government support </w:t>
      </w:r>
      <w:r w:rsidR="009A59C7" w:rsidRPr="000A349E">
        <w:rPr>
          <w:lang w:val="en-CA"/>
        </w:rPr>
        <w:t xml:space="preserve">it had been receiving </w:t>
      </w:r>
      <w:r w:rsidRPr="000A349E">
        <w:rPr>
          <w:lang w:val="en-CA"/>
        </w:rPr>
        <w:t xml:space="preserve">in the form of a TPA. </w:t>
      </w:r>
      <w:r w:rsidR="009A59C7" w:rsidRPr="000A349E">
        <w:rPr>
          <w:lang w:val="en-CA"/>
        </w:rPr>
        <w:t xml:space="preserve">Now, OECM needed to determine how </w:t>
      </w:r>
      <w:r w:rsidR="0061328A" w:rsidRPr="000A349E">
        <w:rPr>
          <w:lang w:val="en-CA"/>
        </w:rPr>
        <w:t>to scale this success to promote future growth.</w:t>
      </w:r>
    </w:p>
    <w:p w14:paraId="217251E0" w14:textId="77777777" w:rsidR="00B02D49" w:rsidRPr="000A349E" w:rsidRDefault="00B02D49" w:rsidP="00B02D49">
      <w:pPr>
        <w:pStyle w:val="BodyTextMain"/>
        <w:rPr>
          <w:sz w:val="18"/>
          <w:szCs w:val="18"/>
          <w:lang w:val="en-CA"/>
        </w:rPr>
      </w:pPr>
    </w:p>
    <w:p w14:paraId="7D3AD3C5" w14:textId="77777777" w:rsidR="008D604C" w:rsidRPr="000A349E" w:rsidRDefault="008D604C" w:rsidP="00B02D49">
      <w:pPr>
        <w:pStyle w:val="BodyTextMain"/>
        <w:rPr>
          <w:sz w:val="18"/>
          <w:szCs w:val="18"/>
          <w:lang w:val="en-CA"/>
        </w:rPr>
      </w:pPr>
    </w:p>
    <w:p w14:paraId="79171091" w14:textId="77777777" w:rsidR="00B02D49" w:rsidRPr="000A349E" w:rsidRDefault="00B02D49" w:rsidP="00B02D49">
      <w:pPr>
        <w:pStyle w:val="Casehead1"/>
        <w:rPr>
          <w:rFonts w:eastAsia="Yu Gothic Light"/>
          <w:lang w:val="en-CA"/>
        </w:rPr>
      </w:pPr>
      <w:bookmarkStart w:id="8" w:name="_Toc515971104"/>
      <w:r w:rsidRPr="000A349E">
        <w:rPr>
          <w:rFonts w:eastAsia="Yu Gothic Light"/>
          <w:lang w:val="en-CA"/>
        </w:rPr>
        <w:t>FINANCIAL CONSIDERATIONS</w:t>
      </w:r>
      <w:bookmarkEnd w:id="8"/>
    </w:p>
    <w:p w14:paraId="39C8B477" w14:textId="77777777" w:rsidR="00B02D49" w:rsidRPr="000A349E" w:rsidRDefault="00B02D49" w:rsidP="00B02D49">
      <w:pPr>
        <w:pStyle w:val="BodyTextMain"/>
        <w:rPr>
          <w:rFonts w:eastAsia="Yu Gothic Light"/>
          <w:sz w:val="18"/>
          <w:szCs w:val="18"/>
          <w:lang w:val="en-CA"/>
        </w:rPr>
      </w:pPr>
    </w:p>
    <w:p w14:paraId="04E38257" w14:textId="0E40D38F" w:rsidR="00B02D49" w:rsidRPr="000A349E" w:rsidRDefault="00B02D49" w:rsidP="00B02D49">
      <w:pPr>
        <w:pStyle w:val="BodyTextMain"/>
        <w:rPr>
          <w:rFonts w:eastAsia="Yu Mincho"/>
          <w:lang w:val="en-CA"/>
        </w:rPr>
      </w:pPr>
      <w:r w:rsidRPr="000A349E">
        <w:rPr>
          <w:rFonts w:eastAsia="Yu Mincho"/>
          <w:lang w:val="en-CA"/>
        </w:rPr>
        <w:t xml:space="preserve">As a legacy of its history, OECM remained a not-for-profit </w:t>
      </w:r>
      <w:r w:rsidR="009A59C7" w:rsidRPr="000A349E">
        <w:rPr>
          <w:rFonts w:eastAsia="Yu Mincho"/>
          <w:lang w:val="en-CA"/>
        </w:rPr>
        <w:t xml:space="preserve">organization </w:t>
      </w:r>
      <w:r w:rsidRPr="000A349E">
        <w:rPr>
          <w:rFonts w:eastAsia="Yu Mincho"/>
          <w:lang w:val="en-CA"/>
        </w:rPr>
        <w:t xml:space="preserve">and thus was not subject to income taxes. This meant </w:t>
      </w:r>
      <w:r w:rsidR="009A59C7" w:rsidRPr="000A349E">
        <w:rPr>
          <w:rFonts w:eastAsia="Yu Mincho"/>
          <w:lang w:val="en-CA"/>
        </w:rPr>
        <w:t xml:space="preserve">that </w:t>
      </w:r>
      <w:r w:rsidRPr="000A349E">
        <w:rPr>
          <w:rFonts w:eastAsia="Yu Mincho"/>
          <w:lang w:val="en-CA"/>
        </w:rPr>
        <w:t xml:space="preserve">OECM thought in terms of surpluses </w:t>
      </w:r>
      <w:r w:rsidR="006A09A2">
        <w:rPr>
          <w:rFonts w:eastAsia="Yu Mincho"/>
          <w:lang w:val="en-CA"/>
        </w:rPr>
        <w:t xml:space="preserve">and deficits </w:t>
      </w:r>
      <w:r w:rsidRPr="000A349E">
        <w:rPr>
          <w:rFonts w:eastAsia="Yu Mincho"/>
          <w:lang w:val="en-CA"/>
        </w:rPr>
        <w:t>rather than profits</w:t>
      </w:r>
      <w:r w:rsidR="006A09A2">
        <w:rPr>
          <w:rFonts w:eastAsia="Yu Mincho"/>
          <w:lang w:val="en-CA"/>
        </w:rPr>
        <w:t xml:space="preserve"> and losses</w:t>
      </w:r>
      <w:r w:rsidRPr="000A349E">
        <w:rPr>
          <w:rFonts w:eastAsia="Yu Mincho"/>
          <w:lang w:val="en-CA"/>
        </w:rPr>
        <w:t xml:space="preserve">, and </w:t>
      </w:r>
      <w:r w:rsidR="009A59C7" w:rsidRPr="000A349E">
        <w:rPr>
          <w:rFonts w:eastAsia="Yu Mincho"/>
          <w:lang w:val="en-CA"/>
        </w:rPr>
        <w:t xml:space="preserve">its </w:t>
      </w:r>
      <w:r w:rsidRPr="000A349E">
        <w:rPr>
          <w:rFonts w:eastAsia="Yu Mincho"/>
          <w:lang w:val="en-CA"/>
        </w:rPr>
        <w:t>budgeting assumed that revenues would equal expenses. Unanticipated growth generated higher revenues</w:t>
      </w:r>
      <w:r w:rsidR="009A59C7" w:rsidRPr="000A349E">
        <w:rPr>
          <w:rFonts w:eastAsia="Yu Mincho"/>
          <w:lang w:val="en-CA"/>
        </w:rPr>
        <w:t>,</w:t>
      </w:r>
      <w:r w:rsidRPr="000A349E">
        <w:rPr>
          <w:rFonts w:eastAsia="Yu Mincho"/>
          <w:lang w:val="en-CA"/>
        </w:rPr>
        <w:t xml:space="preserve"> resulting in surpluses</w:t>
      </w:r>
      <w:r w:rsidR="009A59C7" w:rsidRPr="000A349E">
        <w:rPr>
          <w:rFonts w:eastAsia="Yu Mincho"/>
          <w:lang w:val="en-CA"/>
        </w:rPr>
        <w:t>, which</w:t>
      </w:r>
      <w:r w:rsidRPr="000A349E">
        <w:rPr>
          <w:rFonts w:eastAsia="Yu Mincho"/>
          <w:lang w:val="en-CA"/>
        </w:rPr>
        <w:t xml:space="preserve"> </w:t>
      </w:r>
      <w:proofErr w:type="gramStart"/>
      <w:r w:rsidRPr="000A349E">
        <w:rPr>
          <w:rFonts w:eastAsia="Yu Mincho"/>
          <w:lang w:val="en-CA"/>
        </w:rPr>
        <w:t>were reinvested</w:t>
      </w:r>
      <w:proofErr w:type="gramEnd"/>
      <w:r w:rsidRPr="000A349E">
        <w:rPr>
          <w:rFonts w:eastAsia="Yu Mincho"/>
          <w:lang w:val="en-CA"/>
        </w:rPr>
        <w:t xml:space="preserve"> into </w:t>
      </w:r>
      <w:r w:rsidR="009A59C7" w:rsidRPr="000A349E">
        <w:rPr>
          <w:rFonts w:eastAsia="Yu Mincho"/>
          <w:lang w:val="en-CA"/>
        </w:rPr>
        <w:t xml:space="preserve">improving </w:t>
      </w:r>
      <w:r w:rsidRPr="000A349E">
        <w:rPr>
          <w:rFonts w:eastAsia="Yu Mincho"/>
          <w:lang w:val="en-CA"/>
        </w:rPr>
        <w:t>business process, upgrading staff skills</w:t>
      </w:r>
      <w:r w:rsidR="009A59C7" w:rsidRPr="000A349E">
        <w:rPr>
          <w:rFonts w:eastAsia="Yu Mincho"/>
          <w:lang w:val="en-CA"/>
        </w:rPr>
        <w:t>,</w:t>
      </w:r>
      <w:r w:rsidRPr="000A349E">
        <w:rPr>
          <w:rFonts w:eastAsia="Yu Mincho"/>
          <w:lang w:val="en-CA"/>
        </w:rPr>
        <w:t xml:space="preserve"> and attracting more qualified and capable employees. OECM </w:t>
      </w:r>
      <w:r w:rsidR="009A59C7" w:rsidRPr="000A349E">
        <w:rPr>
          <w:rFonts w:eastAsia="Yu Mincho"/>
          <w:lang w:val="en-CA"/>
        </w:rPr>
        <w:t xml:space="preserve">also </w:t>
      </w:r>
      <w:r w:rsidRPr="000A349E">
        <w:rPr>
          <w:rFonts w:eastAsia="Yu Mincho"/>
          <w:lang w:val="en-CA"/>
        </w:rPr>
        <w:t xml:space="preserve">created social profit through the savings </w:t>
      </w:r>
      <w:r w:rsidR="009A59C7" w:rsidRPr="000A349E">
        <w:rPr>
          <w:rFonts w:eastAsia="Yu Mincho"/>
          <w:lang w:val="en-CA"/>
        </w:rPr>
        <w:t xml:space="preserve">it </w:t>
      </w:r>
      <w:r w:rsidRPr="000A349E">
        <w:rPr>
          <w:rFonts w:eastAsia="Yu Mincho"/>
          <w:lang w:val="en-CA"/>
        </w:rPr>
        <w:t xml:space="preserve">provided for the </w:t>
      </w:r>
      <w:r w:rsidR="00BA166E" w:rsidRPr="000A349E">
        <w:rPr>
          <w:rFonts w:eastAsia="Yu Mincho"/>
          <w:lang w:val="en-CA"/>
        </w:rPr>
        <w:t>public-</w:t>
      </w:r>
      <w:r w:rsidRPr="000A349E">
        <w:rPr>
          <w:rFonts w:eastAsia="Yu Mincho"/>
          <w:lang w:val="en-CA"/>
        </w:rPr>
        <w:t xml:space="preserve">sector entities it served. The first year OECM generated a </w:t>
      </w:r>
      <w:r w:rsidR="00A2108D" w:rsidRPr="000A349E">
        <w:rPr>
          <w:rFonts w:eastAsia="Yu Mincho"/>
          <w:lang w:val="en-CA"/>
        </w:rPr>
        <w:t xml:space="preserve">meaningful </w:t>
      </w:r>
      <w:r w:rsidRPr="000A349E">
        <w:rPr>
          <w:rFonts w:eastAsia="Yu Mincho"/>
          <w:lang w:val="en-CA"/>
        </w:rPr>
        <w:t xml:space="preserve">surplus was </w:t>
      </w:r>
      <w:r w:rsidR="00A2108D" w:rsidRPr="000A349E">
        <w:rPr>
          <w:rFonts w:eastAsia="Yu Mincho"/>
          <w:lang w:val="en-CA"/>
        </w:rPr>
        <w:t>2016</w:t>
      </w:r>
      <w:r w:rsidRPr="000A349E">
        <w:rPr>
          <w:rFonts w:eastAsia="Yu Mincho"/>
          <w:lang w:val="en-CA"/>
        </w:rPr>
        <w:t>, and given the aggressive growth strategy it was pursuing, surpluses and associated reinvestment</w:t>
      </w:r>
      <w:r w:rsidR="009A59C7" w:rsidRPr="000A349E">
        <w:rPr>
          <w:rFonts w:eastAsia="Yu Mincho"/>
          <w:lang w:val="en-CA"/>
        </w:rPr>
        <w:t>s</w:t>
      </w:r>
      <w:r w:rsidRPr="000A349E">
        <w:rPr>
          <w:rFonts w:eastAsia="Yu Mincho"/>
          <w:lang w:val="en-CA"/>
        </w:rPr>
        <w:t xml:space="preserve"> </w:t>
      </w:r>
      <w:proofErr w:type="gramStart"/>
      <w:r w:rsidRPr="000A349E">
        <w:rPr>
          <w:rFonts w:eastAsia="Yu Mincho"/>
          <w:lang w:val="en-CA"/>
        </w:rPr>
        <w:t>were expected</w:t>
      </w:r>
      <w:proofErr w:type="gramEnd"/>
      <w:r w:rsidRPr="000A349E">
        <w:rPr>
          <w:rFonts w:eastAsia="Yu Mincho"/>
          <w:lang w:val="en-CA"/>
        </w:rPr>
        <w:t xml:space="preserve"> to increase (</w:t>
      </w:r>
      <w:r w:rsidR="007E3BBF" w:rsidRPr="000A349E">
        <w:rPr>
          <w:rFonts w:eastAsia="Yu Mincho"/>
          <w:lang w:val="en-CA"/>
        </w:rPr>
        <w:t xml:space="preserve">see </w:t>
      </w:r>
      <w:r w:rsidRPr="000A349E">
        <w:rPr>
          <w:rFonts w:eastAsia="Yu Mincho"/>
          <w:lang w:val="en-CA"/>
        </w:rPr>
        <w:t xml:space="preserve">Exhibit </w:t>
      </w:r>
      <w:r w:rsidR="007E3BBF" w:rsidRPr="000A349E">
        <w:rPr>
          <w:rFonts w:eastAsia="Yu Mincho"/>
          <w:lang w:val="en-CA"/>
        </w:rPr>
        <w:t>2</w:t>
      </w:r>
      <w:r w:rsidRPr="000A349E">
        <w:rPr>
          <w:rFonts w:eastAsia="Yu Mincho"/>
          <w:lang w:val="en-CA"/>
        </w:rPr>
        <w:t xml:space="preserve">).  </w:t>
      </w:r>
    </w:p>
    <w:p w14:paraId="270BFA3B" w14:textId="77777777" w:rsidR="00B02D49" w:rsidRPr="000A349E" w:rsidRDefault="00B02D49" w:rsidP="00B02D49">
      <w:pPr>
        <w:pStyle w:val="BodyTextMain"/>
        <w:rPr>
          <w:rFonts w:eastAsia="Yu Mincho"/>
          <w:sz w:val="18"/>
          <w:szCs w:val="18"/>
          <w:lang w:val="en-CA"/>
        </w:rPr>
      </w:pPr>
    </w:p>
    <w:p w14:paraId="7388652C" w14:textId="1872C593" w:rsidR="005611BC" w:rsidRPr="000A349E" w:rsidRDefault="00B02D49" w:rsidP="00B02D49">
      <w:pPr>
        <w:pStyle w:val="BodyTextMain"/>
        <w:rPr>
          <w:rFonts w:eastAsia="Yu Mincho"/>
          <w:lang w:val="en-CA"/>
        </w:rPr>
      </w:pPr>
      <w:r w:rsidRPr="000A349E">
        <w:rPr>
          <w:rFonts w:eastAsia="Yu Mincho"/>
          <w:lang w:val="en-CA"/>
        </w:rPr>
        <w:t xml:space="preserve">In 2016, OECM </w:t>
      </w:r>
      <w:r w:rsidR="00A2108D" w:rsidRPr="000A349E">
        <w:rPr>
          <w:rFonts w:eastAsia="Yu Mincho"/>
          <w:lang w:val="en-CA"/>
        </w:rPr>
        <w:t>covered</w:t>
      </w:r>
      <w:r w:rsidRPr="000A349E">
        <w:rPr>
          <w:rFonts w:eastAsia="Yu Mincho"/>
          <w:lang w:val="en-CA"/>
        </w:rPr>
        <w:t xml:space="preserve"> its costs independently</w:t>
      </w:r>
      <w:r w:rsidR="00A2108D" w:rsidRPr="000A349E">
        <w:rPr>
          <w:rFonts w:eastAsia="Yu Mincho"/>
          <w:lang w:val="en-CA"/>
        </w:rPr>
        <w:t xml:space="preserve"> by a good margin</w:t>
      </w:r>
      <w:r w:rsidRPr="000A349E">
        <w:rPr>
          <w:rFonts w:eastAsia="Yu Mincho"/>
          <w:lang w:val="en-CA"/>
        </w:rPr>
        <w:t xml:space="preserve">. Since 2015, </w:t>
      </w:r>
      <w:r w:rsidR="005611BC" w:rsidRPr="000A349E">
        <w:rPr>
          <w:rFonts w:eastAsia="Yu Mincho"/>
          <w:lang w:val="en-CA"/>
        </w:rPr>
        <w:t xml:space="preserve">it </w:t>
      </w:r>
      <w:r w:rsidRPr="000A349E">
        <w:rPr>
          <w:rFonts w:eastAsia="Yu Mincho"/>
          <w:lang w:val="en-CA"/>
        </w:rPr>
        <w:t xml:space="preserve">had </w:t>
      </w:r>
      <w:r w:rsidR="005611BC" w:rsidRPr="000A349E">
        <w:rPr>
          <w:rFonts w:eastAsia="Yu Mincho"/>
          <w:lang w:val="en-CA"/>
        </w:rPr>
        <w:t xml:space="preserve">achieved </w:t>
      </w:r>
      <w:r w:rsidRPr="000A349E">
        <w:rPr>
          <w:rFonts w:eastAsia="Yu Mincho"/>
          <w:lang w:val="en-CA"/>
        </w:rPr>
        <w:t>an 18</w:t>
      </w:r>
      <w:r w:rsidR="005611BC" w:rsidRPr="000A349E">
        <w:rPr>
          <w:rFonts w:eastAsia="Yu Mincho"/>
          <w:lang w:val="en-CA"/>
        </w:rPr>
        <w:t xml:space="preserve"> per cent </w:t>
      </w:r>
      <w:r w:rsidRPr="000A349E">
        <w:rPr>
          <w:rFonts w:eastAsia="Yu Mincho"/>
          <w:lang w:val="en-CA"/>
        </w:rPr>
        <w:t xml:space="preserve">year-over-year revenue growth </w:t>
      </w:r>
      <w:r w:rsidR="005611BC" w:rsidRPr="000A349E">
        <w:rPr>
          <w:rFonts w:eastAsia="Yu Mincho"/>
          <w:lang w:val="en-CA"/>
        </w:rPr>
        <w:t xml:space="preserve">by </w:t>
      </w:r>
      <w:r w:rsidRPr="000A349E">
        <w:rPr>
          <w:rFonts w:eastAsia="Yu Mincho"/>
          <w:lang w:val="en-CA"/>
        </w:rPr>
        <w:t>intermediating transactions</w:t>
      </w:r>
      <w:r w:rsidR="005611BC" w:rsidRPr="000A349E">
        <w:rPr>
          <w:rFonts w:eastAsia="Yu Mincho"/>
          <w:lang w:val="en-CA"/>
        </w:rPr>
        <w:t xml:space="preserve">—identified </w:t>
      </w:r>
      <w:r w:rsidRPr="000A349E">
        <w:rPr>
          <w:rFonts w:eastAsia="Yu Mincho"/>
          <w:lang w:val="en-CA"/>
        </w:rPr>
        <w:t xml:space="preserve">in the line item </w:t>
      </w:r>
      <w:r w:rsidR="005611BC" w:rsidRPr="000A349E">
        <w:rPr>
          <w:rFonts w:eastAsia="Yu Mincho"/>
          <w:lang w:val="en-CA"/>
        </w:rPr>
        <w:t xml:space="preserve">“Strategic </w:t>
      </w:r>
      <w:r w:rsidR="000A544A">
        <w:rPr>
          <w:rFonts w:eastAsia="Yu Mincho"/>
          <w:lang w:val="en-CA"/>
        </w:rPr>
        <w:t>s</w:t>
      </w:r>
      <w:r w:rsidR="005611BC" w:rsidRPr="000A349E">
        <w:rPr>
          <w:rFonts w:eastAsia="Yu Mincho"/>
          <w:lang w:val="en-CA"/>
        </w:rPr>
        <w:t xml:space="preserve">ourcing” </w:t>
      </w:r>
      <w:r w:rsidRPr="000A349E">
        <w:rPr>
          <w:rFonts w:eastAsia="Yu Mincho"/>
          <w:lang w:val="en-CA"/>
        </w:rPr>
        <w:t xml:space="preserve">in </w:t>
      </w:r>
      <w:r w:rsidR="005611BC" w:rsidRPr="000A349E">
        <w:rPr>
          <w:rFonts w:eastAsia="Yu Mincho"/>
          <w:lang w:val="en-CA"/>
        </w:rPr>
        <w:t xml:space="preserve">its financial statements (see </w:t>
      </w:r>
      <w:r w:rsidRPr="000A349E">
        <w:rPr>
          <w:rFonts w:eastAsia="Yu Mincho"/>
          <w:lang w:val="en-CA"/>
        </w:rPr>
        <w:t xml:space="preserve">Exhibit </w:t>
      </w:r>
      <w:r w:rsidR="007E3BBF" w:rsidRPr="000A349E">
        <w:rPr>
          <w:rFonts w:eastAsia="Yu Mincho"/>
          <w:lang w:val="en-CA"/>
        </w:rPr>
        <w:t>2</w:t>
      </w:r>
      <w:r w:rsidRPr="000A349E">
        <w:rPr>
          <w:rFonts w:eastAsia="Yu Mincho"/>
          <w:lang w:val="en-CA"/>
        </w:rPr>
        <w:t>). The organization had achieved efficiencies such that a 10</w:t>
      </w:r>
      <w:r w:rsidR="005611BC" w:rsidRPr="000A349E">
        <w:rPr>
          <w:rFonts w:eastAsia="Yu Mincho"/>
          <w:lang w:val="en-CA"/>
        </w:rPr>
        <w:t xml:space="preserve"> per cent </w:t>
      </w:r>
      <w:r w:rsidRPr="000A349E">
        <w:rPr>
          <w:rFonts w:eastAsia="Yu Mincho"/>
          <w:lang w:val="en-CA"/>
        </w:rPr>
        <w:t xml:space="preserve">increase in </w:t>
      </w:r>
      <w:proofErr w:type="gramStart"/>
      <w:r w:rsidR="004407E3" w:rsidRPr="000A349E">
        <w:rPr>
          <w:rFonts w:eastAsia="Yu Mincho"/>
          <w:lang w:val="en-CA"/>
        </w:rPr>
        <w:t xml:space="preserve">the </w:t>
      </w:r>
      <w:r w:rsidR="005611BC" w:rsidRPr="000A349E">
        <w:rPr>
          <w:rFonts w:eastAsia="Yu Mincho"/>
          <w:lang w:val="en-CA"/>
        </w:rPr>
        <w:t>s</w:t>
      </w:r>
      <w:r w:rsidRPr="000A349E">
        <w:rPr>
          <w:rFonts w:eastAsia="Yu Mincho"/>
          <w:lang w:val="en-CA"/>
        </w:rPr>
        <w:t>pend</w:t>
      </w:r>
      <w:proofErr w:type="gramEnd"/>
      <w:r w:rsidRPr="000A349E">
        <w:rPr>
          <w:rFonts w:eastAsia="Yu Mincho"/>
          <w:lang w:val="en-CA"/>
        </w:rPr>
        <w:t xml:space="preserve"> resulted in a 20</w:t>
      </w:r>
      <w:r w:rsidR="005611BC" w:rsidRPr="000A349E">
        <w:rPr>
          <w:rFonts w:eastAsia="Yu Mincho"/>
          <w:lang w:val="en-CA"/>
        </w:rPr>
        <w:t xml:space="preserve"> per cent </w:t>
      </w:r>
      <w:r w:rsidRPr="000A349E">
        <w:rPr>
          <w:rFonts w:eastAsia="Yu Mincho"/>
          <w:lang w:val="en-CA"/>
        </w:rPr>
        <w:t xml:space="preserve">increase in revenue. </w:t>
      </w:r>
      <w:r w:rsidR="005611BC" w:rsidRPr="000A349E">
        <w:rPr>
          <w:rFonts w:eastAsia="Yu Mincho"/>
          <w:lang w:val="en-CA"/>
        </w:rPr>
        <w:t xml:space="preserve">Len </w:t>
      </w:r>
      <w:proofErr w:type="spellStart"/>
      <w:r w:rsidR="005611BC" w:rsidRPr="000A349E">
        <w:rPr>
          <w:rFonts w:eastAsia="Yu Mincho"/>
          <w:lang w:val="en-CA"/>
        </w:rPr>
        <w:t>Scavuzzo</w:t>
      </w:r>
      <w:proofErr w:type="spellEnd"/>
      <w:r w:rsidR="005611BC" w:rsidRPr="000A349E">
        <w:rPr>
          <w:rFonts w:eastAsia="Yu Mincho"/>
          <w:lang w:val="en-CA"/>
        </w:rPr>
        <w:t>, OECM’s chief financial officer, explained:</w:t>
      </w:r>
    </w:p>
    <w:p w14:paraId="1CEC0DE1" w14:textId="77777777" w:rsidR="005611BC" w:rsidRPr="000A349E" w:rsidRDefault="005611BC" w:rsidP="00B02D49">
      <w:pPr>
        <w:pStyle w:val="BodyTextMain"/>
        <w:rPr>
          <w:rFonts w:eastAsia="Yu Mincho"/>
          <w:sz w:val="18"/>
          <w:szCs w:val="18"/>
          <w:lang w:val="en-CA"/>
        </w:rPr>
      </w:pPr>
    </w:p>
    <w:p w14:paraId="2A905FBB" w14:textId="19B2BF6E" w:rsidR="005611BC" w:rsidRPr="000A349E" w:rsidRDefault="00B02D49" w:rsidP="005611BC">
      <w:pPr>
        <w:pStyle w:val="BodyTextMain"/>
        <w:ind w:left="720"/>
        <w:rPr>
          <w:rFonts w:eastAsia="Yu Mincho"/>
          <w:lang w:val="en-CA"/>
        </w:rPr>
      </w:pPr>
      <w:proofErr w:type="gramStart"/>
      <w:r w:rsidRPr="000A349E">
        <w:rPr>
          <w:rFonts w:eastAsia="Yu Mincho"/>
          <w:lang w:val="en-CA"/>
        </w:rPr>
        <w:t>It</w:t>
      </w:r>
      <w:r w:rsidR="005611BC" w:rsidRPr="000A349E">
        <w:rPr>
          <w:rFonts w:eastAsia="Yu Mincho"/>
          <w:lang w:val="en-CA"/>
        </w:rPr>
        <w:t>’</w:t>
      </w:r>
      <w:r w:rsidRPr="000A349E">
        <w:rPr>
          <w:rFonts w:eastAsia="Yu Mincho"/>
          <w:lang w:val="en-CA"/>
        </w:rPr>
        <w:t>s</w:t>
      </w:r>
      <w:proofErr w:type="gramEnd"/>
      <w:r w:rsidRPr="000A349E">
        <w:rPr>
          <w:rFonts w:eastAsia="Yu Mincho"/>
          <w:lang w:val="en-CA"/>
        </w:rPr>
        <w:t xml:space="preserve"> difficult to estimate our future growth</w:t>
      </w:r>
      <w:r w:rsidR="005611BC" w:rsidRPr="000A349E">
        <w:rPr>
          <w:rFonts w:eastAsia="Yu Mincho"/>
          <w:lang w:val="en-CA"/>
        </w:rPr>
        <w:t xml:space="preserve">. </w:t>
      </w:r>
      <w:proofErr w:type="gramStart"/>
      <w:r w:rsidRPr="000A349E">
        <w:rPr>
          <w:rFonts w:eastAsia="Yu Mincho"/>
          <w:lang w:val="en-CA"/>
        </w:rPr>
        <w:t>We</w:t>
      </w:r>
      <w:r w:rsidR="005611BC" w:rsidRPr="000A349E">
        <w:rPr>
          <w:rFonts w:eastAsia="Yu Mincho"/>
          <w:lang w:val="en-CA"/>
        </w:rPr>
        <w:t>’</w:t>
      </w:r>
      <w:r w:rsidRPr="000A349E">
        <w:rPr>
          <w:rFonts w:eastAsia="Yu Mincho"/>
          <w:lang w:val="en-CA"/>
        </w:rPr>
        <w:t>ve</w:t>
      </w:r>
      <w:proofErr w:type="gramEnd"/>
      <w:r w:rsidRPr="000A349E">
        <w:rPr>
          <w:rFonts w:eastAsia="Yu Mincho"/>
          <w:lang w:val="en-CA"/>
        </w:rPr>
        <w:t xml:space="preserve"> succeeded in grabbing the </w:t>
      </w:r>
      <w:r w:rsidR="005611BC" w:rsidRPr="000A349E">
        <w:rPr>
          <w:rFonts w:eastAsia="Yu Mincho"/>
          <w:lang w:val="en-CA"/>
        </w:rPr>
        <w:t>low-</w:t>
      </w:r>
      <w:r w:rsidRPr="000A349E">
        <w:rPr>
          <w:rFonts w:eastAsia="Yu Mincho"/>
          <w:lang w:val="en-CA"/>
        </w:rPr>
        <w:t xml:space="preserve">hanging fruit, so our future growth rate for our </w:t>
      </w:r>
      <w:r w:rsidR="005611BC" w:rsidRPr="000A349E">
        <w:rPr>
          <w:rFonts w:eastAsia="Yu Mincho"/>
          <w:lang w:val="en-CA"/>
        </w:rPr>
        <w:t>c</w:t>
      </w:r>
      <w:r w:rsidRPr="000A349E">
        <w:rPr>
          <w:rFonts w:eastAsia="Yu Mincho"/>
          <w:lang w:val="en-CA"/>
        </w:rPr>
        <w:t xml:space="preserve">ustomer segments other than </w:t>
      </w:r>
      <w:r w:rsidR="005611BC" w:rsidRPr="000A349E">
        <w:rPr>
          <w:rFonts w:eastAsia="Yu Mincho"/>
          <w:lang w:val="en-CA"/>
        </w:rPr>
        <w:t>b</w:t>
      </w:r>
      <w:r w:rsidRPr="000A349E">
        <w:rPr>
          <w:rFonts w:eastAsia="Yu Mincho"/>
          <w:lang w:val="en-CA"/>
        </w:rPr>
        <w:t xml:space="preserve">roader </w:t>
      </w:r>
      <w:r w:rsidR="005611BC" w:rsidRPr="000A349E">
        <w:rPr>
          <w:rFonts w:eastAsia="Yu Mincho"/>
          <w:lang w:val="en-CA"/>
        </w:rPr>
        <w:t>p</w:t>
      </w:r>
      <w:r w:rsidRPr="000A349E">
        <w:rPr>
          <w:rFonts w:eastAsia="Yu Mincho"/>
          <w:lang w:val="en-CA"/>
        </w:rPr>
        <w:t xml:space="preserve">ublic </w:t>
      </w:r>
      <w:r w:rsidR="005611BC" w:rsidRPr="000A349E">
        <w:rPr>
          <w:rFonts w:eastAsia="Yu Mincho"/>
          <w:lang w:val="en-CA"/>
        </w:rPr>
        <w:t>s</w:t>
      </w:r>
      <w:r w:rsidRPr="000A349E">
        <w:rPr>
          <w:rFonts w:eastAsia="Yu Mincho"/>
          <w:lang w:val="en-CA"/>
        </w:rPr>
        <w:t xml:space="preserve">ector </w:t>
      </w:r>
      <w:r w:rsidR="004407E3" w:rsidRPr="000A349E">
        <w:rPr>
          <w:rFonts w:eastAsia="Yu Mincho"/>
          <w:lang w:val="en-CA"/>
        </w:rPr>
        <w:t>[</w:t>
      </w:r>
      <w:r w:rsidRPr="000A349E">
        <w:rPr>
          <w:rFonts w:eastAsia="Yu Mincho"/>
          <w:lang w:val="en-CA"/>
        </w:rPr>
        <w:t>BPS</w:t>
      </w:r>
      <w:r w:rsidR="004407E3" w:rsidRPr="000A349E">
        <w:rPr>
          <w:rFonts w:eastAsia="Yu Mincho"/>
          <w:lang w:val="en-CA"/>
        </w:rPr>
        <w:t>]</w:t>
      </w:r>
      <w:r w:rsidR="004407E3" w:rsidRPr="000A349E">
        <w:rPr>
          <w:rFonts w:eastAsia="Yu Mincho"/>
          <w:vertAlign w:val="superscript"/>
          <w:lang w:val="en-CA"/>
        </w:rPr>
        <w:footnoteReference w:id="12"/>
      </w:r>
      <w:r w:rsidR="004407E3" w:rsidRPr="000A349E">
        <w:rPr>
          <w:rFonts w:eastAsia="Yu Mincho"/>
          <w:lang w:val="en-CA"/>
        </w:rPr>
        <w:t xml:space="preserve"> </w:t>
      </w:r>
      <w:r w:rsidRPr="000A349E">
        <w:rPr>
          <w:rFonts w:eastAsia="Yu Mincho"/>
          <w:lang w:val="en-CA"/>
        </w:rPr>
        <w:t xml:space="preserve">will likely be a little lower over the coming years than it has </w:t>
      </w:r>
      <w:r w:rsidR="005611BC" w:rsidRPr="000A349E">
        <w:rPr>
          <w:rFonts w:eastAsia="Yu Mincho"/>
          <w:lang w:val="en-CA"/>
        </w:rPr>
        <w:t xml:space="preserve">been </w:t>
      </w:r>
      <w:r w:rsidRPr="000A349E">
        <w:rPr>
          <w:rFonts w:eastAsia="Yu Mincho"/>
          <w:lang w:val="en-CA"/>
        </w:rPr>
        <w:t>in the past.</w:t>
      </w:r>
      <w:r w:rsidR="005611BC" w:rsidRPr="000A349E">
        <w:rPr>
          <w:rFonts w:eastAsia="Yu Mincho"/>
          <w:lang w:val="en-CA"/>
        </w:rPr>
        <w:t xml:space="preserve"> </w:t>
      </w:r>
      <w:r w:rsidRPr="000A349E">
        <w:rPr>
          <w:rFonts w:eastAsia="Yu Mincho"/>
          <w:lang w:val="en-CA"/>
        </w:rPr>
        <w:t>We can continue to grow with new customers in BPS, but for the other segments</w:t>
      </w:r>
      <w:r w:rsidR="005611BC" w:rsidRPr="000A349E">
        <w:rPr>
          <w:rFonts w:eastAsia="Yu Mincho"/>
          <w:lang w:val="en-CA"/>
        </w:rPr>
        <w:t>,</w:t>
      </w:r>
      <w:r w:rsidRPr="000A349E">
        <w:rPr>
          <w:rFonts w:eastAsia="Yu Mincho"/>
          <w:lang w:val="en-CA"/>
        </w:rPr>
        <w:t xml:space="preserve"> </w:t>
      </w:r>
      <w:proofErr w:type="gramStart"/>
      <w:r w:rsidRPr="000A349E">
        <w:rPr>
          <w:rFonts w:eastAsia="Yu Mincho"/>
          <w:lang w:val="en-CA"/>
        </w:rPr>
        <w:t>we</w:t>
      </w:r>
      <w:r w:rsidR="005611BC" w:rsidRPr="000A349E">
        <w:rPr>
          <w:rFonts w:eastAsia="Yu Mincho"/>
          <w:lang w:val="en-CA"/>
        </w:rPr>
        <w:t>’</w:t>
      </w:r>
      <w:r w:rsidRPr="000A349E">
        <w:rPr>
          <w:rFonts w:eastAsia="Yu Mincho"/>
          <w:lang w:val="en-CA"/>
        </w:rPr>
        <w:t>ll</w:t>
      </w:r>
      <w:proofErr w:type="gramEnd"/>
      <w:r w:rsidRPr="000A349E">
        <w:rPr>
          <w:rFonts w:eastAsia="Yu Mincho"/>
          <w:lang w:val="en-CA"/>
        </w:rPr>
        <w:t xml:space="preserve"> have to think of other ways to entice them to increase </w:t>
      </w:r>
      <w:r w:rsidR="005611BC" w:rsidRPr="000A349E">
        <w:rPr>
          <w:rFonts w:eastAsia="Yu Mincho"/>
          <w:lang w:val="en-CA"/>
        </w:rPr>
        <w:t>s</w:t>
      </w:r>
      <w:r w:rsidRPr="000A349E">
        <w:rPr>
          <w:rFonts w:eastAsia="Yu Mincho"/>
          <w:lang w:val="en-CA"/>
        </w:rPr>
        <w:t>pend</w:t>
      </w:r>
      <w:r w:rsidR="005611BC" w:rsidRPr="000A349E">
        <w:rPr>
          <w:rFonts w:eastAsia="Yu Mincho"/>
          <w:lang w:val="en-CA"/>
        </w:rPr>
        <w:t>. T</w:t>
      </w:r>
      <w:r w:rsidRPr="000A349E">
        <w:rPr>
          <w:rFonts w:eastAsia="Yu Mincho"/>
          <w:lang w:val="en-CA"/>
        </w:rPr>
        <w:t>he number of school boards, colleges, and universities out there is not going to grow</w:t>
      </w:r>
      <w:r w:rsidR="008D7134" w:rsidRPr="000A349E">
        <w:rPr>
          <w:rFonts w:eastAsia="Yu Mincho"/>
          <w:lang w:val="en-CA"/>
        </w:rPr>
        <w:t>, and we already have CSAs with all of them,</w:t>
      </w:r>
      <w:r w:rsidRPr="000A349E">
        <w:rPr>
          <w:rFonts w:eastAsia="Yu Mincho"/>
          <w:lang w:val="en-CA"/>
        </w:rPr>
        <w:t xml:space="preserve"> so we have to find more value within existing relationships</w:t>
      </w:r>
      <w:r w:rsidR="005611BC" w:rsidRPr="000A349E">
        <w:rPr>
          <w:rFonts w:eastAsia="Yu Mincho"/>
          <w:lang w:val="en-CA"/>
        </w:rPr>
        <w:t>.</w:t>
      </w:r>
    </w:p>
    <w:p w14:paraId="6ABDED11" w14:textId="77777777" w:rsidR="005611BC" w:rsidRPr="000A349E" w:rsidRDefault="005611BC" w:rsidP="005611BC">
      <w:pPr>
        <w:pStyle w:val="BodyTextMain"/>
        <w:ind w:left="720"/>
        <w:rPr>
          <w:rFonts w:eastAsia="Yu Mincho"/>
          <w:sz w:val="18"/>
          <w:szCs w:val="18"/>
          <w:lang w:val="en-CA"/>
        </w:rPr>
      </w:pPr>
    </w:p>
    <w:p w14:paraId="118B6CDF" w14:textId="259F43D7" w:rsidR="00B02D49" w:rsidRPr="000A349E" w:rsidRDefault="00B02D49" w:rsidP="00B02D49">
      <w:pPr>
        <w:pStyle w:val="BodyTextMain"/>
        <w:rPr>
          <w:rFonts w:eastAsia="Yu Mincho"/>
          <w:lang w:val="en-CA"/>
        </w:rPr>
      </w:pPr>
      <w:r w:rsidRPr="000A349E">
        <w:rPr>
          <w:rFonts w:eastAsia="Yu Mincho"/>
          <w:lang w:val="en-CA"/>
        </w:rPr>
        <w:t xml:space="preserve">OECM </w:t>
      </w:r>
      <w:r w:rsidR="00292B1C" w:rsidRPr="000A349E">
        <w:rPr>
          <w:rFonts w:eastAsia="Yu Mincho"/>
          <w:lang w:val="en-CA"/>
        </w:rPr>
        <w:t xml:space="preserve">expected to achieve </w:t>
      </w:r>
      <w:r w:rsidRPr="000A349E">
        <w:rPr>
          <w:rFonts w:eastAsia="Yu Mincho"/>
          <w:lang w:val="en-CA"/>
        </w:rPr>
        <w:t xml:space="preserve">high growth </w:t>
      </w:r>
      <w:r w:rsidR="00292B1C" w:rsidRPr="000A349E">
        <w:rPr>
          <w:rFonts w:eastAsia="Yu Mincho"/>
          <w:lang w:val="en-CA"/>
        </w:rPr>
        <w:t xml:space="preserve">both </w:t>
      </w:r>
      <w:r w:rsidRPr="000A349E">
        <w:rPr>
          <w:rFonts w:eastAsia="Yu Mincho"/>
          <w:lang w:val="en-CA"/>
        </w:rPr>
        <w:t xml:space="preserve">by offering new </w:t>
      </w:r>
      <w:r w:rsidR="00292B1C" w:rsidRPr="000A349E">
        <w:rPr>
          <w:rFonts w:eastAsia="Yu Mincho"/>
          <w:lang w:val="en-CA"/>
        </w:rPr>
        <w:t>c</w:t>
      </w:r>
      <w:r w:rsidRPr="000A349E">
        <w:rPr>
          <w:rFonts w:eastAsia="Yu Mincho"/>
          <w:lang w:val="en-CA"/>
        </w:rPr>
        <w:t>ontracts to existing customers in the education sector</w:t>
      </w:r>
      <w:r w:rsidR="00292B1C" w:rsidRPr="000A349E">
        <w:rPr>
          <w:rFonts w:eastAsia="Yu Mincho"/>
          <w:lang w:val="en-CA"/>
        </w:rPr>
        <w:t xml:space="preserve"> </w:t>
      </w:r>
      <w:proofErr w:type="gramStart"/>
      <w:r w:rsidR="00292B1C" w:rsidRPr="000A349E">
        <w:rPr>
          <w:rFonts w:eastAsia="Yu Mincho"/>
          <w:lang w:val="en-CA"/>
        </w:rPr>
        <w:t>and</w:t>
      </w:r>
      <w:r w:rsidRPr="000A349E">
        <w:rPr>
          <w:rFonts w:eastAsia="Yu Mincho"/>
          <w:lang w:val="en-CA"/>
        </w:rPr>
        <w:t xml:space="preserve"> also</w:t>
      </w:r>
      <w:proofErr w:type="gramEnd"/>
      <w:r w:rsidRPr="000A349E">
        <w:rPr>
          <w:rFonts w:eastAsia="Yu Mincho"/>
          <w:lang w:val="en-CA"/>
        </w:rPr>
        <w:t xml:space="preserve"> </w:t>
      </w:r>
      <w:r w:rsidR="00292B1C" w:rsidRPr="000A349E">
        <w:rPr>
          <w:rFonts w:eastAsia="Yu Mincho"/>
          <w:lang w:val="en-CA"/>
        </w:rPr>
        <w:t xml:space="preserve">by attracting </w:t>
      </w:r>
      <w:r w:rsidRPr="000A349E">
        <w:rPr>
          <w:rFonts w:eastAsia="Yu Mincho"/>
          <w:lang w:val="en-CA"/>
        </w:rPr>
        <w:t>new BPS customers.</w:t>
      </w:r>
    </w:p>
    <w:p w14:paraId="2CDC6CC5" w14:textId="77777777" w:rsidR="00B02D49" w:rsidRPr="000A349E" w:rsidRDefault="00B02D49" w:rsidP="00B02D49">
      <w:pPr>
        <w:pStyle w:val="BodyTextMain"/>
        <w:rPr>
          <w:rFonts w:eastAsia="Yu Mincho"/>
          <w:sz w:val="18"/>
          <w:szCs w:val="18"/>
          <w:lang w:val="en-CA"/>
        </w:rPr>
      </w:pPr>
    </w:p>
    <w:p w14:paraId="09FE25B8" w14:textId="5DDF0335" w:rsidR="004A209A" w:rsidRPr="000A349E" w:rsidRDefault="00B02D49" w:rsidP="00B02D49">
      <w:pPr>
        <w:pStyle w:val="BodyTextMain"/>
        <w:rPr>
          <w:rFonts w:eastAsia="Yu Mincho"/>
          <w:lang w:val="en-CA"/>
        </w:rPr>
      </w:pPr>
      <w:r w:rsidRPr="000A349E">
        <w:rPr>
          <w:rFonts w:eastAsia="Yu Mincho"/>
          <w:lang w:val="en-CA"/>
        </w:rPr>
        <w:t xml:space="preserve">OECM considered CSAs </w:t>
      </w:r>
      <w:r w:rsidR="008D7134" w:rsidRPr="000A349E">
        <w:rPr>
          <w:rFonts w:eastAsia="Yu Mincho"/>
          <w:lang w:val="en-CA"/>
        </w:rPr>
        <w:t xml:space="preserve">to be </w:t>
      </w:r>
      <w:r w:rsidR="00292B1C" w:rsidRPr="000A349E">
        <w:rPr>
          <w:rFonts w:eastAsia="Yu Mincho"/>
          <w:lang w:val="en-CA"/>
        </w:rPr>
        <w:t>its</w:t>
      </w:r>
      <w:r w:rsidR="004407E3" w:rsidRPr="000A349E">
        <w:rPr>
          <w:rFonts w:eastAsia="Yu Mincho"/>
          <w:lang w:val="en-CA"/>
        </w:rPr>
        <w:t xml:space="preserve"> </w:t>
      </w:r>
      <w:r w:rsidRPr="000A349E">
        <w:rPr>
          <w:rFonts w:eastAsia="Yu Mincho"/>
          <w:lang w:val="en-CA"/>
        </w:rPr>
        <w:t xml:space="preserve">product, and the CRF </w:t>
      </w:r>
      <w:r w:rsidR="00292B1C" w:rsidRPr="000A349E">
        <w:rPr>
          <w:rFonts w:eastAsia="Yu Mincho"/>
          <w:lang w:val="en-CA"/>
        </w:rPr>
        <w:t xml:space="preserve">it </w:t>
      </w:r>
      <w:r w:rsidRPr="000A349E">
        <w:rPr>
          <w:rFonts w:eastAsia="Yu Mincho"/>
          <w:lang w:val="en-CA"/>
        </w:rPr>
        <w:t xml:space="preserve">received from </w:t>
      </w:r>
      <w:r w:rsidR="00710BD0" w:rsidRPr="000A349E">
        <w:rPr>
          <w:rFonts w:eastAsia="Yu Mincho"/>
          <w:lang w:val="en-CA"/>
        </w:rPr>
        <w:t>each</w:t>
      </w:r>
      <w:r w:rsidR="004407E3" w:rsidRPr="000A349E">
        <w:rPr>
          <w:rFonts w:eastAsia="Yu Mincho"/>
          <w:lang w:val="en-CA"/>
        </w:rPr>
        <w:t xml:space="preserve"> </w:t>
      </w:r>
      <w:r w:rsidR="00292B1C" w:rsidRPr="000A349E">
        <w:rPr>
          <w:rFonts w:eastAsia="Yu Mincho"/>
          <w:lang w:val="en-CA"/>
        </w:rPr>
        <w:t>spend was its</w:t>
      </w:r>
      <w:r w:rsidRPr="000A349E">
        <w:rPr>
          <w:rFonts w:eastAsia="Yu Mincho"/>
          <w:lang w:val="en-CA"/>
        </w:rPr>
        <w:t xml:space="preserve"> revenue. </w:t>
      </w:r>
      <w:r w:rsidR="00710BD0" w:rsidRPr="000A349E">
        <w:rPr>
          <w:rFonts w:eastAsia="Yu Mincho"/>
          <w:lang w:val="en-CA"/>
        </w:rPr>
        <w:t xml:space="preserve">A higher </w:t>
      </w:r>
      <w:r w:rsidR="00292B1C" w:rsidRPr="000A349E">
        <w:rPr>
          <w:rFonts w:eastAsia="Yu Mincho"/>
          <w:lang w:val="en-CA"/>
        </w:rPr>
        <w:t>s</w:t>
      </w:r>
      <w:r w:rsidRPr="000A349E">
        <w:rPr>
          <w:rFonts w:eastAsia="Yu Mincho"/>
          <w:lang w:val="en-CA"/>
        </w:rPr>
        <w:t xml:space="preserve">pend meant more revenue for the organization. As such, it was necessary </w:t>
      </w:r>
      <w:r w:rsidR="004407E3" w:rsidRPr="000A349E">
        <w:rPr>
          <w:rFonts w:eastAsia="Yu Mincho"/>
          <w:lang w:val="en-CA"/>
        </w:rPr>
        <w:t xml:space="preserve">for OECM </w:t>
      </w:r>
      <w:r w:rsidRPr="000A349E">
        <w:rPr>
          <w:rFonts w:eastAsia="Yu Mincho"/>
          <w:lang w:val="en-CA"/>
        </w:rPr>
        <w:t xml:space="preserve">to consider </w:t>
      </w:r>
      <w:r w:rsidR="004407E3" w:rsidRPr="000A349E">
        <w:rPr>
          <w:rFonts w:eastAsia="Yu Mincho"/>
          <w:lang w:val="en-CA"/>
        </w:rPr>
        <w:t xml:space="preserve">its </w:t>
      </w:r>
      <w:r w:rsidRPr="000A349E">
        <w:rPr>
          <w:rFonts w:eastAsia="Yu Mincho"/>
          <w:lang w:val="en-CA"/>
        </w:rPr>
        <w:t xml:space="preserve">expenses relative to </w:t>
      </w:r>
      <w:r w:rsidR="004407E3" w:rsidRPr="000A349E">
        <w:rPr>
          <w:rFonts w:eastAsia="Yu Mincho"/>
          <w:lang w:val="en-CA"/>
        </w:rPr>
        <w:t xml:space="preserve">its </w:t>
      </w:r>
      <w:r w:rsidRPr="000A349E">
        <w:rPr>
          <w:rFonts w:eastAsia="Yu Mincho"/>
          <w:lang w:val="en-CA"/>
        </w:rPr>
        <w:t xml:space="preserve">revenue, not </w:t>
      </w:r>
      <w:r w:rsidR="004407E3" w:rsidRPr="000A349E">
        <w:rPr>
          <w:rFonts w:eastAsia="Yu Mincho"/>
          <w:lang w:val="en-CA"/>
        </w:rPr>
        <w:t xml:space="preserve">to </w:t>
      </w:r>
      <w:proofErr w:type="gramStart"/>
      <w:r w:rsidRPr="000A349E">
        <w:rPr>
          <w:rFonts w:eastAsia="Yu Mincho"/>
          <w:lang w:val="en-CA"/>
        </w:rPr>
        <w:t xml:space="preserve">the </w:t>
      </w:r>
      <w:r w:rsidR="004407E3" w:rsidRPr="000A349E">
        <w:rPr>
          <w:rFonts w:eastAsia="Yu Mincho"/>
          <w:lang w:val="en-CA"/>
        </w:rPr>
        <w:t>s</w:t>
      </w:r>
      <w:r w:rsidRPr="000A349E">
        <w:rPr>
          <w:rFonts w:eastAsia="Yu Mincho"/>
          <w:lang w:val="en-CA"/>
        </w:rPr>
        <w:t>pend</w:t>
      </w:r>
      <w:proofErr w:type="gramEnd"/>
      <w:r w:rsidRPr="000A349E">
        <w:rPr>
          <w:rFonts w:eastAsia="Yu Mincho"/>
          <w:lang w:val="en-CA"/>
        </w:rPr>
        <w:t xml:space="preserve">. </w:t>
      </w:r>
      <w:r w:rsidR="009078FE" w:rsidRPr="000A349E">
        <w:rPr>
          <w:rFonts w:eastAsia="Yu Mincho"/>
          <w:lang w:val="en-CA"/>
        </w:rPr>
        <w:t xml:space="preserve">By virtue of its history, </w:t>
      </w:r>
      <w:r w:rsidR="000B0C67" w:rsidRPr="000A349E">
        <w:rPr>
          <w:rFonts w:eastAsia="Yu Mincho"/>
          <w:lang w:val="en-CA"/>
        </w:rPr>
        <w:t>O</w:t>
      </w:r>
      <w:r w:rsidRPr="000A349E">
        <w:rPr>
          <w:rFonts w:eastAsia="Yu Mincho"/>
          <w:lang w:val="en-CA"/>
        </w:rPr>
        <w:t>ECM</w:t>
      </w:r>
      <w:r w:rsidR="000B0C67" w:rsidRPr="000A349E">
        <w:rPr>
          <w:rFonts w:eastAsia="Yu Mincho"/>
          <w:lang w:val="en-CA"/>
        </w:rPr>
        <w:t xml:space="preserve"> already had all school boards, universities</w:t>
      </w:r>
      <w:r w:rsidR="001F46F7" w:rsidRPr="000A349E">
        <w:rPr>
          <w:rFonts w:eastAsia="Yu Mincho"/>
          <w:lang w:val="en-CA"/>
        </w:rPr>
        <w:t>,</w:t>
      </w:r>
      <w:r w:rsidR="000B0C67" w:rsidRPr="000A349E">
        <w:rPr>
          <w:rFonts w:eastAsia="Yu Mincho"/>
          <w:lang w:val="en-CA"/>
        </w:rPr>
        <w:t xml:space="preserve"> and colleges as </w:t>
      </w:r>
      <w:r w:rsidR="001F46F7" w:rsidRPr="000A349E">
        <w:rPr>
          <w:rFonts w:eastAsia="Yu Mincho"/>
          <w:lang w:val="en-CA"/>
        </w:rPr>
        <w:t>c</w:t>
      </w:r>
      <w:r w:rsidR="000B0C67" w:rsidRPr="000A349E">
        <w:rPr>
          <w:rFonts w:eastAsia="Yu Mincho"/>
          <w:lang w:val="en-CA"/>
        </w:rPr>
        <w:t>ustomers</w:t>
      </w:r>
      <w:r w:rsidR="009078FE" w:rsidRPr="000A349E">
        <w:rPr>
          <w:rFonts w:eastAsia="Yu Mincho"/>
          <w:lang w:val="en-CA"/>
        </w:rPr>
        <w:t>, and BPS was still a small part of the business</w:t>
      </w:r>
      <w:r w:rsidR="001F46F7" w:rsidRPr="000A349E">
        <w:rPr>
          <w:rFonts w:eastAsia="Yu Mincho"/>
          <w:lang w:val="en-CA"/>
        </w:rPr>
        <w:t xml:space="preserve">; </w:t>
      </w:r>
      <w:r w:rsidRPr="000A349E">
        <w:rPr>
          <w:rFonts w:eastAsia="Yu Mincho"/>
          <w:lang w:val="en-CA"/>
        </w:rPr>
        <w:t>th</w:t>
      </w:r>
      <w:r w:rsidR="000B0C67" w:rsidRPr="000A349E">
        <w:rPr>
          <w:rFonts w:eastAsia="Yu Mincho"/>
          <w:lang w:val="en-CA"/>
        </w:rPr>
        <w:t>us</w:t>
      </w:r>
      <w:r w:rsidR="001F46F7" w:rsidRPr="000A349E">
        <w:rPr>
          <w:rFonts w:eastAsia="Yu Mincho"/>
          <w:lang w:val="en-CA"/>
        </w:rPr>
        <w:t xml:space="preserve">, </w:t>
      </w:r>
      <w:r w:rsidR="009078FE" w:rsidRPr="000A349E">
        <w:rPr>
          <w:rFonts w:eastAsia="Yu Mincho"/>
          <w:lang w:val="en-CA"/>
        </w:rPr>
        <w:t xml:space="preserve">the principal </w:t>
      </w:r>
      <w:r w:rsidRPr="000A349E">
        <w:rPr>
          <w:rFonts w:eastAsia="Yu Mincho"/>
          <w:lang w:val="en-CA"/>
        </w:rPr>
        <w:t>operating cost</w:t>
      </w:r>
      <w:r w:rsidR="001F46F7" w:rsidRPr="000A349E">
        <w:rPr>
          <w:rFonts w:eastAsia="Yu Mincho"/>
          <w:lang w:val="en-CA"/>
        </w:rPr>
        <w:t>s</w:t>
      </w:r>
      <w:r w:rsidRPr="000A349E">
        <w:rPr>
          <w:rFonts w:eastAsia="Yu Mincho"/>
          <w:lang w:val="en-CA"/>
        </w:rPr>
        <w:t xml:space="preserve"> </w:t>
      </w:r>
      <w:r w:rsidR="00710BD0" w:rsidRPr="000A349E">
        <w:rPr>
          <w:rFonts w:eastAsia="Yu Mincho"/>
          <w:lang w:val="en-CA"/>
        </w:rPr>
        <w:t>related to</w:t>
      </w:r>
      <w:r w:rsidRPr="000A349E">
        <w:rPr>
          <w:rFonts w:eastAsia="Yu Mincho"/>
          <w:lang w:val="en-CA"/>
        </w:rPr>
        <w:t xml:space="preserve"> the procurement process</w:t>
      </w:r>
      <w:r w:rsidR="009078FE" w:rsidRPr="000A349E">
        <w:rPr>
          <w:rFonts w:eastAsia="Yu Mincho"/>
          <w:lang w:val="en-CA"/>
        </w:rPr>
        <w:t xml:space="preserve"> rather than to acquisition of new customers</w:t>
      </w:r>
      <w:r w:rsidRPr="000A349E">
        <w:rPr>
          <w:rFonts w:eastAsia="Yu Mincho"/>
          <w:lang w:val="en-CA"/>
        </w:rPr>
        <w:t xml:space="preserve">. For each procurement completed, an unlimited number of CSAs </w:t>
      </w:r>
      <w:proofErr w:type="gramStart"/>
      <w:r w:rsidRPr="000A349E">
        <w:rPr>
          <w:rFonts w:eastAsia="Yu Mincho"/>
          <w:lang w:val="en-CA"/>
        </w:rPr>
        <w:t>could be issued</w:t>
      </w:r>
      <w:proofErr w:type="gramEnd"/>
      <w:r w:rsidR="00710BD0" w:rsidRPr="000A349E">
        <w:rPr>
          <w:rFonts w:eastAsia="Yu Mincho"/>
          <w:lang w:val="en-CA"/>
        </w:rPr>
        <w:t xml:space="preserve">, depending </w:t>
      </w:r>
      <w:r w:rsidR="000A349E" w:rsidRPr="000A349E">
        <w:rPr>
          <w:rFonts w:eastAsia="Yu Mincho"/>
          <w:lang w:val="en-CA"/>
        </w:rPr>
        <w:t>on customer</w:t>
      </w:r>
      <w:r w:rsidRPr="000A349E">
        <w:rPr>
          <w:rFonts w:eastAsia="Yu Mincho"/>
          <w:lang w:val="en-CA"/>
        </w:rPr>
        <w:t xml:space="preserve"> demand, </w:t>
      </w:r>
      <w:r w:rsidR="00710BD0" w:rsidRPr="000A349E">
        <w:rPr>
          <w:rFonts w:eastAsia="Yu Mincho"/>
          <w:lang w:val="en-CA"/>
        </w:rPr>
        <w:t xml:space="preserve">and </w:t>
      </w:r>
      <w:r w:rsidRPr="000A349E">
        <w:rPr>
          <w:rFonts w:eastAsia="Yu Mincho"/>
          <w:lang w:val="en-CA"/>
        </w:rPr>
        <w:t xml:space="preserve">each one </w:t>
      </w:r>
      <w:r w:rsidR="00710BD0" w:rsidRPr="000A349E">
        <w:rPr>
          <w:rFonts w:eastAsia="Yu Mincho"/>
          <w:lang w:val="en-CA"/>
        </w:rPr>
        <w:t xml:space="preserve">could </w:t>
      </w:r>
      <w:r w:rsidRPr="000A349E">
        <w:rPr>
          <w:rFonts w:eastAsia="Yu Mincho"/>
          <w:lang w:val="en-CA"/>
        </w:rPr>
        <w:t xml:space="preserve">potentially </w:t>
      </w:r>
      <w:r w:rsidR="00710BD0" w:rsidRPr="000A349E">
        <w:rPr>
          <w:rFonts w:eastAsia="Yu Mincho"/>
          <w:lang w:val="en-CA"/>
        </w:rPr>
        <w:t xml:space="preserve">increase </w:t>
      </w:r>
      <w:r w:rsidRPr="000A349E">
        <w:rPr>
          <w:rFonts w:eastAsia="Yu Mincho"/>
          <w:lang w:val="en-CA"/>
        </w:rPr>
        <w:t>OECM’s revenue</w:t>
      </w:r>
      <w:r w:rsidR="004A209A" w:rsidRPr="000A349E">
        <w:rPr>
          <w:rFonts w:eastAsia="Yu Mincho"/>
          <w:lang w:val="en-CA"/>
        </w:rPr>
        <w:t>.</w:t>
      </w:r>
    </w:p>
    <w:p w14:paraId="1F459F87" w14:textId="5DB2EEE6" w:rsidR="00B02D49" w:rsidRPr="000A349E" w:rsidRDefault="00B02D49" w:rsidP="00B02D49">
      <w:pPr>
        <w:pStyle w:val="BodyTextMain"/>
        <w:rPr>
          <w:rFonts w:eastAsia="Yu Mincho"/>
          <w:lang w:val="en-CA"/>
        </w:rPr>
      </w:pPr>
      <w:proofErr w:type="gramStart"/>
      <w:r w:rsidRPr="000A349E">
        <w:rPr>
          <w:rFonts w:eastAsia="Yu Mincho"/>
          <w:lang w:val="en-CA"/>
        </w:rPr>
        <w:lastRenderedPageBreak/>
        <w:t>OECM’s</w:t>
      </w:r>
      <w:proofErr w:type="gramEnd"/>
      <w:r w:rsidRPr="000A349E">
        <w:rPr>
          <w:rFonts w:eastAsia="Yu Mincho"/>
          <w:lang w:val="en-CA"/>
        </w:rPr>
        <w:t xml:space="preserve"> cost </w:t>
      </w:r>
      <w:r w:rsidR="00710BD0" w:rsidRPr="000A349E">
        <w:rPr>
          <w:rFonts w:eastAsia="Yu Mincho"/>
          <w:lang w:val="en-CA"/>
        </w:rPr>
        <w:t xml:space="preserve">for </w:t>
      </w:r>
      <w:r w:rsidRPr="000A349E">
        <w:rPr>
          <w:rFonts w:eastAsia="Yu Mincho"/>
          <w:lang w:val="en-CA"/>
        </w:rPr>
        <w:t>CSA acquisition was $6,170 per CSA for 2017 (</w:t>
      </w:r>
      <w:r w:rsidR="007E3BBF" w:rsidRPr="000A349E">
        <w:rPr>
          <w:rFonts w:eastAsia="Yu Mincho"/>
          <w:lang w:val="en-CA"/>
        </w:rPr>
        <w:t xml:space="preserve">see </w:t>
      </w:r>
      <w:r w:rsidRPr="000A349E">
        <w:rPr>
          <w:rFonts w:eastAsia="Yu Mincho"/>
          <w:lang w:val="en-CA"/>
        </w:rPr>
        <w:t xml:space="preserve">Exhibit </w:t>
      </w:r>
      <w:r w:rsidR="007E3BBF" w:rsidRPr="000A349E">
        <w:rPr>
          <w:rFonts w:eastAsia="Yu Mincho"/>
          <w:lang w:val="en-CA"/>
        </w:rPr>
        <w:t>3</w:t>
      </w:r>
      <w:r w:rsidRPr="000A349E">
        <w:rPr>
          <w:rFonts w:eastAsia="Yu Mincho"/>
          <w:lang w:val="en-CA"/>
        </w:rPr>
        <w:t xml:space="preserve">). </w:t>
      </w:r>
      <w:r w:rsidR="00584C90" w:rsidRPr="000A349E">
        <w:rPr>
          <w:rFonts w:eastAsia="Yu Mincho"/>
          <w:lang w:val="en-CA"/>
        </w:rPr>
        <w:t>The organization had considered a</w:t>
      </w:r>
      <w:r w:rsidRPr="000A349E">
        <w:rPr>
          <w:rFonts w:eastAsia="Yu Mincho"/>
          <w:lang w:val="en-CA"/>
        </w:rPr>
        <w:t xml:space="preserve"> trade</w:t>
      </w:r>
      <w:r w:rsidR="00710BD0" w:rsidRPr="000A349E">
        <w:rPr>
          <w:rFonts w:eastAsia="Yu Mincho"/>
          <w:lang w:val="en-CA"/>
        </w:rPr>
        <w:t>-</w:t>
      </w:r>
      <w:r w:rsidRPr="000A349E">
        <w:rPr>
          <w:rFonts w:eastAsia="Yu Mincho"/>
          <w:lang w:val="en-CA"/>
        </w:rPr>
        <w:t>off between depth and breadth of CSAs</w:t>
      </w:r>
      <w:r w:rsidR="000A349E" w:rsidRPr="000A349E">
        <w:rPr>
          <w:rFonts w:eastAsia="Yu Mincho"/>
          <w:lang w:val="en-CA"/>
        </w:rPr>
        <w:t>, which</w:t>
      </w:r>
      <w:r w:rsidR="00584C90" w:rsidRPr="000A349E">
        <w:rPr>
          <w:rFonts w:eastAsia="Yu Mincho"/>
          <w:lang w:val="en-CA"/>
        </w:rPr>
        <w:t xml:space="preserve"> would require it to convert its</w:t>
      </w:r>
      <w:r w:rsidRPr="000A349E">
        <w:rPr>
          <w:rFonts w:eastAsia="Yu Mincho"/>
          <w:lang w:val="en-CA"/>
        </w:rPr>
        <w:t xml:space="preserve"> </w:t>
      </w:r>
      <w:r w:rsidR="00584C90" w:rsidRPr="000A349E">
        <w:rPr>
          <w:rFonts w:eastAsia="Yu Mincho"/>
          <w:lang w:val="en-CA"/>
        </w:rPr>
        <w:t>m</w:t>
      </w:r>
      <w:r w:rsidRPr="000A349E">
        <w:rPr>
          <w:rFonts w:eastAsia="Yu Mincho"/>
          <w:lang w:val="en-CA"/>
        </w:rPr>
        <w:t xml:space="preserve">inimum </w:t>
      </w:r>
      <w:r w:rsidR="00584C90" w:rsidRPr="000A349E">
        <w:rPr>
          <w:rFonts w:eastAsia="Yu Mincho"/>
          <w:lang w:val="en-CA"/>
        </w:rPr>
        <w:t>s</w:t>
      </w:r>
      <w:r w:rsidRPr="000A349E">
        <w:rPr>
          <w:rFonts w:eastAsia="Yu Mincho"/>
          <w:lang w:val="en-CA"/>
        </w:rPr>
        <w:t xml:space="preserve">uccess </w:t>
      </w:r>
      <w:r w:rsidR="00584C90" w:rsidRPr="000A349E">
        <w:rPr>
          <w:rFonts w:eastAsia="Yu Mincho"/>
          <w:lang w:val="en-CA"/>
        </w:rPr>
        <w:t>c</w:t>
      </w:r>
      <w:r w:rsidRPr="000A349E">
        <w:rPr>
          <w:rFonts w:eastAsia="Yu Mincho"/>
          <w:lang w:val="en-CA"/>
        </w:rPr>
        <w:t xml:space="preserve">riteria (MSC) metric from </w:t>
      </w:r>
      <w:r w:rsidR="00584C90" w:rsidRPr="000A349E">
        <w:rPr>
          <w:rFonts w:eastAsia="Yu Mincho"/>
          <w:lang w:val="en-CA"/>
        </w:rPr>
        <w:t xml:space="preserve">spend </w:t>
      </w:r>
      <w:r w:rsidRPr="000A349E">
        <w:rPr>
          <w:rFonts w:eastAsia="Yu Mincho"/>
          <w:lang w:val="en-CA"/>
        </w:rPr>
        <w:t>to surplus</w:t>
      </w:r>
      <w:r w:rsidR="00584C90" w:rsidRPr="000A349E">
        <w:rPr>
          <w:rFonts w:eastAsia="Yu Mincho"/>
          <w:lang w:val="en-CA"/>
        </w:rPr>
        <w:t xml:space="preserve"> </w:t>
      </w:r>
      <w:r w:rsidR="00351E42" w:rsidRPr="000A349E">
        <w:rPr>
          <w:rFonts w:eastAsia="Yu Mincho"/>
          <w:lang w:val="en-CA"/>
        </w:rPr>
        <w:t>or</w:t>
      </w:r>
      <w:r w:rsidR="00584C90" w:rsidRPr="000A349E">
        <w:rPr>
          <w:rFonts w:eastAsia="Yu Mincho"/>
          <w:lang w:val="en-CA"/>
        </w:rPr>
        <w:t xml:space="preserve"> </w:t>
      </w:r>
      <w:r w:rsidRPr="000A349E">
        <w:rPr>
          <w:rFonts w:eastAsia="Yu Mincho"/>
          <w:lang w:val="en-CA"/>
        </w:rPr>
        <w:t>deficit (</w:t>
      </w:r>
      <w:r w:rsidR="007E3BBF" w:rsidRPr="000A349E">
        <w:rPr>
          <w:rFonts w:eastAsia="Yu Mincho"/>
          <w:lang w:val="en-CA"/>
        </w:rPr>
        <w:t xml:space="preserve">see </w:t>
      </w:r>
      <w:r w:rsidRPr="000A349E">
        <w:rPr>
          <w:rFonts w:eastAsia="Yu Mincho"/>
          <w:lang w:val="en-CA"/>
        </w:rPr>
        <w:t>Exhibit 3). OECM could focus on generating more CSAs by sourcing additional categories of goods and services</w:t>
      </w:r>
      <w:r w:rsidR="00584C90" w:rsidRPr="000A349E">
        <w:rPr>
          <w:rFonts w:eastAsia="Yu Mincho"/>
          <w:lang w:val="en-CA"/>
        </w:rPr>
        <w:t>, which would increase the cost of customer acquisition as it incurred additional sourcing expenses. It could also</w:t>
      </w:r>
      <w:r w:rsidRPr="000A349E">
        <w:rPr>
          <w:rFonts w:eastAsia="Yu Mincho"/>
          <w:lang w:val="en-CA"/>
        </w:rPr>
        <w:t xml:space="preserve"> grow </w:t>
      </w:r>
      <w:proofErr w:type="gramStart"/>
      <w:r w:rsidR="00584C90" w:rsidRPr="000A349E">
        <w:rPr>
          <w:rFonts w:eastAsia="Yu Mincho"/>
          <w:lang w:val="en-CA"/>
        </w:rPr>
        <w:t xml:space="preserve">the </w:t>
      </w:r>
      <w:r w:rsidRPr="000A349E">
        <w:rPr>
          <w:rFonts w:eastAsia="Yu Mincho"/>
          <w:lang w:val="en-CA"/>
        </w:rPr>
        <w:t>spend</w:t>
      </w:r>
      <w:proofErr w:type="gramEnd"/>
      <w:r w:rsidRPr="000A349E">
        <w:rPr>
          <w:rFonts w:eastAsia="Yu Mincho"/>
          <w:lang w:val="en-CA"/>
        </w:rPr>
        <w:t xml:space="preserve"> within each CSA</w:t>
      </w:r>
      <w:r w:rsidR="00584C90" w:rsidRPr="000A349E">
        <w:rPr>
          <w:rFonts w:eastAsia="Yu Mincho"/>
          <w:lang w:val="en-CA"/>
        </w:rPr>
        <w:t>.</w:t>
      </w:r>
      <w:r w:rsidRPr="000A349E">
        <w:rPr>
          <w:rFonts w:eastAsia="Yu Mincho"/>
          <w:lang w:val="en-CA"/>
        </w:rPr>
        <w:t xml:space="preserve"> </w:t>
      </w:r>
      <w:r w:rsidR="00584C90" w:rsidRPr="000A349E">
        <w:rPr>
          <w:rFonts w:eastAsia="Yu Mincho"/>
          <w:lang w:val="en-CA"/>
        </w:rPr>
        <w:t xml:space="preserve">Ideally, it would do </w:t>
      </w:r>
      <w:r w:rsidRPr="000A349E">
        <w:rPr>
          <w:rFonts w:eastAsia="Yu Mincho"/>
          <w:lang w:val="en-CA"/>
        </w:rPr>
        <w:t xml:space="preserve">a little of both simultaneously. </w:t>
      </w:r>
      <w:bookmarkStart w:id="9" w:name="_Hlk510428938"/>
      <w:bookmarkEnd w:id="2"/>
    </w:p>
    <w:p w14:paraId="4D05CF57" w14:textId="77777777" w:rsidR="00B02D49" w:rsidRPr="000A349E" w:rsidRDefault="00B02D49" w:rsidP="00B02D49">
      <w:pPr>
        <w:pStyle w:val="BodyTextMain"/>
        <w:rPr>
          <w:rFonts w:eastAsia="Yu Mincho"/>
          <w:sz w:val="18"/>
          <w:szCs w:val="18"/>
          <w:lang w:val="en-CA"/>
        </w:rPr>
      </w:pPr>
      <w:bookmarkStart w:id="10" w:name="_Hlk510428945"/>
      <w:bookmarkEnd w:id="9"/>
    </w:p>
    <w:p w14:paraId="72F01984" w14:textId="663061CE" w:rsidR="00B02D49" w:rsidRPr="000A349E" w:rsidRDefault="00B02D49" w:rsidP="00B02D49">
      <w:pPr>
        <w:pStyle w:val="BodyTextMain"/>
        <w:rPr>
          <w:rFonts w:eastAsia="Yu Mincho"/>
          <w:b/>
          <w:lang w:val="en-CA"/>
        </w:rPr>
      </w:pPr>
      <w:r w:rsidRPr="000A349E">
        <w:rPr>
          <w:rFonts w:eastAsia="Yu Mincho"/>
          <w:lang w:val="en-CA"/>
        </w:rPr>
        <w:t xml:space="preserve">The education sector </w:t>
      </w:r>
      <w:r w:rsidR="000A0F64" w:rsidRPr="000A349E">
        <w:rPr>
          <w:rFonts w:eastAsia="Yu Mincho"/>
          <w:lang w:val="en-CA"/>
        </w:rPr>
        <w:t xml:space="preserve">perceived </w:t>
      </w:r>
      <w:r w:rsidRPr="000A349E">
        <w:rPr>
          <w:rFonts w:eastAsia="Yu Mincho"/>
          <w:lang w:val="en-CA"/>
        </w:rPr>
        <w:t xml:space="preserve">OECM </w:t>
      </w:r>
      <w:r w:rsidR="000A0F64" w:rsidRPr="000A349E">
        <w:rPr>
          <w:rFonts w:eastAsia="Yu Mincho"/>
          <w:lang w:val="en-CA"/>
        </w:rPr>
        <w:t xml:space="preserve">to be </w:t>
      </w:r>
      <w:r w:rsidRPr="000A349E">
        <w:rPr>
          <w:rFonts w:eastAsia="Yu Mincho"/>
          <w:lang w:val="en-CA"/>
        </w:rPr>
        <w:t xml:space="preserve">operating for the public good by optimizing </w:t>
      </w:r>
      <w:r w:rsidR="000A0F64" w:rsidRPr="000A349E">
        <w:rPr>
          <w:rFonts w:eastAsia="Yu Mincho"/>
          <w:lang w:val="en-CA"/>
        </w:rPr>
        <w:t xml:space="preserve">the </w:t>
      </w:r>
      <w:r w:rsidRPr="000A349E">
        <w:rPr>
          <w:rFonts w:eastAsia="Yu Mincho"/>
          <w:lang w:val="en-CA"/>
        </w:rPr>
        <w:t xml:space="preserve">spending of precious taxpayer dollars, </w:t>
      </w:r>
      <w:r w:rsidR="000A0F64" w:rsidRPr="000A349E">
        <w:rPr>
          <w:rFonts w:eastAsia="Yu Mincho"/>
          <w:lang w:val="en-CA"/>
        </w:rPr>
        <w:t>rather than as</w:t>
      </w:r>
      <w:r w:rsidR="0049188F" w:rsidRPr="000A349E">
        <w:rPr>
          <w:rFonts w:eastAsia="Yu Mincho"/>
          <w:lang w:val="en-CA"/>
        </w:rPr>
        <w:t xml:space="preserve"> a</w:t>
      </w:r>
      <w:r w:rsidRPr="000A349E">
        <w:rPr>
          <w:rFonts w:eastAsia="Yu Mincho"/>
          <w:lang w:val="en-CA"/>
        </w:rPr>
        <w:t xml:space="preserve"> </w:t>
      </w:r>
      <w:r w:rsidR="000A0F64" w:rsidRPr="000A349E">
        <w:rPr>
          <w:rFonts w:eastAsia="Yu Mincho"/>
          <w:lang w:val="en-CA"/>
        </w:rPr>
        <w:t>private-</w:t>
      </w:r>
      <w:r w:rsidR="00456600" w:rsidRPr="000A349E">
        <w:rPr>
          <w:rFonts w:eastAsia="Yu Mincho"/>
          <w:lang w:val="en-CA"/>
        </w:rPr>
        <w:t xml:space="preserve">sector </w:t>
      </w:r>
      <w:r w:rsidRPr="000A349E">
        <w:rPr>
          <w:rFonts w:eastAsia="Yu Mincho"/>
          <w:lang w:val="en-CA"/>
        </w:rPr>
        <w:t xml:space="preserve">wealth maximizer </w:t>
      </w:r>
      <w:r w:rsidR="00456600" w:rsidRPr="000A349E">
        <w:rPr>
          <w:rFonts w:eastAsia="Yu Mincho"/>
          <w:lang w:val="en-CA"/>
        </w:rPr>
        <w:t>oriented to</w:t>
      </w:r>
      <w:r w:rsidRPr="000A349E">
        <w:rPr>
          <w:rFonts w:eastAsia="Yu Mincho"/>
          <w:lang w:val="en-CA"/>
        </w:rPr>
        <w:t xml:space="preserve"> shareholders. Thus, OECM’s </w:t>
      </w:r>
      <w:r w:rsidR="00F94CD7" w:rsidRPr="000A349E">
        <w:rPr>
          <w:rFonts w:eastAsia="Yu Mincho"/>
          <w:lang w:val="en-CA"/>
        </w:rPr>
        <w:t>tax</w:t>
      </w:r>
      <w:r w:rsidRPr="000A349E">
        <w:rPr>
          <w:rFonts w:eastAsia="Yu Mincho"/>
          <w:lang w:val="en-CA"/>
        </w:rPr>
        <w:t xml:space="preserve"> status encouraged collaboration in the public sector and increased participation in the OECM marketplace. OECM was pushing for high growth, a goal typically associated with private, profit-driven organizations. The growth served four purposes</w:t>
      </w:r>
      <w:r w:rsidR="000A0F64" w:rsidRPr="000A349E">
        <w:rPr>
          <w:rFonts w:eastAsia="Yu Mincho"/>
          <w:lang w:val="en-CA"/>
        </w:rPr>
        <w:t>: First</w:t>
      </w:r>
      <w:r w:rsidRPr="000A349E">
        <w:rPr>
          <w:rFonts w:eastAsia="Yu Mincho"/>
          <w:lang w:val="en-CA"/>
        </w:rPr>
        <w:t xml:space="preserve">, </w:t>
      </w:r>
      <w:r w:rsidR="000A0F64" w:rsidRPr="000A349E">
        <w:rPr>
          <w:rFonts w:eastAsia="Yu Mincho"/>
          <w:lang w:val="en-CA"/>
        </w:rPr>
        <w:t xml:space="preserve">it enabled </w:t>
      </w:r>
      <w:r w:rsidRPr="000A349E">
        <w:rPr>
          <w:rFonts w:eastAsia="Yu Mincho"/>
          <w:lang w:val="en-CA"/>
        </w:rPr>
        <w:t xml:space="preserve">the public sector to take advantage of </w:t>
      </w:r>
      <w:r w:rsidR="000A0F64" w:rsidRPr="000A349E">
        <w:rPr>
          <w:rFonts w:eastAsia="Yu Mincho"/>
          <w:lang w:val="en-CA"/>
        </w:rPr>
        <w:t>lower-</w:t>
      </w:r>
      <w:r w:rsidRPr="000A349E">
        <w:rPr>
          <w:rFonts w:eastAsia="Yu Mincho"/>
          <w:lang w:val="en-CA"/>
        </w:rPr>
        <w:t xml:space="preserve">priced goods </w:t>
      </w:r>
      <w:proofErr w:type="gramStart"/>
      <w:r w:rsidRPr="000A349E">
        <w:rPr>
          <w:rFonts w:eastAsia="Yu Mincho"/>
          <w:lang w:val="en-CA"/>
        </w:rPr>
        <w:t>as a result</w:t>
      </w:r>
      <w:proofErr w:type="gramEnd"/>
      <w:r w:rsidRPr="000A349E">
        <w:rPr>
          <w:rFonts w:eastAsia="Yu Mincho"/>
          <w:lang w:val="en-CA"/>
        </w:rPr>
        <w:t xml:space="preserve"> of </w:t>
      </w:r>
      <w:r w:rsidR="000A0F64" w:rsidRPr="000A349E">
        <w:rPr>
          <w:rFonts w:eastAsia="Yu Mincho"/>
          <w:lang w:val="en-CA"/>
        </w:rPr>
        <w:t>c</w:t>
      </w:r>
      <w:r w:rsidRPr="000A349E">
        <w:rPr>
          <w:rFonts w:eastAsia="Yu Mincho"/>
          <w:lang w:val="en-CA"/>
        </w:rPr>
        <w:t xml:space="preserve">ustomer mass purchases, </w:t>
      </w:r>
      <w:r w:rsidR="000A0F64" w:rsidRPr="000A349E">
        <w:rPr>
          <w:rFonts w:eastAsia="Yu Mincho"/>
          <w:lang w:val="en-CA"/>
        </w:rPr>
        <w:t xml:space="preserve">which created </w:t>
      </w:r>
      <w:r w:rsidRPr="000A349E">
        <w:rPr>
          <w:rFonts w:eastAsia="Yu Mincho"/>
          <w:lang w:val="en-CA"/>
        </w:rPr>
        <w:t xml:space="preserve">efficiencies and </w:t>
      </w:r>
      <w:r w:rsidR="000A0F64" w:rsidRPr="000A349E">
        <w:rPr>
          <w:rFonts w:eastAsia="Yu Mincho"/>
          <w:lang w:val="en-CA"/>
        </w:rPr>
        <w:t xml:space="preserve">saved </w:t>
      </w:r>
      <w:r w:rsidRPr="000A349E">
        <w:rPr>
          <w:rFonts w:eastAsia="Yu Mincho"/>
          <w:lang w:val="en-CA"/>
        </w:rPr>
        <w:t>taxpayer dollars. Second</w:t>
      </w:r>
      <w:r w:rsidR="000A0F64" w:rsidRPr="000A349E">
        <w:rPr>
          <w:rFonts w:eastAsia="Yu Mincho"/>
          <w:lang w:val="en-CA"/>
        </w:rPr>
        <w:t>,</w:t>
      </w:r>
      <w:r w:rsidRPr="000A349E">
        <w:rPr>
          <w:rFonts w:eastAsia="Yu Mincho"/>
          <w:lang w:val="en-CA"/>
        </w:rPr>
        <w:t xml:space="preserve"> OECM spread the fixed cost of procurement across </w:t>
      </w:r>
      <w:r w:rsidR="000A0F64" w:rsidRPr="000A349E">
        <w:rPr>
          <w:rFonts w:eastAsia="Yu Mincho"/>
          <w:lang w:val="en-CA"/>
        </w:rPr>
        <w:t xml:space="preserve">a </w:t>
      </w:r>
      <w:r w:rsidRPr="000A349E">
        <w:rPr>
          <w:rFonts w:eastAsia="Yu Mincho"/>
          <w:lang w:val="en-CA"/>
        </w:rPr>
        <w:t xml:space="preserve">larger </w:t>
      </w:r>
      <w:r w:rsidR="000A0F64" w:rsidRPr="000A349E">
        <w:rPr>
          <w:rFonts w:eastAsia="Yu Mincho"/>
          <w:lang w:val="en-CA"/>
        </w:rPr>
        <w:t>s</w:t>
      </w:r>
      <w:r w:rsidRPr="000A349E">
        <w:rPr>
          <w:rFonts w:eastAsia="Yu Mincho"/>
          <w:lang w:val="en-CA"/>
        </w:rPr>
        <w:t xml:space="preserve">pend. Third, OECM was able to </w:t>
      </w:r>
      <w:r w:rsidR="0049188F" w:rsidRPr="000A349E">
        <w:rPr>
          <w:rFonts w:eastAsia="Yu Mincho"/>
          <w:lang w:val="en-CA"/>
        </w:rPr>
        <w:t xml:space="preserve">increase efficiencies by </w:t>
      </w:r>
      <w:r w:rsidRPr="000A349E">
        <w:rPr>
          <w:rFonts w:eastAsia="Yu Mincho"/>
          <w:lang w:val="en-CA"/>
        </w:rPr>
        <w:t>reinvest</w:t>
      </w:r>
      <w:r w:rsidR="0049188F" w:rsidRPr="000A349E">
        <w:rPr>
          <w:rFonts w:eastAsia="Yu Mincho"/>
          <w:lang w:val="en-CA"/>
        </w:rPr>
        <w:t>ing</w:t>
      </w:r>
      <w:r w:rsidRPr="000A349E">
        <w:rPr>
          <w:rFonts w:eastAsia="Yu Mincho"/>
          <w:lang w:val="en-CA"/>
        </w:rPr>
        <w:t xml:space="preserve"> the funds into the organization</w:t>
      </w:r>
      <w:r w:rsidR="0049188F" w:rsidRPr="000A349E">
        <w:rPr>
          <w:rFonts w:eastAsia="Yu Mincho"/>
          <w:lang w:val="en-CA"/>
        </w:rPr>
        <w:t>, for example, by adopting</w:t>
      </w:r>
      <w:r w:rsidRPr="000A349E">
        <w:rPr>
          <w:rFonts w:eastAsia="Yu Mincho"/>
          <w:lang w:val="en-CA"/>
        </w:rPr>
        <w:t xml:space="preserve"> new technology, obtain</w:t>
      </w:r>
      <w:r w:rsidR="0049188F" w:rsidRPr="000A349E">
        <w:rPr>
          <w:rFonts w:eastAsia="Yu Mincho"/>
          <w:lang w:val="en-CA"/>
        </w:rPr>
        <w:t>ing</w:t>
      </w:r>
      <w:r w:rsidRPr="000A349E">
        <w:rPr>
          <w:rFonts w:eastAsia="Yu Mincho"/>
          <w:lang w:val="en-CA"/>
        </w:rPr>
        <w:t xml:space="preserve"> the best employees, and expand</w:t>
      </w:r>
      <w:r w:rsidR="0049188F" w:rsidRPr="000A349E">
        <w:rPr>
          <w:rFonts w:eastAsia="Yu Mincho"/>
          <w:lang w:val="en-CA"/>
        </w:rPr>
        <w:t>ing</w:t>
      </w:r>
      <w:r w:rsidRPr="000A349E">
        <w:rPr>
          <w:rFonts w:eastAsia="Yu Mincho"/>
          <w:lang w:val="en-CA"/>
        </w:rPr>
        <w:t>.</w:t>
      </w:r>
      <w:bookmarkEnd w:id="10"/>
      <w:r w:rsidRPr="000A349E">
        <w:rPr>
          <w:rFonts w:eastAsia="Yu Mincho"/>
          <w:lang w:val="en-CA"/>
        </w:rPr>
        <w:t xml:space="preserve"> Finally, </w:t>
      </w:r>
      <w:r w:rsidR="0049188F" w:rsidRPr="000A349E">
        <w:rPr>
          <w:rFonts w:eastAsia="Yu Mincho"/>
          <w:lang w:val="en-CA"/>
        </w:rPr>
        <w:t xml:space="preserve">there was a potential for </w:t>
      </w:r>
      <w:r w:rsidRPr="000A349E">
        <w:rPr>
          <w:rFonts w:eastAsia="Yu Mincho"/>
          <w:lang w:val="en-CA"/>
        </w:rPr>
        <w:t xml:space="preserve">OECM </w:t>
      </w:r>
      <w:r w:rsidR="0049188F" w:rsidRPr="000A349E">
        <w:rPr>
          <w:rFonts w:eastAsia="Yu Mincho"/>
          <w:lang w:val="en-CA"/>
        </w:rPr>
        <w:t>to</w:t>
      </w:r>
      <w:r w:rsidRPr="000A349E">
        <w:rPr>
          <w:rFonts w:eastAsia="Yu Mincho"/>
          <w:lang w:val="en-CA"/>
        </w:rPr>
        <w:t xml:space="preserve"> issue dividends or refunds </w:t>
      </w:r>
      <w:r w:rsidR="0049188F" w:rsidRPr="000A349E">
        <w:rPr>
          <w:rFonts w:eastAsia="Yu Mincho"/>
          <w:lang w:val="en-CA"/>
        </w:rPr>
        <w:t xml:space="preserve">of </w:t>
      </w:r>
      <w:r w:rsidRPr="000A349E">
        <w:rPr>
          <w:rFonts w:eastAsia="Yu Mincho"/>
          <w:lang w:val="en-CA"/>
        </w:rPr>
        <w:t xml:space="preserve">some form to its education sector </w:t>
      </w:r>
      <w:r w:rsidR="0049188F" w:rsidRPr="000A349E">
        <w:rPr>
          <w:rFonts w:eastAsia="Yu Mincho"/>
          <w:lang w:val="en-CA"/>
        </w:rPr>
        <w:t>c</w:t>
      </w:r>
      <w:r w:rsidRPr="000A349E">
        <w:rPr>
          <w:rFonts w:eastAsia="Yu Mincho"/>
          <w:lang w:val="en-CA"/>
        </w:rPr>
        <w:t>ustomers</w:t>
      </w:r>
      <w:r w:rsidR="0049188F" w:rsidRPr="000A349E">
        <w:rPr>
          <w:rFonts w:eastAsia="Yu Mincho"/>
          <w:lang w:val="en-CA"/>
        </w:rPr>
        <w:t>, subject to tax rules</w:t>
      </w:r>
      <w:r w:rsidRPr="000A349E">
        <w:rPr>
          <w:rFonts w:eastAsia="Yu Mincho"/>
          <w:lang w:val="en-CA"/>
        </w:rPr>
        <w:t xml:space="preserve">. </w:t>
      </w:r>
    </w:p>
    <w:p w14:paraId="000FBFCA" w14:textId="77777777" w:rsidR="00B02D49" w:rsidRPr="000A349E" w:rsidRDefault="00B02D49" w:rsidP="00B02D49">
      <w:pPr>
        <w:pStyle w:val="BodyTextMain"/>
        <w:rPr>
          <w:sz w:val="18"/>
          <w:szCs w:val="18"/>
          <w:lang w:val="en-CA"/>
        </w:rPr>
      </w:pPr>
      <w:bookmarkStart w:id="11" w:name="_Hlk510432631"/>
      <w:bookmarkStart w:id="12" w:name="_Hlk510432636"/>
    </w:p>
    <w:p w14:paraId="2C82D8BB" w14:textId="77777777" w:rsidR="00B02D49" w:rsidRPr="000A349E" w:rsidRDefault="00B02D49" w:rsidP="00B02D49">
      <w:pPr>
        <w:pStyle w:val="BodyTextMain"/>
        <w:rPr>
          <w:sz w:val="18"/>
          <w:szCs w:val="18"/>
          <w:lang w:val="en-CA"/>
        </w:rPr>
      </w:pPr>
    </w:p>
    <w:bookmarkEnd w:id="11"/>
    <w:p w14:paraId="773D4BF9" w14:textId="12AC23A1" w:rsidR="00B02D49" w:rsidRPr="000A349E" w:rsidRDefault="006F76AD" w:rsidP="00B02D49">
      <w:pPr>
        <w:pStyle w:val="Casehead1"/>
        <w:rPr>
          <w:rFonts w:eastAsia="Yu Gothic Light"/>
          <w:lang w:val="en-CA"/>
        </w:rPr>
      </w:pPr>
      <w:r w:rsidRPr="000A349E">
        <w:rPr>
          <w:rFonts w:eastAsia="Yu Gothic Light"/>
          <w:lang w:val="en-CA"/>
        </w:rPr>
        <w:t>Value, market, and strategy considerations</w:t>
      </w:r>
    </w:p>
    <w:p w14:paraId="32C136A8" w14:textId="77777777" w:rsidR="00B02D49" w:rsidRPr="000A349E" w:rsidRDefault="00B02D49" w:rsidP="00B02D49">
      <w:pPr>
        <w:pStyle w:val="BodyTextMain"/>
        <w:rPr>
          <w:rFonts w:eastAsia="Yu Gothic Light"/>
          <w:sz w:val="18"/>
          <w:szCs w:val="18"/>
          <w:lang w:val="en-CA"/>
        </w:rPr>
      </w:pPr>
    </w:p>
    <w:bookmarkEnd w:id="12"/>
    <w:p w14:paraId="05987404" w14:textId="44DDD117" w:rsidR="00B02D49" w:rsidRPr="000A349E" w:rsidRDefault="00B02D49" w:rsidP="00B02D49">
      <w:pPr>
        <w:pStyle w:val="BodyTextMain"/>
        <w:rPr>
          <w:rFonts w:eastAsia="Yu Mincho"/>
          <w:lang w:val="en-CA"/>
        </w:rPr>
      </w:pPr>
      <w:r w:rsidRPr="000A349E">
        <w:rPr>
          <w:rFonts w:eastAsia="Yu Mincho"/>
          <w:lang w:val="en-CA"/>
        </w:rPr>
        <w:t>Unlike the private sector, the public sector did not think solely in terms of profits. This often resulted in seemingly irrational behavio</w:t>
      </w:r>
      <w:r w:rsidR="006F76AD" w:rsidRPr="000A349E">
        <w:rPr>
          <w:rFonts w:eastAsia="Yu Mincho"/>
          <w:lang w:val="en-CA"/>
        </w:rPr>
        <w:t>u</w:t>
      </w:r>
      <w:r w:rsidRPr="000A349E">
        <w:rPr>
          <w:rFonts w:eastAsia="Yu Mincho"/>
          <w:lang w:val="en-CA"/>
        </w:rPr>
        <w:t>r. Some procurement professionals in public-sector organizations felt threatened by OECM</w:t>
      </w:r>
      <w:r w:rsidR="0049188F" w:rsidRPr="000A349E">
        <w:rPr>
          <w:rFonts w:eastAsia="Yu Mincho"/>
          <w:lang w:val="en-CA"/>
        </w:rPr>
        <w:t xml:space="preserve"> and feared </w:t>
      </w:r>
      <w:r w:rsidRPr="000A349E">
        <w:rPr>
          <w:rFonts w:eastAsia="Yu Mincho"/>
          <w:lang w:val="en-CA"/>
        </w:rPr>
        <w:t>for their jobs</w:t>
      </w:r>
      <w:r w:rsidR="009D579C" w:rsidRPr="000A349E">
        <w:rPr>
          <w:rFonts w:eastAsia="Yu Mincho"/>
          <w:lang w:val="en-CA"/>
        </w:rPr>
        <w:t xml:space="preserve">, and </w:t>
      </w:r>
      <w:r w:rsidR="0049188F" w:rsidRPr="000A349E">
        <w:rPr>
          <w:rFonts w:eastAsia="Yu Mincho"/>
          <w:lang w:val="en-CA"/>
        </w:rPr>
        <w:t xml:space="preserve">this led them to </w:t>
      </w:r>
      <w:r w:rsidRPr="000A349E">
        <w:rPr>
          <w:rFonts w:eastAsia="Yu Mincho"/>
          <w:lang w:val="en-CA"/>
        </w:rPr>
        <w:t xml:space="preserve">resist availing themselves of OECM’s cost and administrative advantages. OECM had taken several steps to combat this issue: </w:t>
      </w:r>
      <w:r w:rsidR="009D579C" w:rsidRPr="000A349E">
        <w:rPr>
          <w:rFonts w:eastAsia="Yu Mincho"/>
          <w:lang w:val="en-CA"/>
        </w:rPr>
        <w:t xml:space="preserve">engaging in </w:t>
      </w:r>
      <w:r w:rsidRPr="000A349E">
        <w:rPr>
          <w:rFonts w:eastAsia="Yu Mincho"/>
          <w:lang w:val="en-CA"/>
        </w:rPr>
        <w:t>market education</w:t>
      </w:r>
      <w:r w:rsidR="0049188F" w:rsidRPr="000A349E">
        <w:rPr>
          <w:rFonts w:eastAsia="Yu Mincho"/>
          <w:lang w:val="en-CA"/>
        </w:rPr>
        <w:t xml:space="preserve">, </w:t>
      </w:r>
      <w:r w:rsidRPr="000A349E">
        <w:rPr>
          <w:rFonts w:eastAsia="Yu Mincho"/>
          <w:lang w:val="en-CA"/>
        </w:rPr>
        <w:t xml:space="preserve">heightening </w:t>
      </w:r>
      <w:r w:rsidR="009D579C" w:rsidRPr="000A349E">
        <w:rPr>
          <w:rFonts w:eastAsia="Yu Mincho"/>
          <w:lang w:val="en-CA"/>
        </w:rPr>
        <w:t xml:space="preserve">its </w:t>
      </w:r>
      <w:r w:rsidRPr="000A349E">
        <w:rPr>
          <w:rFonts w:eastAsia="Yu Mincho"/>
          <w:lang w:val="en-CA"/>
        </w:rPr>
        <w:t>profile within government</w:t>
      </w:r>
      <w:r w:rsidR="0049188F" w:rsidRPr="000A349E">
        <w:rPr>
          <w:rFonts w:eastAsia="Yu Mincho"/>
          <w:lang w:val="en-CA"/>
        </w:rPr>
        <w:t xml:space="preserve">, </w:t>
      </w:r>
      <w:r w:rsidRPr="000A349E">
        <w:rPr>
          <w:rFonts w:eastAsia="Yu Mincho"/>
          <w:lang w:val="en-CA"/>
        </w:rPr>
        <w:t xml:space="preserve">and building </w:t>
      </w:r>
      <w:r w:rsidR="009D579C" w:rsidRPr="000A349E">
        <w:rPr>
          <w:rFonts w:eastAsia="Yu Mincho"/>
          <w:lang w:val="en-CA"/>
        </w:rPr>
        <w:t xml:space="preserve">trust </w:t>
      </w:r>
      <w:r w:rsidRPr="000A349E">
        <w:rPr>
          <w:rFonts w:eastAsia="Yu Mincho"/>
          <w:lang w:val="en-CA"/>
        </w:rPr>
        <w:t xml:space="preserve">as a partner. </w:t>
      </w:r>
    </w:p>
    <w:p w14:paraId="44A77593" w14:textId="77777777" w:rsidR="00B02D49" w:rsidRPr="000A349E" w:rsidRDefault="00B02D49" w:rsidP="00B02D49">
      <w:pPr>
        <w:pStyle w:val="BodyTextMain"/>
        <w:rPr>
          <w:rFonts w:eastAsia="Yu Mincho"/>
          <w:sz w:val="18"/>
          <w:szCs w:val="18"/>
          <w:lang w:val="en-CA"/>
        </w:rPr>
      </w:pPr>
    </w:p>
    <w:p w14:paraId="53D00B77" w14:textId="5CFF491C" w:rsidR="009D579C" w:rsidRPr="000A349E" w:rsidRDefault="009D579C" w:rsidP="00B02D49">
      <w:pPr>
        <w:pStyle w:val="BodyTextMain"/>
        <w:rPr>
          <w:rFonts w:eastAsia="Yu Mincho"/>
          <w:spacing w:val="-4"/>
          <w:kern w:val="22"/>
          <w:lang w:val="en-CA"/>
        </w:rPr>
      </w:pPr>
      <w:r w:rsidRPr="000A349E">
        <w:rPr>
          <w:rFonts w:eastAsia="Yu Mincho"/>
          <w:spacing w:val="-4"/>
          <w:kern w:val="22"/>
          <w:lang w:val="en-CA"/>
        </w:rPr>
        <w:t xml:space="preserve">First, </w:t>
      </w:r>
      <w:r w:rsidR="00B02D49" w:rsidRPr="000A349E">
        <w:rPr>
          <w:rFonts w:eastAsia="Yu Mincho"/>
          <w:spacing w:val="-4"/>
          <w:kern w:val="22"/>
          <w:lang w:val="en-CA"/>
        </w:rPr>
        <w:t xml:space="preserve">OECM engaged in market education so that potential </w:t>
      </w:r>
      <w:r w:rsidRPr="000A349E">
        <w:rPr>
          <w:rFonts w:eastAsia="Yu Mincho"/>
          <w:spacing w:val="-4"/>
          <w:kern w:val="22"/>
          <w:lang w:val="en-CA"/>
        </w:rPr>
        <w:t>c</w:t>
      </w:r>
      <w:r w:rsidR="00B02D49" w:rsidRPr="000A349E">
        <w:rPr>
          <w:rFonts w:eastAsia="Yu Mincho"/>
          <w:spacing w:val="-4"/>
          <w:kern w:val="22"/>
          <w:lang w:val="en-CA"/>
        </w:rPr>
        <w:t>ustomers understood and embraced OECM’s advantages. “Our value proposition is so simple</w:t>
      </w:r>
      <w:r w:rsidRPr="000A349E">
        <w:rPr>
          <w:rFonts w:eastAsia="Yu Mincho"/>
          <w:spacing w:val="-4"/>
          <w:kern w:val="22"/>
          <w:lang w:val="en-CA"/>
        </w:rPr>
        <w:t>,</w:t>
      </w:r>
      <w:r w:rsidR="00B02D49" w:rsidRPr="000A349E">
        <w:rPr>
          <w:rFonts w:eastAsia="Yu Mincho"/>
          <w:spacing w:val="-4"/>
          <w:kern w:val="22"/>
          <w:lang w:val="en-CA"/>
        </w:rPr>
        <w:t>” Sabo explained</w:t>
      </w:r>
      <w:r w:rsidRPr="000A349E">
        <w:rPr>
          <w:rFonts w:eastAsia="Yu Mincho"/>
          <w:spacing w:val="-4"/>
          <w:kern w:val="22"/>
          <w:lang w:val="en-CA"/>
        </w:rPr>
        <w:t xml:space="preserve">. </w:t>
      </w:r>
      <w:r w:rsidR="00B02D49" w:rsidRPr="000A349E">
        <w:rPr>
          <w:rFonts w:eastAsia="Yu Mincho"/>
          <w:spacing w:val="-4"/>
          <w:kern w:val="22"/>
          <w:lang w:val="en-CA"/>
        </w:rPr>
        <w:t>“</w:t>
      </w:r>
      <w:r w:rsidR="004A209A" w:rsidRPr="000A349E">
        <w:rPr>
          <w:rFonts w:eastAsia="Yu Mincho"/>
          <w:spacing w:val="-4"/>
          <w:kern w:val="22"/>
          <w:lang w:val="en-CA"/>
        </w:rPr>
        <w:t xml:space="preserve">We </w:t>
      </w:r>
      <w:r w:rsidR="00B02D49" w:rsidRPr="000A349E">
        <w:rPr>
          <w:rFonts w:eastAsia="Yu Mincho"/>
          <w:spacing w:val="-4"/>
          <w:kern w:val="22"/>
          <w:lang w:val="en-CA"/>
        </w:rPr>
        <w:t>lower the prices through collaboration so the education sector can focus on what’s important</w:t>
      </w:r>
      <w:r w:rsidRPr="000A349E">
        <w:rPr>
          <w:rFonts w:eastAsia="Yu Mincho"/>
          <w:spacing w:val="-4"/>
          <w:kern w:val="22"/>
          <w:lang w:val="en-CA"/>
        </w:rPr>
        <w:t xml:space="preserve">: </w:t>
      </w:r>
      <w:r w:rsidR="00B02D49" w:rsidRPr="000A349E">
        <w:rPr>
          <w:rFonts w:eastAsia="Yu Mincho"/>
          <w:spacing w:val="-4"/>
          <w:kern w:val="22"/>
          <w:lang w:val="en-CA"/>
        </w:rPr>
        <w:t>education</w:t>
      </w:r>
      <w:r w:rsidRPr="000A349E">
        <w:rPr>
          <w:rFonts w:eastAsia="Yu Mincho"/>
          <w:spacing w:val="-4"/>
          <w:kern w:val="22"/>
          <w:lang w:val="en-CA"/>
        </w:rPr>
        <w:t>.</w:t>
      </w:r>
      <w:r w:rsidR="00B02D49" w:rsidRPr="000A349E">
        <w:rPr>
          <w:rFonts w:eastAsia="Yu Mincho"/>
          <w:spacing w:val="-4"/>
          <w:kern w:val="22"/>
          <w:lang w:val="en-CA"/>
        </w:rPr>
        <w:t xml:space="preserve">” He related the price of procurement to an iceberg. </w:t>
      </w:r>
      <w:r w:rsidRPr="000A349E">
        <w:rPr>
          <w:rFonts w:eastAsia="Yu Mincho"/>
          <w:spacing w:val="-4"/>
          <w:kern w:val="22"/>
          <w:lang w:val="en-CA"/>
        </w:rPr>
        <w:t>Public-</w:t>
      </w:r>
      <w:r w:rsidR="00B02D49" w:rsidRPr="000A349E">
        <w:rPr>
          <w:rFonts w:eastAsia="Yu Mincho"/>
          <w:spacing w:val="-4"/>
          <w:kern w:val="22"/>
          <w:lang w:val="en-CA"/>
        </w:rPr>
        <w:t xml:space="preserve">sector organizations only saw the tip, the price of the product being procured, and ignored the underlying costs embedded in creating and administering the sourcing activity. As </w:t>
      </w:r>
      <w:r w:rsidR="00E65A2E" w:rsidRPr="000A349E">
        <w:rPr>
          <w:rFonts w:eastAsia="Yu Mincho"/>
          <w:spacing w:val="-4"/>
          <w:kern w:val="22"/>
          <w:lang w:val="en-CA"/>
        </w:rPr>
        <w:t>Sabo</w:t>
      </w:r>
      <w:r w:rsidR="00B02D49" w:rsidRPr="000A349E">
        <w:rPr>
          <w:rFonts w:eastAsia="Yu Mincho"/>
          <w:spacing w:val="-4"/>
          <w:kern w:val="22"/>
          <w:lang w:val="en-CA"/>
        </w:rPr>
        <w:t xml:space="preserve"> said</w:t>
      </w:r>
      <w:r w:rsidRPr="000A349E">
        <w:rPr>
          <w:rFonts w:eastAsia="Yu Mincho"/>
          <w:spacing w:val="-4"/>
          <w:kern w:val="22"/>
          <w:lang w:val="en-CA"/>
        </w:rPr>
        <w:t>,</w:t>
      </w:r>
    </w:p>
    <w:p w14:paraId="48A48FBD" w14:textId="77777777" w:rsidR="000A349E" w:rsidRPr="000A349E" w:rsidRDefault="000A349E" w:rsidP="00B02D49">
      <w:pPr>
        <w:pStyle w:val="BodyTextMain"/>
        <w:rPr>
          <w:rFonts w:eastAsia="Yu Mincho"/>
          <w:sz w:val="18"/>
          <w:szCs w:val="18"/>
          <w:lang w:val="en-CA"/>
        </w:rPr>
      </w:pPr>
    </w:p>
    <w:p w14:paraId="067998D4" w14:textId="0A67B913" w:rsidR="009D579C" w:rsidRPr="000A349E" w:rsidRDefault="00B02D49" w:rsidP="009D579C">
      <w:pPr>
        <w:pStyle w:val="BodyTextMain"/>
        <w:ind w:left="720"/>
        <w:rPr>
          <w:rFonts w:eastAsia="Yu Mincho"/>
          <w:lang w:val="en-CA"/>
        </w:rPr>
      </w:pPr>
      <w:r w:rsidRPr="000A349E">
        <w:rPr>
          <w:rFonts w:eastAsia="Yu Mincho"/>
          <w:lang w:val="en-CA"/>
        </w:rPr>
        <w:t xml:space="preserve">When we ask a </w:t>
      </w:r>
      <w:proofErr w:type="gramStart"/>
      <w:r w:rsidR="009D579C" w:rsidRPr="000A349E">
        <w:rPr>
          <w:rFonts w:eastAsia="Yu Mincho"/>
          <w:lang w:val="en-CA"/>
        </w:rPr>
        <w:t>c</w:t>
      </w:r>
      <w:r w:rsidRPr="000A349E">
        <w:rPr>
          <w:rFonts w:eastAsia="Yu Mincho"/>
          <w:lang w:val="en-CA"/>
        </w:rPr>
        <w:t>ustomer</w:t>
      </w:r>
      <w:proofErr w:type="gramEnd"/>
      <w:r w:rsidRPr="000A349E">
        <w:rPr>
          <w:rFonts w:eastAsia="Yu Mincho"/>
          <w:lang w:val="en-CA"/>
        </w:rPr>
        <w:t xml:space="preserve"> why they are not working with OECM, and the answer on occasion is </w:t>
      </w:r>
      <w:r w:rsidR="009D579C" w:rsidRPr="000A349E">
        <w:rPr>
          <w:rFonts w:eastAsia="Yu Mincho"/>
          <w:lang w:val="en-CA"/>
        </w:rPr>
        <w:t xml:space="preserve">that </w:t>
      </w:r>
      <w:r w:rsidRPr="000A349E">
        <w:rPr>
          <w:rFonts w:eastAsia="Yu Mincho"/>
          <w:lang w:val="en-CA"/>
        </w:rPr>
        <w:t>they can do it cheaper. I say</w:t>
      </w:r>
      <w:r w:rsidR="009D579C" w:rsidRPr="000A349E">
        <w:rPr>
          <w:rFonts w:eastAsia="Yu Mincho"/>
          <w:lang w:val="en-CA"/>
        </w:rPr>
        <w:t>,</w:t>
      </w:r>
      <w:r w:rsidRPr="000A349E">
        <w:rPr>
          <w:rFonts w:eastAsia="Yu Mincho"/>
          <w:lang w:val="en-CA"/>
        </w:rPr>
        <w:t xml:space="preserve"> </w:t>
      </w:r>
      <w:r w:rsidR="009D579C" w:rsidRPr="000A349E">
        <w:rPr>
          <w:rFonts w:eastAsia="Yu Mincho"/>
          <w:lang w:val="en-CA"/>
        </w:rPr>
        <w:t>“Wonderful. I</w:t>
      </w:r>
      <w:r w:rsidRPr="000A349E">
        <w:rPr>
          <w:rFonts w:eastAsia="Yu Mincho"/>
          <w:lang w:val="en-CA"/>
        </w:rPr>
        <w:t>f that is true</w:t>
      </w:r>
      <w:r w:rsidR="009D579C" w:rsidRPr="000A349E">
        <w:rPr>
          <w:rFonts w:eastAsia="Yu Mincho"/>
          <w:lang w:val="en-CA"/>
        </w:rPr>
        <w:t>,</w:t>
      </w:r>
      <w:r w:rsidRPr="000A349E">
        <w:rPr>
          <w:rFonts w:eastAsia="Yu Mincho"/>
          <w:lang w:val="en-CA"/>
        </w:rPr>
        <w:t xml:space="preserve"> then </w:t>
      </w:r>
      <w:proofErr w:type="gramStart"/>
      <w:r w:rsidRPr="000A349E">
        <w:rPr>
          <w:rFonts w:eastAsia="Yu Mincho"/>
          <w:lang w:val="en-CA"/>
        </w:rPr>
        <w:t>let’s</w:t>
      </w:r>
      <w:proofErr w:type="gramEnd"/>
      <w:r w:rsidRPr="000A349E">
        <w:rPr>
          <w:rFonts w:eastAsia="Yu Mincho"/>
          <w:lang w:val="en-CA"/>
        </w:rPr>
        <w:t xml:space="preserve"> do it for everybody. Let’s share your wonderful knowledge with everybody.</w:t>
      </w:r>
      <w:r w:rsidR="009D579C" w:rsidRPr="000A349E">
        <w:rPr>
          <w:rFonts w:eastAsia="Yu Mincho"/>
          <w:lang w:val="en-CA"/>
        </w:rPr>
        <w:t xml:space="preserve">” </w:t>
      </w:r>
      <w:proofErr w:type="gramStart"/>
      <w:r w:rsidRPr="000A349E">
        <w:rPr>
          <w:rFonts w:eastAsia="Yu Mincho"/>
          <w:lang w:val="en-CA"/>
        </w:rPr>
        <w:t>But then</w:t>
      </w:r>
      <w:proofErr w:type="gramEnd"/>
      <w:r w:rsidRPr="000A349E">
        <w:rPr>
          <w:rFonts w:eastAsia="Yu Mincho"/>
          <w:lang w:val="en-CA"/>
        </w:rPr>
        <w:t xml:space="preserve"> you drill down, and you realize what they have in mind is not quite the same.</w:t>
      </w:r>
    </w:p>
    <w:p w14:paraId="57CD37AD" w14:textId="77777777" w:rsidR="009D579C" w:rsidRPr="000A349E" w:rsidRDefault="009D579C" w:rsidP="00B02D49">
      <w:pPr>
        <w:pStyle w:val="BodyTextMain"/>
        <w:rPr>
          <w:rFonts w:eastAsia="Yu Mincho"/>
          <w:sz w:val="18"/>
          <w:szCs w:val="18"/>
          <w:lang w:val="en-CA"/>
        </w:rPr>
      </w:pPr>
    </w:p>
    <w:p w14:paraId="6756641D" w14:textId="1AC2DA1B" w:rsidR="00B02D49" w:rsidRPr="000A349E" w:rsidRDefault="00B02D49" w:rsidP="00B02D49">
      <w:pPr>
        <w:pStyle w:val="BodyTextMain"/>
        <w:rPr>
          <w:rFonts w:eastAsia="Yu Mincho"/>
          <w:lang w:val="en-CA"/>
        </w:rPr>
      </w:pPr>
      <w:r w:rsidRPr="000A349E">
        <w:rPr>
          <w:rFonts w:eastAsia="Yu Mincho"/>
          <w:lang w:val="en-CA"/>
        </w:rPr>
        <w:t xml:space="preserve">Second, Sabo pushed OECM to raise its profile within government, resulting in mentions in the </w:t>
      </w:r>
      <w:r w:rsidR="009D579C" w:rsidRPr="000A349E">
        <w:rPr>
          <w:rFonts w:eastAsia="Yu Mincho"/>
          <w:lang w:val="en-CA"/>
        </w:rPr>
        <w:t>a</w:t>
      </w:r>
      <w:r w:rsidRPr="000A349E">
        <w:rPr>
          <w:rFonts w:eastAsia="Yu Mincho"/>
          <w:lang w:val="en-CA"/>
        </w:rPr>
        <w:t xml:space="preserve">uditor </w:t>
      </w:r>
      <w:proofErr w:type="gramStart"/>
      <w:r w:rsidR="009D579C" w:rsidRPr="000A349E">
        <w:rPr>
          <w:rFonts w:eastAsia="Yu Mincho"/>
          <w:lang w:val="en-CA"/>
        </w:rPr>
        <w:t>g</w:t>
      </w:r>
      <w:r w:rsidRPr="000A349E">
        <w:rPr>
          <w:rFonts w:eastAsia="Yu Mincho"/>
          <w:lang w:val="en-CA"/>
        </w:rPr>
        <w:t>eneral’s</w:t>
      </w:r>
      <w:proofErr w:type="gramEnd"/>
      <w:r w:rsidRPr="000A349E">
        <w:rPr>
          <w:rFonts w:eastAsia="Yu Mincho"/>
          <w:lang w:val="en-CA"/>
        </w:rPr>
        <w:t xml:space="preserve"> </w:t>
      </w:r>
      <w:r w:rsidR="009D579C" w:rsidRPr="000A349E">
        <w:rPr>
          <w:rFonts w:eastAsia="Yu Mincho"/>
          <w:lang w:val="en-CA"/>
        </w:rPr>
        <w:t>r</w:t>
      </w:r>
      <w:r w:rsidRPr="000A349E">
        <w:rPr>
          <w:rFonts w:eastAsia="Yu Mincho"/>
          <w:lang w:val="en-CA"/>
        </w:rPr>
        <w:t xml:space="preserve">eport. The </w:t>
      </w:r>
      <w:r w:rsidR="009D579C" w:rsidRPr="000A349E">
        <w:rPr>
          <w:rFonts w:eastAsia="Yu Mincho"/>
          <w:lang w:val="en-CA"/>
        </w:rPr>
        <w:t xml:space="preserve">Office of the </w:t>
      </w:r>
      <w:r w:rsidRPr="000A349E">
        <w:rPr>
          <w:rFonts w:eastAsia="Yu Mincho"/>
          <w:lang w:val="en-CA"/>
        </w:rPr>
        <w:t xml:space="preserve">Auditor General of Ontario was an independent office that conducted value-for-money and financial audits of the provincial government and of organizations in the BPS that received government funding. </w:t>
      </w:r>
      <w:proofErr w:type="gramStart"/>
      <w:r w:rsidRPr="000A349E">
        <w:rPr>
          <w:rFonts w:eastAsia="Yu Mincho"/>
          <w:lang w:val="en-CA"/>
        </w:rPr>
        <w:t>Being highlighted</w:t>
      </w:r>
      <w:proofErr w:type="gramEnd"/>
      <w:r w:rsidRPr="000A349E">
        <w:rPr>
          <w:rFonts w:eastAsia="Yu Mincho"/>
          <w:lang w:val="en-CA"/>
        </w:rPr>
        <w:t xml:space="preserve"> in the report was publicity that further legitimized OECM’s position, especially in the eyes of </w:t>
      </w:r>
      <w:r w:rsidR="009D579C" w:rsidRPr="000A349E">
        <w:rPr>
          <w:rFonts w:eastAsia="Yu Mincho"/>
          <w:lang w:val="en-CA"/>
        </w:rPr>
        <w:t>c</w:t>
      </w:r>
      <w:r w:rsidRPr="000A349E">
        <w:rPr>
          <w:rFonts w:eastAsia="Yu Mincho"/>
          <w:lang w:val="en-CA"/>
        </w:rPr>
        <w:t xml:space="preserve">ustomers who might have had doubts. Third, OECM’s not-for-profit status increased trust </w:t>
      </w:r>
      <w:r w:rsidR="009D579C" w:rsidRPr="000A349E">
        <w:rPr>
          <w:rFonts w:eastAsia="Yu Mincho"/>
          <w:lang w:val="en-CA"/>
        </w:rPr>
        <w:t>in the organization with</w:t>
      </w:r>
      <w:r w:rsidRPr="000A349E">
        <w:rPr>
          <w:rFonts w:eastAsia="Yu Mincho"/>
          <w:lang w:val="en-CA"/>
        </w:rPr>
        <w:t>in the public sector. OECM established business relationships with all Ontario school boards, colleges</w:t>
      </w:r>
      <w:r w:rsidR="009D579C" w:rsidRPr="000A349E">
        <w:rPr>
          <w:rFonts w:eastAsia="Yu Mincho"/>
          <w:lang w:val="en-CA"/>
        </w:rPr>
        <w:t>,</w:t>
      </w:r>
      <w:r w:rsidRPr="000A349E">
        <w:rPr>
          <w:rFonts w:eastAsia="Yu Mincho"/>
          <w:lang w:val="en-CA"/>
        </w:rPr>
        <w:t xml:space="preserve"> and universities</w:t>
      </w:r>
      <w:r w:rsidR="009D579C" w:rsidRPr="000A349E">
        <w:rPr>
          <w:rFonts w:eastAsia="Yu Mincho"/>
          <w:lang w:val="en-CA"/>
        </w:rPr>
        <w:t>,</w:t>
      </w:r>
      <w:r w:rsidRPr="000A349E">
        <w:rPr>
          <w:rFonts w:eastAsia="Yu Mincho"/>
          <w:lang w:val="en-CA"/>
        </w:rPr>
        <w:t xml:space="preserve"> </w:t>
      </w:r>
      <w:r w:rsidR="009D579C" w:rsidRPr="000A349E">
        <w:rPr>
          <w:rFonts w:eastAsia="Yu Mincho"/>
          <w:lang w:val="en-CA"/>
        </w:rPr>
        <w:t xml:space="preserve">and this represented </w:t>
      </w:r>
      <w:r w:rsidRPr="000A349E">
        <w:rPr>
          <w:rFonts w:eastAsia="Yu Mincho"/>
          <w:lang w:val="en-CA"/>
        </w:rPr>
        <w:t xml:space="preserve">a major achievement and catalyst for growth. </w:t>
      </w:r>
    </w:p>
    <w:p w14:paraId="784B92F6" w14:textId="77777777" w:rsidR="00B02D49" w:rsidRPr="000A349E" w:rsidRDefault="00B02D49" w:rsidP="00B02D49">
      <w:pPr>
        <w:pStyle w:val="BodyTextMain"/>
        <w:rPr>
          <w:rFonts w:eastAsia="Yu Mincho"/>
          <w:sz w:val="18"/>
          <w:szCs w:val="18"/>
          <w:lang w:val="en-CA"/>
        </w:rPr>
      </w:pPr>
    </w:p>
    <w:p w14:paraId="0651CCD3" w14:textId="5FC24F2D" w:rsidR="00B02D49" w:rsidRPr="000A349E" w:rsidRDefault="00B02D49" w:rsidP="00B02D49">
      <w:pPr>
        <w:pStyle w:val="BodyTextMain"/>
        <w:rPr>
          <w:rFonts w:eastAsia="Yu Mincho"/>
          <w:lang w:val="en-CA"/>
        </w:rPr>
      </w:pPr>
      <w:bookmarkStart w:id="13" w:name="_Hlk510476103"/>
      <w:r w:rsidRPr="000A349E">
        <w:rPr>
          <w:rFonts w:eastAsia="Yu Mincho"/>
          <w:lang w:val="en-CA"/>
        </w:rPr>
        <w:t xml:space="preserve">Growth opportunities were omnipresent, but translating the opportunities into business required scaling, and it was unclear how </w:t>
      </w:r>
      <w:r w:rsidR="009D579C" w:rsidRPr="000A349E">
        <w:rPr>
          <w:rFonts w:eastAsia="Yu Mincho"/>
          <w:lang w:val="en-CA"/>
        </w:rPr>
        <w:t xml:space="preserve">OECM could </w:t>
      </w:r>
      <w:r w:rsidRPr="000A349E">
        <w:rPr>
          <w:rFonts w:eastAsia="Yu Mincho"/>
          <w:lang w:val="en-CA"/>
        </w:rPr>
        <w:t xml:space="preserve">build the required infrastructure to do so. OECM had to identify which segments to prioritize in order to achieve </w:t>
      </w:r>
      <w:r w:rsidR="009D579C" w:rsidRPr="000A349E">
        <w:rPr>
          <w:rFonts w:eastAsia="Yu Mincho"/>
          <w:lang w:val="en-CA"/>
        </w:rPr>
        <w:t xml:space="preserve">its goal of facilitating </w:t>
      </w:r>
      <w:r w:rsidRPr="000A349E">
        <w:rPr>
          <w:rFonts w:eastAsia="Yu Mincho"/>
          <w:lang w:val="en-CA"/>
        </w:rPr>
        <w:t>$</w:t>
      </w:r>
      <w:r w:rsidR="009D579C" w:rsidRPr="000A349E">
        <w:rPr>
          <w:rFonts w:eastAsia="Yu Mincho"/>
          <w:lang w:val="en-CA"/>
        </w:rPr>
        <w:t>2 billion</w:t>
      </w:r>
      <w:r w:rsidR="009D579C" w:rsidRPr="000A349E">
        <w:rPr>
          <w:lang w:val="en-CA"/>
        </w:rPr>
        <w:t xml:space="preserve"> </w:t>
      </w:r>
      <w:r w:rsidR="009D579C" w:rsidRPr="000A349E">
        <w:rPr>
          <w:rFonts w:eastAsia="Yu Mincho"/>
          <w:lang w:val="en-CA"/>
        </w:rPr>
        <w:t>of overall market transactions</w:t>
      </w:r>
      <w:r w:rsidRPr="000A349E">
        <w:rPr>
          <w:rFonts w:eastAsia="Yu Mincho"/>
          <w:lang w:val="en-CA"/>
        </w:rPr>
        <w:t xml:space="preserve">. </w:t>
      </w:r>
      <w:r w:rsidR="009D579C" w:rsidRPr="000A349E">
        <w:rPr>
          <w:rFonts w:eastAsia="Yu Mincho"/>
          <w:lang w:val="en-CA"/>
        </w:rPr>
        <w:t xml:space="preserve">It </w:t>
      </w:r>
      <w:r w:rsidR="009D579C" w:rsidRPr="000A349E">
        <w:rPr>
          <w:rFonts w:eastAsia="Yu Mincho"/>
          <w:lang w:val="en-CA"/>
        </w:rPr>
        <w:lastRenderedPageBreak/>
        <w:t xml:space="preserve">also needed to </w:t>
      </w:r>
      <w:r w:rsidR="00A2682D" w:rsidRPr="000A349E">
        <w:rPr>
          <w:rFonts w:eastAsia="Yu Mincho"/>
          <w:lang w:val="en-CA"/>
        </w:rPr>
        <w:t>consider some l</w:t>
      </w:r>
      <w:r w:rsidRPr="000A349E">
        <w:rPr>
          <w:rFonts w:eastAsia="Yu Mincho"/>
          <w:lang w:val="en-CA"/>
        </w:rPr>
        <w:t xml:space="preserve">onger-term </w:t>
      </w:r>
      <w:r w:rsidR="00A2682D" w:rsidRPr="000A349E">
        <w:rPr>
          <w:rFonts w:eastAsia="Yu Mincho"/>
          <w:lang w:val="en-CA"/>
        </w:rPr>
        <w:t>questions</w:t>
      </w:r>
      <w:r w:rsidR="008500B9">
        <w:rPr>
          <w:rFonts w:eastAsia="Yu Mincho"/>
          <w:lang w:val="en-CA"/>
        </w:rPr>
        <w:t>—</w:t>
      </w:r>
      <w:r w:rsidRPr="000A349E">
        <w:rPr>
          <w:rFonts w:eastAsia="Yu Mincho"/>
          <w:lang w:val="en-CA"/>
        </w:rPr>
        <w:t xml:space="preserve">whether to grow into other sectors beyond education, and </w:t>
      </w:r>
      <w:r w:rsidR="00A2682D" w:rsidRPr="000A349E">
        <w:rPr>
          <w:rFonts w:eastAsia="Yu Mincho"/>
          <w:lang w:val="en-CA"/>
        </w:rPr>
        <w:t xml:space="preserve">whether to grow into </w:t>
      </w:r>
      <w:r w:rsidRPr="000A349E">
        <w:rPr>
          <w:rFonts w:eastAsia="Yu Mincho"/>
          <w:lang w:val="en-CA"/>
        </w:rPr>
        <w:t xml:space="preserve">other </w:t>
      </w:r>
      <w:r w:rsidR="00A2682D" w:rsidRPr="000A349E">
        <w:rPr>
          <w:rFonts w:eastAsia="Yu Mincho"/>
          <w:lang w:val="en-CA"/>
        </w:rPr>
        <w:t xml:space="preserve">locations </w:t>
      </w:r>
      <w:r w:rsidRPr="000A349E">
        <w:rPr>
          <w:rFonts w:eastAsia="Yu Mincho"/>
          <w:lang w:val="en-CA"/>
        </w:rPr>
        <w:t xml:space="preserve">beyond Ontario. </w:t>
      </w:r>
    </w:p>
    <w:p w14:paraId="0B2B6C09" w14:textId="77777777" w:rsidR="00B02D49" w:rsidRPr="00301D54" w:rsidRDefault="00B02D49" w:rsidP="00301D54">
      <w:pPr>
        <w:pStyle w:val="BodyTextMain"/>
        <w:rPr>
          <w:rFonts w:eastAsia="Yu Gothic Light"/>
        </w:rPr>
      </w:pPr>
      <w:bookmarkStart w:id="14" w:name="_Toc515971107"/>
    </w:p>
    <w:p w14:paraId="315BB492" w14:textId="77777777" w:rsidR="009D579C" w:rsidRPr="00301D54" w:rsidRDefault="009D579C" w:rsidP="00301D54">
      <w:pPr>
        <w:pStyle w:val="BodyTextMain"/>
        <w:rPr>
          <w:rFonts w:eastAsia="Yu Gothic Light"/>
        </w:rPr>
      </w:pPr>
    </w:p>
    <w:p w14:paraId="1BDC3D49" w14:textId="19AECFA8" w:rsidR="00B02D49" w:rsidRPr="000A349E" w:rsidRDefault="00B02D49" w:rsidP="00B02D49">
      <w:pPr>
        <w:pStyle w:val="Casehead2"/>
        <w:rPr>
          <w:rFonts w:eastAsia="Yu Gothic Light"/>
          <w:lang w:val="en-CA"/>
        </w:rPr>
      </w:pPr>
      <w:r w:rsidRPr="000A349E">
        <w:rPr>
          <w:rFonts w:eastAsia="Yu Gothic Light"/>
          <w:lang w:val="en-CA"/>
        </w:rPr>
        <w:t>Marketing</w:t>
      </w:r>
      <w:bookmarkEnd w:id="14"/>
      <w:r w:rsidRPr="000A349E">
        <w:rPr>
          <w:rFonts w:eastAsia="Yu Gothic Light"/>
          <w:lang w:val="en-CA"/>
        </w:rPr>
        <w:t xml:space="preserve"> and </w:t>
      </w:r>
      <w:r w:rsidR="009D579C" w:rsidRPr="000A349E">
        <w:rPr>
          <w:rFonts w:eastAsia="Yu Gothic Light"/>
          <w:lang w:val="en-CA"/>
        </w:rPr>
        <w:t>Segmentation</w:t>
      </w:r>
    </w:p>
    <w:p w14:paraId="0926B63A" w14:textId="77777777" w:rsidR="00B02D49" w:rsidRPr="00301D54" w:rsidRDefault="00B02D49" w:rsidP="00301D54">
      <w:pPr>
        <w:pStyle w:val="BodyTextMain"/>
        <w:rPr>
          <w:rFonts w:eastAsia="Yu Gothic Light"/>
        </w:rPr>
      </w:pPr>
    </w:p>
    <w:p w14:paraId="6B27CCD8" w14:textId="57F125FB" w:rsidR="00B02D49" w:rsidRPr="000A349E" w:rsidRDefault="00B02D49" w:rsidP="00B02D49">
      <w:pPr>
        <w:pStyle w:val="BodyTextMain"/>
        <w:rPr>
          <w:rFonts w:eastAsia="Yu Mincho"/>
          <w:spacing w:val="-2"/>
          <w:kern w:val="22"/>
          <w:lang w:val="en-CA"/>
        </w:rPr>
      </w:pPr>
      <w:r w:rsidRPr="000A349E">
        <w:rPr>
          <w:rFonts w:eastAsia="Yu Mincho"/>
          <w:spacing w:val="-2"/>
          <w:kern w:val="22"/>
          <w:lang w:val="en-CA"/>
        </w:rPr>
        <w:t xml:space="preserve">Some </w:t>
      </w:r>
      <w:r w:rsidR="00A2682D" w:rsidRPr="000A349E">
        <w:rPr>
          <w:rFonts w:eastAsia="Yu Mincho"/>
          <w:spacing w:val="-2"/>
          <w:kern w:val="22"/>
          <w:lang w:val="en-CA"/>
        </w:rPr>
        <w:t>c</w:t>
      </w:r>
      <w:r w:rsidRPr="000A349E">
        <w:rPr>
          <w:rFonts w:eastAsia="Yu Mincho"/>
          <w:spacing w:val="-2"/>
          <w:kern w:val="22"/>
          <w:lang w:val="en-CA"/>
        </w:rPr>
        <w:t>ustomers relied heavily on OECM’s collaborative marketplace</w:t>
      </w:r>
      <w:r w:rsidR="00A2682D" w:rsidRPr="000A349E">
        <w:rPr>
          <w:rFonts w:eastAsia="Yu Mincho"/>
          <w:spacing w:val="-2"/>
          <w:kern w:val="22"/>
          <w:lang w:val="en-CA"/>
        </w:rPr>
        <w:t>,</w:t>
      </w:r>
      <w:r w:rsidRPr="000A349E">
        <w:rPr>
          <w:rFonts w:eastAsia="Yu Mincho"/>
          <w:spacing w:val="-2"/>
          <w:kern w:val="22"/>
          <w:lang w:val="en-CA"/>
        </w:rPr>
        <w:t xml:space="preserve"> and others dabbled in it on an ad-hoc basis</w:t>
      </w:r>
      <w:r w:rsidR="00A2682D" w:rsidRPr="000A349E">
        <w:rPr>
          <w:rFonts w:eastAsia="Yu Mincho"/>
          <w:spacing w:val="-2"/>
          <w:kern w:val="22"/>
          <w:lang w:val="en-CA"/>
        </w:rPr>
        <w:t xml:space="preserve">; </w:t>
      </w:r>
      <w:proofErr w:type="gramStart"/>
      <w:r w:rsidRPr="000A349E">
        <w:rPr>
          <w:rFonts w:eastAsia="Yu Mincho"/>
          <w:spacing w:val="-2"/>
          <w:kern w:val="22"/>
          <w:lang w:val="en-CA"/>
        </w:rPr>
        <w:t>thus</w:t>
      </w:r>
      <w:proofErr w:type="gramEnd"/>
      <w:r w:rsidRPr="000A349E">
        <w:rPr>
          <w:rFonts w:eastAsia="Yu Mincho"/>
          <w:spacing w:val="-2"/>
          <w:kern w:val="22"/>
          <w:lang w:val="en-CA"/>
        </w:rPr>
        <w:t xml:space="preserve"> a one-size-fits-all approach did not work. To achieve OECM’s growth targets, the senior management team prioritized which </w:t>
      </w:r>
      <w:r w:rsidR="00A2682D" w:rsidRPr="000A349E">
        <w:rPr>
          <w:rFonts w:eastAsia="Yu Mincho"/>
          <w:spacing w:val="-2"/>
          <w:kern w:val="22"/>
          <w:lang w:val="en-CA"/>
        </w:rPr>
        <w:t>c</w:t>
      </w:r>
      <w:r w:rsidRPr="000A349E">
        <w:rPr>
          <w:rFonts w:eastAsia="Yu Mincho"/>
          <w:spacing w:val="-2"/>
          <w:kern w:val="22"/>
          <w:lang w:val="en-CA"/>
        </w:rPr>
        <w:t xml:space="preserve">ustomer segments </w:t>
      </w:r>
      <w:r w:rsidR="00A2682D" w:rsidRPr="000A349E">
        <w:rPr>
          <w:rFonts w:eastAsia="Yu Mincho"/>
          <w:spacing w:val="-2"/>
          <w:kern w:val="22"/>
          <w:lang w:val="en-CA"/>
        </w:rPr>
        <w:t xml:space="preserve">it should </w:t>
      </w:r>
      <w:r w:rsidRPr="000A349E">
        <w:rPr>
          <w:rFonts w:eastAsia="Yu Mincho"/>
          <w:spacing w:val="-2"/>
          <w:kern w:val="22"/>
          <w:lang w:val="en-CA"/>
        </w:rPr>
        <w:t xml:space="preserve">target </w:t>
      </w:r>
      <w:r w:rsidR="00A2682D" w:rsidRPr="000A349E">
        <w:rPr>
          <w:rFonts w:eastAsia="Yu Mincho"/>
          <w:spacing w:val="-2"/>
          <w:kern w:val="22"/>
          <w:lang w:val="en-CA"/>
        </w:rPr>
        <w:t xml:space="preserve">from </w:t>
      </w:r>
      <w:r w:rsidRPr="000A349E">
        <w:rPr>
          <w:rFonts w:eastAsia="Yu Mincho"/>
          <w:spacing w:val="-2"/>
          <w:kern w:val="22"/>
          <w:lang w:val="en-CA"/>
        </w:rPr>
        <w:t xml:space="preserve">among school boards, colleges, universities, </w:t>
      </w:r>
      <w:r w:rsidR="00A2682D" w:rsidRPr="000A349E">
        <w:rPr>
          <w:rFonts w:eastAsia="Yu Mincho"/>
          <w:spacing w:val="-2"/>
          <w:kern w:val="22"/>
          <w:lang w:val="en-CA"/>
        </w:rPr>
        <w:t>the BPS</w:t>
      </w:r>
      <w:r w:rsidRPr="000A349E">
        <w:rPr>
          <w:rFonts w:eastAsia="Yu Mincho"/>
          <w:spacing w:val="-2"/>
          <w:kern w:val="22"/>
          <w:lang w:val="en-CA"/>
        </w:rPr>
        <w:t xml:space="preserve"> </w:t>
      </w:r>
      <w:r w:rsidR="00A2682D" w:rsidRPr="000A349E">
        <w:rPr>
          <w:rFonts w:eastAsia="Yu Mincho"/>
          <w:spacing w:val="-2"/>
          <w:kern w:val="22"/>
          <w:lang w:val="en-CA"/>
        </w:rPr>
        <w:t>s</w:t>
      </w:r>
      <w:r w:rsidRPr="000A349E">
        <w:rPr>
          <w:rFonts w:eastAsia="Yu Mincho"/>
          <w:spacing w:val="-2"/>
          <w:kern w:val="22"/>
          <w:lang w:val="en-CA"/>
        </w:rPr>
        <w:t>ector</w:t>
      </w:r>
      <w:r w:rsidR="00A2682D" w:rsidRPr="000A349E">
        <w:rPr>
          <w:rFonts w:eastAsia="Yu Mincho"/>
          <w:spacing w:val="-2"/>
          <w:kern w:val="22"/>
          <w:lang w:val="en-CA"/>
        </w:rPr>
        <w:t>,</w:t>
      </w:r>
      <w:r w:rsidRPr="000A349E">
        <w:rPr>
          <w:rFonts w:eastAsia="Yu Mincho"/>
          <w:spacing w:val="-2"/>
          <w:kern w:val="22"/>
          <w:lang w:val="en-CA"/>
        </w:rPr>
        <w:t xml:space="preserve"> and </w:t>
      </w:r>
      <w:r w:rsidR="00A2682D" w:rsidRPr="000A349E">
        <w:rPr>
          <w:rFonts w:eastAsia="Yu Mincho"/>
          <w:spacing w:val="-2"/>
          <w:kern w:val="22"/>
          <w:lang w:val="en-CA"/>
        </w:rPr>
        <w:t xml:space="preserve">other </w:t>
      </w:r>
      <w:r w:rsidRPr="000A349E">
        <w:rPr>
          <w:rFonts w:eastAsia="Yu Mincho"/>
          <w:spacing w:val="-2"/>
          <w:kern w:val="22"/>
          <w:lang w:val="en-CA"/>
        </w:rPr>
        <w:t>not-for-profit entities. Since OECM already had all school boards, universities</w:t>
      </w:r>
      <w:r w:rsidR="00A2682D" w:rsidRPr="000A349E">
        <w:rPr>
          <w:rFonts w:eastAsia="Yu Mincho"/>
          <w:spacing w:val="-2"/>
          <w:kern w:val="22"/>
          <w:lang w:val="en-CA"/>
        </w:rPr>
        <w:t>,</w:t>
      </w:r>
      <w:r w:rsidRPr="000A349E">
        <w:rPr>
          <w:rFonts w:eastAsia="Yu Mincho"/>
          <w:spacing w:val="-2"/>
          <w:kern w:val="22"/>
          <w:lang w:val="en-CA"/>
        </w:rPr>
        <w:t xml:space="preserve"> and colleges as </w:t>
      </w:r>
      <w:r w:rsidR="00A2682D" w:rsidRPr="000A349E">
        <w:rPr>
          <w:rFonts w:eastAsia="Yu Mincho"/>
          <w:spacing w:val="-2"/>
          <w:kern w:val="22"/>
          <w:lang w:val="en-CA"/>
        </w:rPr>
        <w:t>c</w:t>
      </w:r>
      <w:r w:rsidRPr="000A349E">
        <w:rPr>
          <w:rFonts w:eastAsia="Yu Mincho"/>
          <w:spacing w:val="-2"/>
          <w:kern w:val="22"/>
          <w:lang w:val="en-CA"/>
        </w:rPr>
        <w:t>ustomers, there was no room for</w:t>
      </w:r>
      <w:r w:rsidR="00A2682D" w:rsidRPr="000A349E">
        <w:rPr>
          <w:rFonts w:eastAsia="Yu Mincho"/>
          <w:spacing w:val="-2"/>
          <w:kern w:val="22"/>
          <w:lang w:val="en-CA"/>
        </w:rPr>
        <w:t xml:space="preserve"> it to grown within the</w:t>
      </w:r>
      <w:r w:rsidRPr="000A349E">
        <w:rPr>
          <w:rFonts w:eastAsia="Yu Mincho"/>
          <w:spacing w:val="-2"/>
          <w:kern w:val="22"/>
          <w:lang w:val="en-CA"/>
        </w:rPr>
        <w:t xml:space="preserve"> educational sector </w:t>
      </w:r>
      <w:r w:rsidR="00A2682D" w:rsidRPr="000A349E">
        <w:rPr>
          <w:rFonts w:eastAsia="Yu Mincho"/>
          <w:spacing w:val="-2"/>
          <w:kern w:val="22"/>
          <w:lang w:val="en-CA"/>
        </w:rPr>
        <w:t>i</w:t>
      </w:r>
      <w:r w:rsidRPr="000A349E">
        <w:rPr>
          <w:rFonts w:eastAsia="Yu Mincho"/>
          <w:spacing w:val="-2"/>
          <w:kern w:val="22"/>
          <w:lang w:val="en-CA"/>
        </w:rPr>
        <w:t xml:space="preserve">n Ontario. </w:t>
      </w:r>
      <w:r w:rsidR="00A2682D" w:rsidRPr="000A349E">
        <w:rPr>
          <w:rFonts w:eastAsia="Yu Mincho"/>
          <w:spacing w:val="-2"/>
          <w:kern w:val="22"/>
          <w:lang w:val="en-CA"/>
        </w:rPr>
        <w:t xml:space="preserve">The organization had already captured this market so its </w:t>
      </w:r>
      <w:r w:rsidRPr="000A349E">
        <w:rPr>
          <w:rFonts w:eastAsia="Yu Mincho"/>
          <w:spacing w:val="-2"/>
          <w:kern w:val="22"/>
          <w:lang w:val="en-CA"/>
        </w:rPr>
        <w:t>cost of customer acquisition</w:t>
      </w:r>
      <w:r w:rsidR="00A2682D" w:rsidRPr="000A349E">
        <w:rPr>
          <w:rFonts w:eastAsia="Yu Mincho"/>
          <w:spacing w:val="-2"/>
          <w:kern w:val="22"/>
          <w:lang w:val="en-CA"/>
        </w:rPr>
        <w:t xml:space="preserve"> here was low</w:t>
      </w:r>
      <w:r w:rsidRPr="000A349E">
        <w:rPr>
          <w:rFonts w:eastAsia="Yu Mincho"/>
          <w:spacing w:val="-2"/>
          <w:kern w:val="22"/>
          <w:lang w:val="en-CA"/>
        </w:rPr>
        <w:t xml:space="preserve">. Instead, OECM focused on creating a higher lifetime value from these </w:t>
      </w:r>
      <w:r w:rsidR="00A2682D" w:rsidRPr="000A349E">
        <w:rPr>
          <w:rFonts w:eastAsia="Yu Mincho"/>
          <w:spacing w:val="-2"/>
          <w:kern w:val="22"/>
          <w:lang w:val="en-CA"/>
        </w:rPr>
        <w:t>c</w:t>
      </w:r>
      <w:r w:rsidRPr="000A349E">
        <w:rPr>
          <w:rFonts w:eastAsia="Yu Mincho"/>
          <w:spacing w:val="-2"/>
          <w:kern w:val="22"/>
          <w:lang w:val="en-CA"/>
        </w:rPr>
        <w:t xml:space="preserve">ustomers </w:t>
      </w:r>
      <w:r w:rsidR="00A2682D" w:rsidRPr="000A349E">
        <w:rPr>
          <w:rFonts w:eastAsia="Yu Mincho"/>
          <w:spacing w:val="-2"/>
          <w:kern w:val="22"/>
          <w:lang w:val="en-CA"/>
        </w:rPr>
        <w:t xml:space="preserve">by </w:t>
      </w:r>
      <w:r w:rsidRPr="000A349E">
        <w:rPr>
          <w:rFonts w:eastAsia="Yu Mincho"/>
          <w:spacing w:val="-2"/>
          <w:kern w:val="22"/>
          <w:lang w:val="en-CA"/>
        </w:rPr>
        <w:t xml:space="preserve">promoting further utilization of OECM’s contracts. Increasing </w:t>
      </w:r>
      <w:r w:rsidR="00A2682D" w:rsidRPr="000A349E">
        <w:rPr>
          <w:rFonts w:eastAsia="Yu Mincho"/>
          <w:spacing w:val="-2"/>
          <w:kern w:val="22"/>
          <w:lang w:val="en-CA"/>
        </w:rPr>
        <w:t xml:space="preserve">both </w:t>
      </w:r>
      <w:r w:rsidR="00733277" w:rsidRPr="000A349E">
        <w:rPr>
          <w:rFonts w:eastAsia="Yu Mincho"/>
          <w:spacing w:val="-2"/>
          <w:kern w:val="22"/>
          <w:lang w:val="en-CA"/>
        </w:rPr>
        <w:t xml:space="preserve">the </w:t>
      </w:r>
      <w:r w:rsidR="00A2682D" w:rsidRPr="000A349E">
        <w:rPr>
          <w:rFonts w:eastAsia="Yu Mincho"/>
          <w:spacing w:val="-2"/>
          <w:kern w:val="22"/>
          <w:lang w:val="en-CA"/>
        </w:rPr>
        <w:t>number and value</w:t>
      </w:r>
      <w:r w:rsidRPr="000A349E">
        <w:rPr>
          <w:rFonts w:eastAsia="Yu Mincho"/>
          <w:spacing w:val="-2"/>
          <w:kern w:val="22"/>
          <w:lang w:val="en-CA"/>
        </w:rPr>
        <w:t xml:space="preserve"> of CSAs could promote OECM’s growth and increase the </w:t>
      </w:r>
      <w:r w:rsidR="00A2682D" w:rsidRPr="000A349E">
        <w:rPr>
          <w:rFonts w:eastAsia="Yu Mincho"/>
          <w:spacing w:val="-2"/>
          <w:kern w:val="22"/>
          <w:lang w:val="en-CA"/>
        </w:rPr>
        <w:t xml:space="preserve">lifetime value </w:t>
      </w:r>
      <w:r w:rsidRPr="000A349E">
        <w:rPr>
          <w:rFonts w:eastAsia="Yu Mincho"/>
          <w:spacing w:val="-2"/>
          <w:kern w:val="22"/>
          <w:lang w:val="en-CA"/>
        </w:rPr>
        <w:t xml:space="preserve">of each CSA. Sabo aimed to make OECM its </w:t>
      </w:r>
      <w:r w:rsidR="00A2682D" w:rsidRPr="000A349E">
        <w:rPr>
          <w:rFonts w:eastAsia="Yu Mincho"/>
          <w:spacing w:val="-2"/>
          <w:kern w:val="22"/>
          <w:lang w:val="en-CA"/>
        </w:rPr>
        <w:t>c</w:t>
      </w:r>
      <w:r w:rsidRPr="000A349E">
        <w:rPr>
          <w:rFonts w:eastAsia="Yu Mincho"/>
          <w:spacing w:val="-2"/>
          <w:kern w:val="22"/>
          <w:lang w:val="en-CA"/>
        </w:rPr>
        <w:t>ustomers</w:t>
      </w:r>
      <w:r w:rsidR="00A2682D" w:rsidRPr="000A349E">
        <w:rPr>
          <w:rFonts w:eastAsia="Yu Mincho"/>
          <w:spacing w:val="-2"/>
          <w:kern w:val="22"/>
          <w:lang w:val="en-CA"/>
        </w:rPr>
        <w:t>’</w:t>
      </w:r>
      <w:r w:rsidRPr="000A349E">
        <w:rPr>
          <w:rFonts w:eastAsia="Yu Mincho"/>
          <w:spacing w:val="-2"/>
          <w:kern w:val="22"/>
          <w:lang w:val="en-CA"/>
        </w:rPr>
        <w:t xml:space="preserve"> first choice</w:t>
      </w:r>
      <w:r w:rsidR="00A2682D" w:rsidRPr="000A349E">
        <w:rPr>
          <w:rFonts w:eastAsia="Yu Mincho"/>
          <w:spacing w:val="-2"/>
          <w:kern w:val="22"/>
          <w:lang w:val="en-CA"/>
        </w:rPr>
        <w:t xml:space="preserve"> so that it would lose </w:t>
      </w:r>
      <w:r w:rsidRPr="000A349E">
        <w:rPr>
          <w:rFonts w:eastAsia="Yu Mincho"/>
          <w:spacing w:val="-2"/>
          <w:kern w:val="22"/>
          <w:lang w:val="en-CA"/>
        </w:rPr>
        <w:t xml:space="preserve">business only when </w:t>
      </w:r>
      <w:r w:rsidR="00A2682D" w:rsidRPr="000A349E">
        <w:rPr>
          <w:rFonts w:eastAsia="Yu Mincho"/>
          <w:spacing w:val="-2"/>
          <w:kern w:val="22"/>
          <w:lang w:val="en-CA"/>
        </w:rPr>
        <w:t xml:space="preserve">it </w:t>
      </w:r>
      <w:r w:rsidRPr="000A349E">
        <w:rPr>
          <w:rFonts w:eastAsia="Yu Mincho"/>
          <w:spacing w:val="-2"/>
          <w:kern w:val="22"/>
          <w:lang w:val="en-CA"/>
        </w:rPr>
        <w:t xml:space="preserve">did not offer the product or service demanded by </w:t>
      </w:r>
      <w:r w:rsidR="00A2682D" w:rsidRPr="000A349E">
        <w:rPr>
          <w:rFonts w:eastAsia="Yu Mincho"/>
          <w:spacing w:val="-2"/>
          <w:kern w:val="22"/>
          <w:lang w:val="en-CA"/>
        </w:rPr>
        <w:t>a c</w:t>
      </w:r>
      <w:r w:rsidRPr="000A349E">
        <w:rPr>
          <w:rFonts w:eastAsia="Yu Mincho"/>
          <w:spacing w:val="-2"/>
          <w:kern w:val="22"/>
          <w:lang w:val="en-CA"/>
        </w:rPr>
        <w:t xml:space="preserve">ustomer.  </w:t>
      </w:r>
    </w:p>
    <w:p w14:paraId="70EA6491" w14:textId="77777777" w:rsidR="00B02D49" w:rsidRPr="00301D54" w:rsidRDefault="00B02D49" w:rsidP="00301D54">
      <w:pPr>
        <w:pStyle w:val="BodyTextMain"/>
        <w:rPr>
          <w:rFonts w:eastAsia="Yu Mincho"/>
        </w:rPr>
      </w:pPr>
    </w:p>
    <w:p w14:paraId="6B20F04E" w14:textId="6E4233EA" w:rsidR="00B02D49" w:rsidRPr="000A349E" w:rsidRDefault="00B02D49" w:rsidP="00B02D49">
      <w:pPr>
        <w:pStyle w:val="BodyTextMain"/>
        <w:rPr>
          <w:rFonts w:eastAsia="Yu Mincho"/>
          <w:lang w:val="en-CA"/>
        </w:rPr>
      </w:pPr>
      <w:r w:rsidRPr="000A349E">
        <w:rPr>
          <w:rFonts w:eastAsia="Yu Mincho"/>
          <w:lang w:val="en-CA"/>
        </w:rPr>
        <w:t xml:space="preserve">OECM had 553 customers in four segments: school boards, colleges, universities, </w:t>
      </w:r>
      <w:r w:rsidR="00F94CD7" w:rsidRPr="000A349E">
        <w:rPr>
          <w:rFonts w:eastAsia="Yu Mincho"/>
          <w:lang w:val="en-CA"/>
        </w:rPr>
        <w:t xml:space="preserve">and </w:t>
      </w:r>
      <w:r w:rsidR="00A2682D" w:rsidRPr="000A349E">
        <w:rPr>
          <w:rFonts w:eastAsia="Yu Mincho"/>
          <w:lang w:val="en-CA"/>
        </w:rPr>
        <w:t xml:space="preserve">the </w:t>
      </w:r>
      <w:r w:rsidRPr="000A349E">
        <w:rPr>
          <w:rFonts w:eastAsia="Yu Mincho"/>
          <w:lang w:val="en-CA"/>
        </w:rPr>
        <w:t>BPS</w:t>
      </w:r>
      <w:r w:rsidR="00A2682D" w:rsidRPr="000A349E">
        <w:rPr>
          <w:rFonts w:eastAsia="Yu Mincho"/>
          <w:lang w:val="en-CA"/>
        </w:rPr>
        <w:t xml:space="preserve"> sector</w:t>
      </w:r>
      <w:r w:rsidR="006F76AD" w:rsidRPr="000A349E">
        <w:rPr>
          <w:rFonts w:eastAsia="Yu Mincho"/>
          <w:lang w:val="en-CA"/>
        </w:rPr>
        <w:t xml:space="preserve"> (see Exhibit 4)</w:t>
      </w:r>
      <w:r w:rsidRPr="000A349E">
        <w:rPr>
          <w:rFonts w:eastAsia="Yu Mincho"/>
          <w:lang w:val="en-CA"/>
        </w:rPr>
        <w:t xml:space="preserve">. OECM had at least one </w:t>
      </w:r>
      <w:r w:rsidR="008D7134" w:rsidRPr="000A349E">
        <w:rPr>
          <w:rFonts w:eastAsia="Yu Mincho"/>
          <w:lang w:val="en-CA"/>
        </w:rPr>
        <w:t>CSA</w:t>
      </w:r>
      <w:r w:rsidRPr="000A349E">
        <w:rPr>
          <w:rFonts w:eastAsia="Yu Mincho"/>
          <w:lang w:val="en-CA"/>
        </w:rPr>
        <w:t xml:space="preserve"> with all 116 educational institutions in Ontario (</w:t>
      </w:r>
      <w:r w:rsidR="00A2682D" w:rsidRPr="000A349E">
        <w:rPr>
          <w:rFonts w:eastAsia="Yu Mincho"/>
          <w:lang w:val="en-CA"/>
        </w:rPr>
        <w:t xml:space="preserve">i.e., 72 out of 72 </w:t>
      </w:r>
      <w:r w:rsidRPr="000A349E">
        <w:rPr>
          <w:rFonts w:eastAsia="Yu Mincho"/>
          <w:lang w:val="en-CA"/>
        </w:rPr>
        <w:t>school boards</w:t>
      </w:r>
      <w:r w:rsidR="00A2682D" w:rsidRPr="000A349E">
        <w:rPr>
          <w:rFonts w:eastAsia="Yu Mincho"/>
          <w:lang w:val="en-CA"/>
        </w:rPr>
        <w:t>,</w:t>
      </w:r>
      <w:r w:rsidRPr="000A349E">
        <w:rPr>
          <w:rFonts w:eastAsia="Yu Mincho"/>
          <w:lang w:val="en-CA"/>
        </w:rPr>
        <w:t xml:space="preserve"> </w:t>
      </w:r>
      <w:r w:rsidR="00A2682D" w:rsidRPr="000A349E">
        <w:rPr>
          <w:rFonts w:eastAsia="Yu Mincho"/>
          <w:lang w:val="en-CA"/>
        </w:rPr>
        <w:t xml:space="preserve">24 out of 24 </w:t>
      </w:r>
      <w:r w:rsidRPr="000A349E">
        <w:rPr>
          <w:rFonts w:eastAsia="Yu Mincho"/>
          <w:lang w:val="en-CA"/>
        </w:rPr>
        <w:t xml:space="preserve">colleges, and </w:t>
      </w:r>
      <w:r w:rsidR="00A2682D" w:rsidRPr="000A349E">
        <w:rPr>
          <w:rFonts w:eastAsia="Yu Mincho"/>
          <w:lang w:val="en-CA"/>
        </w:rPr>
        <w:t xml:space="preserve">20 out of 20 </w:t>
      </w:r>
      <w:r w:rsidRPr="000A349E">
        <w:rPr>
          <w:rFonts w:eastAsia="Yu Mincho"/>
          <w:lang w:val="en-CA"/>
        </w:rPr>
        <w:t xml:space="preserve">universities). OECM had also made its </w:t>
      </w:r>
      <w:r w:rsidR="006F76AD" w:rsidRPr="000A349E">
        <w:rPr>
          <w:rFonts w:eastAsia="Yu Mincho"/>
          <w:lang w:val="en-CA"/>
        </w:rPr>
        <w:t>c</w:t>
      </w:r>
      <w:r w:rsidRPr="000A349E">
        <w:rPr>
          <w:rFonts w:eastAsia="Yu Mincho"/>
          <w:lang w:val="en-CA"/>
        </w:rPr>
        <w:t xml:space="preserve">ontracts available to </w:t>
      </w:r>
      <w:r w:rsidR="006F76AD" w:rsidRPr="000A349E">
        <w:rPr>
          <w:rFonts w:eastAsia="Yu Mincho"/>
          <w:lang w:val="en-CA"/>
        </w:rPr>
        <w:t xml:space="preserve">the </w:t>
      </w:r>
      <w:r w:rsidRPr="000A349E">
        <w:rPr>
          <w:rFonts w:eastAsia="Yu Mincho"/>
          <w:lang w:val="en-CA"/>
        </w:rPr>
        <w:t>BPS</w:t>
      </w:r>
      <w:r w:rsidR="006F76AD" w:rsidRPr="000A349E">
        <w:rPr>
          <w:rFonts w:eastAsia="Yu Mincho"/>
          <w:lang w:val="en-CA"/>
        </w:rPr>
        <w:t xml:space="preserve"> sector</w:t>
      </w:r>
      <w:r w:rsidRPr="000A349E">
        <w:rPr>
          <w:rFonts w:eastAsia="Yu Mincho"/>
          <w:lang w:val="en-CA"/>
        </w:rPr>
        <w:t xml:space="preserve">, </w:t>
      </w:r>
      <w:r w:rsidR="006F76AD" w:rsidRPr="000A349E">
        <w:rPr>
          <w:rFonts w:eastAsia="Yu Mincho"/>
          <w:lang w:val="en-CA"/>
        </w:rPr>
        <w:t xml:space="preserve">where it had </w:t>
      </w:r>
      <w:proofErr w:type="gramStart"/>
      <w:r w:rsidRPr="000A349E">
        <w:rPr>
          <w:rFonts w:eastAsia="Yu Mincho"/>
          <w:lang w:val="en-CA"/>
        </w:rPr>
        <w:t>a total of 436</w:t>
      </w:r>
      <w:proofErr w:type="gramEnd"/>
      <w:r w:rsidRPr="000A349E">
        <w:rPr>
          <w:rFonts w:eastAsia="Yu Mincho"/>
          <w:lang w:val="en-CA"/>
        </w:rPr>
        <w:t xml:space="preserve"> </w:t>
      </w:r>
      <w:r w:rsidR="006F76AD" w:rsidRPr="000A349E">
        <w:rPr>
          <w:rFonts w:eastAsia="Yu Mincho"/>
          <w:lang w:val="en-CA"/>
        </w:rPr>
        <w:t>c</w:t>
      </w:r>
      <w:r w:rsidRPr="000A349E">
        <w:rPr>
          <w:rFonts w:eastAsia="Yu Mincho"/>
          <w:lang w:val="en-CA"/>
        </w:rPr>
        <w:t xml:space="preserve">ustomers. BPS was a smaller proportion of </w:t>
      </w:r>
      <w:proofErr w:type="gramStart"/>
      <w:r w:rsidRPr="000A349E">
        <w:rPr>
          <w:rFonts w:eastAsia="Yu Mincho"/>
          <w:lang w:val="en-CA"/>
        </w:rPr>
        <w:t>OECM’s</w:t>
      </w:r>
      <w:proofErr w:type="gramEnd"/>
      <w:r w:rsidRPr="000A349E">
        <w:rPr>
          <w:rFonts w:eastAsia="Yu Mincho"/>
          <w:lang w:val="en-CA"/>
        </w:rPr>
        <w:t xml:space="preserve"> </w:t>
      </w:r>
      <w:r w:rsidR="006F76AD" w:rsidRPr="000A349E">
        <w:rPr>
          <w:rFonts w:eastAsia="Yu Mincho"/>
          <w:lang w:val="en-CA"/>
        </w:rPr>
        <w:t>s</w:t>
      </w:r>
      <w:r w:rsidRPr="000A349E">
        <w:rPr>
          <w:rFonts w:eastAsia="Yu Mincho"/>
          <w:lang w:val="en-CA"/>
        </w:rPr>
        <w:t>pend (approximately $</w:t>
      </w:r>
      <w:r w:rsidR="006F76AD" w:rsidRPr="000A349E">
        <w:rPr>
          <w:rFonts w:eastAsia="Yu Mincho"/>
          <w:lang w:val="en-CA"/>
        </w:rPr>
        <w:t xml:space="preserve">29 million </w:t>
      </w:r>
      <w:r w:rsidRPr="000A349E">
        <w:rPr>
          <w:rFonts w:eastAsia="Yu Mincho"/>
          <w:lang w:val="en-CA"/>
        </w:rPr>
        <w:t xml:space="preserve">in 2017), </w:t>
      </w:r>
      <w:r w:rsidR="006F76AD" w:rsidRPr="000A349E">
        <w:rPr>
          <w:rFonts w:eastAsia="Yu Mincho"/>
          <w:lang w:val="en-CA"/>
        </w:rPr>
        <w:t>but this</w:t>
      </w:r>
      <w:r w:rsidRPr="000A349E">
        <w:rPr>
          <w:rFonts w:eastAsia="Yu Mincho"/>
          <w:lang w:val="en-CA"/>
        </w:rPr>
        <w:t xml:space="preserve"> segment had the largest potential for growth. Although OECM’s primary focus was education, BPS </w:t>
      </w:r>
      <w:r w:rsidR="00F94CD7" w:rsidRPr="000A349E">
        <w:rPr>
          <w:rFonts w:eastAsia="Yu Mincho"/>
          <w:lang w:val="en-CA"/>
        </w:rPr>
        <w:t xml:space="preserve">entities </w:t>
      </w:r>
      <w:r w:rsidRPr="000A349E">
        <w:rPr>
          <w:rFonts w:eastAsia="Yu Mincho"/>
          <w:lang w:val="en-CA"/>
        </w:rPr>
        <w:t xml:space="preserve">were also able to take advantage of the </w:t>
      </w:r>
      <w:r w:rsidR="006F76AD" w:rsidRPr="000A349E">
        <w:rPr>
          <w:rFonts w:eastAsia="Yu Mincho"/>
          <w:lang w:val="en-CA"/>
        </w:rPr>
        <w:t>c</w:t>
      </w:r>
      <w:r w:rsidRPr="000A349E">
        <w:rPr>
          <w:rFonts w:eastAsia="Yu Mincho"/>
          <w:lang w:val="en-CA"/>
        </w:rPr>
        <w:t xml:space="preserve">ontracts. </w:t>
      </w:r>
    </w:p>
    <w:p w14:paraId="69AFD43F" w14:textId="77777777" w:rsidR="00B02D49" w:rsidRPr="00301D54" w:rsidRDefault="00B02D49" w:rsidP="00301D54">
      <w:pPr>
        <w:pStyle w:val="BodyTextMain"/>
        <w:rPr>
          <w:rFonts w:eastAsia="Yu Mincho"/>
        </w:rPr>
      </w:pPr>
    </w:p>
    <w:p w14:paraId="196E7517" w14:textId="79AD0E21" w:rsidR="00B02D49" w:rsidRPr="000A349E" w:rsidRDefault="00B02D49" w:rsidP="00B02D49">
      <w:pPr>
        <w:pStyle w:val="BodyTextMain"/>
        <w:rPr>
          <w:rFonts w:eastAsia="Yu Mincho"/>
          <w:lang w:val="en-CA"/>
        </w:rPr>
      </w:pPr>
      <w:r w:rsidRPr="000A349E">
        <w:rPr>
          <w:rFonts w:eastAsia="Yu Mincho"/>
          <w:lang w:val="en-CA"/>
        </w:rPr>
        <w:t xml:space="preserve">Since 2017, </w:t>
      </w:r>
      <w:r w:rsidR="006F76AD" w:rsidRPr="000A349E">
        <w:rPr>
          <w:rFonts w:eastAsia="Yu Mincho"/>
          <w:lang w:val="en-CA"/>
        </w:rPr>
        <w:t>OECM had entered into</w:t>
      </w:r>
      <w:r w:rsidRPr="000A349E">
        <w:rPr>
          <w:rFonts w:eastAsia="Yu Mincho"/>
          <w:lang w:val="en-CA"/>
        </w:rPr>
        <w:t xml:space="preserve"> 421</w:t>
      </w:r>
      <w:r w:rsidR="001132C4" w:rsidRPr="000A349E">
        <w:rPr>
          <w:rFonts w:eastAsia="Yu Mincho"/>
          <w:lang w:val="en-CA"/>
        </w:rPr>
        <w:t xml:space="preserve"> new CSAs, a</w:t>
      </w:r>
      <w:r w:rsidRPr="000A349E">
        <w:rPr>
          <w:rFonts w:eastAsia="Yu Mincho"/>
          <w:lang w:val="en-CA"/>
        </w:rPr>
        <w:t xml:space="preserve"> 22</w:t>
      </w:r>
      <w:r w:rsidR="001132C4" w:rsidRPr="000A349E">
        <w:rPr>
          <w:rFonts w:eastAsia="Yu Mincho"/>
          <w:lang w:val="en-CA"/>
        </w:rPr>
        <w:t xml:space="preserve">.0 per cent increase overall </w:t>
      </w:r>
      <w:r w:rsidRPr="000A349E">
        <w:rPr>
          <w:rFonts w:eastAsia="Yu Mincho"/>
          <w:lang w:val="en-CA"/>
        </w:rPr>
        <w:t>(</w:t>
      </w:r>
      <w:r w:rsidR="00664061" w:rsidRPr="000A349E">
        <w:rPr>
          <w:rFonts w:eastAsia="Yu Mincho"/>
          <w:lang w:val="en-CA"/>
        </w:rPr>
        <w:t xml:space="preserve">see </w:t>
      </w:r>
      <w:r w:rsidRPr="000A349E">
        <w:rPr>
          <w:rFonts w:eastAsia="Yu Mincho"/>
          <w:lang w:val="en-CA"/>
        </w:rPr>
        <w:t xml:space="preserve">Exhibit </w:t>
      </w:r>
      <w:r w:rsidR="00664061" w:rsidRPr="000A349E">
        <w:rPr>
          <w:rFonts w:eastAsia="Yu Mincho"/>
          <w:lang w:val="en-CA"/>
        </w:rPr>
        <w:t>3</w:t>
      </w:r>
      <w:r w:rsidRPr="000A349E">
        <w:rPr>
          <w:rFonts w:eastAsia="Yu Mincho"/>
          <w:lang w:val="en-CA"/>
        </w:rPr>
        <w:t xml:space="preserve">), and </w:t>
      </w:r>
      <w:r w:rsidR="00733277" w:rsidRPr="000A349E">
        <w:rPr>
          <w:rFonts w:eastAsia="Yu Mincho"/>
          <w:lang w:val="en-CA"/>
        </w:rPr>
        <w:t xml:space="preserve">it </w:t>
      </w:r>
      <w:r w:rsidR="001132C4" w:rsidRPr="000A349E">
        <w:rPr>
          <w:rFonts w:eastAsia="Yu Mincho"/>
          <w:lang w:val="en-CA"/>
        </w:rPr>
        <w:t xml:space="preserve">had CSAs in </w:t>
      </w:r>
      <w:proofErr w:type="gramStart"/>
      <w:r w:rsidR="001132C4" w:rsidRPr="000A349E">
        <w:rPr>
          <w:rFonts w:eastAsia="Yu Mincho"/>
          <w:lang w:val="en-CA"/>
        </w:rPr>
        <w:t xml:space="preserve">a </w:t>
      </w:r>
      <w:r w:rsidRPr="000A349E">
        <w:rPr>
          <w:rFonts w:eastAsia="Yu Mincho"/>
          <w:lang w:val="en-CA"/>
        </w:rPr>
        <w:t>total</w:t>
      </w:r>
      <w:r w:rsidR="001132C4" w:rsidRPr="000A349E">
        <w:rPr>
          <w:rFonts w:eastAsia="Yu Mincho"/>
          <w:lang w:val="en-CA"/>
        </w:rPr>
        <w:t xml:space="preserve"> of</w:t>
      </w:r>
      <w:r w:rsidRPr="000A349E">
        <w:rPr>
          <w:rFonts w:eastAsia="Yu Mincho"/>
          <w:lang w:val="en-CA"/>
        </w:rPr>
        <w:t xml:space="preserve"> 64</w:t>
      </w:r>
      <w:proofErr w:type="gramEnd"/>
      <w:r w:rsidRPr="000A349E">
        <w:rPr>
          <w:rFonts w:eastAsia="Yu Mincho"/>
          <w:lang w:val="en-CA"/>
        </w:rPr>
        <w:t xml:space="preserve"> categories</w:t>
      </w:r>
      <w:r w:rsidR="001132C4" w:rsidRPr="000A349E">
        <w:rPr>
          <w:rFonts w:eastAsia="Yu Mincho"/>
          <w:lang w:val="en-CA"/>
        </w:rPr>
        <w:t>, which represented a 16.4 per cent increase in the number of categories</w:t>
      </w:r>
      <w:r w:rsidRPr="000A349E">
        <w:rPr>
          <w:rFonts w:eastAsia="Yu Mincho"/>
          <w:lang w:val="en-CA"/>
        </w:rPr>
        <w:t xml:space="preserve">. </w:t>
      </w:r>
      <w:r w:rsidR="001132C4" w:rsidRPr="000A349E">
        <w:rPr>
          <w:rFonts w:eastAsia="Yu Mincho"/>
          <w:lang w:val="en-CA"/>
        </w:rPr>
        <w:t xml:space="preserve">However, </w:t>
      </w:r>
      <w:r w:rsidRPr="000A349E">
        <w:rPr>
          <w:rFonts w:eastAsia="Yu Mincho"/>
          <w:lang w:val="en-CA"/>
        </w:rPr>
        <w:t xml:space="preserve">looking at </w:t>
      </w:r>
      <w:r w:rsidR="001132C4" w:rsidRPr="000A349E">
        <w:rPr>
          <w:rFonts w:eastAsia="Yu Mincho"/>
          <w:lang w:val="en-CA"/>
        </w:rPr>
        <w:t xml:space="preserve">the number of </w:t>
      </w:r>
      <w:r w:rsidRPr="000A349E">
        <w:rPr>
          <w:rFonts w:eastAsia="Yu Mincho"/>
          <w:lang w:val="en-CA"/>
        </w:rPr>
        <w:t xml:space="preserve">categories and </w:t>
      </w:r>
      <w:r w:rsidR="001132C4" w:rsidRPr="000A349E">
        <w:rPr>
          <w:rFonts w:eastAsia="Yu Mincho"/>
          <w:lang w:val="en-CA"/>
        </w:rPr>
        <w:t>c</w:t>
      </w:r>
      <w:r w:rsidRPr="000A349E">
        <w:rPr>
          <w:rFonts w:eastAsia="Yu Mincho"/>
          <w:lang w:val="en-CA"/>
        </w:rPr>
        <w:t xml:space="preserve">ustomers did not capture the extent to which </w:t>
      </w:r>
      <w:r w:rsidR="001132C4" w:rsidRPr="000A349E">
        <w:rPr>
          <w:rFonts w:eastAsia="Yu Mincho"/>
          <w:lang w:val="en-CA"/>
        </w:rPr>
        <w:t>OECM’s c</w:t>
      </w:r>
      <w:r w:rsidRPr="000A349E">
        <w:rPr>
          <w:rFonts w:eastAsia="Yu Mincho"/>
          <w:lang w:val="en-CA"/>
        </w:rPr>
        <w:t xml:space="preserve">ustomers were utilizing the contracts. Was OECM their sole </w:t>
      </w:r>
      <w:r w:rsidR="001132C4" w:rsidRPr="000A349E">
        <w:rPr>
          <w:rFonts w:eastAsia="Yu Mincho"/>
          <w:lang w:val="en-CA"/>
        </w:rPr>
        <w:t>s</w:t>
      </w:r>
      <w:r w:rsidRPr="000A349E">
        <w:rPr>
          <w:rFonts w:eastAsia="Yu Mincho"/>
          <w:lang w:val="en-CA"/>
        </w:rPr>
        <w:t xml:space="preserve">upplier for specific </w:t>
      </w:r>
      <w:r w:rsidR="001132C4" w:rsidRPr="000A349E">
        <w:rPr>
          <w:rFonts w:eastAsia="Yu Mincho"/>
          <w:lang w:val="en-CA"/>
        </w:rPr>
        <w:t>c</w:t>
      </w:r>
      <w:r w:rsidRPr="000A349E">
        <w:rPr>
          <w:rFonts w:eastAsia="Yu Mincho"/>
          <w:lang w:val="en-CA"/>
        </w:rPr>
        <w:t xml:space="preserve">ontract </w:t>
      </w:r>
      <w:r w:rsidR="001132C4" w:rsidRPr="000A349E">
        <w:rPr>
          <w:rFonts w:eastAsia="Yu Mincho"/>
          <w:lang w:val="en-CA"/>
        </w:rPr>
        <w:t>c</w:t>
      </w:r>
      <w:r w:rsidRPr="000A349E">
        <w:rPr>
          <w:rFonts w:eastAsia="Yu Mincho"/>
          <w:lang w:val="en-CA"/>
        </w:rPr>
        <w:t xml:space="preserve">ategories? To </w:t>
      </w:r>
      <w:r w:rsidR="009078FE" w:rsidRPr="000A349E">
        <w:rPr>
          <w:rFonts w:eastAsia="Yu Mincho"/>
          <w:lang w:val="en-CA"/>
        </w:rPr>
        <w:t>answer this question</w:t>
      </w:r>
      <w:r w:rsidRPr="000A349E">
        <w:rPr>
          <w:rFonts w:eastAsia="Yu Mincho"/>
          <w:lang w:val="en-CA"/>
        </w:rPr>
        <w:t xml:space="preserve">, OECM would need access to the </w:t>
      </w:r>
      <w:r w:rsidR="001132C4" w:rsidRPr="000A349E">
        <w:rPr>
          <w:rFonts w:eastAsia="Yu Mincho"/>
          <w:lang w:val="en-CA"/>
        </w:rPr>
        <w:t>c</w:t>
      </w:r>
      <w:r w:rsidRPr="000A349E">
        <w:rPr>
          <w:rFonts w:eastAsia="Yu Mincho"/>
          <w:lang w:val="en-CA"/>
        </w:rPr>
        <w:t>ustomers</w:t>
      </w:r>
      <w:r w:rsidR="001132C4" w:rsidRPr="000A349E">
        <w:rPr>
          <w:rFonts w:eastAsia="Yu Mincho"/>
          <w:lang w:val="en-CA"/>
        </w:rPr>
        <w:t>’</w:t>
      </w:r>
      <w:r w:rsidRPr="000A349E">
        <w:rPr>
          <w:rFonts w:eastAsia="Yu Mincho"/>
          <w:lang w:val="en-CA"/>
        </w:rPr>
        <w:t xml:space="preserve"> data</w:t>
      </w:r>
      <w:r w:rsidR="001132C4" w:rsidRPr="000A349E">
        <w:rPr>
          <w:rFonts w:eastAsia="Yu Mincho"/>
          <w:lang w:val="en-CA"/>
        </w:rPr>
        <w:t xml:space="preserve">—something </w:t>
      </w:r>
      <w:r w:rsidRPr="000A349E">
        <w:rPr>
          <w:rFonts w:eastAsia="Yu Mincho"/>
          <w:lang w:val="en-CA"/>
        </w:rPr>
        <w:t xml:space="preserve">many </w:t>
      </w:r>
      <w:r w:rsidR="001132C4" w:rsidRPr="000A349E">
        <w:rPr>
          <w:rFonts w:eastAsia="Yu Mincho"/>
          <w:lang w:val="en-CA"/>
        </w:rPr>
        <w:t>c</w:t>
      </w:r>
      <w:r w:rsidRPr="000A349E">
        <w:rPr>
          <w:rFonts w:eastAsia="Yu Mincho"/>
          <w:lang w:val="en-CA"/>
        </w:rPr>
        <w:t xml:space="preserve">ustomers were likely to </w:t>
      </w:r>
      <w:r w:rsidR="001132C4" w:rsidRPr="000A349E">
        <w:rPr>
          <w:rFonts w:eastAsia="Yu Mincho"/>
          <w:lang w:val="en-CA"/>
        </w:rPr>
        <w:t>resist</w:t>
      </w:r>
      <w:r w:rsidRPr="000A349E">
        <w:rPr>
          <w:rFonts w:eastAsia="Yu Mincho"/>
          <w:lang w:val="en-CA"/>
        </w:rPr>
        <w:t xml:space="preserve">. “As we grow, and we have more </w:t>
      </w:r>
      <w:r w:rsidR="001132C4" w:rsidRPr="000A349E">
        <w:rPr>
          <w:rFonts w:eastAsia="Yu Mincho"/>
          <w:lang w:val="en-CA"/>
        </w:rPr>
        <w:t>c</w:t>
      </w:r>
      <w:r w:rsidRPr="000A349E">
        <w:rPr>
          <w:rFonts w:eastAsia="Yu Mincho"/>
          <w:lang w:val="en-CA"/>
        </w:rPr>
        <w:t>ustomers participate, we want to build a relationship so strong they offer us their keys to their system</w:t>
      </w:r>
      <w:r w:rsidR="001132C4" w:rsidRPr="000A349E">
        <w:rPr>
          <w:rFonts w:eastAsia="Yu Mincho"/>
          <w:lang w:val="en-CA"/>
        </w:rPr>
        <w:t>,</w:t>
      </w:r>
      <w:r w:rsidRPr="000A349E">
        <w:rPr>
          <w:rFonts w:eastAsia="Yu Mincho"/>
          <w:lang w:val="en-CA"/>
        </w:rPr>
        <w:t xml:space="preserve">” explained </w:t>
      </w:r>
      <w:r w:rsidR="00E65A2E" w:rsidRPr="000A349E">
        <w:rPr>
          <w:rFonts w:eastAsia="Yu Mincho"/>
          <w:lang w:val="en-CA"/>
        </w:rPr>
        <w:t>Sabo</w:t>
      </w:r>
      <w:r w:rsidRPr="000A349E">
        <w:rPr>
          <w:rFonts w:eastAsia="Yu Mincho"/>
          <w:lang w:val="en-CA"/>
        </w:rPr>
        <w:t xml:space="preserve">. Despite impressive numbers, Sabo recognized that more work was required to </w:t>
      </w:r>
      <w:r w:rsidR="00ED329B" w:rsidRPr="000A349E">
        <w:rPr>
          <w:rFonts w:eastAsia="Yu Mincho"/>
          <w:lang w:val="en-CA"/>
        </w:rPr>
        <w:t>scale and achieve</w:t>
      </w:r>
      <w:r w:rsidRPr="000A349E">
        <w:rPr>
          <w:rFonts w:eastAsia="Yu Mincho"/>
          <w:lang w:val="en-CA"/>
        </w:rPr>
        <w:t xml:space="preserve"> the </w:t>
      </w:r>
      <w:r w:rsidR="001132C4" w:rsidRPr="000A349E">
        <w:rPr>
          <w:rFonts w:eastAsia="Yu Mincho"/>
          <w:lang w:val="en-CA"/>
        </w:rPr>
        <w:t>hoped-</w:t>
      </w:r>
      <w:r w:rsidRPr="000A349E">
        <w:rPr>
          <w:rFonts w:eastAsia="Yu Mincho"/>
          <w:lang w:val="en-CA"/>
        </w:rPr>
        <w:t xml:space="preserve">for high growth. </w:t>
      </w:r>
    </w:p>
    <w:p w14:paraId="3D8EC507" w14:textId="77777777" w:rsidR="00B02D49" w:rsidRPr="00301D54" w:rsidRDefault="00B02D49" w:rsidP="00301D54">
      <w:pPr>
        <w:pStyle w:val="BodyTextMain"/>
        <w:rPr>
          <w:rFonts w:eastAsia="Yu Mincho"/>
        </w:rPr>
      </w:pPr>
    </w:p>
    <w:p w14:paraId="292976EF" w14:textId="648C41C5" w:rsidR="00B02D49" w:rsidRPr="000A349E" w:rsidRDefault="00B02D49" w:rsidP="00B02D49">
      <w:pPr>
        <w:pStyle w:val="BodyTextMain"/>
        <w:rPr>
          <w:rFonts w:eastAsia="Yu Mincho"/>
          <w:lang w:val="en-CA"/>
        </w:rPr>
      </w:pPr>
      <w:r w:rsidRPr="000A349E">
        <w:rPr>
          <w:rFonts w:eastAsia="Yu Mincho"/>
          <w:lang w:val="en-CA"/>
        </w:rPr>
        <w:t xml:space="preserve">It was uncertain how OECM should minimize </w:t>
      </w:r>
      <w:r w:rsidR="001132C4" w:rsidRPr="000A349E">
        <w:rPr>
          <w:rFonts w:eastAsia="Yu Mincho"/>
          <w:lang w:val="en-CA"/>
        </w:rPr>
        <w:t xml:space="preserve">its </w:t>
      </w:r>
      <w:r w:rsidRPr="000A349E">
        <w:rPr>
          <w:rFonts w:eastAsia="Yu Mincho"/>
          <w:lang w:val="en-CA"/>
        </w:rPr>
        <w:t xml:space="preserve">cost of </w:t>
      </w:r>
      <w:r w:rsidR="001132C4" w:rsidRPr="000A349E">
        <w:rPr>
          <w:rFonts w:eastAsia="Yu Mincho"/>
          <w:lang w:val="en-CA"/>
        </w:rPr>
        <w:t>c</w:t>
      </w:r>
      <w:r w:rsidRPr="000A349E">
        <w:rPr>
          <w:rFonts w:eastAsia="Yu Mincho"/>
          <w:lang w:val="en-CA"/>
        </w:rPr>
        <w:t xml:space="preserve">ustomer acquisition while capturing the targeted new </w:t>
      </w:r>
      <w:r w:rsidR="001132C4" w:rsidRPr="000A349E">
        <w:rPr>
          <w:rFonts w:eastAsia="Yu Mincho"/>
          <w:lang w:val="en-CA"/>
        </w:rPr>
        <w:t>c</w:t>
      </w:r>
      <w:r w:rsidRPr="000A349E">
        <w:rPr>
          <w:rFonts w:eastAsia="Yu Mincho"/>
          <w:lang w:val="en-CA"/>
        </w:rPr>
        <w:t>ustomers. From 2016</w:t>
      </w:r>
      <w:r w:rsidR="001132C4" w:rsidRPr="000A349E">
        <w:rPr>
          <w:rFonts w:eastAsia="Yu Mincho"/>
          <w:lang w:val="en-CA"/>
        </w:rPr>
        <w:t xml:space="preserve"> to </w:t>
      </w:r>
      <w:r w:rsidRPr="000A349E">
        <w:rPr>
          <w:rFonts w:eastAsia="Yu Mincho"/>
          <w:lang w:val="en-CA"/>
        </w:rPr>
        <w:t xml:space="preserve">2017, OECM added 78 </w:t>
      </w:r>
      <w:r w:rsidR="001132C4" w:rsidRPr="000A349E">
        <w:rPr>
          <w:rFonts w:eastAsia="Yu Mincho"/>
          <w:lang w:val="en-CA"/>
        </w:rPr>
        <w:t>c</w:t>
      </w:r>
      <w:r w:rsidRPr="000A349E">
        <w:rPr>
          <w:rFonts w:eastAsia="Yu Mincho"/>
          <w:lang w:val="en-CA"/>
        </w:rPr>
        <w:t xml:space="preserve">ustomers through a </w:t>
      </w:r>
      <w:r w:rsidR="001132C4" w:rsidRPr="000A349E">
        <w:rPr>
          <w:rFonts w:eastAsia="Yu Mincho"/>
          <w:lang w:val="en-CA"/>
        </w:rPr>
        <w:t>word-of-mouth</w:t>
      </w:r>
      <w:r w:rsidRPr="000A349E">
        <w:rPr>
          <w:rFonts w:eastAsia="Yu Mincho"/>
          <w:lang w:val="en-CA"/>
        </w:rPr>
        <w:t xml:space="preserve"> strategy. Although this had been effective in the short term, it was not enough </w:t>
      </w:r>
      <w:r w:rsidR="001132C4" w:rsidRPr="000A349E">
        <w:rPr>
          <w:rFonts w:eastAsia="Yu Mincho"/>
          <w:lang w:val="en-CA"/>
        </w:rPr>
        <w:t xml:space="preserve">by itself </w:t>
      </w:r>
      <w:r w:rsidRPr="000A349E">
        <w:rPr>
          <w:rFonts w:eastAsia="Yu Mincho"/>
          <w:lang w:val="en-CA"/>
        </w:rPr>
        <w:t xml:space="preserve">to provide the high growth OECM aimed to achieve. OECM used e-tendering platforms to market new sourcing initiatives to potential </w:t>
      </w:r>
      <w:r w:rsidR="001132C4" w:rsidRPr="000A349E">
        <w:rPr>
          <w:rFonts w:eastAsia="Yu Mincho"/>
          <w:lang w:val="en-CA"/>
        </w:rPr>
        <w:t>s</w:t>
      </w:r>
      <w:r w:rsidRPr="000A349E">
        <w:rPr>
          <w:rFonts w:eastAsia="Yu Mincho"/>
          <w:lang w:val="en-CA"/>
        </w:rPr>
        <w:t xml:space="preserve">uppliers. Once </w:t>
      </w:r>
      <w:r w:rsidR="001132C4" w:rsidRPr="000A349E">
        <w:rPr>
          <w:rFonts w:eastAsia="Yu Mincho"/>
          <w:lang w:val="en-CA"/>
        </w:rPr>
        <w:t xml:space="preserve">OECM’s customers identified </w:t>
      </w:r>
      <w:r w:rsidRPr="000A349E">
        <w:rPr>
          <w:rFonts w:eastAsia="Yu Mincho"/>
          <w:lang w:val="en-CA"/>
        </w:rPr>
        <w:t xml:space="preserve">a need, OECM began sourcing </w:t>
      </w:r>
      <w:r w:rsidR="001132C4" w:rsidRPr="000A349E">
        <w:rPr>
          <w:rFonts w:eastAsia="Yu Mincho"/>
          <w:lang w:val="en-CA"/>
        </w:rPr>
        <w:t xml:space="preserve">by reaching out </w:t>
      </w:r>
      <w:r w:rsidRPr="000A349E">
        <w:rPr>
          <w:rFonts w:eastAsia="Yu Mincho"/>
          <w:lang w:val="en-CA"/>
        </w:rPr>
        <w:t xml:space="preserve">to </w:t>
      </w:r>
      <w:r w:rsidR="001132C4" w:rsidRPr="000A349E">
        <w:rPr>
          <w:rFonts w:eastAsia="Yu Mincho"/>
          <w:lang w:val="en-CA"/>
        </w:rPr>
        <w:t>s</w:t>
      </w:r>
      <w:r w:rsidRPr="000A349E">
        <w:rPr>
          <w:rFonts w:eastAsia="Yu Mincho"/>
          <w:lang w:val="en-CA"/>
        </w:rPr>
        <w:t xml:space="preserve">uppliers. Through </w:t>
      </w:r>
      <w:r w:rsidR="001132C4" w:rsidRPr="000A349E">
        <w:rPr>
          <w:rFonts w:eastAsia="Yu Mincho"/>
          <w:lang w:val="en-CA"/>
        </w:rPr>
        <w:t xml:space="preserve">the </w:t>
      </w:r>
      <w:r w:rsidRPr="000A349E">
        <w:rPr>
          <w:rFonts w:eastAsia="Yu Mincho"/>
          <w:lang w:val="en-CA"/>
        </w:rPr>
        <w:t>two e</w:t>
      </w:r>
      <w:r w:rsidR="001132C4" w:rsidRPr="000A349E">
        <w:rPr>
          <w:rFonts w:eastAsia="Yu Mincho"/>
          <w:lang w:val="en-CA"/>
        </w:rPr>
        <w:t>-</w:t>
      </w:r>
      <w:r w:rsidRPr="000A349E">
        <w:rPr>
          <w:rFonts w:eastAsia="Yu Mincho"/>
          <w:lang w:val="en-CA"/>
        </w:rPr>
        <w:t xml:space="preserve">tendering websites </w:t>
      </w:r>
      <w:proofErr w:type="spellStart"/>
      <w:r w:rsidRPr="000A349E">
        <w:rPr>
          <w:rFonts w:eastAsia="Yu Mincho"/>
          <w:lang w:val="en-CA"/>
        </w:rPr>
        <w:t>Merx</w:t>
      </w:r>
      <w:proofErr w:type="spellEnd"/>
      <w:r w:rsidRPr="000A349E">
        <w:rPr>
          <w:rFonts w:eastAsia="Yu Mincho"/>
          <w:lang w:val="en-CA"/>
        </w:rPr>
        <w:t xml:space="preserve"> and </w:t>
      </w:r>
      <w:proofErr w:type="spellStart"/>
      <w:r w:rsidRPr="000A349E">
        <w:rPr>
          <w:rFonts w:eastAsia="Yu Mincho"/>
          <w:lang w:val="en-CA"/>
        </w:rPr>
        <w:t>Biddingo</w:t>
      </w:r>
      <w:proofErr w:type="spellEnd"/>
      <w:r w:rsidRPr="000A349E">
        <w:rPr>
          <w:rFonts w:eastAsia="Yu Mincho"/>
          <w:lang w:val="en-CA"/>
        </w:rPr>
        <w:t xml:space="preserve">, </w:t>
      </w:r>
      <w:r w:rsidR="001132C4" w:rsidRPr="000A349E">
        <w:rPr>
          <w:rFonts w:eastAsia="Yu Mincho"/>
          <w:lang w:val="en-CA"/>
        </w:rPr>
        <w:t>it informed s</w:t>
      </w:r>
      <w:r w:rsidRPr="000A349E">
        <w:rPr>
          <w:rFonts w:eastAsia="Yu Mincho"/>
          <w:lang w:val="en-CA"/>
        </w:rPr>
        <w:t xml:space="preserve">uppliers </w:t>
      </w:r>
      <w:r w:rsidR="001132C4" w:rsidRPr="000A349E">
        <w:rPr>
          <w:rFonts w:eastAsia="Yu Mincho"/>
          <w:lang w:val="en-CA"/>
        </w:rPr>
        <w:t>about</w:t>
      </w:r>
      <w:r w:rsidRPr="000A349E">
        <w:rPr>
          <w:rFonts w:eastAsia="Yu Mincho"/>
          <w:lang w:val="en-CA"/>
        </w:rPr>
        <w:t xml:space="preserve"> renewals of existing contracts and </w:t>
      </w:r>
      <w:r w:rsidR="001132C4" w:rsidRPr="000A349E">
        <w:rPr>
          <w:rFonts w:eastAsia="Yu Mincho"/>
          <w:lang w:val="en-CA"/>
        </w:rPr>
        <w:t xml:space="preserve">about </w:t>
      </w:r>
      <w:r w:rsidRPr="000A349E">
        <w:rPr>
          <w:rFonts w:eastAsia="Yu Mincho"/>
          <w:lang w:val="en-CA"/>
        </w:rPr>
        <w:t xml:space="preserve">upcoming RFPs and </w:t>
      </w:r>
      <w:r w:rsidR="001132C4" w:rsidRPr="000A349E">
        <w:rPr>
          <w:rFonts w:eastAsia="Yu Mincho"/>
          <w:lang w:val="en-CA"/>
        </w:rPr>
        <w:t>s</w:t>
      </w:r>
      <w:r w:rsidRPr="000A349E">
        <w:rPr>
          <w:rFonts w:eastAsia="Yu Mincho"/>
          <w:lang w:val="en-CA"/>
        </w:rPr>
        <w:t xml:space="preserve">upplier consultations. The consultations </w:t>
      </w:r>
      <w:r w:rsidR="001132C4" w:rsidRPr="000A349E">
        <w:rPr>
          <w:rFonts w:eastAsia="Yu Mincho"/>
          <w:lang w:val="en-CA"/>
        </w:rPr>
        <w:t>allowed s</w:t>
      </w:r>
      <w:r w:rsidRPr="000A349E">
        <w:rPr>
          <w:rFonts w:eastAsia="Yu Mincho"/>
          <w:lang w:val="en-CA"/>
        </w:rPr>
        <w:t xml:space="preserve">uppliers </w:t>
      </w:r>
      <w:proofErr w:type="gramStart"/>
      <w:r w:rsidRPr="000A349E">
        <w:rPr>
          <w:rFonts w:eastAsia="Yu Mincho"/>
          <w:lang w:val="en-CA"/>
        </w:rPr>
        <w:t>to better understand</w:t>
      </w:r>
      <w:proofErr w:type="gramEnd"/>
      <w:r w:rsidRPr="000A349E">
        <w:rPr>
          <w:rFonts w:eastAsia="Yu Mincho"/>
          <w:lang w:val="en-CA"/>
        </w:rPr>
        <w:t xml:space="preserve"> the industry, products, </w:t>
      </w:r>
      <w:r w:rsidR="001132C4" w:rsidRPr="000A349E">
        <w:rPr>
          <w:rFonts w:eastAsia="Yu Mincho"/>
          <w:lang w:val="en-CA"/>
        </w:rPr>
        <w:t xml:space="preserve">and </w:t>
      </w:r>
      <w:r w:rsidRPr="000A349E">
        <w:rPr>
          <w:rFonts w:eastAsia="Yu Mincho"/>
          <w:lang w:val="en-CA"/>
        </w:rPr>
        <w:t xml:space="preserve">trends, and </w:t>
      </w:r>
      <w:r w:rsidR="001132C4" w:rsidRPr="000A349E">
        <w:rPr>
          <w:rFonts w:eastAsia="Yu Mincho"/>
          <w:lang w:val="en-CA"/>
        </w:rPr>
        <w:t xml:space="preserve">they </w:t>
      </w:r>
      <w:r w:rsidRPr="000A349E">
        <w:rPr>
          <w:rFonts w:eastAsia="Yu Mincho"/>
          <w:lang w:val="en-CA"/>
        </w:rPr>
        <w:t>raise</w:t>
      </w:r>
      <w:r w:rsidR="001132C4" w:rsidRPr="000A349E">
        <w:rPr>
          <w:rFonts w:eastAsia="Yu Mincho"/>
          <w:lang w:val="en-CA"/>
        </w:rPr>
        <w:t>d</w:t>
      </w:r>
      <w:r w:rsidRPr="000A349E">
        <w:rPr>
          <w:rFonts w:eastAsia="Yu Mincho"/>
          <w:lang w:val="en-CA"/>
        </w:rPr>
        <w:t xml:space="preserve"> awareness of OECM’s role. Although OECM’s marketing to </w:t>
      </w:r>
      <w:r w:rsidR="001132C4" w:rsidRPr="000A349E">
        <w:rPr>
          <w:rFonts w:eastAsia="Yu Mincho"/>
          <w:lang w:val="en-CA"/>
        </w:rPr>
        <w:t>s</w:t>
      </w:r>
      <w:r w:rsidRPr="000A349E">
        <w:rPr>
          <w:rFonts w:eastAsia="Yu Mincho"/>
          <w:lang w:val="en-CA"/>
        </w:rPr>
        <w:t xml:space="preserve">uppliers was limited to the two e-tendering websites, there was no shortage of interest, </w:t>
      </w:r>
      <w:r w:rsidR="008238EF" w:rsidRPr="000A349E">
        <w:rPr>
          <w:rFonts w:eastAsia="Yu Mincho"/>
          <w:lang w:val="en-CA"/>
        </w:rPr>
        <w:t>with the result that</w:t>
      </w:r>
      <w:r w:rsidRPr="000A349E">
        <w:rPr>
          <w:rFonts w:eastAsia="Yu Mincho"/>
          <w:lang w:val="en-CA"/>
        </w:rPr>
        <w:t xml:space="preserve"> numerous contracts </w:t>
      </w:r>
      <w:proofErr w:type="gramStart"/>
      <w:r w:rsidR="008238EF" w:rsidRPr="000A349E">
        <w:rPr>
          <w:rFonts w:eastAsia="Yu Mincho"/>
          <w:lang w:val="en-CA"/>
        </w:rPr>
        <w:t xml:space="preserve">were often </w:t>
      </w:r>
      <w:r w:rsidRPr="000A349E">
        <w:rPr>
          <w:rFonts w:eastAsia="Yu Mincho"/>
          <w:lang w:val="en-CA"/>
        </w:rPr>
        <w:t>awarded</w:t>
      </w:r>
      <w:proofErr w:type="gramEnd"/>
      <w:r w:rsidRPr="000A349E">
        <w:rPr>
          <w:rFonts w:eastAsia="Yu Mincho"/>
          <w:lang w:val="en-CA"/>
        </w:rPr>
        <w:t xml:space="preserve"> to multiple </w:t>
      </w:r>
      <w:r w:rsidR="008238EF" w:rsidRPr="000A349E">
        <w:rPr>
          <w:rFonts w:eastAsia="Yu Mincho"/>
          <w:lang w:val="en-CA"/>
        </w:rPr>
        <w:t>s</w:t>
      </w:r>
      <w:r w:rsidRPr="000A349E">
        <w:rPr>
          <w:rFonts w:eastAsia="Yu Mincho"/>
          <w:lang w:val="en-CA"/>
        </w:rPr>
        <w:t xml:space="preserve">uppliers for a single sourcing initiative. </w:t>
      </w:r>
      <w:r w:rsidR="008238EF" w:rsidRPr="000A349E">
        <w:rPr>
          <w:rFonts w:eastAsia="Yu Mincho"/>
          <w:lang w:val="en-CA"/>
        </w:rPr>
        <w:t>I</w:t>
      </w:r>
      <w:r w:rsidRPr="000A349E">
        <w:rPr>
          <w:rFonts w:eastAsia="Yu Mincho"/>
          <w:lang w:val="en-CA"/>
        </w:rPr>
        <w:t xml:space="preserve">n an effort to increase sales, OECM’s </w:t>
      </w:r>
      <w:r w:rsidR="008238EF" w:rsidRPr="000A349E">
        <w:rPr>
          <w:rFonts w:eastAsia="Yu Mincho"/>
          <w:lang w:val="en-CA"/>
        </w:rPr>
        <w:t>s</w:t>
      </w:r>
      <w:r w:rsidRPr="000A349E">
        <w:rPr>
          <w:rFonts w:eastAsia="Yu Mincho"/>
          <w:lang w:val="en-CA"/>
        </w:rPr>
        <w:t xml:space="preserve">uppliers also marketed their products to current or potential OECM customers, which ultimately acted as a catalyst for OECM’s growth. </w:t>
      </w:r>
    </w:p>
    <w:p w14:paraId="36C47D0D" w14:textId="77777777" w:rsidR="00B02D49" w:rsidRPr="00301D54" w:rsidRDefault="00B02D49" w:rsidP="00301D54">
      <w:pPr>
        <w:pStyle w:val="BodyTextMain"/>
        <w:rPr>
          <w:rFonts w:eastAsia="Yu Gothic Light"/>
        </w:rPr>
      </w:pPr>
      <w:bookmarkStart w:id="15" w:name="_Toc515971108"/>
      <w:bookmarkEnd w:id="13"/>
    </w:p>
    <w:p w14:paraId="55DD84AD" w14:textId="77777777" w:rsidR="00B02D49" w:rsidRPr="00301D54" w:rsidRDefault="00B02D49" w:rsidP="00301D54">
      <w:pPr>
        <w:pStyle w:val="BodyTextMain"/>
        <w:rPr>
          <w:rFonts w:eastAsia="Yu Gothic Light"/>
        </w:rPr>
      </w:pPr>
    </w:p>
    <w:p w14:paraId="2AFE277A" w14:textId="4C7DE431" w:rsidR="00B02D49" w:rsidRPr="000A349E" w:rsidRDefault="00B02D49" w:rsidP="00301D54">
      <w:pPr>
        <w:pStyle w:val="Casehead2"/>
        <w:keepNext/>
        <w:rPr>
          <w:rFonts w:eastAsia="Yu Gothic Light"/>
          <w:lang w:val="en-CA"/>
        </w:rPr>
      </w:pPr>
      <w:r w:rsidRPr="000A349E">
        <w:rPr>
          <w:rFonts w:eastAsia="Yu Gothic Light"/>
          <w:lang w:val="en-CA"/>
        </w:rPr>
        <w:lastRenderedPageBreak/>
        <w:t xml:space="preserve">Strategy </w:t>
      </w:r>
      <w:bookmarkEnd w:id="15"/>
      <w:r w:rsidR="005611BC" w:rsidRPr="000A349E">
        <w:rPr>
          <w:rFonts w:eastAsia="Yu Gothic Light"/>
          <w:lang w:val="en-CA"/>
        </w:rPr>
        <w:t>Alignment</w:t>
      </w:r>
    </w:p>
    <w:p w14:paraId="2E37CDA5" w14:textId="77777777" w:rsidR="00B02D49" w:rsidRPr="00301D54" w:rsidRDefault="00B02D49" w:rsidP="00301D54">
      <w:pPr>
        <w:pStyle w:val="BodyTextMain"/>
        <w:keepNext/>
        <w:rPr>
          <w:rFonts w:eastAsia="Yu Gothic Light"/>
        </w:rPr>
      </w:pPr>
    </w:p>
    <w:p w14:paraId="733D3F4B" w14:textId="568D5DF3" w:rsidR="00B02D49" w:rsidRPr="000A349E" w:rsidRDefault="00B02D49" w:rsidP="00B02D49">
      <w:pPr>
        <w:pStyle w:val="BodyTextMain"/>
        <w:rPr>
          <w:rFonts w:eastAsia="Yu Mincho"/>
          <w:spacing w:val="-2"/>
          <w:kern w:val="22"/>
          <w:lang w:val="en-CA"/>
        </w:rPr>
      </w:pPr>
      <w:bookmarkStart w:id="16" w:name="_Hlk510477201"/>
      <w:r w:rsidRPr="000A349E">
        <w:rPr>
          <w:rFonts w:eastAsia="Yu Mincho"/>
          <w:spacing w:val="-2"/>
          <w:kern w:val="22"/>
          <w:lang w:val="en-CA"/>
        </w:rPr>
        <w:t xml:space="preserve">OECM’s mission and vision did not always translate into </w:t>
      </w:r>
      <w:r w:rsidR="008238EF" w:rsidRPr="000A349E">
        <w:rPr>
          <w:rFonts w:eastAsia="Yu Mincho"/>
          <w:spacing w:val="-2"/>
          <w:kern w:val="22"/>
          <w:lang w:val="en-CA"/>
        </w:rPr>
        <w:t xml:space="preserve">a </w:t>
      </w:r>
      <w:r w:rsidRPr="000A349E">
        <w:rPr>
          <w:rFonts w:eastAsia="Yu Mincho"/>
          <w:spacing w:val="-2"/>
          <w:kern w:val="22"/>
          <w:lang w:val="en-CA"/>
        </w:rPr>
        <w:t xml:space="preserve">strategy </w:t>
      </w:r>
      <w:r w:rsidR="008238EF" w:rsidRPr="000A349E">
        <w:rPr>
          <w:rFonts w:eastAsia="Yu Mincho"/>
          <w:spacing w:val="-2"/>
          <w:kern w:val="22"/>
          <w:lang w:val="en-CA"/>
        </w:rPr>
        <w:t xml:space="preserve">that was </w:t>
      </w:r>
      <w:r w:rsidRPr="000A349E">
        <w:rPr>
          <w:rFonts w:eastAsia="Yu Mincho"/>
          <w:spacing w:val="-2"/>
          <w:kern w:val="22"/>
          <w:lang w:val="en-CA"/>
        </w:rPr>
        <w:t xml:space="preserve">comprehensible to </w:t>
      </w:r>
      <w:r w:rsidR="008238EF" w:rsidRPr="000A349E">
        <w:rPr>
          <w:rFonts w:eastAsia="Yu Mincho"/>
          <w:spacing w:val="-2"/>
          <w:kern w:val="22"/>
          <w:lang w:val="en-CA"/>
        </w:rPr>
        <w:t>c</w:t>
      </w:r>
      <w:r w:rsidRPr="000A349E">
        <w:rPr>
          <w:rFonts w:eastAsia="Yu Mincho"/>
          <w:spacing w:val="-2"/>
          <w:kern w:val="22"/>
          <w:lang w:val="en-CA"/>
        </w:rPr>
        <w:t xml:space="preserve">ustomers. </w:t>
      </w:r>
      <w:r w:rsidR="00F24B94" w:rsidRPr="000A349E">
        <w:rPr>
          <w:rFonts w:eastAsia="Yu Mincho"/>
          <w:spacing w:val="-2"/>
          <w:kern w:val="22"/>
          <w:lang w:val="en-CA"/>
        </w:rPr>
        <w:t xml:space="preserve">Its </w:t>
      </w:r>
      <w:r w:rsidRPr="000A349E">
        <w:rPr>
          <w:rFonts w:eastAsia="Yu Mincho"/>
          <w:spacing w:val="-2"/>
          <w:kern w:val="22"/>
          <w:lang w:val="en-CA"/>
        </w:rPr>
        <w:t xml:space="preserve">mission </w:t>
      </w:r>
      <w:r w:rsidR="00F24B94" w:rsidRPr="000A349E">
        <w:rPr>
          <w:rFonts w:eastAsia="Yu Mincho"/>
          <w:spacing w:val="-2"/>
          <w:kern w:val="22"/>
          <w:lang w:val="en-CA"/>
        </w:rPr>
        <w:t xml:space="preserve">(to </w:t>
      </w:r>
      <w:r w:rsidRPr="000A349E">
        <w:rPr>
          <w:rFonts w:eastAsia="Yu Mincho"/>
          <w:spacing w:val="-2"/>
          <w:kern w:val="22"/>
          <w:lang w:val="en-CA"/>
        </w:rPr>
        <w:t xml:space="preserve">generate savings to support excellence in education by unlocking the potential of collaborative strategic sourcing) and vision </w:t>
      </w:r>
      <w:r w:rsidR="000A349E" w:rsidRPr="000A349E">
        <w:rPr>
          <w:rFonts w:eastAsia="Yu Mincho"/>
          <w:spacing w:val="-2"/>
          <w:kern w:val="22"/>
          <w:lang w:val="en-CA"/>
        </w:rPr>
        <w:t>(to</w:t>
      </w:r>
      <w:r w:rsidR="00F24B94" w:rsidRPr="000A349E">
        <w:rPr>
          <w:rFonts w:eastAsia="Yu Mincho"/>
          <w:spacing w:val="-2"/>
          <w:kern w:val="22"/>
          <w:lang w:val="en-CA"/>
        </w:rPr>
        <w:t xml:space="preserve"> </w:t>
      </w:r>
      <w:r w:rsidRPr="000A349E">
        <w:rPr>
          <w:rFonts w:eastAsia="Yu Mincho"/>
          <w:spacing w:val="-2"/>
          <w:kern w:val="22"/>
          <w:lang w:val="en-CA"/>
        </w:rPr>
        <w:t xml:space="preserve">be the premier </w:t>
      </w:r>
      <w:r w:rsidR="00F24B94" w:rsidRPr="000A349E">
        <w:rPr>
          <w:rFonts w:eastAsia="Yu Mincho"/>
          <w:spacing w:val="-2"/>
          <w:kern w:val="22"/>
          <w:lang w:val="en-CA"/>
        </w:rPr>
        <w:t>c</w:t>
      </w:r>
      <w:r w:rsidRPr="000A349E">
        <w:rPr>
          <w:rFonts w:eastAsia="Yu Mincho"/>
          <w:spacing w:val="-2"/>
          <w:kern w:val="22"/>
          <w:lang w:val="en-CA"/>
        </w:rPr>
        <w:t xml:space="preserve">ustomer-driven supply management partner for Ontario’s education sector) appeared to be of limited value to would-be </w:t>
      </w:r>
      <w:r w:rsidR="00F24B94" w:rsidRPr="000A349E">
        <w:rPr>
          <w:rFonts w:eastAsia="Yu Mincho"/>
          <w:spacing w:val="-2"/>
          <w:kern w:val="22"/>
          <w:lang w:val="en-CA"/>
        </w:rPr>
        <w:t>c</w:t>
      </w:r>
      <w:r w:rsidRPr="000A349E">
        <w:rPr>
          <w:rFonts w:eastAsia="Yu Mincho"/>
          <w:spacing w:val="-2"/>
          <w:kern w:val="22"/>
          <w:lang w:val="en-CA"/>
        </w:rPr>
        <w:t xml:space="preserve">ustomers OECM had not yet reached who had different worldviews. For example, </w:t>
      </w:r>
      <w:proofErr w:type="gramStart"/>
      <w:r w:rsidRPr="000A349E">
        <w:rPr>
          <w:rFonts w:eastAsia="Yu Mincho"/>
          <w:spacing w:val="-2"/>
          <w:kern w:val="22"/>
          <w:lang w:val="en-CA"/>
        </w:rPr>
        <w:t xml:space="preserve">a very large educational institution in Ontario </w:t>
      </w:r>
      <w:r w:rsidR="00F24B94" w:rsidRPr="000A349E">
        <w:rPr>
          <w:rFonts w:eastAsia="Yu Mincho"/>
          <w:spacing w:val="-2"/>
          <w:kern w:val="22"/>
          <w:lang w:val="en-CA"/>
        </w:rPr>
        <w:t xml:space="preserve">that </w:t>
      </w:r>
      <w:r w:rsidRPr="000A349E">
        <w:rPr>
          <w:rFonts w:eastAsia="Yu Mincho"/>
          <w:spacing w:val="-2"/>
          <w:kern w:val="22"/>
          <w:lang w:val="en-CA"/>
        </w:rPr>
        <w:t xml:space="preserve">was one of the last to become an OECM </w:t>
      </w:r>
      <w:r w:rsidR="00F24B94" w:rsidRPr="000A349E">
        <w:rPr>
          <w:rFonts w:eastAsia="Yu Mincho"/>
          <w:spacing w:val="-2"/>
          <w:kern w:val="22"/>
          <w:lang w:val="en-CA"/>
        </w:rPr>
        <w:t>c</w:t>
      </w:r>
      <w:r w:rsidRPr="000A349E">
        <w:rPr>
          <w:rFonts w:eastAsia="Yu Mincho"/>
          <w:spacing w:val="-2"/>
          <w:kern w:val="22"/>
          <w:lang w:val="en-CA"/>
        </w:rPr>
        <w:t xml:space="preserve">ustomer </w:t>
      </w:r>
      <w:r w:rsidR="00F24B94" w:rsidRPr="000A349E">
        <w:rPr>
          <w:rFonts w:eastAsia="Yu Mincho"/>
          <w:spacing w:val="-2"/>
          <w:kern w:val="22"/>
          <w:lang w:val="en-CA"/>
        </w:rPr>
        <w:t xml:space="preserve">had been </w:t>
      </w:r>
      <w:r w:rsidRPr="000A349E">
        <w:rPr>
          <w:rFonts w:eastAsia="Yu Mincho"/>
          <w:spacing w:val="-2"/>
          <w:kern w:val="22"/>
          <w:lang w:val="en-CA"/>
        </w:rPr>
        <w:t xml:space="preserve">held back by </w:t>
      </w:r>
      <w:r w:rsidR="00F24B94" w:rsidRPr="000A349E">
        <w:rPr>
          <w:rFonts w:eastAsia="Yu Mincho"/>
          <w:spacing w:val="-2"/>
          <w:kern w:val="22"/>
          <w:lang w:val="en-CA"/>
        </w:rPr>
        <w:t xml:space="preserve">members of its </w:t>
      </w:r>
      <w:r w:rsidRPr="000A349E">
        <w:rPr>
          <w:rFonts w:eastAsia="Yu Mincho"/>
          <w:spacing w:val="-2"/>
          <w:kern w:val="22"/>
          <w:lang w:val="en-CA"/>
        </w:rPr>
        <w:t>procurement division</w:t>
      </w:r>
      <w:r w:rsidR="00F24B94" w:rsidRPr="000A349E">
        <w:rPr>
          <w:rFonts w:eastAsia="Yu Mincho"/>
          <w:spacing w:val="-2"/>
          <w:kern w:val="22"/>
          <w:lang w:val="en-CA"/>
        </w:rPr>
        <w:t>,</w:t>
      </w:r>
      <w:r w:rsidRPr="000A349E">
        <w:rPr>
          <w:rFonts w:eastAsia="Yu Mincho"/>
          <w:spacing w:val="-2"/>
          <w:kern w:val="22"/>
          <w:lang w:val="en-CA"/>
        </w:rPr>
        <w:t xml:space="preserve"> who believed it was possible to self-source more efficiently</w:t>
      </w:r>
      <w:proofErr w:type="gramEnd"/>
      <w:r w:rsidRPr="000A349E">
        <w:rPr>
          <w:rFonts w:eastAsia="Yu Mincho"/>
          <w:spacing w:val="-2"/>
          <w:kern w:val="22"/>
          <w:lang w:val="en-CA"/>
        </w:rPr>
        <w:t xml:space="preserve">. </w:t>
      </w:r>
      <w:r w:rsidR="00800E5D" w:rsidRPr="000A349E">
        <w:rPr>
          <w:rFonts w:eastAsia="Yu Mincho"/>
          <w:spacing w:val="-2"/>
          <w:kern w:val="22"/>
          <w:lang w:val="en-CA"/>
        </w:rPr>
        <w:t xml:space="preserve">By </w:t>
      </w:r>
      <w:r w:rsidRPr="000A349E">
        <w:rPr>
          <w:rFonts w:eastAsia="Yu Mincho"/>
          <w:spacing w:val="-2"/>
          <w:kern w:val="22"/>
          <w:lang w:val="en-CA"/>
        </w:rPr>
        <w:t>building relations</w:t>
      </w:r>
      <w:r w:rsidR="00733277" w:rsidRPr="000A349E">
        <w:rPr>
          <w:rFonts w:eastAsia="Yu Mincho"/>
          <w:spacing w:val="-2"/>
          <w:kern w:val="22"/>
          <w:lang w:val="en-CA"/>
        </w:rPr>
        <w:t>hips</w:t>
      </w:r>
      <w:r w:rsidRPr="000A349E">
        <w:rPr>
          <w:rFonts w:eastAsia="Yu Mincho"/>
          <w:spacing w:val="-2"/>
          <w:kern w:val="22"/>
          <w:lang w:val="en-CA"/>
        </w:rPr>
        <w:t xml:space="preserve"> with the senior leaders at the institution, </w:t>
      </w:r>
      <w:r w:rsidR="00E65A2E" w:rsidRPr="000A349E">
        <w:rPr>
          <w:rFonts w:eastAsia="Yu Mincho"/>
          <w:spacing w:val="-2"/>
          <w:kern w:val="22"/>
          <w:lang w:val="en-CA"/>
        </w:rPr>
        <w:t>Sabo</w:t>
      </w:r>
      <w:r w:rsidRPr="000A349E">
        <w:rPr>
          <w:rFonts w:eastAsia="Yu Mincho"/>
          <w:spacing w:val="-2"/>
          <w:kern w:val="22"/>
          <w:lang w:val="en-CA"/>
        </w:rPr>
        <w:t xml:space="preserve"> was able to </w:t>
      </w:r>
      <w:r w:rsidR="00800E5D" w:rsidRPr="000A349E">
        <w:rPr>
          <w:rFonts w:eastAsia="Yu Mincho"/>
          <w:spacing w:val="-2"/>
          <w:kern w:val="22"/>
          <w:lang w:val="en-CA"/>
        </w:rPr>
        <w:t xml:space="preserve">articulate </w:t>
      </w:r>
      <w:r w:rsidRPr="000A349E">
        <w:rPr>
          <w:rFonts w:eastAsia="Yu Mincho"/>
          <w:spacing w:val="-2"/>
          <w:kern w:val="22"/>
          <w:lang w:val="en-CA"/>
        </w:rPr>
        <w:t>OECM’s value</w:t>
      </w:r>
      <w:r w:rsidR="00800E5D" w:rsidRPr="000A349E">
        <w:rPr>
          <w:rFonts w:eastAsia="Yu Mincho"/>
          <w:spacing w:val="-2"/>
          <w:kern w:val="22"/>
          <w:lang w:val="en-CA"/>
        </w:rPr>
        <w:t xml:space="preserve"> and convince </w:t>
      </w:r>
      <w:r w:rsidRPr="000A349E">
        <w:rPr>
          <w:rFonts w:eastAsia="Yu Mincho"/>
          <w:spacing w:val="-2"/>
          <w:kern w:val="22"/>
          <w:lang w:val="en-CA"/>
        </w:rPr>
        <w:t xml:space="preserve">them to become a </w:t>
      </w:r>
      <w:r w:rsidR="00800E5D" w:rsidRPr="000A349E">
        <w:rPr>
          <w:rFonts w:eastAsia="Yu Mincho"/>
          <w:spacing w:val="-2"/>
          <w:kern w:val="22"/>
          <w:lang w:val="en-CA"/>
        </w:rPr>
        <w:t>c</w:t>
      </w:r>
      <w:r w:rsidRPr="000A349E">
        <w:rPr>
          <w:rFonts w:eastAsia="Yu Mincho"/>
          <w:spacing w:val="-2"/>
          <w:kern w:val="22"/>
          <w:lang w:val="en-CA"/>
        </w:rPr>
        <w:t xml:space="preserve">ustomer. </w:t>
      </w:r>
    </w:p>
    <w:p w14:paraId="0FB2277F" w14:textId="77777777" w:rsidR="00B02D49" w:rsidRPr="000A349E" w:rsidRDefault="00B02D49" w:rsidP="00B02D49">
      <w:pPr>
        <w:pStyle w:val="BodyTextMain"/>
        <w:rPr>
          <w:rFonts w:eastAsia="Yu Mincho"/>
          <w:sz w:val="18"/>
          <w:szCs w:val="18"/>
          <w:lang w:val="en-CA"/>
        </w:rPr>
      </w:pPr>
    </w:p>
    <w:p w14:paraId="40A1E15E" w14:textId="53B11655" w:rsidR="00B02D49" w:rsidRPr="000A349E" w:rsidRDefault="00B02D49" w:rsidP="00B02D49">
      <w:pPr>
        <w:pStyle w:val="BodyTextMain"/>
        <w:rPr>
          <w:rFonts w:eastAsia="Yu Mincho"/>
          <w:lang w:val="en-CA"/>
        </w:rPr>
      </w:pPr>
      <w:r w:rsidRPr="000A349E">
        <w:rPr>
          <w:rFonts w:eastAsia="Yu Mincho"/>
          <w:lang w:val="en-CA"/>
        </w:rPr>
        <w:t>OECM sometimes took a reactive, survey</w:t>
      </w:r>
      <w:r w:rsidR="00ED329B" w:rsidRPr="000A349E">
        <w:rPr>
          <w:rFonts w:eastAsia="Yu Mincho"/>
          <w:lang w:val="en-CA"/>
        </w:rPr>
        <w:t>-</w:t>
      </w:r>
      <w:r w:rsidRPr="000A349E">
        <w:rPr>
          <w:rFonts w:eastAsia="Yu Mincho"/>
          <w:lang w:val="en-CA"/>
        </w:rPr>
        <w:t xml:space="preserve">driven approach to finding new opportunities for </w:t>
      </w:r>
      <w:r w:rsidR="00800E5D" w:rsidRPr="000A349E">
        <w:rPr>
          <w:rFonts w:eastAsia="Yu Mincho"/>
          <w:lang w:val="en-CA"/>
        </w:rPr>
        <w:t>its c</w:t>
      </w:r>
      <w:r w:rsidRPr="000A349E">
        <w:rPr>
          <w:rFonts w:eastAsia="Yu Mincho"/>
          <w:lang w:val="en-CA"/>
        </w:rPr>
        <w:t xml:space="preserve">ustomers. The CSAs OECM’s </w:t>
      </w:r>
      <w:r w:rsidR="00800E5D" w:rsidRPr="000A349E">
        <w:rPr>
          <w:rFonts w:eastAsia="Yu Mincho"/>
          <w:lang w:val="en-CA"/>
        </w:rPr>
        <w:t>c</w:t>
      </w:r>
      <w:r w:rsidRPr="000A349E">
        <w:rPr>
          <w:rFonts w:eastAsia="Yu Mincho"/>
          <w:lang w:val="en-CA"/>
        </w:rPr>
        <w:t>ustomers required were put in place after need</w:t>
      </w:r>
      <w:r w:rsidR="00800E5D" w:rsidRPr="000A349E">
        <w:rPr>
          <w:rFonts w:eastAsia="Yu Mincho"/>
          <w:lang w:val="en-CA"/>
        </w:rPr>
        <w:t>s</w:t>
      </w:r>
      <w:r w:rsidRPr="000A349E">
        <w:rPr>
          <w:rFonts w:eastAsia="Yu Mincho"/>
          <w:lang w:val="en-CA"/>
        </w:rPr>
        <w:t xml:space="preserve"> presented </w:t>
      </w:r>
      <w:r w:rsidR="00800E5D" w:rsidRPr="000A349E">
        <w:rPr>
          <w:rFonts w:eastAsia="Yu Mincho"/>
          <w:lang w:val="en-CA"/>
        </w:rPr>
        <w:t>themselves</w:t>
      </w:r>
      <w:r w:rsidRPr="000A349E">
        <w:rPr>
          <w:rFonts w:eastAsia="Yu Mincho"/>
          <w:lang w:val="en-CA"/>
        </w:rPr>
        <w:t xml:space="preserve">. To </w:t>
      </w:r>
      <w:r w:rsidR="00ED329B" w:rsidRPr="000A349E">
        <w:rPr>
          <w:rFonts w:eastAsia="Yu Mincho"/>
          <w:lang w:val="en-CA"/>
        </w:rPr>
        <w:t xml:space="preserve">scale and </w:t>
      </w:r>
      <w:r w:rsidRPr="000A349E">
        <w:rPr>
          <w:rFonts w:eastAsia="Yu Mincho"/>
          <w:lang w:val="en-CA"/>
        </w:rPr>
        <w:t xml:space="preserve">achieve its growth targets, OECM knew that </w:t>
      </w:r>
      <w:r w:rsidR="00800E5D" w:rsidRPr="000A349E">
        <w:rPr>
          <w:rFonts w:eastAsia="Yu Mincho"/>
          <w:lang w:val="en-CA"/>
        </w:rPr>
        <w:t xml:space="preserve">it would need to take </w:t>
      </w:r>
      <w:r w:rsidRPr="000A349E">
        <w:rPr>
          <w:rFonts w:eastAsia="Yu Mincho"/>
          <w:lang w:val="en-CA"/>
        </w:rPr>
        <w:t xml:space="preserve">a more proactive approach, using data analytics to anticipate </w:t>
      </w:r>
      <w:r w:rsidR="00800E5D" w:rsidRPr="000A349E">
        <w:rPr>
          <w:rFonts w:eastAsia="Yu Mincho"/>
          <w:lang w:val="en-CA"/>
        </w:rPr>
        <w:t>c</w:t>
      </w:r>
      <w:r w:rsidRPr="000A349E">
        <w:rPr>
          <w:rFonts w:eastAsia="Yu Mincho"/>
          <w:lang w:val="en-CA"/>
        </w:rPr>
        <w:t>ustomers</w:t>
      </w:r>
      <w:r w:rsidR="00800E5D" w:rsidRPr="000A349E">
        <w:rPr>
          <w:rFonts w:eastAsia="Yu Mincho"/>
          <w:lang w:val="en-CA"/>
        </w:rPr>
        <w:t>’</w:t>
      </w:r>
      <w:r w:rsidRPr="000A349E">
        <w:rPr>
          <w:rFonts w:eastAsia="Yu Mincho"/>
          <w:lang w:val="en-CA"/>
        </w:rPr>
        <w:t xml:space="preserve"> needs before </w:t>
      </w:r>
      <w:r w:rsidR="00800E5D" w:rsidRPr="000A349E">
        <w:rPr>
          <w:rFonts w:eastAsia="Yu Mincho"/>
          <w:lang w:val="en-CA"/>
        </w:rPr>
        <w:t xml:space="preserve">they </w:t>
      </w:r>
      <w:proofErr w:type="gramStart"/>
      <w:r w:rsidR="00800E5D" w:rsidRPr="000A349E">
        <w:rPr>
          <w:rFonts w:eastAsia="Yu Mincho"/>
          <w:lang w:val="en-CA"/>
        </w:rPr>
        <w:t xml:space="preserve">were </w:t>
      </w:r>
      <w:r w:rsidRPr="000A349E">
        <w:rPr>
          <w:rFonts w:eastAsia="Yu Mincho"/>
          <w:lang w:val="en-CA"/>
        </w:rPr>
        <w:t>formal</w:t>
      </w:r>
      <w:r w:rsidR="00800E5D" w:rsidRPr="000A349E">
        <w:rPr>
          <w:rFonts w:eastAsia="Yu Mincho"/>
          <w:lang w:val="en-CA"/>
        </w:rPr>
        <w:t>ly</w:t>
      </w:r>
      <w:r w:rsidRPr="000A349E">
        <w:rPr>
          <w:rFonts w:eastAsia="Yu Mincho"/>
          <w:lang w:val="en-CA"/>
        </w:rPr>
        <w:t xml:space="preserve"> </w:t>
      </w:r>
      <w:r w:rsidR="00800E5D" w:rsidRPr="000A349E">
        <w:rPr>
          <w:rFonts w:eastAsia="Yu Mincho"/>
          <w:lang w:val="en-CA"/>
        </w:rPr>
        <w:t>articulated</w:t>
      </w:r>
      <w:proofErr w:type="gramEnd"/>
      <w:r w:rsidR="00800E5D" w:rsidRPr="000A349E">
        <w:rPr>
          <w:rFonts w:eastAsia="Yu Mincho"/>
          <w:lang w:val="en-CA"/>
        </w:rPr>
        <w:t xml:space="preserve"> </w:t>
      </w:r>
      <w:r w:rsidRPr="000A349E">
        <w:rPr>
          <w:rFonts w:eastAsia="Yu Mincho"/>
          <w:lang w:val="en-CA"/>
        </w:rPr>
        <w:t xml:space="preserve">to OECM. </w:t>
      </w:r>
    </w:p>
    <w:p w14:paraId="1D4FAFC3" w14:textId="77777777" w:rsidR="00B02D49" w:rsidRPr="000A349E" w:rsidRDefault="00B02D49" w:rsidP="00B02D49">
      <w:pPr>
        <w:pStyle w:val="BodyTextMain"/>
        <w:rPr>
          <w:rFonts w:eastAsia="Yu Mincho"/>
          <w:sz w:val="18"/>
          <w:szCs w:val="18"/>
          <w:lang w:val="en-CA"/>
        </w:rPr>
      </w:pPr>
    </w:p>
    <w:bookmarkEnd w:id="16"/>
    <w:p w14:paraId="151692CD" w14:textId="6581654C" w:rsidR="00B02D49" w:rsidRPr="000A349E" w:rsidRDefault="009078FE" w:rsidP="00B02D49">
      <w:pPr>
        <w:pStyle w:val="BodyTextMain"/>
        <w:rPr>
          <w:rFonts w:eastAsia="Yu Mincho"/>
          <w:spacing w:val="-2"/>
          <w:kern w:val="22"/>
          <w:lang w:val="en-CA"/>
        </w:rPr>
      </w:pPr>
      <w:r w:rsidRPr="000A349E">
        <w:rPr>
          <w:rFonts w:eastAsia="Yu Mincho"/>
          <w:spacing w:val="-2"/>
          <w:kern w:val="22"/>
          <w:lang w:val="en-CA"/>
        </w:rPr>
        <w:t>Knowing how to align its mission and vision with those of its customers and how to anticipate their needs,</w:t>
      </w:r>
      <w:r w:rsidR="00B02D49" w:rsidRPr="000A349E">
        <w:rPr>
          <w:rFonts w:eastAsia="Yu Mincho"/>
          <w:spacing w:val="-2"/>
          <w:kern w:val="22"/>
          <w:lang w:val="en-CA"/>
        </w:rPr>
        <w:t xml:space="preserve"> require</w:t>
      </w:r>
      <w:r w:rsidR="00ED329B" w:rsidRPr="000A349E">
        <w:rPr>
          <w:rFonts w:eastAsia="Yu Mincho"/>
          <w:spacing w:val="-2"/>
          <w:kern w:val="22"/>
          <w:lang w:val="en-CA"/>
        </w:rPr>
        <w:t>d</w:t>
      </w:r>
      <w:r w:rsidR="00B02D49" w:rsidRPr="000A349E">
        <w:rPr>
          <w:rFonts w:eastAsia="Yu Mincho"/>
          <w:spacing w:val="-2"/>
          <w:kern w:val="22"/>
          <w:lang w:val="en-CA"/>
        </w:rPr>
        <w:t xml:space="preserve"> a truly customer-centric strategy, which w</w:t>
      </w:r>
      <w:r w:rsidR="00ED329B" w:rsidRPr="000A349E">
        <w:rPr>
          <w:rFonts w:eastAsia="Yu Mincho"/>
          <w:spacing w:val="-2"/>
          <w:kern w:val="22"/>
          <w:lang w:val="en-CA"/>
        </w:rPr>
        <w:t>ould</w:t>
      </w:r>
      <w:r w:rsidR="00B02D49" w:rsidRPr="000A349E">
        <w:rPr>
          <w:rFonts w:eastAsia="Yu Mincho"/>
          <w:spacing w:val="-2"/>
          <w:kern w:val="22"/>
          <w:lang w:val="en-CA"/>
        </w:rPr>
        <w:t xml:space="preserve"> be central to growing </w:t>
      </w:r>
      <w:r w:rsidR="00800E5D" w:rsidRPr="000A349E">
        <w:rPr>
          <w:rFonts w:eastAsia="Yu Mincho"/>
          <w:spacing w:val="-2"/>
          <w:kern w:val="22"/>
          <w:lang w:val="en-CA"/>
        </w:rPr>
        <w:t xml:space="preserve">both </w:t>
      </w:r>
      <w:r w:rsidR="00B02D49" w:rsidRPr="000A349E">
        <w:rPr>
          <w:rFonts w:eastAsia="Yu Mincho"/>
          <w:spacing w:val="-2"/>
          <w:kern w:val="22"/>
          <w:lang w:val="en-CA"/>
        </w:rPr>
        <w:t xml:space="preserve">the number of CSAs and </w:t>
      </w:r>
      <w:r w:rsidR="00800E5D" w:rsidRPr="000A349E">
        <w:rPr>
          <w:rFonts w:eastAsia="Yu Mincho"/>
          <w:spacing w:val="-2"/>
          <w:kern w:val="22"/>
          <w:lang w:val="en-CA"/>
        </w:rPr>
        <w:t xml:space="preserve">the spend </w:t>
      </w:r>
      <w:r w:rsidR="00B02D49" w:rsidRPr="000A349E">
        <w:rPr>
          <w:rFonts w:eastAsia="Yu Mincho"/>
          <w:spacing w:val="-2"/>
          <w:kern w:val="22"/>
          <w:lang w:val="en-CA"/>
        </w:rPr>
        <w:t>per CSA.</w:t>
      </w:r>
      <w:bookmarkStart w:id="17" w:name="_Hlk510482312"/>
      <w:r w:rsidR="00B02D49" w:rsidRPr="000A349E">
        <w:rPr>
          <w:rFonts w:eastAsia="Yu Mincho"/>
          <w:spacing w:val="-2"/>
          <w:kern w:val="22"/>
          <w:lang w:val="en-CA"/>
        </w:rPr>
        <w:t xml:space="preserve"> Although OECM </w:t>
      </w:r>
      <w:r w:rsidR="00ED329B" w:rsidRPr="000A349E">
        <w:rPr>
          <w:rFonts w:eastAsia="Yu Mincho"/>
          <w:spacing w:val="-2"/>
          <w:kern w:val="22"/>
          <w:lang w:val="en-CA"/>
        </w:rPr>
        <w:t>had become</w:t>
      </w:r>
      <w:r w:rsidR="00B02D49" w:rsidRPr="000A349E">
        <w:rPr>
          <w:rFonts w:eastAsia="Yu Mincho"/>
          <w:spacing w:val="-2"/>
          <w:kern w:val="22"/>
          <w:lang w:val="en-CA"/>
        </w:rPr>
        <w:t xml:space="preserve"> the largest player</w:t>
      </w:r>
      <w:r w:rsidR="00800E5D" w:rsidRPr="000A349E">
        <w:rPr>
          <w:rFonts w:eastAsia="Yu Mincho"/>
          <w:spacing w:val="-2"/>
          <w:kern w:val="22"/>
          <w:lang w:val="en-CA"/>
        </w:rPr>
        <w:t xml:space="preserve"> in this field</w:t>
      </w:r>
      <w:r w:rsidR="00B02D49" w:rsidRPr="000A349E">
        <w:rPr>
          <w:rFonts w:eastAsia="Yu Mincho"/>
          <w:spacing w:val="-2"/>
          <w:kern w:val="22"/>
          <w:lang w:val="en-CA"/>
        </w:rPr>
        <w:t>, several procurement organizations</w:t>
      </w:r>
      <w:r w:rsidR="00800E5D" w:rsidRPr="000A349E">
        <w:rPr>
          <w:rFonts w:eastAsia="Yu Mincho"/>
          <w:spacing w:val="-2"/>
          <w:kern w:val="22"/>
          <w:lang w:val="en-CA"/>
        </w:rPr>
        <w:t>, such as internal procurement departments,</w:t>
      </w:r>
      <w:r w:rsidR="00B02D49" w:rsidRPr="000A349E">
        <w:rPr>
          <w:rFonts w:eastAsia="Yu Mincho"/>
          <w:spacing w:val="-2"/>
          <w:kern w:val="22"/>
          <w:lang w:val="en-CA"/>
        </w:rPr>
        <w:t xml:space="preserve"> compete</w:t>
      </w:r>
      <w:r w:rsidR="00ED329B" w:rsidRPr="000A349E">
        <w:rPr>
          <w:rFonts w:eastAsia="Yu Mincho"/>
          <w:spacing w:val="-2"/>
          <w:kern w:val="22"/>
          <w:lang w:val="en-CA"/>
        </w:rPr>
        <w:t>d</w:t>
      </w:r>
      <w:r w:rsidR="00B02D49" w:rsidRPr="000A349E">
        <w:rPr>
          <w:rFonts w:eastAsia="Yu Mincho"/>
          <w:spacing w:val="-2"/>
          <w:kern w:val="22"/>
          <w:lang w:val="en-CA"/>
        </w:rPr>
        <w:t xml:space="preserve"> passively for the business of OECM’s </w:t>
      </w:r>
      <w:r w:rsidR="00800E5D" w:rsidRPr="000A349E">
        <w:rPr>
          <w:rFonts w:eastAsia="Yu Mincho"/>
          <w:spacing w:val="-2"/>
          <w:kern w:val="22"/>
          <w:lang w:val="en-CA"/>
        </w:rPr>
        <w:t>c</w:t>
      </w:r>
      <w:r w:rsidR="00B02D49" w:rsidRPr="000A349E">
        <w:rPr>
          <w:rFonts w:eastAsia="Yu Mincho"/>
          <w:spacing w:val="-2"/>
          <w:kern w:val="22"/>
          <w:lang w:val="en-CA"/>
        </w:rPr>
        <w:t xml:space="preserve">ustomers. One growth strategy </w:t>
      </w:r>
      <w:r w:rsidR="00ED329B" w:rsidRPr="000A349E">
        <w:rPr>
          <w:rFonts w:eastAsia="Yu Mincho"/>
          <w:spacing w:val="-2"/>
          <w:kern w:val="22"/>
          <w:lang w:val="en-CA"/>
        </w:rPr>
        <w:t>was</w:t>
      </w:r>
      <w:r w:rsidR="00B02D49" w:rsidRPr="000A349E">
        <w:rPr>
          <w:rFonts w:eastAsia="Yu Mincho"/>
          <w:spacing w:val="-2"/>
          <w:kern w:val="22"/>
          <w:lang w:val="en-CA"/>
        </w:rPr>
        <w:t xml:space="preserve"> to collaborate with current OECM </w:t>
      </w:r>
      <w:r w:rsidR="00800E5D" w:rsidRPr="000A349E">
        <w:rPr>
          <w:rFonts w:eastAsia="Yu Mincho"/>
          <w:spacing w:val="-2"/>
          <w:kern w:val="22"/>
          <w:lang w:val="en-CA"/>
        </w:rPr>
        <w:t>s</w:t>
      </w:r>
      <w:r w:rsidR="00B02D49" w:rsidRPr="000A349E">
        <w:rPr>
          <w:rFonts w:eastAsia="Yu Mincho"/>
          <w:spacing w:val="-2"/>
          <w:kern w:val="22"/>
          <w:lang w:val="en-CA"/>
        </w:rPr>
        <w:t xml:space="preserve">uppliers to market their products and services in an effort to increase </w:t>
      </w:r>
      <w:proofErr w:type="gramStart"/>
      <w:r w:rsidR="00800E5D" w:rsidRPr="000A349E">
        <w:rPr>
          <w:rFonts w:eastAsia="Yu Mincho"/>
          <w:spacing w:val="-2"/>
          <w:kern w:val="22"/>
          <w:lang w:val="en-CA"/>
        </w:rPr>
        <w:t>the s</w:t>
      </w:r>
      <w:r w:rsidR="00B02D49" w:rsidRPr="000A349E">
        <w:rPr>
          <w:rFonts w:eastAsia="Yu Mincho"/>
          <w:spacing w:val="-2"/>
          <w:kern w:val="22"/>
          <w:lang w:val="en-CA"/>
        </w:rPr>
        <w:t>pend</w:t>
      </w:r>
      <w:proofErr w:type="gramEnd"/>
      <w:r w:rsidR="00B02D49" w:rsidRPr="000A349E">
        <w:rPr>
          <w:rFonts w:eastAsia="Yu Mincho"/>
          <w:spacing w:val="-2"/>
          <w:kern w:val="22"/>
          <w:lang w:val="en-CA"/>
        </w:rPr>
        <w:t xml:space="preserve"> from current CSAs and </w:t>
      </w:r>
      <w:r w:rsidR="00800E5D" w:rsidRPr="000A349E">
        <w:rPr>
          <w:rFonts w:eastAsia="Yu Mincho"/>
          <w:spacing w:val="-2"/>
          <w:kern w:val="22"/>
          <w:lang w:val="en-CA"/>
        </w:rPr>
        <w:t xml:space="preserve">to </w:t>
      </w:r>
      <w:r w:rsidR="00B02D49" w:rsidRPr="000A349E">
        <w:rPr>
          <w:rFonts w:eastAsia="Yu Mincho"/>
          <w:spacing w:val="-2"/>
          <w:kern w:val="22"/>
          <w:lang w:val="en-CA"/>
        </w:rPr>
        <w:t xml:space="preserve">reach new customers to create new CSAs. OECM could thus reduce </w:t>
      </w:r>
      <w:r w:rsidR="00800E5D" w:rsidRPr="000A349E">
        <w:rPr>
          <w:rFonts w:eastAsia="Yu Mincho"/>
          <w:spacing w:val="-2"/>
          <w:kern w:val="22"/>
          <w:lang w:val="en-CA"/>
        </w:rPr>
        <w:t xml:space="preserve">its </w:t>
      </w:r>
      <w:r w:rsidR="00B02D49" w:rsidRPr="000A349E">
        <w:rPr>
          <w:rFonts w:eastAsia="Yu Mincho"/>
          <w:spacing w:val="-2"/>
          <w:kern w:val="22"/>
          <w:lang w:val="en-CA"/>
        </w:rPr>
        <w:t xml:space="preserve">procurement costs while offering a wider variety of contracts to its </w:t>
      </w:r>
      <w:r w:rsidR="00800E5D" w:rsidRPr="000A349E">
        <w:rPr>
          <w:rFonts w:eastAsia="Yu Mincho"/>
          <w:spacing w:val="-2"/>
          <w:kern w:val="22"/>
          <w:lang w:val="en-CA"/>
        </w:rPr>
        <w:t>c</w:t>
      </w:r>
      <w:r w:rsidR="00B02D49" w:rsidRPr="000A349E">
        <w:rPr>
          <w:rFonts w:eastAsia="Yu Mincho"/>
          <w:spacing w:val="-2"/>
          <w:kern w:val="22"/>
          <w:lang w:val="en-CA"/>
        </w:rPr>
        <w:t xml:space="preserve">ustomers. </w:t>
      </w:r>
    </w:p>
    <w:p w14:paraId="1E0A767A" w14:textId="77777777" w:rsidR="00B02D49" w:rsidRPr="000A349E" w:rsidRDefault="00B02D49" w:rsidP="00B02D49">
      <w:pPr>
        <w:pStyle w:val="BodyTextMain"/>
        <w:rPr>
          <w:rFonts w:eastAsia="Yu Mincho"/>
          <w:sz w:val="18"/>
          <w:szCs w:val="18"/>
          <w:lang w:val="en-CA"/>
        </w:rPr>
      </w:pPr>
    </w:p>
    <w:p w14:paraId="126FDC0C" w14:textId="430C76DC" w:rsidR="00B02D49" w:rsidRPr="000A349E" w:rsidRDefault="00B02D49" w:rsidP="00B02D49">
      <w:pPr>
        <w:pStyle w:val="BodyTextMain"/>
        <w:rPr>
          <w:rFonts w:eastAsia="Yu Mincho"/>
          <w:lang w:val="en-CA"/>
        </w:rPr>
      </w:pPr>
      <w:r w:rsidRPr="000A349E">
        <w:rPr>
          <w:rFonts w:eastAsia="Yu Mincho"/>
          <w:lang w:val="en-CA"/>
        </w:rPr>
        <w:t xml:space="preserve">OECM </w:t>
      </w:r>
      <w:r w:rsidR="00800E5D" w:rsidRPr="000A349E">
        <w:rPr>
          <w:rFonts w:eastAsia="Yu Mincho"/>
          <w:lang w:val="en-CA"/>
        </w:rPr>
        <w:t xml:space="preserve">also </w:t>
      </w:r>
      <w:r w:rsidRPr="000A349E">
        <w:rPr>
          <w:rFonts w:eastAsia="Yu Mincho"/>
          <w:lang w:val="en-CA"/>
        </w:rPr>
        <w:t xml:space="preserve">provided extensive ongoing </w:t>
      </w:r>
      <w:r w:rsidR="00800E5D" w:rsidRPr="000A349E">
        <w:rPr>
          <w:rFonts w:eastAsia="Yu Mincho"/>
          <w:lang w:val="en-CA"/>
        </w:rPr>
        <w:t xml:space="preserve">contract </w:t>
      </w:r>
      <w:r w:rsidRPr="000A349E">
        <w:rPr>
          <w:rFonts w:eastAsia="Yu Mincho"/>
          <w:lang w:val="en-CA"/>
        </w:rPr>
        <w:t>management through a simple e-platform</w:t>
      </w:r>
      <w:r w:rsidR="00800E5D" w:rsidRPr="000A349E">
        <w:rPr>
          <w:rFonts w:eastAsia="Yu Mincho"/>
          <w:lang w:val="en-CA"/>
        </w:rPr>
        <w:t xml:space="preserve">, </w:t>
      </w:r>
      <w:r w:rsidRPr="000A349E">
        <w:rPr>
          <w:rFonts w:eastAsia="Yu Mincho"/>
          <w:lang w:val="en-CA"/>
        </w:rPr>
        <w:t>The Marketplace</w:t>
      </w:r>
      <w:r w:rsidR="00800E5D" w:rsidRPr="000A349E">
        <w:rPr>
          <w:rFonts w:eastAsia="Yu Mincho"/>
          <w:lang w:val="en-CA"/>
        </w:rPr>
        <w:t>, which allowed c</w:t>
      </w:r>
      <w:r w:rsidRPr="000A349E">
        <w:rPr>
          <w:rFonts w:eastAsia="Yu Mincho"/>
          <w:lang w:val="en-CA"/>
        </w:rPr>
        <w:t xml:space="preserve">ustomers to compare contracts, and a </w:t>
      </w:r>
      <w:r w:rsidR="00800E5D" w:rsidRPr="000A349E">
        <w:rPr>
          <w:rFonts w:eastAsia="Yu Mincho"/>
          <w:lang w:val="en-CA"/>
        </w:rPr>
        <w:t>b</w:t>
      </w:r>
      <w:r w:rsidRPr="000A349E">
        <w:rPr>
          <w:rFonts w:eastAsia="Yu Mincho"/>
          <w:lang w:val="en-CA"/>
        </w:rPr>
        <w:t xml:space="preserve">usiness </w:t>
      </w:r>
      <w:r w:rsidR="00800E5D" w:rsidRPr="000A349E">
        <w:rPr>
          <w:rFonts w:eastAsia="Yu Mincho"/>
          <w:lang w:val="en-CA"/>
        </w:rPr>
        <w:t>r</w:t>
      </w:r>
      <w:r w:rsidRPr="000A349E">
        <w:rPr>
          <w:rFonts w:eastAsia="Yu Mincho"/>
          <w:lang w:val="en-CA"/>
        </w:rPr>
        <w:t xml:space="preserve">elationship </w:t>
      </w:r>
      <w:r w:rsidR="00800E5D" w:rsidRPr="000A349E">
        <w:rPr>
          <w:rFonts w:eastAsia="Yu Mincho"/>
          <w:lang w:val="en-CA"/>
        </w:rPr>
        <w:t>t</w:t>
      </w:r>
      <w:r w:rsidRPr="000A349E">
        <w:rPr>
          <w:rFonts w:eastAsia="Yu Mincho"/>
          <w:lang w:val="en-CA"/>
        </w:rPr>
        <w:t>eam</w:t>
      </w:r>
      <w:r w:rsidR="00800E5D" w:rsidRPr="000A349E">
        <w:rPr>
          <w:rFonts w:eastAsia="Yu Mincho"/>
          <w:lang w:val="en-CA"/>
        </w:rPr>
        <w:t>, which</w:t>
      </w:r>
      <w:r w:rsidRPr="000A349E">
        <w:rPr>
          <w:rFonts w:eastAsia="Yu Mincho"/>
          <w:lang w:val="en-CA"/>
        </w:rPr>
        <w:t xml:space="preserve"> manage</w:t>
      </w:r>
      <w:r w:rsidR="00800E5D" w:rsidRPr="000A349E">
        <w:rPr>
          <w:rFonts w:eastAsia="Yu Mincho"/>
          <w:lang w:val="en-CA"/>
        </w:rPr>
        <w:t>d</w:t>
      </w:r>
      <w:r w:rsidRPr="000A349E">
        <w:rPr>
          <w:rFonts w:eastAsia="Yu Mincho"/>
          <w:lang w:val="en-CA"/>
        </w:rPr>
        <w:t xml:space="preserve"> the awarded </w:t>
      </w:r>
      <w:r w:rsidR="00800E5D" w:rsidRPr="000A349E">
        <w:rPr>
          <w:rFonts w:eastAsia="Yu Mincho"/>
          <w:lang w:val="en-CA"/>
        </w:rPr>
        <w:t>s</w:t>
      </w:r>
      <w:r w:rsidRPr="000A349E">
        <w:rPr>
          <w:rFonts w:eastAsia="Yu Mincho"/>
          <w:lang w:val="en-CA"/>
        </w:rPr>
        <w:t xml:space="preserve">upplier contract and CSA throughout its lifespan. </w:t>
      </w:r>
      <w:r w:rsidR="00800E5D" w:rsidRPr="000A349E">
        <w:rPr>
          <w:rFonts w:eastAsia="Yu Mincho"/>
          <w:lang w:val="en-CA"/>
        </w:rPr>
        <w:t>Customers were</w:t>
      </w:r>
      <w:r w:rsidRPr="000A349E">
        <w:rPr>
          <w:rFonts w:eastAsia="Yu Mincho"/>
          <w:lang w:val="en-CA"/>
        </w:rPr>
        <w:t xml:space="preserve"> no</w:t>
      </w:r>
      <w:r w:rsidR="00800E5D" w:rsidRPr="000A349E">
        <w:rPr>
          <w:rFonts w:eastAsia="Yu Mincho"/>
          <w:lang w:val="en-CA"/>
        </w:rPr>
        <w:t>t</w:t>
      </w:r>
      <w:r w:rsidRPr="000A349E">
        <w:rPr>
          <w:rFonts w:eastAsia="Yu Mincho"/>
          <w:lang w:val="en-CA"/>
        </w:rPr>
        <w:t xml:space="preserve"> </w:t>
      </w:r>
      <w:r w:rsidR="00800E5D" w:rsidRPr="000A349E">
        <w:rPr>
          <w:rFonts w:eastAsia="Yu Mincho"/>
          <w:lang w:val="en-CA"/>
        </w:rPr>
        <w:t>required</w:t>
      </w:r>
      <w:r w:rsidRPr="000A349E">
        <w:rPr>
          <w:rFonts w:eastAsia="Yu Mincho"/>
          <w:lang w:val="en-CA"/>
        </w:rPr>
        <w:t xml:space="preserve"> to utilize OECM for new contracts. In other words, there was potential for viewing residual </w:t>
      </w:r>
      <w:r w:rsidR="00800E5D" w:rsidRPr="000A349E">
        <w:rPr>
          <w:rFonts w:eastAsia="Yu Mincho"/>
          <w:lang w:val="en-CA"/>
        </w:rPr>
        <w:t>c</w:t>
      </w:r>
      <w:r w:rsidRPr="000A349E">
        <w:rPr>
          <w:rFonts w:eastAsia="Yu Mincho"/>
          <w:lang w:val="en-CA"/>
        </w:rPr>
        <w:t>ustomer contact as a non-monetized value proposition.</w:t>
      </w:r>
    </w:p>
    <w:bookmarkEnd w:id="17"/>
    <w:p w14:paraId="685974E6" w14:textId="77777777" w:rsidR="00B02D49" w:rsidRPr="000A349E" w:rsidRDefault="00B02D49" w:rsidP="00B02D49">
      <w:pPr>
        <w:pStyle w:val="BodyTextMain"/>
        <w:rPr>
          <w:rFonts w:eastAsia="Yu Mincho"/>
          <w:sz w:val="18"/>
          <w:szCs w:val="18"/>
          <w:lang w:val="en-CA"/>
        </w:rPr>
      </w:pPr>
    </w:p>
    <w:p w14:paraId="462B9467" w14:textId="77777777" w:rsidR="00B02D49" w:rsidRPr="000A349E" w:rsidRDefault="00B02D49" w:rsidP="00B02D49">
      <w:pPr>
        <w:pStyle w:val="BodyTextMain"/>
        <w:rPr>
          <w:rFonts w:eastAsia="Yu Mincho"/>
          <w:sz w:val="18"/>
          <w:szCs w:val="18"/>
          <w:lang w:val="en-CA"/>
        </w:rPr>
      </w:pPr>
    </w:p>
    <w:p w14:paraId="4AE692C4" w14:textId="16F85A9D" w:rsidR="00B02D49" w:rsidRPr="000A349E" w:rsidRDefault="002F485A" w:rsidP="004507F0">
      <w:pPr>
        <w:pStyle w:val="Casehead1"/>
        <w:keepNext/>
        <w:keepLines/>
        <w:rPr>
          <w:rFonts w:eastAsia="Yu Gothic Light"/>
          <w:lang w:val="en-CA"/>
        </w:rPr>
      </w:pPr>
      <w:r w:rsidRPr="000A349E">
        <w:rPr>
          <w:rFonts w:eastAsia="Yu Gothic Light"/>
          <w:lang w:val="en-CA"/>
        </w:rPr>
        <w:t>SCALING</w:t>
      </w:r>
      <w:r w:rsidR="00B02D49" w:rsidRPr="000A349E">
        <w:rPr>
          <w:rFonts w:eastAsia="Yu Gothic Light"/>
          <w:lang w:val="en-CA"/>
        </w:rPr>
        <w:t xml:space="preserve"> FOR </w:t>
      </w:r>
      <w:r w:rsidRPr="000A349E">
        <w:rPr>
          <w:rFonts w:eastAsia="Yu Gothic Light"/>
          <w:lang w:val="en-CA"/>
        </w:rPr>
        <w:t xml:space="preserve">Further </w:t>
      </w:r>
      <w:r w:rsidR="00B02D49" w:rsidRPr="000A349E">
        <w:rPr>
          <w:rFonts w:eastAsia="Yu Gothic Light"/>
          <w:lang w:val="en-CA"/>
        </w:rPr>
        <w:t>GROWTH</w:t>
      </w:r>
    </w:p>
    <w:p w14:paraId="10E91A99" w14:textId="77777777" w:rsidR="00B02D49" w:rsidRPr="000A349E" w:rsidRDefault="00B02D49" w:rsidP="004507F0">
      <w:pPr>
        <w:pStyle w:val="BodyTextMain"/>
        <w:keepNext/>
        <w:keepLines/>
        <w:rPr>
          <w:rFonts w:eastAsia="Yu Gothic Light"/>
          <w:sz w:val="18"/>
          <w:szCs w:val="18"/>
          <w:lang w:val="en-CA"/>
        </w:rPr>
      </w:pPr>
    </w:p>
    <w:p w14:paraId="0A9942AC" w14:textId="28FBE874" w:rsidR="00B02D49" w:rsidRPr="000A349E" w:rsidRDefault="00B02D49" w:rsidP="004507F0">
      <w:pPr>
        <w:pStyle w:val="BodyTextMain"/>
        <w:keepNext/>
        <w:keepLines/>
        <w:rPr>
          <w:rFonts w:eastAsia="Yu Mincho"/>
          <w:lang w:val="en-CA"/>
        </w:rPr>
      </w:pPr>
      <w:r w:rsidRPr="000A349E">
        <w:rPr>
          <w:rFonts w:eastAsia="Yu Mincho"/>
          <w:lang w:val="en-CA"/>
        </w:rPr>
        <w:t>Despite limited cash, employees, technology, and data, OECM continued to show strong growth. The management team pushed for growth, but at the same time prepar</w:t>
      </w:r>
      <w:r w:rsidR="00ED329B" w:rsidRPr="000A349E">
        <w:rPr>
          <w:rFonts w:eastAsia="Yu Mincho"/>
          <w:lang w:val="en-CA"/>
        </w:rPr>
        <w:t>ed</w:t>
      </w:r>
      <w:r w:rsidRPr="000A349E">
        <w:rPr>
          <w:rFonts w:eastAsia="Yu Mincho"/>
          <w:lang w:val="en-CA"/>
        </w:rPr>
        <w:t xml:space="preserve"> the organization structurally for the future. The question of how the organization c</w:t>
      </w:r>
      <w:r w:rsidR="00ED329B" w:rsidRPr="000A349E">
        <w:rPr>
          <w:rFonts w:eastAsia="Yu Mincho"/>
          <w:lang w:val="en-CA"/>
        </w:rPr>
        <w:t>ould</w:t>
      </w:r>
      <w:r w:rsidRPr="000A349E">
        <w:rPr>
          <w:rFonts w:eastAsia="Yu Mincho"/>
          <w:lang w:val="en-CA"/>
        </w:rPr>
        <w:t xml:space="preserve"> grow exponentially without exponentially </w:t>
      </w:r>
      <w:r w:rsidR="00800E5D" w:rsidRPr="000A349E">
        <w:rPr>
          <w:rFonts w:eastAsia="Yu Mincho"/>
          <w:lang w:val="en-CA"/>
        </w:rPr>
        <w:t xml:space="preserve">increasing its use of </w:t>
      </w:r>
      <w:r w:rsidRPr="000A349E">
        <w:rPr>
          <w:rFonts w:eastAsia="Yu Mincho"/>
          <w:lang w:val="en-CA"/>
        </w:rPr>
        <w:t xml:space="preserve">resources occupied the attention of the senior management team and the </w:t>
      </w:r>
      <w:r w:rsidR="00800E5D" w:rsidRPr="000A349E">
        <w:rPr>
          <w:rFonts w:eastAsia="Yu Mincho"/>
          <w:lang w:val="en-CA"/>
        </w:rPr>
        <w:t>b</w:t>
      </w:r>
      <w:r w:rsidRPr="000A349E">
        <w:rPr>
          <w:rFonts w:eastAsia="Yu Mincho"/>
          <w:lang w:val="en-CA"/>
        </w:rPr>
        <w:t xml:space="preserve">oard. </w:t>
      </w:r>
    </w:p>
    <w:p w14:paraId="349F6F51" w14:textId="77777777" w:rsidR="00B02D49" w:rsidRPr="000A349E" w:rsidRDefault="00B02D49" w:rsidP="00B02D49">
      <w:pPr>
        <w:pStyle w:val="BodyTextMain"/>
        <w:rPr>
          <w:rFonts w:eastAsia="Yu Mincho"/>
          <w:sz w:val="18"/>
          <w:szCs w:val="18"/>
          <w:lang w:val="en-CA"/>
        </w:rPr>
      </w:pPr>
    </w:p>
    <w:p w14:paraId="2C183161" w14:textId="08F42F25" w:rsidR="00B02D49" w:rsidRPr="000A349E" w:rsidRDefault="00B02D49" w:rsidP="000A349E">
      <w:pPr>
        <w:pStyle w:val="BodyTextMain"/>
        <w:rPr>
          <w:rFonts w:eastAsia="Yu Mincho"/>
          <w:spacing w:val="-4"/>
          <w:kern w:val="22"/>
          <w:lang w:val="en-CA"/>
        </w:rPr>
      </w:pPr>
      <w:r w:rsidRPr="000A349E">
        <w:rPr>
          <w:rFonts w:eastAsia="Yu Mincho"/>
          <w:spacing w:val="-4"/>
          <w:kern w:val="22"/>
          <w:lang w:val="en-CA"/>
        </w:rPr>
        <w:t>There were a number of avenues for growth</w:t>
      </w:r>
      <w:r w:rsidR="00800E5D" w:rsidRPr="000A349E">
        <w:rPr>
          <w:rFonts w:eastAsia="Yu Mincho"/>
          <w:spacing w:val="-4"/>
          <w:kern w:val="22"/>
          <w:lang w:val="en-CA"/>
        </w:rPr>
        <w:t>,</w:t>
      </w:r>
      <w:r w:rsidRPr="000A349E">
        <w:rPr>
          <w:rFonts w:eastAsia="Yu Mincho"/>
          <w:spacing w:val="-4"/>
          <w:kern w:val="22"/>
          <w:lang w:val="en-CA"/>
        </w:rPr>
        <w:t xml:space="preserve"> but it was far from clear what strategy </w:t>
      </w:r>
      <w:r w:rsidR="00800E5D" w:rsidRPr="000A349E">
        <w:rPr>
          <w:rFonts w:eastAsia="Yu Mincho"/>
          <w:spacing w:val="-4"/>
          <w:kern w:val="22"/>
          <w:lang w:val="en-CA"/>
        </w:rPr>
        <w:t xml:space="preserve">the organization </w:t>
      </w:r>
      <w:r w:rsidRPr="000A349E">
        <w:rPr>
          <w:rFonts w:eastAsia="Yu Mincho"/>
          <w:spacing w:val="-4"/>
          <w:kern w:val="22"/>
          <w:lang w:val="en-CA"/>
        </w:rPr>
        <w:t>should take. For example,</w:t>
      </w:r>
      <w:r w:rsidRPr="000A349E" w:rsidDel="002F00E0">
        <w:rPr>
          <w:rFonts w:eastAsia="Yu Mincho"/>
          <w:spacing w:val="-4"/>
          <w:kern w:val="22"/>
          <w:lang w:val="en-CA"/>
        </w:rPr>
        <w:t xml:space="preserve"> </w:t>
      </w:r>
      <w:r w:rsidRPr="000A349E">
        <w:rPr>
          <w:rFonts w:eastAsia="Yu Mincho"/>
          <w:spacing w:val="-4"/>
          <w:kern w:val="22"/>
          <w:lang w:val="en-CA"/>
        </w:rPr>
        <w:t xml:space="preserve">the </w:t>
      </w:r>
      <w:r w:rsidRPr="000A349E">
        <w:rPr>
          <w:rFonts w:eastAsia="Yu Gothic Light"/>
          <w:bCs/>
          <w:spacing w:val="-4"/>
          <w:kern w:val="22"/>
          <w:lang w:val="en-CA"/>
        </w:rPr>
        <w:t xml:space="preserve">question of expanding into </w:t>
      </w:r>
      <w:r w:rsidRPr="000A349E">
        <w:rPr>
          <w:rFonts w:eastAsia="Yu Mincho"/>
          <w:spacing w:val="-4"/>
          <w:kern w:val="22"/>
          <w:lang w:val="en-CA"/>
        </w:rPr>
        <w:t>new geographical locations surfaced every few months, yet there was still so much room to grow in Ontario</w:t>
      </w:r>
      <w:r w:rsidR="007358E6" w:rsidRPr="000A349E">
        <w:rPr>
          <w:rFonts w:eastAsia="Yu Mincho"/>
          <w:spacing w:val="-4"/>
          <w:kern w:val="22"/>
          <w:lang w:val="en-CA"/>
        </w:rPr>
        <w:t>. W</w:t>
      </w:r>
      <w:r w:rsidRPr="000A349E">
        <w:rPr>
          <w:rFonts w:eastAsia="Yu Mincho"/>
          <w:spacing w:val="-4"/>
          <w:kern w:val="22"/>
          <w:lang w:val="en-CA"/>
        </w:rPr>
        <w:t xml:space="preserve">ould </w:t>
      </w:r>
      <w:r w:rsidR="007358E6" w:rsidRPr="000A349E">
        <w:rPr>
          <w:rFonts w:eastAsia="Yu Mincho"/>
          <w:spacing w:val="-4"/>
          <w:kern w:val="22"/>
          <w:lang w:val="en-CA"/>
        </w:rPr>
        <w:t xml:space="preserve">moving beyond Ontario </w:t>
      </w:r>
      <w:r w:rsidRPr="000A349E">
        <w:rPr>
          <w:rFonts w:eastAsia="Yu Mincho"/>
          <w:spacing w:val="-4"/>
          <w:kern w:val="22"/>
          <w:lang w:val="en-CA"/>
        </w:rPr>
        <w:t xml:space="preserve">be too risky? Should OECM continue to invest in </w:t>
      </w:r>
      <w:r w:rsidR="007358E6" w:rsidRPr="000A349E">
        <w:rPr>
          <w:rFonts w:eastAsia="Yu Mincho"/>
          <w:spacing w:val="-4"/>
          <w:kern w:val="22"/>
          <w:lang w:val="en-CA"/>
        </w:rPr>
        <w:t xml:space="preserve">its </w:t>
      </w:r>
      <w:r w:rsidRPr="000A349E">
        <w:rPr>
          <w:rFonts w:eastAsia="Yu Mincho"/>
          <w:spacing w:val="-4"/>
          <w:kern w:val="22"/>
          <w:lang w:val="en-CA"/>
        </w:rPr>
        <w:t xml:space="preserve">current systems, or should </w:t>
      </w:r>
      <w:r w:rsidR="007358E6" w:rsidRPr="000A349E">
        <w:rPr>
          <w:rFonts w:eastAsia="Yu Mincho"/>
          <w:spacing w:val="-4"/>
          <w:kern w:val="22"/>
          <w:lang w:val="en-CA"/>
        </w:rPr>
        <w:t xml:space="preserve">it hire </w:t>
      </w:r>
      <w:r w:rsidRPr="000A349E">
        <w:rPr>
          <w:rFonts w:eastAsia="Yu Mincho"/>
          <w:spacing w:val="-4"/>
          <w:kern w:val="22"/>
          <w:lang w:val="en-CA"/>
        </w:rPr>
        <w:t xml:space="preserve">an in-house group of computer programmers? Should OECM attempt to become the most innovative procurement firm in Canada or even in the world? The </w:t>
      </w:r>
      <w:r w:rsidR="007358E6" w:rsidRPr="000A349E">
        <w:rPr>
          <w:rFonts w:eastAsia="Yu Mincho"/>
          <w:spacing w:val="-4"/>
          <w:kern w:val="22"/>
          <w:lang w:val="en-CA"/>
        </w:rPr>
        <w:t xml:space="preserve">organization’s </w:t>
      </w:r>
      <w:r w:rsidRPr="000A349E">
        <w:rPr>
          <w:rFonts w:eastAsia="Yu Mincho"/>
          <w:spacing w:val="-4"/>
          <w:kern w:val="22"/>
          <w:lang w:val="en-CA"/>
        </w:rPr>
        <w:t>current strategy</w:t>
      </w:r>
      <w:r w:rsidR="007358E6" w:rsidRPr="000A349E">
        <w:rPr>
          <w:rFonts w:eastAsia="Yu Mincho"/>
          <w:spacing w:val="-4"/>
          <w:kern w:val="22"/>
          <w:lang w:val="en-CA"/>
        </w:rPr>
        <w:t xml:space="preserve">, which </w:t>
      </w:r>
      <w:proofErr w:type="gramStart"/>
      <w:r w:rsidR="007358E6" w:rsidRPr="000A349E">
        <w:rPr>
          <w:rFonts w:eastAsia="Yu Mincho"/>
          <w:spacing w:val="-4"/>
          <w:kern w:val="22"/>
          <w:lang w:val="en-CA"/>
        </w:rPr>
        <w:t>could be compared</w:t>
      </w:r>
      <w:proofErr w:type="gramEnd"/>
      <w:r w:rsidR="007358E6" w:rsidRPr="000A349E">
        <w:rPr>
          <w:rFonts w:eastAsia="Yu Mincho"/>
          <w:spacing w:val="-4"/>
          <w:kern w:val="22"/>
          <w:lang w:val="en-CA"/>
        </w:rPr>
        <w:t xml:space="preserve"> to</w:t>
      </w:r>
      <w:r w:rsidRPr="000A349E">
        <w:rPr>
          <w:rFonts w:eastAsia="Yu Mincho"/>
          <w:spacing w:val="-4"/>
          <w:kern w:val="22"/>
          <w:lang w:val="en-CA"/>
        </w:rPr>
        <w:t xml:space="preserve"> grabbing </w:t>
      </w:r>
      <w:r w:rsidR="007358E6" w:rsidRPr="000A349E">
        <w:rPr>
          <w:rFonts w:eastAsia="Yu Mincho"/>
          <w:spacing w:val="-4"/>
          <w:kern w:val="22"/>
          <w:lang w:val="en-CA"/>
        </w:rPr>
        <w:t>low-</w:t>
      </w:r>
      <w:r w:rsidRPr="000A349E">
        <w:rPr>
          <w:rFonts w:eastAsia="Yu Mincho"/>
          <w:spacing w:val="-4"/>
          <w:kern w:val="22"/>
          <w:lang w:val="en-CA"/>
        </w:rPr>
        <w:t>hanging fruit</w:t>
      </w:r>
      <w:r w:rsidR="007358E6" w:rsidRPr="000A349E">
        <w:rPr>
          <w:rFonts w:eastAsia="Yu Mincho"/>
          <w:spacing w:val="-4"/>
          <w:kern w:val="22"/>
          <w:lang w:val="en-CA"/>
        </w:rPr>
        <w:t>,</w:t>
      </w:r>
      <w:r w:rsidRPr="000A349E">
        <w:rPr>
          <w:rFonts w:eastAsia="Yu Mincho"/>
          <w:spacing w:val="-4"/>
          <w:kern w:val="22"/>
          <w:lang w:val="en-CA"/>
        </w:rPr>
        <w:t xml:space="preserve"> had worked well to date, but </w:t>
      </w:r>
      <w:r w:rsidR="007358E6" w:rsidRPr="000A349E">
        <w:rPr>
          <w:rFonts w:eastAsia="Yu Mincho"/>
          <w:spacing w:val="-4"/>
          <w:kern w:val="22"/>
          <w:lang w:val="en-CA"/>
        </w:rPr>
        <w:t xml:space="preserve">might </w:t>
      </w:r>
      <w:r w:rsidRPr="000A349E">
        <w:rPr>
          <w:rFonts w:eastAsia="Yu Mincho"/>
          <w:spacing w:val="-4"/>
          <w:kern w:val="22"/>
          <w:lang w:val="en-CA"/>
        </w:rPr>
        <w:t>not be enough to achieve the desired growth. There were so many unanswered questions.</w:t>
      </w:r>
      <w:r w:rsidRPr="000A349E">
        <w:rPr>
          <w:lang w:val="en-CA"/>
        </w:rPr>
        <w:br w:type="page"/>
      </w:r>
    </w:p>
    <w:p w14:paraId="6976405B" w14:textId="77777777" w:rsidR="00B02D49" w:rsidRPr="000A349E" w:rsidRDefault="00B02D49" w:rsidP="00B02D49">
      <w:pPr>
        <w:pStyle w:val="ExhibitHeading"/>
        <w:rPr>
          <w:rFonts w:cstheme="minorHAnsi"/>
          <w:lang w:val="en-CA"/>
        </w:rPr>
      </w:pPr>
      <w:r w:rsidRPr="000A349E">
        <w:rPr>
          <w:lang w:val="en-CA"/>
        </w:rPr>
        <w:lastRenderedPageBreak/>
        <w:t>Exhibit 1: OECM’s Procurement Process</w:t>
      </w:r>
    </w:p>
    <w:p w14:paraId="788FCCB4" w14:textId="77777777" w:rsidR="00B02D49" w:rsidRPr="000A349E" w:rsidRDefault="00B02D49" w:rsidP="00B02D49">
      <w:pPr>
        <w:pStyle w:val="ExhibitText"/>
        <w:rPr>
          <w:highlight w:val="yellow"/>
          <w:lang w:val="en-CA"/>
        </w:rPr>
      </w:pPr>
    </w:p>
    <w:p w14:paraId="3FAD19F0" w14:textId="77777777" w:rsidR="00B02D49" w:rsidRPr="000A349E" w:rsidRDefault="00B02D49" w:rsidP="00B02D49">
      <w:pPr>
        <w:tabs>
          <w:tab w:val="left" w:pos="7482"/>
        </w:tabs>
        <w:rPr>
          <w:sz w:val="32"/>
          <w:szCs w:val="32"/>
          <w:lang w:val="en-CA"/>
        </w:rPr>
      </w:pPr>
      <w:r w:rsidRPr="000A349E">
        <w:rPr>
          <w:noProof/>
          <w:lang w:val="en-CA" w:eastAsia="en-CA"/>
        </w:rPr>
        <w:drawing>
          <wp:inline distT="0" distB="0" distL="0" distR="0" wp14:anchorId="5CCD3F83" wp14:editId="43539960">
            <wp:extent cx="5943600" cy="5848350"/>
            <wp:effectExtent l="0" t="57150" r="0" b="9525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6EC8F276" w14:textId="77777777" w:rsidR="00B02D49" w:rsidRPr="000A349E" w:rsidRDefault="00B02D49" w:rsidP="00B02D49">
      <w:pPr>
        <w:pStyle w:val="ExhibitText"/>
        <w:rPr>
          <w:lang w:val="en-CA"/>
        </w:rPr>
      </w:pPr>
    </w:p>
    <w:p w14:paraId="0C0B816F" w14:textId="7446B626" w:rsidR="009145A0" w:rsidRPr="000A349E" w:rsidRDefault="009145A0" w:rsidP="00B02D49">
      <w:pPr>
        <w:pStyle w:val="Footnote"/>
        <w:rPr>
          <w:lang w:val="en-CA"/>
        </w:rPr>
      </w:pPr>
      <w:r w:rsidRPr="000A349E">
        <w:rPr>
          <w:lang w:val="en-CA"/>
        </w:rPr>
        <w:t>Note: RFP = request for proposal.</w:t>
      </w:r>
    </w:p>
    <w:p w14:paraId="2E0A96C0" w14:textId="30714515" w:rsidR="00B02D49" w:rsidRPr="000A349E" w:rsidRDefault="00B02D49" w:rsidP="00B02D49">
      <w:pPr>
        <w:pStyle w:val="Footnote"/>
        <w:rPr>
          <w:lang w:val="en-CA"/>
        </w:rPr>
      </w:pPr>
      <w:r w:rsidRPr="000A349E">
        <w:rPr>
          <w:lang w:val="en-CA"/>
        </w:rPr>
        <w:t>Source: Organization documents.</w:t>
      </w:r>
    </w:p>
    <w:p w14:paraId="7B687E06" w14:textId="50AE3559" w:rsidR="00664061" w:rsidRPr="000A349E" w:rsidRDefault="00B02D49" w:rsidP="00664061">
      <w:pPr>
        <w:pStyle w:val="ExhibitHeading"/>
        <w:rPr>
          <w:lang w:val="en-CA"/>
        </w:rPr>
      </w:pPr>
      <w:r w:rsidRPr="000A349E">
        <w:rPr>
          <w:lang w:val="en-CA"/>
        </w:rPr>
        <w:br w:type="page"/>
      </w:r>
      <w:r w:rsidR="00664061" w:rsidRPr="000A349E">
        <w:rPr>
          <w:lang w:val="en-CA"/>
        </w:rPr>
        <w:lastRenderedPageBreak/>
        <w:t xml:space="preserve">Exhibit 2: </w:t>
      </w:r>
      <w:r w:rsidR="009145A0" w:rsidRPr="000A349E">
        <w:rPr>
          <w:lang w:val="en-CA"/>
        </w:rPr>
        <w:t xml:space="preserve">OECM </w:t>
      </w:r>
      <w:r w:rsidR="00664061" w:rsidRPr="000A349E">
        <w:rPr>
          <w:lang w:val="en-CA"/>
        </w:rPr>
        <w:t>Financial Summary</w:t>
      </w:r>
      <w:r w:rsidR="00313C2A">
        <w:rPr>
          <w:lang w:val="en-CA"/>
        </w:rPr>
        <w:t xml:space="preserve"> (CA$)</w:t>
      </w:r>
    </w:p>
    <w:p w14:paraId="72B7AB1B" w14:textId="77777777" w:rsidR="00664061" w:rsidRPr="000A349E" w:rsidRDefault="00664061" w:rsidP="00664061">
      <w:pPr>
        <w:tabs>
          <w:tab w:val="center" w:pos="4680"/>
          <w:tab w:val="left" w:pos="8413"/>
        </w:tabs>
        <w:jc w:val="center"/>
        <w:rPr>
          <w:sz w:val="18"/>
          <w:szCs w:val="18"/>
          <w:lang w:val="en-CA"/>
        </w:rPr>
      </w:pPr>
    </w:p>
    <w:tbl>
      <w:tblPr>
        <w:tblW w:w="82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00"/>
        <w:gridCol w:w="1340"/>
        <w:gridCol w:w="1340"/>
        <w:gridCol w:w="1217"/>
      </w:tblGrid>
      <w:tr w:rsidR="00664061" w:rsidRPr="000A349E" w14:paraId="425E1143" w14:textId="77777777" w:rsidTr="005611BC">
        <w:trPr>
          <w:trHeight w:val="20"/>
          <w:jc w:val="center"/>
        </w:trPr>
        <w:tc>
          <w:tcPr>
            <w:tcW w:w="4400" w:type="dxa"/>
            <w:shd w:val="clear" w:color="auto" w:fill="auto"/>
            <w:noWrap/>
            <w:vAlign w:val="bottom"/>
            <w:hideMark/>
          </w:tcPr>
          <w:p w14:paraId="0B2C1FA0" w14:textId="77777777" w:rsidR="00664061" w:rsidRPr="000A349E" w:rsidRDefault="00664061" w:rsidP="005611BC">
            <w:pPr>
              <w:pStyle w:val="ExhibitText"/>
              <w:rPr>
                <w:lang w:val="en-CA" w:eastAsia="en-CA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36C5F77F" w14:textId="77777777" w:rsidR="00664061" w:rsidRPr="000A349E" w:rsidRDefault="00664061" w:rsidP="004507F0">
            <w:pPr>
              <w:pStyle w:val="ExhibitText"/>
              <w:jc w:val="center"/>
              <w:rPr>
                <w:b/>
                <w:lang w:val="en-CA" w:eastAsia="en-CA"/>
              </w:rPr>
            </w:pPr>
            <w:r w:rsidRPr="000A349E">
              <w:rPr>
                <w:b/>
                <w:lang w:val="en-CA" w:eastAsia="en-CA"/>
              </w:rPr>
              <w:t>2015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63B489B8" w14:textId="77777777" w:rsidR="00664061" w:rsidRPr="000A349E" w:rsidRDefault="00664061" w:rsidP="004507F0">
            <w:pPr>
              <w:pStyle w:val="ExhibitText"/>
              <w:jc w:val="center"/>
              <w:rPr>
                <w:b/>
                <w:lang w:val="en-CA" w:eastAsia="en-CA"/>
              </w:rPr>
            </w:pPr>
            <w:r w:rsidRPr="000A349E">
              <w:rPr>
                <w:b/>
                <w:lang w:val="en-CA" w:eastAsia="en-CA"/>
              </w:rPr>
              <w:t>2016</w:t>
            </w:r>
          </w:p>
        </w:tc>
        <w:tc>
          <w:tcPr>
            <w:tcW w:w="1217" w:type="dxa"/>
            <w:shd w:val="clear" w:color="auto" w:fill="auto"/>
            <w:noWrap/>
            <w:vAlign w:val="bottom"/>
            <w:hideMark/>
          </w:tcPr>
          <w:p w14:paraId="201435BB" w14:textId="77777777" w:rsidR="00664061" w:rsidRPr="000A349E" w:rsidRDefault="00664061" w:rsidP="004507F0">
            <w:pPr>
              <w:pStyle w:val="ExhibitText"/>
              <w:jc w:val="center"/>
              <w:rPr>
                <w:b/>
                <w:lang w:val="en-CA" w:eastAsia="en-CA"/>
              </w:rPr>
            </w:pPr>
            <w:r w:rsidRPr="000A349E">
              <w:rPr>
                <w:b/>
                <w:lang w:val="en-CA" w:eastAsia="en-CA"/>
              </w:rPr>
              <w:t>2017</w:t>
            </w:r>
          </w:p>
        </w:tc>
      </w:tr>
      <w:tr w:rsidR="00664061" w:rsidRPr="000A349E" w14:paraId="70759AAC" w14:textId="77777777" w:rsidTr="005611BC">
        <w:trPr>
          <w:trHeight w:val="20"/>
          <w:jc w:val="center"/>
        </w:trPr>
        <w:tc>
          <w:tcPr>
            <w:tcW w:w="4400" w:type="dxa"/>
            <w:shd w:val="clear" w:color="auto" w:fill="auto"/>
            <w:noWrap/>
            <w:vAlign w:val="bottom"/>
          </w:tcPr>
          <w:p w14:paraId="2DC91860" w14:textId="7D939D85" w:rsidR="00664061" w:rsidRPr="000A349E" w:rsidRDefault="00664061" w:rsidP="005611BC">
            <w:pPr>
              <w:pStyle w:val="ExhibitText"/>
              <w:rPr>
                <w:b/>
                <w:color w:val="000000"/>
                <w:lang w:val="en-CA" w:eastAsia="en-CA"/>
              </w:rPr>
            </w:pPr>
            <w:r w:rsidRPr="000A349E">
              <w:rPr>
                <w:b/>
                <w:color w:val="000000"/>
                <w:lang w:val="en-CA" w:eastAsia="en-CA"/>
              </w:rPr>
              <w:t>R</w:t>
            </w:r>
            <w:r w:rsidR="00313C2A">
              <w:rPr>
                <w:b/>
                <w:color w:val="000000"/>
                <w:lang w:val="en-CA" w:eastAsia="en-CA"/>
              </w:rPr>
              <w:t>evenues</w:t>
            </w:r>
          </w:p>
        </w:tc>
        <w:tc>
          <w:tcPr>
            <w:tcW w:w="1340" w:type="dxa"/>
            <w:shd w:val="clear" w:color="auto" w:fill="auto"/>
            <w:noWrap/>
            <w:vAlign w:val="bottom"/>
          </w:tcPr>
          <w:p w14:paraId="16B8D6F8" w14:textId="77777777" w:rsidR="00664061" w:rsidRPr="000A349E" w:rsidRDefault="00664061" w:rsidP="005611BC">
            <w:pPr>
              <w:pStyle w:val="ExhibitText"/>
              <w:rPr>
                <w:color w:val="000000"/>
                <w:lang w:val="en-CA" w:eastAsia="en-CA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</w:tcPr>
          <w:p w14:paraId="4C1BB57F" w14:textId="77777777" w:rsidR="00664061" w:rsidRPr="000A349E" w:rsidRDefault="00664061" w:rsidP="005611BC">
            <w:pPr>
              <w:pStyle w:val="ExhibitText"/>
              <w:rPr>
                <w:color w:val="000000"/>
                <w:lang w:val="en-CA" w:eastAsia="en-CA"/>
              </w:rPr>
            </w:pPr>
          </w:p>
        </w:tc>
        <w:tc>
          <w:tcPr>
            <w:tcW w:w="1217" w:type="dxa"/>
            <w:shd w:val="clear" w:color="auto" w:fill="auto"/>
            <w:noWrap/>
            <w:vAlign w:val="bottom"/>
          </w:tcPr>
          <w:p w14:paraId="5E0E94F6" w14:textId="77777777" w:rsidR="00664061" w:rsidRPr="000A349E" w:rsidRDefault="00664061" w:rsidP="005611BC">
            <w:pPr>
              <w:pStyle w:val="ExhibitText"/>
              <w:rPr>
                <w:color w:val="000000"/>
                <w:lang w:val="en-CA" w:eastAsia="en-CA"/>
              </w:rPr>
            </w:pPr>
          </w:p>
        </w:tc>
      </w:tr>
      <w:tr w:rsidR="00664061" w:rsidRPr="000A349E" w14:paraId="41FE562F" w14:textId="77777777" w:rsidTr="005611BC">
        <w:trPr>
          <w:trHeight w:val="20"/>
          <w:jc w:val="center"/>
        </w:trPr>
        <w:tc>
          <w:tcPr>
            <w:tcW w:w="4400" w:type="dxa"/>
            <w:shd w:val="clear" w:color="auto" w:fill="auto"/>
            <w:noWrap/>
            <w:vAlign w:val="bottom"/>
          </w:tcPr>
          <w:p w14:paraId="6ABBBB9B" w14:textId="301ED1DB" w:rsidR="00664061" w:rsidRPr="000A349E" w:rsidRDefault="00664061" w:rsidP="005611BC">
            <w:pPr>
              <w:pStyle w:val="ExhibitText"/>
              <w:rPr>
                <w:color w:val="000000"/>
                <w:lang w:val="en-CA" w:eastAsia="en-CA"/>
              </w:rPr>
            </w:pPr>
            <w:r w:rsidRPr="000A349E">
              <w:rPr>
                <w:color w:val="000000"/>
                <w:lang w:val="en-CA" w:eastAsia="en-CA"/>
              </w:rPr>
              <w:t xml:space="preserve">Transfer </w:t>
            </w:r>
            <w:r w:rsidR="00313C2A">
              <w:rPr>
                <w:color w:val="000000"/>
                <w:lang w:val="en-CA" w:eastAsia="en-CA"/>
              </w:rPr>
              <w:t>p</w:t>
            </w:r>
            <w:r w:rsidRPr="000A349E">
              <w:rPr>
                <w:color w:val="000000"/>
                <w:lang w:val="en-CA" w:eastAsia="en-CA"/>
              </w:rPr>
              <w:t xml:space="preserve">ayment </w:t>
            </w:r>
            <w:r w:rsidR="00313C2A">
              <w:rPr>
                <w:color w:val="000000"/>
                <w:lang w:val="en-CA" w:eastAsia="en-CA"/>
              </w:rPr>
              <w:t>a</w:t>
            </w:r>
            <w:r w:rsidRPr="000A349E">
              <w:rPr>
                <w:color w:val="000000"/>
                <w:lang w:val="en-CA" w:eastAsia="en-CA"/>
              </w:rPr>
              <w:t>greement</w:t>
            </w:r>
          </w:p>
        </w:tc>
        <w:tc>
          <w:tcPr>
            <w:tcW w:w="1340" w:type="dxa"/>
            <w:shd w:val="clear" w:color="auto" w:fill="auto"/>
            <w:noWrap/>
            <w:vAlign w:val="bottom"/>
          </w:tcPr>
          <w:p w14:paraId="3F1924B7" w14:textId="1EFE5D36" w:rsidR="00664061" w:rsidRPr="000A349E" w:rsidRDefault="00664061" w:rsidP="004507F0">
            <w:pPr>
              <w:pStyle w:val="ExhibitText"/>
              <w:jc w:val="right"/>
              <w:rPr>
                <w:color w:val="000000"/>
                <w:lang w:val="en-CA" w:eastAsia="en-CA"/>
              </w:rPr>
            </w:pPr>
            <w:r w:rsidRPr="000A349E">
              <w:rPr>
                <w:color w:val="000000"/>
                <w:lang w:val="en-CA" w:eastAsia="en-CA"/>
              </w:rPr>
              <w:t>1,905,617</w:t>
            </w:r>
          </w:p>
        </w:tc>
        <w:tc>
          <w:tcPr>
            <w:tcW w:w="1340" w:type="dxa"/>
            <w:shd w:val="clear" w:color="auto" w:fill="auto"/>
            <w:noWrap/>
            <w:vAlign w:val="bottom"/>
          </w:tcPr>
          <w:p w14:paraId="42A2608A" w14:textId="1F4AAA20" w:rsidR="00664061" w:rsidRPr="000A349E" w:rsidRDefault="00664061" w:rsidP="004507F0">
            <w:pPr>
              <w:pStyle w:val="ExhibitText"/>
              <w:jc w:val="right"/>
              <w:rPr>
                <w:color w:val="000000"/>
                <w:lang w:val="en-CA" w:eastAsia="en-CA"/>
              </w:rPr>
            </w:pPr>
            <w:r w:rsidRPr="000A349E">
              <w:rPr>
                <w:color w:val="000000"/>
                <w:lang w:val="en-CA" w:eastAsia="en-CA"/>
              </w:rPr>
              <w:t>0</w:t>
            </w:r>
          </w:p>
        </w:tc>
        <w:tc>
          <w:tcPr>
            <w:tcW w:w="1217" w:type="dxa"/>
            <w:shd w:val="clear" w:color="auto" w:fill="auto"/>
            <w:noWrap/>
            <w:vAlign w:val="bottom"/>
          </w:tcPr>
          <w:p w14:paraId="6A5E62B9" w14:textId="0E6D485F" w:rsidR="00664061" w:rsidRPr="000A349E" w:rsidRDefault="00664061" w:rsidP="004507F0">
            <w:pPr>
              <w:pStyle w:val="ExhibitText"/>
              <w:jc w:val="right"/>
              <w:rPr>
                <w:color w:val="000000"/>
                <w:lang w:val="en-CA" w:eastAsia="en-CA"/>
              </w:rPr>
            </w:pPr>
            <w:r w:rsidRPr="000A349E">
              <w:rPr>
                <w:color w:val="000000"/>
                <w:lang w:val="en-CA" w:eastAsia="en-CA"/>
              </w:rPr>
              <w:t>0</w:t>
            </w:r>
          </w:p>
        </w:tc>
      </w:tr>
      <w:tr w:rsidR="00664061" w:rsidRPr="000A349E" w14:paraId="0C35F4C1" w14:textId="77777777" w:rsidTr="005611BC">
        <w:trPr>
          <w:trHeight w:val="20"/>
          <w:jc w:val="center"/>
        </w:trPr>
        <w:tc>
          <w:tcPr>
            <w:tcW w:w="4400" w:type="dxa"/>
            <w:shd w:val="clear" w:color="auto" w:fill="auto"/>
            <w:noWrap/>
            <w:vAlign w:val="bottom"/>
            <w:hideMark/>
          </w:tcPr>
          <w:p w14:paraId="553D1008" w14:textId="5A6087DF" w:rsidR="00664061" w:rsidRPr="000A349E" w:rsidRDefault="00664061" w:rsidP="005611BC">
            <w:pPr>
              <w:pStyle w:val="ExhibitText"/>
              <w:rPr>
                <w:color w:val="000000"/>
                <w:lang w:val="en-CA" w:eastAsia="en-CA"/>
              </w:rPr>
            </w:pPr>
            <w:r w:rsidRPr="000A349E">
              <w:rPr>
                <w:color w:val="000000"/>
                <w:lang w:val="en-CA" w:eastAsia="en-CA"/>
              </w:rPr>
              <w:t xml:space="preserve">Government </w:t>
            </w:r>
            <w:r w:rsidR="00313C2A">
              <w:rPr>
                <w:color w:val="000000"/>
                <w:lang w:val="en-CA" w:eastAsia="en-CA"/>
              </w:rPr>
              <w:t>p</w:t>
            </w:r>
            <w:r w:rsidR="009145A0" w:rsidRPr="000A349E">
              <w:rPr>
                <w:color w:val="000000"/>
                <w:lang w:val="en-CA" w:eastAsia="en-CA"/>
              </w:rPr>
              <w:t xml:space="preserve">roject </w:t>
            </w:r>
            <w:r w:rsidR="00313C2A">
              <w:rPr>
                <w:color w:val="000000"/>
                <w:lang w:val="en-CA" w:eastAsia="en-CA"/>
              </w:rPr>
              <w:t>g</w:t>
            </w:r>
            <w:r w:rsidR="009145A0" w:rsidRPr="000A349E">
              <w:rPr>
                <w:color w:val="000000"/>
                <w:lang w:val="en-CA" w:eastAsia="en-CA"/>
              </w:rPr>
              <w:t>rants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229CDD46" w14:textId="198434C7" w:rsidR="00664061" w:rsidRPr="000A349E" w:rsidRDefault="00664061" w:rsidP="004507F0">
            <w:pPr>
              <w:pStyle w:val="ExhibitText"/>
              <w:jc w:val="right"/>
              <w:rPr>
                <w:color w:val="000000"/>
                <w:lang w:val="en-CA" w:eastAsia="en-CA"/>
              </w:rPr>
            </w:pPr>
            <w:r w:rsidRPr="000A349E">
              <w:rPr>
                <w:color w:val="000000"/>
                <w:lang w:val="en-CA" w:eastAsia="en-CA"/>
              </w:rPr>
              <w:t>0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76E17C26" w14:textId="7FE985B7" w:rsidR="00664061" w:rsidRPr="000A349E" w:rsidRDefault="00664061" w:rsidP="004507F0">
            <w:pPr>
              <w:pStyle w:val="ExhibitText"/>
              <w:jc w:val="right"/>
              <w:rPr>
                <w:color w:val="000000"/>
                <w:lang w:val="en-CA" w:eastAsia="en-CA"/>
              </w:rPr>
            </w:pPr>
            <w:r w:rsidRPr="000A349E">
              <w:rPr>
                <w:color w:val="000000"/>
                <w:lang w:val="en-CA" w:eastAsia="en-CA"/>
              </w:rPr>
              <w:t>532,705</w:t>
            </w:r>
          </w:p>
        </w:tc>
        <w:tc>
          <w:tcPr>
            <w:tcW w:w="1217" w:type="dxa"/>
            <w:shd w:val="clear" w:color="auto" w:fill="auto"/>
            <w:noWrap/>
            <w:vAlign w:val="bottom"/>
            <w:hideMark/>
          </w:tcPr>
          <w:p w14:paraId="4364C713" w14:textId="3CBBAC00" w:rsidR="00664061" w:rsidRPr="000A349E" w:rsidRDefault="00664061" w:rsidP="004507F0">
            <w:pPr>
              <w:pStyle w:val="ExhibitText"/>
              <w:jc w:val="right"/>
              <w:rPr>
                <w:color w:val="000000"/>
                <w:lang w:val="en-CA" w:eastAsia="en-CA"/>
              </w:rPr>
            </w:pPr>
            <w:r w:rsidRPr="000A349E">
              <w:rPr>
                <w:color w:val="000000"/>
                <w:lang w:val="en-CA" w:eastAsia="en-CA"/>
              </w:rPr>
              <w:t>209,749</w:t>
            </w:r>
          </w:p>
        </w:tc>
      </w:tr>
      <w:tr w:rsidR="00664061" w:rsidRPr="000A349E" w14:paraId="16E40922" w14:textId="77777777" w:rsidTr="005611BC">
        <w:trPr>
          <w:trHeight w:val="20"/>
          <w:jc w:val="center"/>
        </w:trPr>
        <w:tc>
          <w:tcPr>
            <w:tcW w:w="4400" w:type="dxa"/>
            <w:shd w:val="clear" w:color="auto" w:fill="auto"/>
            <w:noWrap/>
            <w:vAlign w:val="bottom"/>
            <w:hideMark/>
          </w:tcPr>
          <w:p w14:paraId="0CFB4338" w14:textId="60CF40B7" w:rsidR="00664061" w:rsidRPr="000A349E" w:rsidRDefault="00664061" w:rsidP="005611BC">
            <w:pPr>
              <w:pStyle w:val="ExhibitText"/>
              <w:rPr>
                <w:color w:val="000000"/>
                <w:lang w:val="en-CA" w:eastAsia="en-CA"/>
              </w:rPr>
            </w:pPr>
            <w:r w:rsidRPr="000A349E">
              <w:rPr>
                <w:color w:val="000000"/>
                <w:lang w:val="en-CA" w:eastAsia="en-CA"/>
              </w:rPr>
              <w:t xml:space="preserve">Strategic </w:t>
            </w:r>
            <w:r w:rsidR="00313C2A">
              <w:rPr>
                <w:color w:val="000000"/>
                <w:lang w:val="en-CA" w:eastAsia="en-CA"/>
              </w:rPr>
              <w:t>s</w:t>
            </w:r>
            <w:r w:rsidR="009145A0" w:rsidRPr="000A349E">
              <w:rPr>
                <w:color w:val="000000"/>
                <w:lang w:val="en-CA" w:eastAsia="en-CA"/>
              </w:rPr>
              <w:t>ourcing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1E4E6A2D" w14:textId="67F0EFF3" w:rsidR="00664061" w:rsidRPr="000A349E" w:rsidRDefault="00664061" w:rsidP="004507F0">
            <w:pPr>
              <w:pStyle w:val="ExhibitText"/>
              <w:jc w:val="right"/>
              <w:rPr>
                <w:color w:val="000000"/>
                <w:lang w:val="en-CA" w:eastAsia="en-CA"/>
              </w:rPr>
            </w:pPr>
            <w:r w:rsidRPr="000A349E">
              <w:rPr>
                <w:color w:val="000000"/>
                <w:lang w:val="en-CA" w:eastAsia="en-CA"/>
              </w:rPr>
              <w:t>3,397,650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414C07FB" w14:textId="2132220F" w:rsidR="00664061" w:rsidRPr="000A349E" w:rsidRDefault="00664061" w:rsidP="004507F0">
            <w:pPr>
              <w:pStyle w:val="ExhibitText"/>
              <w:jc w:val="right"/>
              <w:rPr>
                <w:color w:val="000000"/>
                <w:lang w:val="en-CA" w:eastAsia="en-CA"/>
              </w:rPr>
            </w:pPr>
            <w:r w:rsidRPr="000A349E">
              <w:rPr>
                <w:color w:val="000000"/>
                <w:lang w:val="en-CA" w:eastAsia="en-CA"/>
              </w:rPr>
              <w:t>4,893,314</w:t>
            </w:r>
          </w:p>
        </w:tc>
        <w:tc>
          <w:tcPr>
            <w:tcW w:w="1217" w:type="dxa"/>
            <w:shd w:val="clear" w:color="auto" w:fill="auto"/>
            <w:noWrap/>
            <w:vAlign w:val="bottom"/>
            <w:hideMark/>
          </w:tcPr>
          <w:p w14:paraId="1CDAF48A" w14:textId="1B5158B1" w:rsidR="00664061" w:rsidRPr="000A349E" w:rsidRDefault="00664061" w:rsidP="004507F0">
            <w:pPr>
              <w:pStyle w:val="ExhibitText"/>
              <w:jc w:val="right"/>
              <w:rPr>
                <w:color w:val="000000"/>
                <w:lang w:val="en-CA" w:eastAsia="en-CA"/>
              </w:rPr>
            </w:pPr>
            <w:r w:rsidRPr="000A349E">
              <w:rPr>
                <w:color w:val="000000"/>
                <w:lang w:val="en-CA" w:eastAsia="en-CA"/>
              </w:rPr>
              <w:t>5,544,119</w:t>
            </w:r>
          </w:p>
        </w:tc>
      </w:tr>
      <w:tr w:rsidR="00664061" w:rsidRPr="000A349E" w14:paraId="3961FF2E" w14:textId="77777777" w:rsidTr="005611BC">
        <w:trPr>
          <w:trHeight w:val="20"/>
          <w:jc w:val="center"/>
        </w:trPr>
        <w:tc>
          <w:tcPr>
            <w:tcW w:w="4400" w:type="dxa"/>
            <w:shd w:val="clear" w:color="auto" w:fill="auto"/>
            <w:noWrap/>
            <w:vAlign w:val="bottom"/>
            <w:hideMark/>
          </w:tcPr>
          <w:p w14:paraId="453F1D44" w14:textId="1B7B23D1" w:rsidR="00664061" w:rsidRPr="000A349E" w:rsidRDefault="00664061" w:rsidP="005611BC">
            <w:pPr>
              <w:pStyle w:val="ExhibitText"/>
              <w:rPr>
                <w:color w:val="000000"/>
                <w:lang w:val="en-CA" w:eastAsia="en-CA"/>
              </w:rPr>
            </w:pPr>
            <w:r w:rsidRPr="000A349E">
              <w:rPr>
                <w:color w:val="000000"/>
                <w:lang w:val="en-CA" w:eastAsia="en-CA"/>
              </w:rPr>
              <w:t xml:space="preserve">Interest </w:t>
            </w:r>
            <w:r w:rsidR="00313C2A">
              <w:rPr>
                <w:color w:val="000000"/>
                <w:lang w:val="en-CA" w:eastAsia="en-CA"/>
              </w:rPr>
              <w:t>i</w:t>
            </w:r>
            <w:r w:rsidR="009145A0" w:rsidRPr="000A349E">
              <w:rPr>
                <w:color w:val="000000"/>
                <w:lang w:val="en-CA" w:eastAsia="en-CA"/>
              </w:rPr>
              <w:t>ncome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21529139" w14:textId="7576DCC9" w:rsidR="00664061" w:rsidRPr="000A349E" w:rsidRDefault="00664061" w:rsidP="004507F0">
            <w:pPr>
              <w:pStyle w:val="ExhibitText"/>
              <w:jc w:val="right"/>
              <w:rPr>
                <w:color w:val="000000"/>
                <w:lang w:val="en-CA" w:eastAsia="en-CA"/>
              </w:rPr>
            </w:pPr>
            <w:r w:rsidRPr="000A349E">
              <w:rPr>
                <w:color w:val="000000"/>
                <w:lang w:val="en-CA" w:eastAsia="en-CA"/>
              </w:rPr>
              <w:t>13,703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7799F12D" w14:textId="6C011410" w:rsidR="00664061" w:rsidRPr="000A349E" w:rsidRDefault="00664061" w:rsidP="004507F0">
            <w:pPr>
              <w:pStyle w:val="ExhibitText"/>
              <w:jc w:val="right"/>
              <w:rPr>
                <w:color w:val="000000"/>
                <w:lang w:val="en-CA" w:eastAsia="en-CA"/>
              </w:rPr>
            </w:pPr>
            <w:r w:rsidRPr="000A349E">
              <w:rPr>
                <w:color w:val="000000"/>
                <w:lang w:val="en-CA" w:eastAsia="en-CA"/>
              </w:rPr>
              <w:t>29,988</w:t>
            </w:r>
          </w:p>
        </w:tc>
        <w:tc>
          <w:tcPr>
            <w:tcW w:w="1217" w:type="dxa"/>
            <w:shd w:val="clear" w:color="auto" w:fill="auto"/>
            <w:noWrap/>
            <w:vAlign w:val="bottom"/>
            <w:hideMark/>
          </w:tcPr>
          <w:p w14:paraId="67C63166" w14:textId="006B8C33" w:rsidR="00664061" w:rsidRPr="000A349E" w:rsidRDefault="00664061" w:rsidP="004507F0">
            <w:pPr>
              <w:pStyle w:val="ExhibitText"/>
              <w:jc w:val="right"/>
              <w:rPr>
                <w:color w:val="000000"/>
                <w:lang w:val="en-CA" w:eastAsia="en-CA"/>
              </w:rPr>
            </w:pPr>
            <w:r w:rsidRPr="000A349E">
              <w:rPr>
                <w:color w:val="000000"/>
                <w:lang w:val="en-CA" w:eastAsia="en-CA"/>
              </w:rPr>
              <w:t>62,510</w:t>
            </w:r>
          </w:p>
        </w:tc>
      </w:tr>
      <w:tr w:rsidR="00664061" w:rsidRPr="000A349E" w14:paraId="3B9CF2D0" w14:textId="77777777" w:rsidTr="005611BC">
        <w:trPr>
          <w:trHeight w:val="20"/>
          <w:jc w:val="center"/>
        </w:trPr>
        <w:tc>
          <w:tcPr>
            <w:tcW w:w="4400" w:type="dxa"/>
            <w:shd w:val="clear" w:color="auto" w:fill="auto"/>
            <w:noWrap/>
            <w:vAlign w:val="bottom"/>
            <w:hideMark/>
          </w:tcPr>
          <w:p w14:paraId="7F875B7A" w14:textId="2B482589" w:rsidR="00664061" w:rsidRPr="000A349E" w:rsidRDefault="00664061" w:rsidP="005611BC">
            <w:pPr>
              <w:pStyle w:val="ExhibitText"/>
              <w:rPr>
                <w:color w:val="000000"/>
                <w:lang w:val="en-CA" w:eastAsia="en-CA"/>
              </w:rPr>
            </w:pPr>
            <w:r w:rsidRPr="000A349E">
              <w:rPr>
                <w:color w:val="000000"/>
                <w:lang w:val="en-CA" w:eastAsia="en-CA"/>
              </w:rPr>
              <w:t xml:space="preserve">Other </w:t>
            </w:r>
            <w:r w:rsidR="00313C2A">
              <w:rPr>
                <w:color w:val="000000"/>
                <w:lang w:val="en-CA" w:eastAsia="en-CA"/>
              </w:rPr>
              <w:t>i</w:t>
            </w:r>
            <w:r w:rsidR="009145A0" w:rsidRPr="000A349E">
              <w:rPr>
                <w:color w:val="000000"/>
                <w:lang w:val="en-CA" w:eastAsia="en-CA"/>
              </w:rPr>
              <w:t>ncome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06CD5A60" w14:textId="22683D68" w:rsidR="00664061" w:rsidRPr="000A349E" w:rsidRDefault="00664061" w:rsidP="004507F0">
            <w:pPr>
              <w:pStyle w:val="ExhibitText"/>
              <w:jc w:val="right"/>
              <w:rPr>
                <w:color w:val="000000"/>
                <w:lang w:val="en-CA" w:eastAsia="en-CA"/>
              </w:rPr>
            </w:pPr>
            <w:r w:rsidRPr="000A349E">
              <w:rPr>
                <w:color w:val="000000"/>
                <w:lang w:val="en-CA" w:eastAsia="en-CA"/>
              </w:rPr>
              <w:t>58,249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0F10BC84" w14:textId="14087256" w:rsidR="00664061" w:rsidRPr="000A349E" w:rsidRDefault="00664061" w:rsidP="004507F0">
            <w:pPr>
              <w:pStyle w:val="ExhibitText"/>
              <w:jc w:val="right"/>
              <w:rPr>
                <w:color w:val="000000"/>
                <w:lang w:val="en-CA" w:eastAsia="en-CA"/>
              </w:rPr>
            </w:pPr>
            <w:r w:rsidRPr="000A349E">
              <w:rPr>
                <w:color w:val="000000"/>
                <w:lang w:val="en-CA" w:eastAsia="en-CA"/>
              </w:rPr>
              <w:t>148,114</w:t>
            </w:r>
          </w:p>
        </w:tc>
        <w:tc>
          <w:tcPr>
            <w:tcW w:w="1217" w:type="dxa"/>
            <w:shd w:val="clear" w:color="auto" w:fill="auto"/>
            <w:noWrap/>
            <w:vAlign w:val="bottom"/>
            <w:hideMark/>
          </w:tcPr>
          <w:p w14:paraId="101CCACE" w14:textId="2316FF85" w:rsidR="00664061" w:rsidRPr="000A349E" w:rsidRDefault="00664061" w:rsidP="004507F0">
            <w:pPr>
              <w:pStyle w:val="ExhibitText"/>
              <w:jc w:val="right"/>
              <w:rPr>
                <w:color w:val="000000"/>
                <w:lang w:val="en-CA" w:eastAsia="en-CA"/>
              </w:rPr>
            </w:pPr>
            <w:r w:rsidRPr="000A349E">
              <w:rPr>
                <w:color w:val="000000"/>
                <w:lang w:val="en-CA" w:eastAsia="en-CA"/>
              </w:rPr>
              <w:t>156,244</w:t>
            </w:r>
          </w:p>
        </w:tc>
      </w:tr>
      <w:tr w:rsidR="00664061" w:rsidRPr="000A349E" w14:paraId="0777A904" w14:textId="77777777" w:rsidTr="005611BC">
        <w:trPr>
          <w:trHeight w:val="20"/>
          <w:jc w:val="center"/>
        </w:trPr>
        <w:tc>
          <w:tcPr>
            <w:tcW w:w="4400" w:type="dxa"/>
            <w:shd w:val="clear" w:color="auto" w:fill="auto"/>
            <w:noWrap/>
            <w:vAlign w:val="bottom"/>
            <w:hideMark/>
          </w:tcPr>
          <w:p w14:paraId="0F1BF553" w14:textId="0CCFA335" w:rsidR="00664061" w:rsidRPr="000A349E" w:rsidRDefault="00664061" w:rsidP="005611BC">
            <w:pPr>
              <w:pStyle w:val="ExhibitText"/>
              <w:rPr>
                <w:color w:val="000000"/>
                <w:lang w:val="en-CA" w:eastAsia="en-CA"/>
              </w:rPr>
            </w:pPr>
            <w:r w:rsidRPr="000A349E">
              <w:rPr>
                <w:color w:val="000000"/>
                <w:lang w:val="en-CA" w:eastAsia="en-CA"/>
              </w:rPr>
              <w:t xml:space="preserve">Amortization </w:t>
            </w:r>
            <w:r w:rsidR="009145A0" w:rsidRPr="000A349E">
              <w:rPr>
                <w:color w:val="000000"/>
                <w:lang w:val="en-CA" w:eastAsia="en-CA"/>
              </w:rPr>
              <w:t xml:space="preserve">of </w:t>
            </w:r>
            <w:r w:rsidR="00313C2A">
              <w:rPr>
                <w:color w:val="000000"/>
                <w:lang w:val="en-CA" w:eastAsia="en-CA"/>
              </w:rPr>
              <w:t>d</w:t>
            </w:r>
            <w:r w:rsidR="009145A0" w:rsidRPr="000A349E">
              <w:rPr>
                <w:color w:val="000000"/>
                <w:lang w:val="en-CA" w:eastAsia="en-CA"/>
              </w:rPr>
              <w:t xml:space="preserve">eferred </w:t>
            </w:r>
            <w:r w:rsidR="00313C2A">
              <w:rPr>
                <w:color w:val="000000"/>
                <w:lang w:val="en-CA" w:eastAsia="en-CA"/>
              </w:rPr>
              <w:t>c</w:t>
            </w:r>
            <w:r w:rsidR="009145A0" w:rsidRPr="000A349E">
              <w:rPr>
                <w:color w:val="000000"/>
                <w:lang w:val="en-CA" w:eastAsia="en-CA"/>
              </w:rPr>
              <w:t xml:space="preserve">apital </w:t>
            </w:r>
            <w:r w:rsidR="00313C2A">
              <w:rPr>
                <w:color w:val="000000"/>
                <w:lang w:val="en-CA" w:eastAsia="en-CA"/>
              </w:rPr>
              <w:t>c</w:t>
            </w:r>
            <w:r w:rsidR="009145A0" w:rsidRPr="000A349E">
              <w:rPr>
                <w:color w:val="000000"/>
                <w:lang w:val="en-CA" w:eastAsia="en-CA"/>
              </w:rPr>
              <w:t>ontributions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3E9F29E0" w14:textId="50587703" w:rsidR="00664061" w:rsidRPr="000A349E" w:rsidRDefault="00664061" w:rsidP="004507F0">
            <w:pPr>
              <w:pStyle w:val="ExhibitText"/>
              <w:jc w:val="right"/>
              <w:rPr>
                <w:color w:val="000000"/>
                <w:lang w:val="en-CA" w:eastAsia="en-CA"/>
              </w:rPr>
            </w:pPr>
            <w:r w:rsidRPr="000A349E">
              <w:rPr>
                <w:color w:val="000000"/>
                <w:lang w:val="en-CA" w:eastAsia="en-CA"/>
              </w:rPr>
              <w:t>39,297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7B163D1B" w14:textId="6CDA90D8" w:rsidR="00664061" w:rsidRPr="000A349E" w:rsidRDefault="00664061" w:rsidP="004507F0">
            <w:pPr>
              <w:pStyle w:val="ExhibitText"/>
              <w:jc w:val="right"/>
              <w:rPr>
                <w:color w:val="000000"/>
                <w:lang w:val="en-CA" w:eastAsia="en-CA"/>
              </w:rPr>
            </w:pPr>
            <w:r w:rsidRPr="000A349E">
              <w:rPr>
                <w:color w:val="000000"/>
                <w:lang w:val="en-CA" w:eastAsia="en-CA"/>
              </w:rPr>
              <w:t>0</w:t>
            </w:r>
          </w:p>
        </w:tc>
        <w:tc>
          <w:tcPr>
            <w:tcW w:w="1217" w:type="dxa"/>
            <w:shd w:val="clear" w:color="auto" w:fill="auto"/>
            <w:noWrap/>
            <w:vAlign w:val="bottom"/>
            <w:hideMark/>
          </w:tcPr>
          <w:p w14:paraId="1F3320A2" w14:textId="17F3A336" w:rsidR="00664061" w:rsidRPr="000A349E" w:rsidRDefault="00664061" w:rsidP="004507F0">
            <w:pPr>
              <w:pStyle w:val="ExhibitText"/>
              <w:jc w:val="right"/>
              <w:rPr>
                <w:color w:val="000000"/>
                <w:lang w:val="en-CA" w:eastAsia="en-CA"/>
              </w:rPr>
            </w:pPr>
            <w:r w:rsidRPr="000A349E">
              <w:rPr>
                <w:color w:val="000000"/>
                <w:lang w:val="en-CA" w:eastAsia="en-CA"/>
              </w:rPr>
              <w:t>0</w:t>
            </w:r>
          </w:p>
        </w:tc>
      </w:tr>
      <w:tr w:rsidR="00664061" w:rsidRPr="000A349E" w14:paraId="43CEBE6F" w14:textId="77777777" w:rsidTr="005611BC">
        <w:trPr>
          <w:trHeight w:val="20"/>
          <w:jc w:val="center"/>
        </w:trPr>
        <w:tc>
          <w:tcPr>
            <w:tcW w:w="4400" w:type="dxa"/>
            <w:shd w:val="clear" w:color="auto" w:fill="auto"/>
            <w:noWrap/>
            <w:vAlign w:val="bottom"/>
            <w:hideMark/>
          </w:tcPr>
          <w:p w14:paraId="149BC0D8" w14:textId="78C90217" w:rsidR="00664061" w:rsidRPr="000A349E" w:rsidRDefault="009145A0" w:rsidP="005611BC">
            <w:pPr>
              <w:pStyle w:val="ExhibitText"/>
              <w:rPr>
                <w:color w:val="000000"/>
                <w:lang w:val="en-CA" w:eastAsia="en-CA"/>
              </w:rPr>
            </w:pPr>
            <w:r w:rsidRPr="000A349E">
              <w:rPr>
                <w:color w:val="000000"/>
                <w:lang w:val="en-CA" w:eastAsia="en-CA"/>
              </w:rPr>
              <w:t xml:space="preserve">Total </w:t>
            </w:r>
            <w:r w:rsidR="00313C2A">
              <w:rPr>
                <w:color w:val="000000"/>
                <w:lang w:val="en-CA" w:eastAsia="en-CA"/>
              </w:rPr>
              <w:t>r</w:t>
            </w:r>
            <w:r w:rsidRPr="000A349E">
              <w:rPr>
                <w:color w:val="000000"/>
                <w:lang w:val="en-CA" w:eastAsia="en-CA"/>
              </w:rPr>
              <w:t>evenues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3641CF66" w14:textId="52622464" w:rsidR="00664061" w:rsidRPr="000A349E" w:rsidRDefault="00664061" w:rsidP="004507F0">
            <w:pPr>
              <w:pStyle w:val="ExhibitText"/>
              <w:jc w:val="right"/>
              <w:rPr>
                <w:color w:val="000000"/>
                <w:lang w:val="en-CA" w:eastAsia="en-CA"/>
              </w:rPr>
            </w:pPr>
            <w:r w:rsidRPr="000A349E">
              <w:rPr>
                <w:color w:val="000000"/>
                <w:lang w:val="en-CA" w:eastAsia="en-CA"/>
              </w:rPr>
              <w:t>5,414,516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15BE46FC" w14:textId="1A1AE9DF" w:rsidR="00664061" w:rsidRPr="000A349E" w:rsidRDefault="00664061" w:rsidP="004507F0">
            <w:pPr>
              <w:pStyle w:val="ExhibitText"/>
              <w:jc w:val="right"/>
              <w:rPr>
                <w:color w:val="000000"/>
                <w:lang w:val="en-CA" w:eastAsia="en-CA"/>
              </w:rPr>
            </w:pPr>
            <w:r w:rsidRPr="000A349E">
              <w:rPr>
                <w:color w:val="000000"/>
                <w:lang w:val="en-CA" w:eastAsia="en-CA"/>
              </w:rPr>
              <w:t>5,604,121</w:t>
            </w:r>
          </w:p>
        </w:tc>
        <w:tc>
          <w:tcPr>
            <w:tcW w:w="1217" w:type="dxa"/>
            <w:shd w:val="clear" w:color="auto" w:fill="auto"/>
            <w:noWrap/>
            <w:vAlign w:val="bottom"/>
            <w:hideMark/>
          </w:tcPr>
          <w:p w14:paraId="3FB5FD99" w14:textId="158AC5D0" w:rsidR="00664061" w:rsidRPr="000A349E" w:rsidRDefault="00664061" w:rsidP="004507F0">
            <w:pPr>
              <w:pStyle w:val="ExhibitText"/>
              <w:jc w:val="right"/>
              <w:rPr>
                <w:color w:val="000000"/>
                <w:lang w:val="en-CA" w:eastAsia="en-CA"/>
              </w:rPr>
            </w:pPr>
            <w:r w:rsidRPr="000A349E">
              <w:rPr>
                <w:color w:val="000000"/>
                <w:lang w:val="en-CA" w:eastAsia="en-CA"/>
              </w:rPr>
              <w:t>5,972,622</w:t>
            </w:r>
          </w:p>
        </w:tc>
      </w:tr>
      <w:tr w:rsidR="00664061" w:rsidRPr="000A349E" w14:paraId="2562585E" w14:textId="77777777" w:rsidTr="005611BC">
        <w:trPr>
          <w:trHeight w:val="20"/>
          <w:jc w:val="center"/>
        </w:trPr>
        <w:tc>
          <w:tcPr>
            <w:tcW w:w="4400" w:type="dxa"/>
            <w:shd w:val="clear" w:color="auto" w:fill="auto"/>
            <w:noWrap/>
            <w:vAlign w:val="bottom"/>
            <w:hideMark/>
          </w:tcPr>
          <w:p w14:paraId="6D6C78B8" w14:textId="07D38014" w:rsidR="00664061" w:rsidRPr="000A349E" w:rsidRDefault="00664061" w:rsidP="005611BC">
            <w:pPr>
              <w:pStyle w:val="ExhibitText"/>
              <w:rPr>
                <w:b/>
                <w:color w:val="000000"/>
                <w:lang w:val="en-CA" w:eastAsia="en-CA"/>
              </w:rPr>
            </w:pPr>
            <w:r w:rsidRPr="000A349E">
              <w:rPr>
                <w:b/>
                <w:color w:val="000000"/>
                <w:lang w:val="en-CA" w:eastAsia="en-CA"/>
              </w:rPr>
              <w:t>E</w:t>
            </w:r>
            <w:r w:rsidR="00313C2A">
              <w:rPr>
                <w:b/>
                <w:color w:val="000000"/>
                <w:lang w:val="en-CA" w:eastAsia="en-CA"/>
              </w:rPr>
              <w:t>xpenses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75602739" w14:textId="77777777" w:rsidR="00664061" w:rsidRPr="000A349E" w:rsidRDefault="00664061" w:rsidP="004507F0">
            <w:pPr>
              <w:pStyle w:val="ExhibitText"/>
              <w:jc w:val="right"/>
              <w:rPr>
                <w:color w:val="000000"/>
                <w:lang w:val="en-CA" w:eastAsia="en-CA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04CDA3A1" w14:textId="77777777" w:rsidR="00664061" w:rsidRPr="000A349E" w:rsidRDefault="00664061" w:rsidP="004507F0">
            <w:pPr>
              <w:pStyle w:val="ExhibitText"/>
              <w:jc w:val="right"/>
              <w:rPr>
                <w:color w:val="000000"/>
                <w:lang w:val="en-CA" w:eastAsia="en-CA"/>
              </w:rPr>
            </w:pPr>
          </w:p>
        </w:tc>
        <w:tc>
          <w:tcPr>
            <w:tcW w:w="1217" w:type="dxa"/>
            <w:shd w:val="clear" w:color="auto" w:fill="auto"/>
            <w:noWrap/>
            <w:vAlign w:val="bottom"/>
            <w:hideMark/>
          </w:tcPr>
          <w:p w14:paraId="600B1CF2" w14:textId="77777777" w:rsidR="00664061" w:rsidRPr="000A349E" w:rsidRDefault="00664061" w:rsidP="004507F0">
            <w:pPr>
              <w:pStyle w:val="ExhibitText"/>
              <w:jc w:val="right"/>
              <w:rPr>
                <w:color w:val="000000"/>
                <w:lang w:val="en-CA" w:eastAsia="en-CA"/>
              </w:rPr>
            </w:pPr>
            <w:r w:rsidRPr="000A349E">
              <w:rPr>
                <w:color w:val="000000"/>
                <w:lang w:val="en-CA" w:eastAsia="en-CA"/>
              </w:rPr>
              <w:t> </w:t>
            </w:r>
          </w:p>
        </w:tc>
      </w:tr>
      <w:tr w:rsidR="00664061" w:rsidRPr="000A349E" w14:paraId="6F96EF6F" w14:textId="77777777" w:rsidTr="005611BC">
        <w:trPr>
          <w:trHeight w:val="20"/>
          <w:jc w:val="center"/>
        </w:trPr>
        <w:tc>
          <w:tcPr>
            <w:tcW w:w="4400" w:type="dxa"/>
            <w:shd w:val="clear" w:color="auto" w:fill="auto"/>
            <w:noWrap/>
            <w:vAlign w:val="bottom"/>
            <w:hideMark/>
          </w:tcPr>
          <w:p w14:paraId="48E4C991" w14:textId="4B9DF567" w:rsidR="00664061" w:rsidRPr="000A349E" w:rsidRDefault="00664061" w:rsidP="005611BC">
            <w:pPr>
              <w:pStyle w:val="ExhibitText"/>
              <w:rPr>
                <w:color w:val="000000"/>
                <w:lang w:val="en-CA" w:eastAsia="en-CA"/>
              </w:rPr>
            </w:pPr>
            <w:r w:rsidRPr="000A349E">
              <w:rPr>
                <w:color w:val="000000"/>
                <w:lang w:val="en-CA" w:eastAsia="en-CA"/>
              </w:rPr>
              <w:t>Advertising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0C159B17" w14:textId="57E525A1" w:rsidR="00664061" w:rsidRPr="000A349E" w:rsidRDefault="00664061" w:rsidP="004507F0">
            <w:pPr>
              <w:pStyle w:val="ExhibitText"/>
              <w:jc w:val="right"/>
              <w:rPr>
                <w:color w:val="000000"/>
                <w:lang w:val="en-CA" w:eastAsia="en-CA"/>
              </w:rPr>
            </w:pPr>
            <w:r w:rsidRPr="000A349E">
              <w:rPr>
                <w:color w:val="000000"/>
                <w:lang w:val="en-CA" w:eastAsia="en-CA"/>
              </w:rPr>
              <w:t>15,559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33EB8BE9" w14:textId="0CE16B55" w:rsidR="00664061" w:rsidRPr="000A349E" w:rsidRDefault="00664061" w:rsidP="004507F0">
            <w:pPr>
              <w:pStyle w:val="ExhibitText"/>
              <w:jc w:val="right"/>
              <w:rPr>
                <w:color w:val="000000"/>
                <w:lang w:val="en-CA" w:eastAsia="en-CA"/>
              </w:rPr>
            </w:pPr>
            <w:r w:rsidRPr="000A349E">
              <w:rPr>
                <w:color w:val="000000"/>
                <w:lang w:val="en-CA" w:eastAsia="en-CA"/>
              </w:rPr>
              <w:t>19,959</w:t>
            </w:r>
          </w:p>
        </w:tc>
        <w:tc>
          <w:tcPr>
            <w:tcW w:w="1217" w:type="dxa"/>
            <w:shd w:val="clear" w:color="auto" w:fill="auto"/>
            <w:noWrap/>
            <w:vAlign w:val="bottom"/>
            <w:hideMark/>
          </w:tcPr>
          <w:p w14:paraId="6E633937" w14:textId="3EDF4730" w:rsidR="00664061" w:rsidRPr="000A349E" w:rsidRDefault="00664061" w:rsidP="004507F0">
            <w:pPr>
              <w:pStyle w:val="ExhibitText"/>
              <w:jc w:val="right"/>
              <w:rPr>
                <w:color w:val="000000"/>
                <w:lang w:val="en-CA" w:eastAsia="en-CA"/>
              </w:rPr>
            </w:pPr>
            <w:r w:rsidRPr="000A349E">
              <w:rPr>
                <w:color w:val="000000"/>
                <w:lang w:val="en-CA" w:eastAsia="en-CA"/>
              </w:rPr>
              <w:t>28,845</w:t>
            </w:r>
          </w:p>
        </w:tc>
      </w:tr>
      <w:tr w:rsidR="00664061" w:rsidRPr="000A349E" w14:paraId="2597B1C5" w14:textId="77777777" w:rsidTr="005611BC">
        <w:trPr>
          <w:trHeight w:val="20"/>
          <w:jc w:val="center"/>
        </w:trPr>
        <w:tc>
          <w:tcPr>
            <w:tcW w:w="4400" w:type="dxa"/>
            <w:shd w:val="clear" w:color="auto" w:fill="auto"/>
            <w:noWrap/>
            <w:vAlign w:val="bottom"/>
            <w:hideMark/>
          </w:tcPr>
          <w:p w14:paraId="0C6C6A4A" w14:textId="05DC5606" w:rsidR="00664061" w:rsidRPr="000A349E" w:rsidRDefault="00664061" w:rsidP="005611BC">
            <w:pPr>
              <w:pStyle w:val="ExhibitText"/>
              <w:rPr>
                <w:color w:val="000000"/>
                <w:lang w:val="en-CA" w:eastAsia="en-CA"/>
              </w:rPr>
            </w:pPr>
            <w:r w:rsidRPr="000A349E">
              <w:rPr>
                <w:color w:val="000000"/>
                <w:lang w:val="en-CA" w:eastAsia="en-CA"/>
              </w:rPr>
              <w:t xml:space="preserve">Amortization of </w:t>
            </w:r>
            <w:r w:rsidR="00313C2A">
              <w:rPr>
                <w:color w:val="000000"/>
                <w:lang w:val="en-CA" w:eastAsia="en-CA"/>
              </w:rPr>
              <w:t>c</w:t>
            </w:r>
            <w:r w:rsidR="009145A0" w:rsidRPr="000A349E">
              <w:rPr>
                <w:color w:val="000000"/>
                <w:lang w:val="en-CA" w:eastAsia="en-CA"/>
              </w:rPr>
              <w:t xml:space="preserve">apital </w:t>
            </w:r>
            <w:r w:rsidR="00313C2A">
              <w:rPr>
                <w:color w:val="000000"/>
                <w:lang w:val="en-CA" w:eastAsia="en-CA"/>
              </w:rPr>
              <w:t>a</w:t>
            </w:r>
            <w:r w:rsidR="009145A0" w:rsidRPr="000A349E">
              <w:rPr>
                <w:color w:val="000000"/>
                <w:lang w:val="en-CA" w:eastAsia="en-CA"/>
              </w:rPr>
              <w:t>ssets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36366131" w14:textId="4B0BBA47" w:rsidR="00664061" w:rsidRPr="000A349E" w:rsidRDefault="00664061" w:rsidP="004507F0">
            <w:pPr>
              <w:pStyle w:val="ExhibitText"/>
              <w:jc w:val="right"/>
              <w:rPr>
                <w:color w:val="000000"/>
                <w:lang w:val="en-CA" w:eastAsia="en-CA"/>
              </w:rPr>
            </w:pPr>
            <w:r w:rsidRPr="000A349E">
              <w:rPr>
                <w:color w:val="000000"/>
                <w:lang w:val="en-CA" w:eastAsia="en-CA"/>
              </w:rPr>
              <w:t>53,334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5F3B5324" w14:textId="1BF601C6" w:rsidR="00664061" w:rsidRPr="000A349E" w:rsidRDefault="00664061" w:rsidP="004507F0">
            <w:pPr>
              <w:pStyle w:val="ExhibitText"/>
              <w:jc w:val="right"/>
              <w:rPr>
                <w:color w:val="000000"/>
                <w:lang w:val="en-CA" w:eastAsia="en-CA"/>
              </w:rPr>
            </w:pPr>
            <w:r w:rsidRPr="000A349E">
              <w:rPr>
                <w:color w:val="000000"/>
                <w:lang w:val="en-CA" w:eastAsia="en-CA"/>
              </w:rPr>
              <w:t>49,059</w:t>
            </w:r>
          </w:p>
        </w:tc>
        <w:tc>
          <w:tcPr>
            <w:tcW w:w="1217" w:type="dxa"/>
            <w:shd w:val="clear" w:color="auto" w:fill="auto"/>
            <w:noWrap/>
            <w:vAlign w:val="bottom"/>
            <w:hideMark/>
          </w:tcPr>
          <w:p w14:paraId="01F16AB7" w14:textId="47AEC373" w:rsidR="00664061" w:rsidRPr="000A349E" w:rsidRDefault="00664061" w:rsidP="004507F0">
            <w:pPr>
              <w:pStyle w:val="ExhibitText"/>
              <w:jc w:val="right"/>
              <w:rPr>
                <w:color w:val="000000"/>
                <w:lang w:val="en-CA" w:eastAsia="en-CA"/>
              </w:rPr>
            </w:pPr>
            <w:r w:rsidRPr="000A349E">
              <w:rPr>
                <w:color w:val="000000"/>
                <w:lang w:val="en-CA" w:eastAsia="en-CA"/>
              </w:rPr>
              <w:t>80,300</w:t>
            </w:r>
          </w:p>
        </w:tc>
      </w:tr>
      <w:tr w:rsidR="00664061" w:rsidRPr="000A349E" w14:paraId="70002454" w14:textId="77777777" w:rsidTr="005611BC">
        <w:trPr>
          <w:trHeight w:val="20"/>
          <w:jc w:val="center"/>
        </w:trPr>
        <w:tc>
          <w:tcPr>
            <w:tcW w:w="4400" w:type="dxa"/>
            <w:shd w:val="clear" w:color="auto" w:fill="auto"/>
            <w:noWrap/>
            <w:vAlign w:val="bottom"/>
            <w:hideMark/>
          </w:tcPr>
          <w:p w14:paraId="478B8A64" w14:textId="70DCE357" w:rsidR="00664061" w:rsidRPr="000A349E" w:rsidRDefault="00664061" w:rsidP="005611BC">
            <w:pPr>
              <w:pStyle w:val="ExhibitText"/>
              <w:rPr>
                <w:color w:val="000000"/>
                <w:lang w:val="en-CA" w:eastAsia="en-CA"/>
              </w:rPr>
            </w:pPr>
            <w:r w:rsidRPr="000A349E">
              <w:rPr>
                <w:color w:val="000000"/>
                <w:lang w:val="en-CA" w:eastAsia="en-CA"/>
              </w:rPr>
              <w:t>Legal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4F48F52B" w14:textId="168CE74D" w:rsidR="00664061" w:rsidRPr="000A349E" w:rsidRDefault="00664061" w:rsidP="004507F0">
            <w:pPr>
              <w:pStyle w:val="ExhibitText"/>
              <w:jc w:val="right"/>
              <w:rPr>
                <w:color w:val="000000"/>
                <w:lang w:val="en-CA" w:eastAsia="en-CA"/>
              </w:rPr>
            </w:pPr>
            <w:r w:rsidRPr="000A349E">
              <w:rPr>
                <w:color w:val="000000"/>
                <w:lang w:val="en-CA" w:eastAsia="en-CA"/>
              </w:rPr>
              <w:t>0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3CF26077" w14:textId="36922441" w:rsidR="00664061" w:rsidRPr="000A349E" w:rsidRDefault="00664061" w:rsidP="004507F0">
            <w:pPr>
              <w:pStyle w:val="ExhibitText"/>
              <w:jc w:val="right"/>
              <w:rPr>
                <w:color w:val="000000"/>
                <w:lang w:val="en-CA" w:eastAsia="en-CA"/>
              </w:rPr>
            </w:pPr>
            <w:r w:rsidRPr="000A349E">
              <w:rPr>
                <w:color w:val="000000"/>
                <w:lang w:val="en-CA" w:eastAsia="en-CA"/>
              </w:rPr>
              <w:t>92,200</w:t>
            </w:r>
          </w:p>
        </w:tc>
        <w:tc>
          <w:tcPr>
            <w:tcW w:w="1217" w:type="dxa"/>
            <w:shd w:val="clear" w:color="auto" w:fill="auto"/>
            <w:noWrap/>
            <w:vAlign w:val="bottom"/>
            <w:hideMark/>
          </w:tcPr>
          <w:p w14:paraId="396B9A02" w14:textId="1F859CB2" w:rsidR="00664061" w:rsidRPr="000A349E" w:rsidRDefault="00664061" w:rsidP="004507F0">
            <w:pPr>
              <w:pStyle w:val="ExhibitText"/>
              <w:jc w:val="right"/>
              <w:rPr>
                <w:color w:val="000000"/>
                <w:lang w:val="en-CA" w:eastAsia="en-CA"/>
              </w:rPr>
            </w:pPr>
            <w:r w:rsidRPr="000A349E">
              <w:rPr>
                <w:color w:val="000000"/>
                <w:lang w:val="en-CA" w:eastAsia="en-CA"/>
              </w:rPr>
              <w:t>73,776</w:t>
            </w:r>
          </w:p>
        </w:tc>
      </w:tr>
      <w:tr w:rsidR="00664061" w:rsidRPr="000A349E" w14:paraId="0D0E87C3" w14:textId="77777777" w:rsidTr="005611BC">
        <w:trPr>
          <w:trHeight w:val="20"/>
          <w:jc w:val="center"/>
        </w:trPr>
        <w:tc>
          <w:tcPr>
            <w:tcW w:w="4400" w:type="dxa"/>
            <w:shd w:val="clear" w:color="auto" w:fill="auto"/>
            <w:noWrap/>
            <w:vAlign w:val="bottom"/>
            <w:hideMark/>
          </w:tcPr>
          <w:p w14:paraId="507E900B" w14:textId="650A8587" w:rsidR="00664061" w:rsidRPr="000A349E" w:rsidRDefault="00664061" w:rsidP="005611BC">
            <w:pPr>
              <w:pStyle w:val="ExhibitText"/>
              <w:rPr>
                <w:color w:val="000000"/>
                <w:lang w:val="en-CA" w:eastAsia="en-CA"/>
              </w:rPr>
            </w:pPr>
            <w:r w:rsidRPr="000A349E">
              <w:rPr>
                <w:color w:val="000000"/>
                <w:lang w:val="en-CA" w:eastAsia="en-CA"/>
              </w:rPr>
              <w:t xml:space="preserve">Licensing </w:t>
            </w:r>
            <w:r w:rsidR="00313C2A">
              <w:rPr>
                <w:color w:val="000000"/>
                <w:lang w:val="en-CA" w:eastAsia="en-CA"/>
              </w:rPr>
              <w:t>f</w:t>
            </w:r>
            <w:r w:rsidR="009145A0" w:rsidRPr="000A349E">
              <w:rPr>
                <w:color w:val="000000"/>
                <w:lang w:val="en-CA" w:eastAsia="en-CA"/>
              </w:rPr>
              <w:t>ees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2268D4A2" w14:textId="18B9527E" w:rsidR="00664061" w:rsidRPr="000A349E" w:rsidRDefault="00664061" w:rsidP="004507F0">
            <w:pPr>
              <w:pStyle w:val="ExhibitText"/>
              <w:jc w:val="right"/>
              <w:rPr>
                <w:color w:val="000000"/>
                <w:lang w:val="en-CA" w:eastAsia="en-CA"/>
              </w:rPr>
            </w:pPr>
            <w:r w:rsidRPr="000A349E">
              <w:rPr>
                <w:color w:val="000000"/>
                <w:lang w:val="en-CA" w:eastAsia="en-CA"/>
              </w:rPr>
              <w:t>4,753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2AB20E24" w14:textId="189E7CEC" w:rsidR="00664061" w:rsidRPr="000A349E" w:rsidRDefault="00664061" w:rsidP="004507F0">
            <w:pPr>
              <w:pStyle w:val="ExhibitText"/>
              <w:jc w:val="right"/>
              <w:rPr>
                <w:color w:val="000000"/>
                <w:lang w:val="en-CA" w:eastAsia="en-CA"/>
              </w:rPr>
            </w:pPr>
            <w:r w:rsidRPr="000A349E">
              <w:rPr>
                <w:color w:val="000000"/>
                <w:lang w:val="en-CA" w:eastAsia="en-CA"/>
              </w:rPr>
              <w:t>7,891</w:t>
            </w:r>
          </w:p>
        </w:tc>
        <w:tc>
          <w:tcPr>
            <w:tcW w:w="1217" w:type="dxa"/>
            <w:shd w:val="clear" w:color="auto" w:fill="auto"/>
            <w:noWrap/>
            <w:vAlign w:val="bottom"/>
            <w:hideMark/>
          </w:tcPr>
          <w:p w14:paraId="0BD532E7" w14:textId="132B38B6" w:rsidR="00664061" w:rsidRPr="000A349E" w:rsidRDefault="00664061" w:rsidP="004507F0">
            <w:pPr>
              <w:pStyle w:val="ExhibitText"/>
              <w:jc w:val="right"/>
              <w:rPr>
                <w:color w:val="000000"/>
                <w:lang w:val="en-CA" w:eastAsia="en-CA"/>
              </w:rPr>
            </w:pPr>
            <w:r w:rsidRPr="000A349E">
              <w:rPr>
                <w:color w:val="000000"/>
                <w:lang w:val="en-CA" w:eastAsia="en-CA"/>
              </w:rPr>
              <w:t>8,156</w:t>
            </w:r>
          </w:p>
        </w:tc>
      </w:tr>
      <w:tr w:rsidR="00664061" w:rsidRPr="000A349E" w14:paraId="45A9495C" w14:textId="77777777" w:rsidTr="005611BC">
        <w:trPr>
          <w:trHeight w:val="20"/>
          <w:jc w:val="center"/>
        </w:trPr>
        <w:tc>
          <w:tcPr>
            <w:tcW w:w="4400" w:type="dxa"/>
            <w:shd w:val="clear" w:color="auto" w:fill="auto"/>
            <w:noWrap/>
            <w:vAlign w:val="bottom"/>
            <w:hideMark/>
          </w:tcPr>
          <w:p w14:paraId="017AEE07" w14:textId="5FB16EDF" w:rsidR="00664061" w:rsidRPr="000A349E" w:rsidRDefault="00664061" w:rsidP="005611BC">
            <w:pPr>
              <w:pStyle w:val="ExhibitText"/>
              <w:rPr>
                <w:color w:val="000000"/>
                <w:lang w:val="en-CA" w:eastAsia="en-CA"/>
              </w:rPr>
            </w:pPr>
            <w:r w:rsidRPr="000A349E">
              <w:rPr>
                <w:color w:val="000000"/>
                <w:lang w:val="en-CA" w:eastAsia="en-CA"/>
              </w:rPr>
              <w:t xml:space="preserve">Office </w:t>
            </w:r>
            <w:r w:rsidR="009145A0" w:rsidRPr="000A349E">
              <w:rPr>
                <w:color w:val="000000"/>
                <w:lang w:val="en-CA" w:eastAsia="en-CA"/>
              </w:rPr>
              <w:t xml:space="preserve">and </w:t>
            </w:r>
            <w:r w:rsidR="00313C2A">
              <w:rPr>
                <w:color w:val="000000"/>
                <w:lang w:val="en-CA" w:eastAsia="en-CA"/>
              </w:rPr>
              <w:t>g</w:t>
            </w:r>
            <w:r w:rsidR="009145A0" w:rsidRPr="000A349E">
              <w:rPr>
                <w:color w:val="000000"/>
                <w:lang w:val="en-CA" w:eastAsia="en-CA"/>
              </w:rPr>
              <w:t>eneral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640A4022" w14:textId="277B2826" w:rsidR="00664061" w:rsidRPr="000A349E" w:rsidRDefault="00664061" w:rsidP="004507F0">
            <w:pPr>
              <w:pStyle w:val="ExhibitText"/>
              <w:jc w:val="right"/>
              <w:rPr>
                <w:color w:val="000000"/>
                <w:lang w:val="en-CA" w:eastAsia="en-CA"/>
              </w:rPr>
            </w:pPr>
            <w:r w:rsidRPr="000A349E">
              <w:rPr>
                <w:color w:val="000000"/>
                <w:lang w:val="en-CA" w:eastAsia="en-CA"/>
              </w:rPr>
              <w:t>27,134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784B3E07" w14:textId="3ABFF812" w:rsidR="00664061" w:rsidRPr="000A349E" w:rsidRDefault="00664061" w:rsidP="004507F0">
            <w:pPr>
              <w:pStyle w:val="ExhibitText"/>
              <w:jc w:val="right"/>
              <w:rPr>
                <w:color w:val="000000"/>
                <w:lang w:val="en-CA" w:eastAsia="en-CA"/>
              </w:rPr>
            </w:pPr>
            <w:r w:rsidRPr="000A349E">
              <w:rPr>
                <w:color w:val="000000"/>
                <w:lang w:val="en-CA" w:eastAsia="en-CA"/>
              </w:rPr>
              <w:t>41,450</w:t>
            </w:r>
          </w:p>
        </w:tc>
        <w:tc>
          <w:tcPr>
            <w:tcW w:w="1217" w:type="dxa"/>
            <w:shd w:val="clear" w:color="auto" w:fill="auto"/>
            <w:noWrap/>
            <w:vAlign w:val="bottom"/>
            <w:hideMark/>
          </w:tcPr>
          <w:p w14:paraId="79978A80" w14:textId="719CA234" w:rsidR="00664061" w:rsidRPr="000A349E" w:rsidRDefault="00664061" w:rsidP="004507F0">
            <w:pPr>
              <w:pStyle w:val="ExhibitText"/>
              <w:jc w:val="right"/>
              <w:rPr>
                <w:color w:val="000000"/>
                <w:lang w:val="en-CA" w:eastAsia="en-CA"/>
              </w:rPr>
            </w:pPr>
            <w:r w:rsidRPr="000A349E">
              <w:rPr>
                <w:color w:val="000000"/>
                <w:lang w:val="en-CA" w:eastAsia="en-CA"/>
              </w:rPr>
              <w:t>100,006</w:t>
            </w:r>
          </w:p>
        </w:tc>
      </w:tr>
      <w:tr w:rsidR="00664061" w:rsidRPr="000A349E" w14:paraId="10331630" w14:textId="77777777" w:rsidTr="005611BC">
        <w:trPr>
          <w:trHeight w:val="20"/>
          <w:jc w:val="center"/>
        </w:trPr>
        <w:tc>
          <w:tcPr>
            <w:tcW w:w="4400" w:type="dxa"/>
            <w:shd w:val="clear" w:color="auto" w:fill="auto"/>
            <w:noWrap/>
            <w:vAlign w:val="bottom"/>
            <w:hideMark/>
          </w:tcPr>
          <w:p w14:paraId="0A7027D1" w14:textId="34F75141" w:rsidR="00664061" w:rsidRPr="000A349E" w:rsidRDefault="00664061" w:rsidP="005611BC">
            <w:pPr>
              <w:pStyle w:val="ExhibitText"/>
              <w:rPr>
                <w:color w:val="000000"/>
                <w:lang w:val="en-CA" w:eastAsia="en-CA"/>
              </w:rPr>
            </w:pPr>
            <w:r w:rsidRPr="000A349E">
              <w:rPr>
                <w:color w:val="000000"/>
                <w:lang w:val="en-CA" w:eastAsia="en-CA"/>
              </w:rPr>
              <w:t xml:space="preserve">Office </w:t>
            </w:r>
            <w:r w:rsidR="00313C2A">
              <w:rPr>
                <w:color w:val="000000"/>
                <w:lang w:val="en-CA" w:eastAsia="en-CA"/>
              </w:rPr>
              <w:t>s</w:t>
            </w:r>
            <w:r w:rsidR="009145A0" w:rsidRPr="000A349E">
              <w:rPr>
                <w:color w:val="000000"/>
                <w:lang w:val="en-CA" w:eastAsia="en-CA"/>
              </w:rPr>
              <w:t>ervices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0BB424CB" w14:textId="3A923B48" w:rsidR="00664061" w:rsidRPr="000A349E" w:rsidRDefault="00664061" w:rsidP="004507F0">
            <w:pPr>
              <w:pStyle w:val="ExhibitText"/>
              <w:jc w:val="right"/>
              <w:rPr>
                <w:color w:val="000000"/>
                <w:lang w:val="en-CA" w:eastAsia="en-CA"/>
              </w:rPr>
            </w:pPr>
            <w:r w:rsidRPr="000A349E">
              <w:rPr>
                <w:color w:val="000000"/>
                <w:lang w:val="en-CA" w:eastAsia="en-CA"/>
              </w:rPr>
              <w:t>142,285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18F42523" w14:textId="16F9037D" w:rsidR="00664061" w:rsidRPr="000A349E" w:rsidRDefault="00664061" w:rsidP="004507F0">
            <w:pPr>
              <w:pStyle w:val="ExhibitText"/>
              <w:jc w:val="right"/>
              <w:rPr>
                <w:color w:val="000000"/>
                <w:lang w:val="en-CA" w:eastAsia="en-CA"/>
              </w:rPr>
            </w:pPr>
            <w:r w:rsidRPr="000A349E">
              <w:rPr>
                <w:color w:val="000000"/>
                <w:lang w:val="en-CA" w:eastAsia="en-CA"/>
              </w:rPr>
              <w:t>130,451</w:t>
            </w:r>
          </w:p>
        </w:tc>
        <w:tc>
          <w:tcPr>
            <w:tcW w:w="1217" w:type="dxa"/>
            <w:shd w:val="clear" w:color="auto" w:fill="auto"/>
            <w:noWrap/>
            <w:vAlign w:val="bottom"/>
            <w:hideMark/>
          </w:tcPr>
          <w:p w14:paraId="69417BB1" w14:textId="6A078D14" w:rsidR="00664061" w:rsidRPr="000A349E" w:rsidRDefault="00664061" w:rsidP="004507F0">
            <w:pPr>
              <w:pStyle w:val="ExhibitText"/>
              <w:jc w:val="right"/>
              <w:rPr>
                <w:color w:val="000000"/>
                <w:lang w:val="en-CA" w:eastAsia="en-CA"/>
              </w:rPr>
            </w:pPr>
            <w:r w:rsidRPr="000A349E">
              <w:rPr>
                <w:color w:val="000000"/>
                <w:lang w:val="en-CA" w:eastAsia="en-CA"/>
              </w:rPr>
              <w:t>184,049</w:t>
            </w:r>
          </w:p>
        </w:tc>
      </w:tr>
      <w:tr w:rsidR="00664061" w:rsidRPr="000A349E" w14:paraId="5FC3FA9D" w14:textId="77777777" w:rsidTr="005611BC">
        <w:trPr>
          <w:trHeight w:val="20"/>
          <w:jc w:val="center"/>
        </w:trPr>
        <w:tc>
          <w:tcPr>
            <w:tcW w:w="4400" w:type="dxa"/>
            <w:shd w:val="clear" w:color="auto" w:fill="auto"/>
            <w:noWrap/>
            <w:vAlign w:val="bottom"/>
            <w:hideMark/>
          </w:tcPr>
          <w:p w14:paraId="12E6DD99" w14:textId="0EF50834" w:rsidR="00664061" w:rsidRPr="000A349E" w:rsidRDefault="00664061" w:rsidP="005611BC">
            <w:pPr>
              <w:pStyle w:val="ExhibitText"/>
              <w:rPr>
                <w:color w:val="000000"/>
                <w:lang w:val="en-CA" w:eastAsia="en-CA"/>
              </w:rPr>
            </w:pPr>
            <w:r w:rsidRPr="000A349E">
              <w:rPr>
                <w:color w:val="000000"/>
                <w:lang w:val="en-CA" w:eastAsia="en-CA"/>
              </w:rPr>
              <w:t xml:space="preserve">Professional </w:t>
            </w:r>
            <w:r w:rsidR="00313C2A">
              <w:rPr>
                <w:color w:val="000000"/>
                <w:lang w:val="en-CA" w:eastAsia="en-CA"/>
              </w:rPr>
              <w:t>f</w:t>
            </w:r>
            <w:r w:rsidR="009145A0" w:rsidRPr="000A349E">
              <w:rPr>
                <w:color w:val="000000"/>
                <w:lang w:val="en-CA" w:eastAsia="en-CA"/>
              </w:rPr>
              <w:t>ees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3DCFE5DD" w14:textId="5159F89B" w:rsidR="00664061" w:rsidRPr="000A349E" w:rsidRDefault="00664061" w:rsidP="004507F0">
            <w:pPr>
              <w:pStyle w:val="ExhibitText"/>
              <w:jc w:val="right"/>
              <w:rPr>
                <w:color w:val="000000"/>
                <w:lang w:val="en-CA" w:eastAsia="en-CA"/>
              </w:rPr>
            </w:pPr>
            <w:r w:rsidRPr="000A349E">
              <w:rPr>
                <w:color w:val="000000"/>
                <w:lang w:val="en-CA" w:eastAsia="en-CA"/>
              </w:rPr>
              <w:t>93,156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6BB21A5C" w14:textId="03A34481" w:rsidR="00664061" w:rsidRPr="000A349E" w:rsidRDefault="00664061" w:rsidP="004507F0">
            <w:pPr>
              <w:pStyle w:val="ExhibitText"/>
              <w:jc w:val="right"/>
              <w:rPr>
                <w:color w:val="000000"/>
                <w:lang w:val="en-CA" w:eastAsia="en-CA"/>
              </w:rPr>
            </w:pPr>
            <w:r w:rsidRPr="000A349E">
              <w:rPr>
                <w:color w:val="000000"/>
                <w:lang w:val="en-CA" w:eastAsia="en-CA"/>
              </w:rPr>
              <w:t>19,137</w:t>
            </w:r>
          </w:p>
        </w:tc>
        <w:tc>
          <w:tcPr>
            <w:tcW w:w="1217" w:type="dxa"/>
            <w:shd w:val="clear" w:color="auto" w:fill="auto"/>
            <w:noWrap/>
            <w:vAlign w:val="bottom"/>
            <w:hideMark/>
          </w:tcPr>
          <w:p w14:paraId="2AAA3BC7" w14:textId="2987B573" w:rsidR="00664061" w:rsidRPr="000A349E" w:rsidRDefault="00664061" w:rsidP="004507F0">
            <w:pPr>
              <w:pStyle w:val="ExhibitText"/>
              <w:jc w:val="right"/>
              <w:rPr>
                <w:color w:val="000000"/>
                <w:lang w:val="en-CA" w:eastAsia="en-CA"/>
              </w:rPr>
            </w:pPr>
            <w:r w:rsidRPr="000A349E">
              <w:rPr>
                <w:color w:val="000000"/>
                <w:lang w:val="en-CA" w:eastAsia="en-CA"/>
              </w:rPr>
              <w:t>41,419</w:t>
            </w:r>
          </w:p>
        </w:tc>
      </w:tr>
      <w:tr w:rsidR="00664061" w:rsidRPr="000A349E" w14:paraId="4DDB07FA" w14:textId="77777777" w:rsidTr="005611BC">
        <w:trPr>
          <w:trHeight w:val="20"/>
          <w:jc w:val="center"/>
        </w:trPr>
        <w:tc>
          <w:tcPr>
            <w:tcW w:w="4400" w:type="dxa"/>
            <w:shd w:val="clear" w:color="auto" w:fill="auto"/>
            <w:noWrap/>
            <w:vAlign w:val="bottom"/>
            <w:hideMark/>
          </w:tcPr>
          <w:p w14:paraId="7C723126" w14:textId="69486158" w:rsidR="00664061" w:rsidRPr="000A349E" w:rsidRDefault="00664061" w:rsidP="005611BC">
            <w:pPr>
              <w:pStyle w:val="ExhibitText"/>
              <w:rPr>
                <w:color w:val="000000"/>
                <w:lang w:val="en-CA" w:eastAsia="en-CA"/>
              </w:rPr>
            </w:pPr>
            <w:r w:rsidRPr="000A349E">
              <w:rPr>
                <w:color w:val="000000"/>
                <w:lang w:val="en-CA" w:eastAsia="en-CA"/>
              </w:rPr>
              <w:t>Rent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43D47005" w14:textId="5648B32D" w:rsidR="00664061" w:rsidRPr="000A349E" w:rsidRDefault="00664061" w:rsidP="004507F0">
            <w:pPr>
              <w:pStyle w:val="ExhibitText"/>
              <w:jc w:val="right"/>
              <w:rPr>
                <w:color w:val="000000"/>
                <w:lang w:val="en-CA" w:eastAsia="en-CA"/>
              </w:rPr>
            </w:pPr>
            <w:r w:rsidRPr="000A349E">
              <w:rPr>
                <w:color w:val="000000"/>
                <w:lang w:val="en-CA" w:eastAsia="en-CA"/>
              </w:rPr>
              <w:t>139,464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47DA5B57" w14:textId="3E0E9A3E" w:rsidR="00664061" w:rsidRPr="000A349E" w:rsidRDefault="00664061" w:rsidP="004507F0">
            <w:pPr>
              <w:pStyle w:val="ExhibitText"/>
              <w:jc w:val="right"/>
              <w:rPr>
                <w:color w:val="000000"/>
                <w:lang w:val="en-CA" w:eastAsia="en-CA"/>
              </w:rPr>
            </w:pPr>
            <w:r w:rsidRPr="000A349E">
              <w:rPr>
                <w:color w:val="000000"/>
                <w:lang w:val="en-CA" w:eastAsia="en-CA"/>
              </w:rPr>
              <w:t>146,400</w:t>
            </w:r>
          </w:p>
        </w:tc>
        <w:tc>
          <w:tcPr>
            <w:tcW w:w="1217" w:type="dxa"/>
            <w:shd w:val="clear" w:color="auto" w:fill="auto"/>
            <w:noWrap/>
            <w:vAlign w:val="bottom"/>
            <w:hideMark/>
          </w:tcPr>
          <w:p w14:paraId="1EEEE52F" w14:textId="51400EA5" w:rsidR="00664061" w:rsidRPr="000A349E" w:rsidRDefault="00664061" w:rsidP="004507F0">
            <w:pPr>
              <w:pStyle w:val="ExhibitText"/>
              <w:jc w:val="right"/>
              <w:rPr>
                <w:color w:val="000000"/>
                <w:lang w:val="en-CA" w:eastAsia="en-CA"/>
              </w:rPr>
            </w:pPr>
            <w:r w:rsidRPr="000A349E">
              <w:rPr>
                <w:color w:val="000000"/>
                <w:lang w:val="en-CA" w:eastAsia="en-CA"/>
              </w:rPr>
              <w:t>156,643</w:t>
            </w:r>
          </w:p>
        </w:tc>
      </w:tr>
      <w:tr w:rsidR="00664061" w:rsidRPr="000A349E" w14:paraId="0A06910C" w14:textId="77777777" w:rsidTr="005611BC">
        <w:trPr>
          <w:trHeight w:val="20"/>
          <w:jc w:val="center"/>
        </w:trPr>
        <w:tc>
          <w:tcPr>
            <w:tcW w:w="4400" w:type="dxa"/>
            <w:shd w:val="clear" w:color="auto" w:fill="auto"/>
            <w:noWrap/>
            <w:vAlign w:val="bottom"/>
            <w:hideMark/>
          </w:tcPr>
          <w:p w14:paraId="66CDDBBB" w14:textId="18CB5E7D" w:rsidR="00664061" w:rsidRPr="000A349E" w:rsidRDefault="00664061" w:rsidP="005611BC">
            <w:pPr>
              <w:pStyle w:val="ExhibitText"/>
              <w:rPr>
                <w:color w:val="000000"/>
                <w:lang w:val="en-CA" w:eastAsia="en-CA"/>
              </w:rPr>
            </w:pPr>
            <w:r w:rsidRPr="000A349E">
              <w:rPr>
                <w:color w:val="000000"/>
                <w:lang w:val="en-CA" w:eastAsia="en-CA"/>
              </w:rPr>
              <w:t xml:space="preserve">Salaries </w:t>
            </w:r>
            <w:r w:rsidR="009145A0" w:rsidRPr="000A349E">
              <w:rPr>
                <w:color w:val="000000"/>
                <w:lang w:val="en-CA" w:eastAsia="en-CA"/>
              </w:rPr>
              <w:t xml:space="preserve">and </w:t>
            </w:r>
            <w:r w:rsidR="00313C2A">
              <w:rPr>
                <w:color w:val="000000"/>
                <w:lang w:val="en-CA" w:eastAsia="en-CA"/>
              </w:rPr>
              <w:t>b</w:t>
            </w:r>
            <w:r w:rsidR="009145A0" w:rsidRPr="000A349E">
              <w:rPr>
                <w:color w:val="000000"/>
                <w:lang w:val="en-CA" w:eastAsia="en-CA"/>
              </w:rPr>
              <w:t>enefits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027393F1" w14:textId="13B72A28" w:rsidR="00664061" w:rsidRPr="000A349E" w:rsidRDefault="00664061" w:rsidP="004507F0">
            <w:pPr>
              <w:pStyle w:val="ExhibitText"/>
              <w:jc w:val="right"/>
              <w:rPr>
                <w:color w:val="000000"/>
                <w:lang w:val="en-CA" w:eastAsia="en-CA"/>
              </w:rPr>
            </w:pPr>
            <w:r w:rsidRPr="000A349E">
              <w:rPr>
                <w:color w:val="000000"/>
                <w:lang w:val="en-CA" w:eastAsia="en-CA"/>
              </w:rPr>
              <w:t>2,648,846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26FF3375" w14:textId="74D90E87" w:rsidR="00664061" w:rsidRPr="000A349E" w:rsidRDefault="00664061" w:rsidP="004507F0">
            <w:pPr>
              <w:pStyle w:val="ExhibitText"/>
              <w:jc w:val="right"/>
              <w:rPr>
                <w:color w:val="000000"/>
                <w:lang w:val="en-CA" w:eastAsia="en-CA"/>
              </w:rPr>
            </w:pPr>
            <w:r w:rsidRPr="000A349E">
              <w:rPr>
                <w:color w:val="000000"/>
                <w:lang w:val="en-CA" w:eastAsia="en-CA"/>
              </w:rPr>
              <w:t>2,942,162</w:t>
            </w:r>
          </w:p>
        </w:tc>
        <w:tc>
          <w:tcPr>
            <w:tcW w:w="1217" w:type="dxa"/>
            <w:shd w:val="clear" w:color="auto" w:fill="auto"/>
            <w:noWrap/>
            <w:vAlign w:val="bottom"/>
            <w:hideMark/>
          </w:tcPr>
          <w:p w14:paraId="2765DE1C" w14:textId="460F549E" w:rsidR="00664061" w:rsidRPr="000A349E" w:rsidRDefault="00664061" w:rsidP="004507F0">
            <w:pPr>
              <w:pStyle w:val="ExhibitText"/>
              <w:jc w:val="right"/>
              <w:rPr>
                <w:color w:val="000000"/>
                <w:lang w:val="en-CA" w:eastAsia="en-CA"/>
              </w:rPr>
            </w:pPr>
            <w:r w:rsidRPr="000A349E">
              <w:rPr>
                <w:color w:val="000000"/>
                <w:lang w:val="en-CA" w:eastAsia="en-CA"/>
              </w:rPr>
              <w:t>3,670,213</w:t>
            </w:r>
          </w:p>
        </w:tc>
      </w:tr>
      <w:tr w:rsidR="00664061" w:rsidRPr="000A349E" w14:paraId="618FF705" w14:textId="77777777" w:rsidTr="005611BC">
        <w:trPr>
          <w:trHeight w:val="20"/>
          <w:jc w:val="center"/>
        </w:trPr>
        <w:tc>
          <w:tcPr>
            <w:tcW w:w="4400" w:type="dxa"/>
            <w:shd w:val="clear" w:color="auto" w:fill="auto"/>
            <w:noWrap/>
            <w:vAlign w:val="bottom"/>
            <w:hideMark/>
          </w:tcPr>
          <w:p w14:paraId="38F727AA" w14:textId="4CF49C01" w:rsidR="00664061" w:rsidRPr="000A349E" w:rsidRDefault="00664061" w:rsidP="005611BC">
            <w:pPr>
              <w:pStyle w:val="ExhibitText"/>
              <w:rPr>
                <w:color w:val="000000"/>
                <w:lang w:val="en-CA" w:eastAsia="en-CA"/>
              </w:rPr>
            </w:pPr>
            <w:r w:rsidRPr="000A349E">
              <w:rPr>
                <w:color w:val="000000"/>
                <w:lang w:val="en-CA" w:eastAsia="en-CA"/>
              </w:rPr>
              <w:t xml:space="preserve">Technical </w:t>
            </w:r>
            <w:r w:rsidR="00313C2A">
              <w:rPr>
                <w:color w:val="000000"/>
                <w:lang w:val="en-CA" w:eastAsia="en-CA"/>
              </w:rPr>
              <w:t>c</w:t>
            </w:r>
            <w:r w:rsidR="009145A0" w:rsidRPr="000A349E">
              <w:rPr>
                <w:color w:val="000000"/>
                <w:lang w:val="en-CA" w:eastAsia="en-CA"/>
              </w:rPr>
              <w:t xml:space="preserve">onsultation </w:t>
            </w:r>
            <w:r w:rsidR="00313C2A">
              <w:rPr>
                <w:color w:val="000000"/>
                <w:lang w:val="en-CA" w:eastAsia="en-CA"/>
              </w:rPr>
              <w:t>f</w:t>
            </w:r>
            <w:r w:rsidR="009145A0" w:rsidRPr="000A349E">
              <w:rPr>
                <w:color w:val="000000"/>
                <w:lang w:val="en-CA" w:eastAsia="en-CA"/>
              </w:rPr>
              <w:t>ees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7CB98856" w14:textId="2B4A22F5" w:rsidR="00664061" w:rsidRPr="000A349E" w:rsidRDefault="00664061" w:rsidP="004507F0">
            <w:pPr>
              <w:pStyle w:val="ExhibitText"/>
              <w:jc w:val="right"/>
              <w:rPr>
                <w:color w:val="000000"/>
                <w:lang w:val="en-CA" w:eastAsia="en-CA"/>
              </w:rPr>
            </w:pPr>
            <w:r w:rsidRPr="000A349E">
              <w:rPr>
                <w:color w:val="000000"/>
                <w:lang w:val="en-CA" w:eastAsia="en-CA"/>
              </w:rPr>
              <w:t>72,512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74B03470" w14:textId="562BD7BC" w:rsidR="00664061" w:rsidRPr="000A349E" w:rsidRDefault="00664061" w:rsidP="004507F0">
            <w:pPr>
              <w:pStyle w:val="ExhibitText"/>
              <w:jc w:val="right"/>
              <w:rPr>
                <w:color w:val="000000"/>
                <w:lang w:val="en-CA" w:eastAsia="en-CA"/>
              </w:rPr>
            </w:pPr>
            <w:r w:rsidRPr="000A349E">
              <w:rPr>
                <w:color w:val="000000"/>
                <w:lang w:val="en-CA" w:eastAsia="en-CA"/>
              </w:rPr>
              <w:t>553,274</w:t>
            </w:r>
          </w:p>
        </w:tc>
        <w:tc>
          <w:tcPr>
            <w:tcW w:w="1217" w:type="dxa"/>
            <w:shd w:val="clear" w:color="auto" w:fill="auto"/>
            <w:noWrap/>
            <w:vAlign w:val="bottom"/>
            <w:hideMark/>
          </w:tcPr>
          <w:p w14:paraId="26D8ADCA" w14:textId="6B00331E" w:rsidR="00664061" w:rsidRPr="000A349E" w:rsidRDefault="00664061" w:rsidP="004507F0">
            <w:pPr>
              <w:pStyle w:val="ExhibitText"/>
              <w:jc w:val="right"/>
              <w:rPr>
                <w:color w:val="000000"/>
                <w:lang w:val="en-CA" w:eastAsia="en-CA"/>
              </w:rPr>
            </w:pPr>
            <w:r w:rsidRPr="000A349E">
              <w:rPr>
                <w:color w:val="000000"/>
                <w:lang w:val="en-CA" w:eastAsia="en-CA"/>
              </w:rPr>
              <w:t>383,489</w:t>
            </w:r>
          </w:p>
        </w:tc>
      </w:tr>
      <w:tr w:rsidR="00664061" w:rsidRPr="000A349E" w14:paraId="018ED92A" w14:textId="77777777" w:rsidTr="005611BC">
        <w:trPr>
          <w:trHeight w:val="20"/>
          <w:jc w:val="center"/>
        </w:trPr>
        <w:tc>
          <w:tcPr>
            <w:tcW w:w="4400" w:type="dxa"/>
            <w:shd w:val="clear" w:color="auto" w:fill="auto"/>
            <w:noWrap/>
            <w:vAlign w:val="bottom"/>
            <w:hideMark/>
          </w:tcPr>
          <w:p w14:paraId="6B047672" w14:textId="5F11ADD9" w:rsidR="00664061" w:rsidRPr="000A349E" w:rsidRDefault="00664061" w:rsidP="005611BC">
            <w:pPr>
              <w:pStyle w:val="ExhibitText"/>
              <w:rPr>
                <w:color w:val="000000"/>
                <w:lang w:val="en-CA" w:eastAsia="en-CA"/>
              </w:rPr>
            </w:pPr>
            <w:r w:rsidRPr="000A349E">
              <w:rPr>
                <w:color w:val="000000"/>
                <w:lang w:val="en-CA" w:eastAsia="en-CA"/>
              </w:rPr>
              <w:t xml:space="preserve">Travel 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2540E861" w14:textId="01B5EE5A" w:rsidR="00664061" w:rsidRPr="000A349E" w:rsidRDefault="00664061" w:rsidP="004507F0">
            <w:pPr>
              <w:pStyle w:val="ExhibitText"/>
              <w:jc w:val="right"/>
              <w:rPr>
                <w:color w:val="000000"/>
                <w:lang w:val="en-CA" w:eastAsia="en-CA"/>
              </w:rPr>
            </w:pPr>
            <w:r w:rsidRPr="000A349E">
              <w:rPr>
                <w:color w:val="000000"/>
                <w:lang w:val="en-CA" w:eastAsia="en-CA"/>
              </w:rPr>
              <w:t>31,521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461F998B" w14:textId="3B85AE44" w:rsidR="00664061" w:rsidRPr="000A349E" w:rsidRDefault="00664061" w:rsidP="004507F0">
            <w:pPr>
              <w:pStyle w:val="ExhibitText"/>
              <w:jc w:val="right"/>
              <w:rPr>
                <w:color w:val="000000"/>
                <w:lang w:val="en-CA" w:eastAsia="en-CA"/>
              </w:rPr>
            </w:pPr>
            <w:r w:rsidRPr="000A349E">
              <w:rPr>
                <w:color w:val="000000"/>
                <w:lang w:val="en-CA" w:eastAsia="en-CA"/>
              </w:rPr>
              <w:t>30,703</w:t>
            </w:r>
          </w:p>
        </w:tc>
        <w:tc>
          <w:tcPr>
            <w:tcW w:w="1217" w:type="dxa"/>
            <w:shd w:val="clear" w:color="auto" w:fill="auto"/>
            <w:noWrap/>
            <w:vAlign w:val="bottom"/>
            <w:hideMark/>
          </w:tcPr>
          <w:p w14:paraId="45524E33" w14:textId="127B29B2" w:rsidR="00664061" w:rsidRPr="000A349E" w:rsidRDefault="00664061" w:rsidP="004507F0">
            <w:pPr>
              <w:pStyle w:val="ExhibitText"/>
              <w:jc w:val="right"/>
              <w:rPr>
                <w:color w:val="000000"/>
                <w:lang w:val="en-CA" w:eastAsia="en-CA"/>
              </w:rPr>
            </w:pPr>
            <w:r w:rsidRPr="000A349E">
              <w:rPr>
                <w:color w:val="000000"/>
                <w:lang w:val="en-CA" w:eastAsia="en-CA"/>
              </w:rPr>
              <w:t>42,865</w:t>
            </w:r>
          </w:p>
        </w:tc>
      </w:tr>
      <w:tr w:rsidR="00664061" w:rsidRPr="000A349E" w14:paraId="6A159B4F" w14:textId="77777777" w:rsidTr="005611BC">
        <w:trPr>
          <w:trHeight w:val="20"/>
          <w:jc w:val="center"/>
        </w:trPr>
        <w:tc>
          <w:tcPr>
            <w:tcW w:w="4400" w:type="dxa"/>
            <w:shd w:val="clear" w:color="auto" w:fill="auto"/>
            <w:noWrap/>
            <w:vAlign w:val="bottom"/>
            <w:hideMark/>
          </w:tcPr>
          <w:p w14:paraId="602DE38B" w14:textId="19FB449E" w:rsidR="00664061" w:rsidRPr="000A349E" w:rsidRDefault="00664061" w:rsidP="005611BC">
            <w:pPr>
              <w:pStyle w:val="ExhibitText"/>
              <w:rPr>
                <w:color w:val="000000"/>
                <w:lang w:val="en-CA" w:eastAsia="en-CA"/>
              </w:rPr>
            </w:pPr>
            <w:r w:rsidRPr="000A349E">
              <w:rPr>
                <w:color w:val="000000"/>
                <w:lang w:val="en-CA" w:eastAsia="en-CA"/>
              </w:rPr>
              <w:t xml:space="preserve">Total </w:t>
            </w:r>
            <w:r w:rsidR="00313C2A">
              <w:rPr>
                <w:color w:val="000000"/>
                <w:lang w:val="en-CA" w:eastAsia="en-CA"/>
              </w:rPr>
              <w:t>e</w:t>
            </w:r>
            <w:r w:rsidRPr="000A349E">
              <w:rPr>
                <w:color w:val="000000"/>
                <w:lang w:val="en-CA" w:eastAsia="en-CA"/>
              </w:rPr>
              <w:t>xpenses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5B7F29AE" w14:textId="578428A7" w:rsidR="00664061" w:rsidRPr="000A349E" w:rsidRDefault="00664061" w:rsidP="004507F0">
            <w:pPr>
              <w:pStyle w:val="ExhibitText"/>
              <w:jc w:val="right"/>
              <w:rPr>
                <w:color w:val="000000"/>
                <w:lang w:val="en-CA" w:eastAsia="en-CA"/>
              </w:rPr>
            </w:pPr>
            <w:r w:rsidRPr="000A349E">
              <w:rPr>
                <w:color w:val="000000"/>
                <w:lang w:val="en-CA" w:eastAsia="en-CA"/>
              </w:rPr>
              <w:t>3,228,564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386EE9E1" w14:textId="041884E9" w:rsidR="00664061" w:rsidRPr="000A349E" w:rsidRDefault="00664061" w:rsidP="004507F0">
            <w:pPr>
              <w:pStyle w:val="ExhibitText"/>
              <w:jc w:val="right"/>
              <w:rPr>
                <w:color w:val="000000"/>
                <w:lang w:val="en-CA" w:eastAsia="en-CA"/>
              </w:rPr>
            </w:pPr>
            <w:r w:rsidRPr="000A349E">
              <w:rPr>
                <w:color w:val="000000"/>
                <w:lang w:val="en-CA" w:eastAsia="en-CA"/>
              </w:rPr>
              <w:t>4,032,686</w:t>
            </w:r>
          </w:p>
        </w:tc>
        <w:tc>
          <w:tcPr>
            <w:tcW w:w="1217" w:type="dxa"/>
            <w:shd w:val="clear" w:color="auto" w:fill="auto"/>
            <w:noWrap/>
            <w:vAlign w:val="bottom"/>
            <w:hideMark/>
          </w:tcPr>
          <w:p w14:paraId="120F2546" w14:textId="3BAF83E2" w:rsidR="00664061" w:rsidRPr="000A349E" w:rsidRDefault="00664061" w:rsidP="004507F0">
            <w:pPr>
              <w:pStyle w:val="ExhibitText"/>
              <w:jc w:val="right"/>
              <w:rPr>
                <w:color w:val="000000"/>
                <w:lang w:val="en-CA" w:eastAsia="en-CA"/>
              </w:rPr>
            </w:pPr>
            <w:r w:rsidRPr="000A349E">
              <w:rPr>
                <w:color w:val="000000"/>
                <w:lang w:val="en-CA" w:eastAsia="en-CA"/>
              </w:rPr>
              <w:t>4,769,761</w:t>
            </w:r>
          </w:p>
        </w:tc>
      </w:tr>
      <w:tr w:rsidR="00664061" w:rsidRPr="000A349E" w14:paraId="06D23919" w14:textId="77777777" w:rsidTr="005611BC">
        <w:trPr>
          <w:trHeight w:val="20"/>
          <w:jc w:val="center"/>
        </w:trPr>
        <w:tc>
          <w:tcPr>
            <w:tcW w:w="4400" w:type="dxa"/>
            <w:shd w:val="clear" w:color="auto" w:fill="auto"/>
            <w:noWrap/>
            <w:vAlign w:val="bottom"/>
            <w:hideMark/>
          </w:tcPr>
          <w:p w14:paraId="59F41E55" w14:textId="196D92FE" w:rsidR="00664061" w:rsidRPr="00301D54" w:rsidRDefault="00C11F82" w:rsidP="00313C2A">
            <w:pPr>
              <w:pStyle w:val="ExhibitText"/>
              <w:rPr>
                <w:color w:val="000000"/>
                <w:lang w:val="en-CA" w:eastAsia="en-CA"/>
              </w:rPr>
            </w:pPr>
            <w:r w:rsidRPr="00301D54">
              <w:rPr>
                <w:color w:val="000000"/>
                <w:lang w:val="en-CA" w:eastAsia="en-CA"/>
              </w:rPr>
              <w:t>S</w:t>
            </w:r>
            <w:r w:rsidR="00313C2A" w:rsidRPr="00301D54">
              <w:rPr>
                <w:color w:val="000000"/>
                <w:lang w:val="en-CA" w:eastAsia="en-CA"/>
              </w:rPr>
              <w:t>urplus revenue over expenses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053C8DA8" w14:textId="1BACC7AF" w:rsidR="00664061" w:rsidRPr="000A349E" w:rsidRDefault="00664061" w:rsidP="004507F0">
            <w:pPr>
              <w:pStyle w:val="ExhibitText"/>
              <w:jc w:val="right"/>
              <w:rPr>
                <w:b/>
                <w:color w:val="000000"/>
                <w:lang w:val="en-CA" w:eastAsia="en-CA"/>
              </w:rPr>
            </w:pPr>
            <w:r w:rsidRPr="000A349E">
              <w:rPr>
                <w:b/>
                <w:color w:val="000000"/>
                <w:lang w:val="en-CA" w:eastAsia="en-CA"/>
              </w:rPr>
              <w:t>2,185,952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7F131349" w14:textId="4E753AE6" w:rsidR="00664061" w:rsidRPr="000A349E" w:rsidRDefault="00664061" w:rsidP="004507F0">
            <w:pPr>
              <w:pStyle w:val="ExhibitText"/>
              <w:jc w:val="right"/>
              <w:rPr>
                <w:b/>
                <w:color w:val="000000"/>
                <w:lang w:val="en-CA" w:eastAsia="en-CA"/>
              </w:rPr>
            </w:pPr>
            <w:r w:rsidRPr="000A349E">
              <w:rPr>
                <w:b/>
                <w:color w:val="000000"/>
                <w:lang w:val="en-CA" w:eastAsia="en-CA"/>
              </w:rPr>
              <w:t>1,571,435</w:t>
            </w:r>
          </w:p>
        </w:tc>
        <w:tc>
          <w:tcPr>
            <w:tcW w:w="1217" w:type="dxa"/>
            <w:shd w:val="clear" w:color="auto" w:fill="auto"/>
            <w:noWrap/>
            <w:vAlign w:val="bottom"/>
            <w:hideMark/>
          </w:tcPr>
          <w:p w14:paraId="19D7CCA3" w14:textId="0261577C" w:rsidR="00664061" w:rsidRPr="000A349E" w:rsidRDefault="00664061" w:rsidP="004507F0">
            <w:pPr>
              <w:pStyle w:val="ExhibitText"/>
              <w:jc w:val="right"/>
              <w:rPr>
                <w:b/>
                <w:color w:val="000000"/>
                <w:lang w:val="en-CA" w:eastAsia="en-CA"/>
              </w:rPr>
            </w:pPr>
            <w:r w:rsidRPr="000A349E">
              <w:rPr>
                <w:b/>
                <w:color w:val="000000"/>
                <w:lang w:val="en-CA" w:eastAsia="en-CA"/>
              </w:rPr>
              <w:t>1,202,861</w:t>
            </w:r>
          </w:p>
        </w:tc>
      </w:tr>
      <w:tr w:rsidR="00664061" w:rsidRPr="000A349E" w14:paraId="30B1956F" w14:textId="77777777" w:rsidTr="005611BC">
        <w:trPr>
          <w:trHeight w:val="20"/>
          <w:jc w:val="center"/>
        </w:trPr>
        <w:tc>
          <w:tcPr>
            <w:tcW w:w="4400" w:type="dxa"/>
            <w:shd w:val="clear" w:color="auto" w:fill="auto"/>
            <w:noWrap/>
            <w:vAlign w:val="bottom"/>
          </w:tcPr>
          <w:p w14:paraId="49E52A2E" w14:textId="6B65DFEC" w:rsidR="00664061" w:rsidRPr="00301D54" w:rsidRDefault="00313C2A" w:rsidP="00301D54">
            <w:pPr>
              <w:pStyle w:val="ExhibitText"/>
              <w:jc w:val="left"/>
              <w:rPr>
                <w:color w:val="000000"/>
                <w:lang w:val="en-CA" w:eastAsia="en-CA"/>
              </w:rPr>
            </w:pPr>
            <w:r w:rsidRPr="00301D54">
              <w:rPr>
                <w:color w:val="000000"/>
                <w:lang w:val="en-CA" w:eastAsia="en-CA"/>
              </w:rPr>
              <w:t>Surplus revenue over expenses (excluding government grants</w:t>
            </w:r>
            <w:r w:rsidR="00664061" w:rsidRPr="00301D54">
              <w:rPr>
                <w:color w:val="000000"/>
                <w:lang w:val="en-CA" w:eastAsia="en-CA"/>
              </w:rPr>
              <w:t>)</w:t>
            </w:r>
          </w:p>
        </w:tc>
        <w:tc>
          <w:tcPr>
            <w:tcW w:w="1340" w:type="dxa"/>
            <w:shd w:val="clear" w:color="auto" w:fill="auto"/>
            <w:noWrap/>
            <w:vAlign w:val="bottom"/>
          </w:tcPr>
          <w:p w14:paraId="77900617" w14:textId="3E4C6390" w:rsidR="00664061" w:rsidRPr="000A349E" w:rsidRDefault="00664061" w:rsidP="004507F0">
            <w:pPr>
              <w:pStyle w:val="ExhibitText"/>
              <w:jc w:val="right"/>
              <w:rPr>
                <w:b/>
                <w:i/>
                <w:color w:val="000000"/>
                <w:lang w:val="en-CA" w:eastAsia="en-CA"/>
              </w:rPr>
            </w:pPr>
            <w:r w:rsidRPr="000A349E">
              <w:rPr>
                <w:b/>
                <w:i/>
                <w:color w:val="000000"/>
                <w:lang w:val="en-CA" w:eastAsia="en-CA"/>
              </w:rPr>
              <w:t>280,335</w:t>
            </w:r>
          </w:p>
        </w:tc>
        <w:tc>
          <w:tcPr>
            <w:tcW w:w="1340" w:type="dxa"/>
            <w:shd w:val="clear" w:color="auto" w:fill="auto"/>
            <w:noWrap/>
            <w:vAlign w:val="bottom"/>
          </w:tcPr>
          <w:p w14:paraId="6B46A952" w14:textId="13945B6A" w:rsidR="00664061" w:rsidRPr="000A349E" w:rsidRDefault="00664061" w:rsidP="004507F0">
            <w:pPr>
              <w:pStyle w:val="ExhibitText"/>
              <w:jc w:val="right"/>
              <w:rPr>
                <w:b/>
                <w:i/>
                <w:color w:val="000000"/>
                <w:lang w:val="en-CA" w:eastAsia="en-CA"/>
              </w:rPr>
            </w:pPr>
            <w:r w:rsidRPr="000A349E">
              <w:rPr>
                <w:b/>
                <w:i/>
                <w:color w:val="000000"/>
                <w:lang w:val="en-CA" w:eastAsia="en-CA"/>
              </w:rPr>
              <w:t>1,038,730</w:t>
            </w:r>
          </w:p>
        </w:tc>
        <w:tc>
          <w:tcPr>
            <w:tcW w:w="1217" w:type="dxa"/>
            <w:shd w:val="clear" w:color="auto" w:fill="auto"/>
            <w:noWrap/>
            <w:vAlign w:val="bottom"/>
          </w:tcPr>
          <w:p w14:paraId="10DAB07E" w14:textId="3D83ABA7" w:rsidR="00664061" w:rsidRPr="000A349E" w:rsidRDefault="00664061" w:rsidP="004507F0">
            <w:pPr>
              <w:pStyle w:val="ExhibitText"/>
              <w:jc w:val="right"/>
              <w:rPr>
                <w:b/>
                <w:i/>
                <w:color w:val="000000"/>
                <w:lang w:val="en-CA" w:eastAsia="en-CA"/>
              </w:rPr>
            </w:pPr>
            <w:r w:rsidRPr="000A349E">
              <w:rPr>
                <w:b/>
                <w:i/>
                <w:color w:val="000000"/>
                <w:lang w:val="en-CA" w:eastAsia="en-CA"/>
              </w:rPr>
              <w:t>993,112</w:t>
            </w:r>
          </w:p>
        </w:tc>
      </w:tr>
    </w:tbl>
    <w:p w14:paraId="27BE9DFD" w14:textId="77777777" w:rsidR="00664061" w:rsidRPr="000A349E" w:rsidRDefault="00664061" w:rsidP="00664061">
      <w:pPr>
        <w:pStyle w:val="ExhibitText"/>
        <w:rPr>
          <w:lang w:val="en-CA"/>
        </w:rPr>
      </w:pPr>
    </w:p>
    <w:p w14:paraId="3A4FAE3F" w14:textId="77777777" w:rsidR="009145A0" w:rsidRPr="000A349E" w:rsidRDefault="009145A0" w:rsidP="00664061">
      <w:pPr>
        <w:pStyle w:val="ExhibitText"/>
        <w:rPr>
          <w:lang w:val="en-CA"/>
        </w:rPr>
      </w:pPr>
    </w:p>
    <w:p w14:paraId="56BFC482" w14:textId="77777777" w:rsidR="00664061" w:rsidRPr="000A349E" w:rsidRDefault="00664061" w:rsidP="00664061">
      <w:pPr>
        <w:pStyle w:val="ExhibitText"/>
        <w:jc w:val="center"/>
        <w:rPr>
          <w:b/>
          <w:lang w:val="en-CA"/>
        </w:rPr>
      </w:pPr>
      <w:r w:rsidRPr="000A349E">
        <w:rPr>
          <w:b/>
          <w:lang w:val="en-CA"/>
        </w:rPr>
        <w:t>Forecast and Other Financial Information</w:t>
      </w:r>
    </w:p>
    <w:p w14:paraId="15E281A7" w14:textId="77777777" w:rsidR="00664061" w:rsidRPr="000A349E" w:rsidRDefault="00664061" w:rsidP="004507F0">
      <w:pPr>
        <w:pStyle w:val="Footnote"/>
        <w:rPr>
          <w:lang w:val="en-CA"/>
        </w:rPr>
      </w:pPr>
    </w:p>
    <w:tbl>
      <w:tblPr>
        <w:tblW w:w="44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09"/>
        <w:gridCol w:w="1734"/>
      </w:tblGrid>
      <w:tr w:rsidR="00664061" w:rsidRPr="000A349E" w14:paraId="3D2F2CDC" w14:textId="77777777" w:rsidTr="005611BC">
        <w:trPr>
          <w:trHeight w:val="216"/>
          <w:jc w:val="center"/>
        </w:trPr>
        <w:tc>
          <w:tcPr>
            <w:tcW w:w="2709" w:type="dxa"/>
            <w:shd w:val="clear" w:color="auto" w:fill="auto"/>
            <w:noWrap/>
            <w:vAlign w:val="bottom"/>
            <w:hideMark/>
          </w:tcPr>
          <w:p w14:paraId="2D948FA7" w14:textId="77777777" w:rsidR="00664061" w:rsidRPr="000A349E" w:rsidRDefault="00664061" w:rsidP="005611BC">
            <w:pPr>
              <w:pStyle w:val="ExhibitText"/>
              <w:rPr>
                <w:b/>
                <w:lang w:val="en-CA" w:eastAsia="en-CA"/>
              </w:rPr>
            </w:pPr>
            <w:r w:rsidRPr="000A349E">
              <w:rPr>
                <w:b/>
                <w:lang w:val="en-CA" w:eastAsia="en-CA"/>
              </w:rPr>
              <w:t>Additional Calculations:</w:t>
            </w:r>
          </w:p>
        </w:tc>
        <w:tc>
          <w:tcPr>
            <w:tcW w:w="1734" w:type="dxa"/>
            <w:shd w:val="clear" w:color="auto" w:fill="auto"/>
            <w:noWrap/>
            <w:vAlign w:val="bottom"/>
            <w:hideMark/>
          </w:tcPr>
          <w:p w14:paraId="3757C50C" w14:textId="77777777" w:rsidR="00664061" w:rsidRPr="000A349E" w:rsidRDefault="00664061" w:rsidP="005611BC">
            <w:pPr>
              <w:pStyle w:val="ExhibitText"/>
              <w:rPr>
                <w:lang w:val="en-CA" w:eastAsia="en-CA"/>
              </w:rPr>
            </w:pPr>
            <w:r w:rsidRPr="000A349E">
              <w:rPr>
                <w:lang w:val="en-CA" w:eastAsia="en-CA"/>
              </w:rPr>
              <w:t> </w:t>
            </w:r>
          </w:p>
        </w:tc>
      </w:tr>
      <w:tr w:rsidR="00664061" w:rsidRPr="000A349E" w14:paraId="071EEB9E" w14:textId="77777777" w:rsidTr="005611BC">
        <w:trPr>
          <w:trHeight w:val="20"/>
          <w:jc w:val="center"/>
        </w:trPr>
        <w:tc>
          <w:tcPr>
            <w:tcW w:w="2709" w:type="dxa"/>
            <w:shd w:val="clear" w:color="auto" w:fill="auto"/>
            <w:noWrap/>
            <w:vAlign w:val="bottom"/>
            <w:hideMark/>
          </w:tcPr>
          <w:p w14:paraId="55D8C30C" w14:textId="77777777" w:rsidR="00664061" w:rsidRPr="000A349E" w:rsidRDefault="00664061" w:rsidP="005611BC">
            <w:pPr>
              <w:pStyle w:val="ExhibitText"/>
              <w:rPr>
                <w:color w:val="000000"/>
                <w:lang w:val="en-CA" w:eastAsia="en-CA"/>
              </w:rPr>
            </w:pPr>
            <w:r w:rsidRPr="000A349E">
              <w:rPr>
                <w:color w:val="000000"/>
                <w:lang w:val="en-CA" w:eastAsia="en-CA"/>
              </w:rPr>
              <w:t xml:space="preserve">Expenses (2017) </w:t>
            </w:r>
          </w:p>
        </w:tc>
        <w:tc>
          <w:tcPr>
            <w:tcW w:w="1734" w:type="dxa"/>
            <w:shd w:val="clear" w:color="auto" w:fill="auto"/>
            <w:noWrap/>
            <w:vAlign w:val="bottom"/>
            <w:hideMark/>
          </w:tcPr>
          <w:p w14:paraId="77BF7601" w14:textId="77777777" w:rsidR="00664061" w:rsidRPr="000A349E" w:rsidRDefault="00664061" w:rsidP="004507F0">
            <w:pPr>
              <w:pStyle w:val="ExhibitText"/>
              <w:jc w:val="right"/>
              <w:rPr>
                <w:color w:val="000000"/>
                <w:lang w:val="en-CA" w:eastAsia="en-CA"/>
              </w:rPr>
            </w:pPr>
            <w:r w:rsidRPr="000A349E">
              <w:rPr>
                <w:color w:val="000000"/>
                <w:lang w:val="en-CA" w:eastAsia="en-CA"/>
              </w:rPr>
              <w:t xml:space="preserve"> $4,769,000 </w:t>
            </w:r>
          </w:p>
        </w:tc>
      </w:tr>
      <w:tr w:rsidR="00664061" w:rsidRPr="000A349E" w14:paraId="57251AB1" w14:textId="77777777" w:rsidTr="005611BC">
        <w:trPr>
          <w:trHeight w:val="20"/>
          <w:jc w:val="center"/>
        </w:trPr>
        <w:tc>
          <w:tcPr>
            <w:tcW w:w="2709" w:type="dxa"/>
            <w:shd w:val="clear" w:color="auto" w:fill="auto"/>
            <w:noWrap/>
            <w:vAlign w:val="bottom"/>
            <w:hideMark/>
          </w:tcPr>
          <w:p w14:paraId="4841CB90" w14:textId="77777777" w:rsidR="00664061" w:rsidRPr="000A349E" w:rsidRDefault="00664061" w:rsidP="005611BC">
            <w:pPr>
              <w:pStyle w:val="ExhibitText"/>
              <w:rPr>
                <w:color w:val="000000"/>
                <w:lang w:val="en-CA" w:eastAsia="en-CA"/>
              </w:rPr>
            </w:pPr>
            <w:r w:rsidRPr="000A349E">
              <w:rPr>
                <w:color w:val="000000"/>
                <w:lang w:val="en-CA" w:eastAsia="en-CA"/>
              </w:rPr>
              <w:t xml:space="preserve">Sourcing Revenue (2017) </w:t>
            </w:r>
          </w:p>
        </w:tc>
        <w:tc>
          <w:tcPr>
            <w:tcW w:w="1734" w:type="dxa"/>
            <w:shd w:val="clear" w:color="auto" w:fill="auto"/>
            <w:noWrap/>
            <w:vAlign w:val="bottom"/>
            <w:hideMark/>
          </w:tcPr>
          <w:p w14:paraId="1F2B31E0" w14:textId="77777777" w:rsidR="00664061" w:rsidRPr="000A349E" w:rsidRDefault="00664061" w:rsidP="004507F0">
            <w:pPr>
              <w:pStyle w:val="ExhibitText"/>
              <w:jc w:val="right"/>
              <w:rPr>
                <w:color w:val="000000"/>
                <w:lang w:val="en-CA" w:eastAsia="en-CA"/>
              </w:rPr>
            </w:pPr>
            <w:r w:rsidRPr="000A349E">
              <w:rPr>
                <w:color w:val="000000"/>
                <w:lang w:val="en-CA" w:eastAsia="en-CA"/>
              </w:rPr>
              <w:t xml:space="preserve"> $5,544,000 </w:t>
            </w:r>
          </w:p>
        </w:tc>
      </w:tr>
      <w:tr w:rsidR="00664061" w:rsidRPr="000A349E" w14:paraId="73B3DCC8" w14:textId="77777777" w:rsidTr="005611BC">
        <w:trPr>
          <w:trHeight w:val="20"/>
          <w:jc w:val="center"/>
        </w:trPr>
        <w:tc>
          <w:tcPr>
            <w:tcW w:w="2709" w:type="dxa"/>
            <w:shd w:val="clear" w:color="auto" w:fill="auto"/>
            <w:noWrap/>
            <w:vAlign w:val="bottom"/>
          </w:tcPr>
          <w:p w14:paraId="457DDA9B" w14:textId="77777777" w:rsidR="00664061" w:rsidRPr="000A349E" w:rsidRDefault="00664061" w:rsidP="005611BC">
            <w:pPr>
              <w:pStyle w:val="ExhibitText"/>
              <w:rPr>
                <w:color w:val="000000"/>
                <w:lang w:val="en-CA" w:eastAsia="en-CA"/>
              </w:rPr>
            </w:pPr>
            <w:r w:rsidRPr="000A349E">
              <w:rPr>
                <w:color w:val="000000"/>
                <w:lang w:val="en-CA" w:eastAsia="en-CA"/>
              </w:rPr>
              <w:t>Spend (2017)</w:t>
            </w:r>
          </w:p>
        </w:tc>
        <w:tc>
          <w:tcPr>
            <w:tcW w:w="1734" w:type="dxa"/>
            <w:shd w:val="clear" w:color="auto" w:fill="auto"/>
            <w:noWrap/>
            <w:vAlign w:val="bottom"/>
          </w:tcPr>
          <w:p w14:paraId="08385224" w14:textId="77777777" w:rsidR="00664061" w:rsidRPr="000A349E" w:rsidRDefault="00664061" w:rsidP="004507F0">
            <w:pPr>
              <w:pStyle w:val="ExhibitText"/>
              <w:jc w:val="right"/>
              <w:rPr>
                <w:color w:val="000000"/>
                <w:lang w:val="en-CA" w:eastAsia="en-CA"/>
              </w:rPr>
            </w:pPr>
            <w:r w:rsidRPr="000A349E">
              <w:rPr>
                <w:color w:val="000000"/>
                <w:lang w:val="en-CA" w:eastAsia="en-CA"/>
              </w:rPr>
              <w:t>$255,263,108</w:t>
            </w:r>
          </w:p>
        </w:tc>
      </w:tr>
      <w:tr w:rsidR="00664061" w:rsidRPr="000A349E" w14:paraId="06C858A3" w14:textId="77777777" w:rsidTr="005611BC">
        <w:trPr>
          <w:trHeight w:val="20"/>
          <w:jc w:val="center"/>
        </w:trPr>
        <w:tc>
          <w:tcPr>
            <w:tcW w:w="2709" w:type="dxa"/>
            <w:shd w:val="clear" w:color="auto" w:fill="auto"/>
            <w:noWrap/>
            <w:vAlign w:val="bottom"/>
            <w:hideMark/>
          </w:tcPr>
          <w:p w14:paraId="5629DD37" w14:textId="7D9EFE41" w:rsidR="00664061" w:rsidRPr="000A349E" w:rsidRDefault="00664061" w:rsidP="00C039E6">
            <w:pPr>
              <w:pStyle w:val="ExhibitText"/>
              <w:rPr>
                <w:color w:val="000000"/>
                <w:lang w:val="en-CA" w:eastAsia="en-CA"/>
              </w:rPr>
            </w:pPr>
            <w:r w:rsidRPr="000A349E">
              <w:rPr>
                <w:color w:val="000000"/>
                <w:lang w:val="en-CA" w:eastAsia="en-CA"/>
              </w:rPr>
              <w:t xml:space="preserve">Expenses </w:t>
            </w:r>
            <w:r w:rsidR="009145A0" w:rsidRPr="000A349E">
              <w:rPr>
                <w:color w:val="000000"/>
                <w:lang w:val="en-CA" w:eastAsia="en-CA"/>
              </w:rPr>
              <w:t>(</w:t>
            </w:r>
            <w:r w:rsidRPr="000A349E">
              <w:rPr>
                <w:color w:val="000000"/>
                <w:lang w:val="en-CA" w:eastAsia="en-CA"/>
              </w:rPr>
              <w:t xml:space="preserve">as </w:t>
            </w:r>
            <w:r w:rsidR="00C039E6" w:rsidRPr="000A349E">
              <w:rPr>
                <w:color w:val="000000"/>
                <w:lang w:val="en-CA" w:eastAsia="en-CA"/>
              </w:rPr>
              <w:t xml:space="preserve">Percentage </w:t>
            </w:r>
            <w:r w:rsidRPr="000A349E">
              <w:rPr>
                <w:color w:val="000000"/>
                <w:lang w:val="en-CA" w:eastAsia="en-CA"/>
              </w:rPr>
              <w:t>of Spend</w:t>
            </w:r>
            <w:r w:rsidR="009145A0" w:rsidRPr="000A349E">
              <w:rPr>
                <w:color w:val="000000"/>
                <w:lang w:val="en-CA" w:eastAsia="en-CA"/>
              </w:rPr>
              <w:t>)</w:t>
            </w:r>
          </w:p>
        </w:tc>
        <w:tc>
          <w:tcPr>
            <w:tcW w:w="1734" w:type="dxa"/>
            <w:shd w:val="clear" w:color="auto" w:fill="auto"/>
            <w:noWrap/>
            <w:vAlign w:val="bottom"/>
            <w:hideMark/>
          </w:tcPr>
          <w:p w14:paraId="1F186ADD" w14:textId="77777777" w:rsidR="00664061" w:rsidRPr="000A349E" w:rsidRDefault="00664061" w:rsidP="004507F0">
            <w:pPr>
              <w:pStyle w:val="ExhibitText"/>
              <w:jc w:val="right"/>
              <w:rPr>
                <w:color w:val="000000"/>
                <w:lang w:val="en-CA" w:eastAsia="en-CA"/>
              </w:rPr>
            </w:pPr>
            <w:r w:rsidRPr="000A349E">
              <w:rPr>
                <w:color w:val="000000"/>
                <w:lang w:val="en-CA" w:eastAsia="en-CA"/>
              </w:rPr>
              <w:t>1.8683%</w:t>
            </w:r>
          </w:p>
        </w:tc>
      </w:tr>
      <w:tr w:rsidR="00664061" w:rsidRPr="000A349E" w14:paraId="7DA09396" w14:textId="77777777" w:rsidTr="005611BC">
        <w:trPr>
          <w:trHeight w:val="20"/>
          <w:jc w:val="center"/>
        </w:trPr>
        <w:tc>
          <w:tcPr>
            <w:tcW w:w="2709" w:type="dxa"/>
            <w:shd w:val="clear" w:color="auto" w:fill="auto"/>
            <w:noWrap/>
            <w:vAlign w:val="bottom"/>
            <w:hideMark/>
          </w:tcPr>
          <w:p w14:paraId="4EFD091B" w14:textId="56096F91" w:rsidR="00664061" w:rsidRPr="000A349E" w:rsidRDefault="00664061" w:rsidP="00C039E6">
            <w:pPr>
              <w:pStyle w:val="ExhibitText"/>
              <w:rPr>
                <w:color w:val="000000"/>
                <w:lang w:val="en-CA" w:eastAsia="en-CA"/>
              </w:rPr>
            </w:pPr>
            <w:r w:rsidRPr="000A349E">
              <w:rPr>
                <w:color w:val="000000"/>
                <w:lang w:val="en-CA" w:eastAsia="en-CA"/>
              </w:rPr>
              <w:t>Sourcing Revenue</w:t>
            </w:r>
            <w:r w:rsidR="009145A0" w:rsidRPr="000A349E">
              <w:rPr>
                <w:color w:val="000000"/>
                <w:lang w:val="en-CA" w:eastAsia="en-CA"/>
              </w:rPr>
              <w:t xml:space="preserve"> (as </w:t>
            </w:r>
            <w:r w:rsidR="00C039E6" w:rsidRPr="000A349E">
              <w:rPr>
                <w:color w:val="000000"/>
                <w:lang w:val="en-CA" w:eastAsia="en-CA"/>
              </w:rPr>
              <w:t>P</w:t>
            </w:r>
            <w:r w:rsidR="009145A0" w:rsidRPr="000A349E">
              <w:rPr>
                <w:color w:val="000000"/>
                <w:lang w:val="en-CA" w:eastAsia="en-CA"/>
              </w:rPr>
              <w:t>ercentage</w:t>
            </w:r>
            <w:r w:rsidRPr="000A349E">
              <w:rPr>
                <w:color w:val="000000"/>
                <w:lang w:val="en-CA" w:eastAsia="en-CA"/>
              </w:rPr>
              <w:t xml:space="preserve"> of Spend</w:t>
            </w:r>
            <w:r w:rsidR="009145A0" w:rsidRPr="000A349E">
              <w:rPr>
                <w:color w:val="000000"/>
                <w:lang w:val="en-CA" w:eastAsia="en-CA"/>
              </w:rPr>
              <w:t>)</w:t>
            </w:r>
          </w:p>
        </w:tc>
        <w:tc>
          <w:tcPr>
            <w:tcW w:w="1734" w:type="dxa"/>
            <w:shd w:val="clear" w:color="auto" w:fill="auto"/>
            <w:noWrap/>
            <w:vAlign w:val="bottom"/>
            <w:hideMark/>
          </w:tcPr>
          <w:p w14:paraId="5C532ADF" w14:textId="77777777" w:rsidR="00664061" w:rsidRPr="000A349E" w:rsidRDefault="00664061" w:rsidP="004507F0">
            <w:pPr>
              <w:pStyle w:val="ExhibitText"/>
              <w:jc w:val="right"/>
              <w:rPr>
                <w:color w:val="000000"/>
                <w:lang w:val="en-CA" w:eastAsia="en-CA"/>
              </w:rPr>
            </w:pPr>
            <w:r w:rsidRPr="000A349E">
              <w:rPr>
                <w:color w:val="000000"/>
                <w:lang w:val="en-CA" w:eastAsia="en-CA"/>
              </w:rPr>
              <w:t>2.1719%</w:t>
            </w:r>
          </w:p>
        </w:tc>
      </w:tr>
    </w:tbl>
    <w:p w14:paraId="144AD4E2" w14:textId="77777777" w:rsidR="00664061" w:rsidRPr="000A349E" w:rsidRDefault="00664061" w:rsidP="00664061">
      <w:pPr>
        <w:pStyle w:val="ExhibitText"/>
        <w:rPr>
          <w:lang w:val="en-CA"/>
        </w:rPr>
      </w:pPr>
    </w:p>
    <w:p w14:paraId="2E096AB7" w14:textId="77777777" w:rsidR="009145A0" w:rsidRPr="000A349E" w:rsidRDefault="009145A0" w:rsidP="00664061">
      <w:pPr>
        <w:pStyle w:val="ExhibitText"/>
        <w:rPr>
          <w:lang w:val="en-CA"/>
        </w:rPr>
      </w:pPr>
    </w:p>
    <w:p w14:paraId="15D5B174" w14:textId="77777777" w:rsidR="00664061" w:rsidRPr="000A349E" w:rsidRDefault="00664061" w:rsidP="00664061">
      <w:pPr>
        <w:pStyle w:val="ExhibitText"/>
        <w:jc w:val="center"/>
        <w:rPr>
          <w:b/>
          <w:lang w:val="en-CA"/>
        </w:rPr>
      </w:pPr>
      <w:r w:rsidRPr="000A349E">
        <w:rPr>
          <w:b/>
          <w:lang w:val="en-CA"/>
        </w:rPr>
        <w:t>Strategic Sourcing Revenue Growth Rate Assumptions</w:t>
      </w:r>
    </w:p>
    <w:p w14:paraId="42057054" w14:textId="77777777" w:rsidR="00664061" w:rsidRPr="000A349E" w:rsidRDefault="00664061" w:rsidP="004507F0">
      <w:pPr>
        <w:pStyle w:val="Footnote"/>
        <w:rPr>
          <w:lang w:val="en-CA"/>
        </w:rPr>
      </w:pPr>
    </w:p>
    <w:tbl>
      <w:tblPr>
        <w:tblW w:w="823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60"/>
        <w:gridCol w:w="1482"/>
        <w:gridCol w:w="1350"/>
        <w:gridCol w:w="1800"/>
        <w:gridCol w:w="1045"/>
      </w:tblGrid>
      <w:tr w:rsidR="00664061" w:rsidRPr="000A349E" w14:paraId="1E6565F1" w14:textId="77777777" w:rsidTr="006A09A2">
        <w:trPr>
          <w:trHeight w:val="20"/>
        </w:trPr>
        <w:tc>
          <w:tcPr>
            <w:tcW w:w="2560" w:type="dxa"/>
            <w:shd w:val="clear" w:color="auto" w:fill="auto"/>
            <w:noWrap/>
            <w:vAlign w:val="center"/>
          </w:tcPr>
          <w:p w14:paraId="65B32167" w14:textId="2CD36D4F" w:rsidR="00664061" w:rsidRPr="000A349E" w:rsidRDefault="00664061" w:rsidP="005611BC">
            <w:pPr>
              <w:pStyle w:val="ExhibitText"/>
              <w:jc w:val="left"/>
              <w:rPr>
                <w:lang w:val="en-CA" w:eastAsia="en-CA"/>
              </w:rPr>
            </w:pPr>
            <w:r w:rsidRPr="000A349E">
              <w:rPr>
                <w:lang w:val="en-CA" w:eastAsia="en-CA"/>
              </w:rPr>
              <w:t xml:space="preserve">Annual </w:t>
            </w:r>
            <w:r w:rsidR="009145A0" w:rsidRPr="000A349E">
              <w:rPr>
                <w:lang w:val="en-CA" w:eastAsia="en-CA"/>
              </w:rPr>
              <w:t>Growth Rate Assumptions</w:t>
            </w:r>
          </w:p>
        </w:tc>
        <w:tc>
          <w:tcPr>
            <w:tcW w:w="1482" w:type="dxa"/>
            <w:shd w:val="clear" w:color="auto" w:fill="auto"/>
            <w:noWrap/>
            <w:vAlign w:val="center"/>
            <w:hideMark/>
          </w:tcPr>
          <w:p w14:paraId="241552EC" w14:textId="77777777" w:rsidR="00664061" w:rsidRPr="006A09A2" w:rsidRDefault="00664061" w:rsidP="006A09A2">
            <w:pPr>
              <w:pStyle w:val="ExhibitText"/>
              <w:jc w:val="center"/>
              <w:rPr>
                <w:b/>
                <w:lang w:val="en-CA" w:eastAsia="en-CA"/>
              </w:rPr>
            </w:pPr>
            <w:r w:rsidRPr="006A09A2">
              <w:rPr>
                <w:b/>
                <w:lang w:val="en-CA" w:eastAsia="en-CA"/>
              </w:rPr>
              <w:t>1. University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611AEDCA" w14:textId="5086492A" w:rsidR="00664061" w:rsidRPr="006A09A2" w:rsidRDefault="00664061" w:rsidP="006A09A2">
            <w:pPr>
              <w:pStyle w:val="ExhibitText"/>
              <w:jc w:val="center"/>
              <w:rPr>
                <w:b/>
                <w:lang w:val="en-CA" w:eastAsia="en-CA"/>
              </w:rPr>
            </w:pPr>
            <w:r w:rsidRPr="006A09A2">
              <w:rPr>
                <w:b/>
                <w:lang w:val="en-CA" w:eastAsia="en-CA"/>
              </w:rPr>
              <w:t>2.</w:t>
            </w:r>
            <w:r w:rsidR="009145A0" w:rsidRPr="006A09A2">
              <w:rPr>
                <w:b/>
                <w:lang w:val="en-CA" w:eastAsia="en-CA"/>
              </w:rPr>
              <w:t xml:space="preserve"> </w:t>
            </w:r>
            <w:r w:rsidRPr="006A09A2">
              <w:rPr>
                <w:b/>
                <w:lang w:val="en-CA" w:eastAsia="en-CA"/>
              </w:rPr>
              <w:t>Colleges</w:t>
            </w:r>
          </w:p>
        </w:tc>
        <w:tc>
          <w:tcPr>
            <w:tcW w:w="1800" w:type="dxa"/>
            <w:shd w:val="clear" w:color="auto" w:fill="auto"/>
            <w:noWrap/>
            <w:vAlign w:val="center"/>
            <w:hideMark/>
          </w:tcPr>
          <w:p w14:paraId="61215837" w14:textId="46152EA4" w:rsidR="00664061" w:rsidRPr="006A09A2" w:rsidRDefault="00664061" w:rsidP="006A09A2">
            <w:pPr>
              <w:pStyle w:val="ExhibitText"/>
              <w:jc w:val="center"/>
              <w:rPr>
                <w:b/>
                <w:lang w:val="en-CA" w:eastAsia="en-CA"/>
              </w:rPr>
            </w:pPr>
            <w:r w:rsidRPr="006A09A2">
              <w:rPr>
                <w:b/>
                <w:lang w:val="en-CA" w:eastAsia="en-CA"/>
              </w:rPr>
              <w:t>3.</w:t>
            </w:r>
            <w:r w:rsidR="009145A0" w:rsidRPr="006A09A2">
              <w:rPr>
                <w:b/>
                <w:lang w:val="en-CA" w:eastAsia="en-CA"/>
              </w:rPr>
              <w:t xml:space="preserve"> </w:t>
            </w:r>
            <w:r w:rsidRPr="006A09A2">
              <w:rPr>
                <w:b/>
                <w:lang w:val="en-CA" w:eastAsia="en-CA"/>
              </w:rPr>
              <w:t>School Board</w:t>
            </w:r>
          </w:p>
        </w:tc>
        <w:tc>
          <w:tcPr>
            <w:tcW w:w="1045" w:type="dxa"/>
            <w:shd w:val="clear" w:color="auto" w:fill="auto"/>
            <w:noWrap/>
            <w:vAlign w:val="center"/>
            <w:hideMark/>
          </w:tcPr>
          <w:p w14:paraId="57421D28" w14:textId="4AB1B38A" w:rsidR="00664061" w:rsidRPr="006A09A2" w:rsidRDefault="00664061" w:rsidP="006A09A2">
            <w:pPr>
              <w:pStyle w:val="ExhibitText"/>
              <w:jc w:val="center"/>
              <w:rPr>
                <w:b/>
                <w:lang w:val="en-CA" w:eastAsia="en-CA"/>
              </w:rPr>
            </w:pPr>
            <w:r w:rsidRPr="006A09A2">
              <w:rPr>
                <w:b/>
                <w:lang w:val="en-CA" w:eastAsia="en-CA"/>
              </w:rPr>
              <w:t>4.</w:t>
            </w:r>
            <w:r w:rsidR="009145A0" w:rsidRPr="006A09A2">
              <w:rPr>
                <w:b/>
                <w:lang w:val="en-CA" w:eastAsia="en-CA"/>
              </w:rPr>
              <w:t xml:space="preserve"> </w:t>
            </w:r>
            <w:r w:rsidRPr="006A09A2">
              <w:rPr>
                <w:b/>
                <w:lang w:val="en-CA" w:eastAsia="en-CA"/>
              </w:rPr>
              <w:t>BPS</w:t>
            </w:r>
          </w:p>
        </w:tc>
      </w:tr>
      <w:tr w:rsidR="00664061" w:rsidRPr="000A349E" w14:paraId="212383F2" w14:textId="77777777" w:rsidTr="006A09A2">
        <w:trPr>
          <w:trHeight w:val="20"/>
        </w:trPr>
        <w:tc>
          <w:tcPr>
            <w:tcW w:w="2560" w:type="dxa"/>
            <w:shd w:val="clear" w:color="auto" w:fill="auto"/>
            <w:noWrap/>
            <w:vAlign w:val="center"/>
            <w:hideMark/>
          </w:tcPr>
          <w:p w14:paraId="3304A34C" w14:textId="77777777" w:rsidR="00664061" w:rsidRPr="000A349E" w:rsidRDefault="00664061" w:rsidP="005611BC">
            <w:pPr>
              <w:pStyle w:val="ExhibitText"/>
              <w:jc w:val="left"/>
              <w:rPr>
                <w:color w:val="000000"/>
                <w:lang w:val="en-CA" w:eastAsia="en-CA"/>
              </w:rPr>
            </w:pPr>
            <w:r w:rsidRPr="000A349E">
              <w:rPr>
                <w:color w:val="000000"/>
                <w:lang w:val="en-CA" w:eastAsia="en-CA"/>
              </w:rPr>
              <w:t xml:space="preserve">CAGR % </w:t>
            </w:r>
          </w:p>
        </w:tc>
        <w:tc>
          <w:tcPr>
            <w:tcW w:w="1482" w:type="dxa"/>
            <w:shd w:val="clear" w:color="auto" w:fill="auto"/>
            <w:noWrap/>
            <w:vAlign w:val="bottom"/>
            <w:hideMark/>
          </w:tcPr>
          <w:p w14:paraId="53F95ECB" w14:textId="77777777" w:rsidR="00664061" w:rsidRPr="000A349E" w:rsidRDefault="00664061" w:rsidP="004507F0">
            <w:pPr>
              <w:pStyle w:val="ExhibitText"/>
              <w:jc w:val="right"/>
              <w:rPr>
                <w:color w:val="000000"/>
                <w:lang w:val="en-CA" w:eastAsia="en-CA"/>
              </w:rPr>
            </w:pPr>
            <w:r w:rsidRPr="000A349E">
              <w:rPr>
                <w:color w:val="000000"/>
                <w:lang w:val="en-CA" w:eastAsia="en-CA"/>
              </w:rPr>
              <w:t>20%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20B676D4" w14:textId="77777777" w:rsidR="00664061" w:rsidRPr="000A349E" w:rsidRDefault="00664061" w:rsidP="004507F0">
            <w:pPr>
              <w:pStyle w:val="ExhibitText"/>
              <w:jc w:val="right"/>
              <w:rPr>
                <w:color w:val="000000"/>
                <w:lang w:val="en-CA" w:eastAsia="en-CA"/>
              </w:rPr>
            </w:pPr>
            <w:r w:rsidRPr="000A349E">
              <w:rPr>
                <w:color w:val="000000"/>
                <w:lang w:val="en-CA" w:eastAsia="en-CA"/>
              </w:rPr>
              <w:t>23%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12F957C5" w14:textId="77777777" w:rsidR="00664061" w:rsidRPr="000A349E" w:rsidRDefault="00664061" w:rsidP="004507F0">
            <w:pPr>
              <w:pStyle w:val="ExhibitText"/>
              <w:jc w:val="right"/>
              <w:rPr>
                <w:color w:val="000000"/>
                <w:lang w:val="en-CA" w:eastAsia="en-CA"/>
              </w:rPr>
            </w:pPr>
            <w:r w:rsidRPr="000A349E">
              <w:rPr>
                <w:color w:val="000000"/>
                <w:lang w:val="en-CA" w:eastAsia="en-CA"/>
              </w:rPr>
              <w:t>30%</w:t>
            </w:r>
          </w:p>
        </w:tc>
        <w:tc>
          <w:tcPr>
            <w:tcW w:w="1045" w:type="dxa"/>
            <w:shd w:val="clear" w:color="auto" w:fill="auto"/>
            <w:noWrap/>
            <w:vAlign w:val="bottom"/>
            <w:hideMark/>
          </w:tcPr>
          <w:p w14:paraId="02A8CF40" w14:textId="77777777" w:rsidR="00664061" w:rsidRPr="000A349E" w:rsidRDefault="00664061" w:rsidP="004507F0">
            <w:pPr>
              <w:pStyle w:val="ExhibitText"/>
              <w:jc w:val="right"/>
              <w:rPr>
                <w:color w:val="000000"/>
                <w:lang w:val="en-CA" w:eastAsia="en-CA"/>
              </w:rPr>
            </w:pPr>
            <w:r w:rsidRPr="000A349E">
              <w:rPr>
                <w:color w:val="000000"/>
                <w:lang w:val="en-CA" w:eastAsia="en-CA"/>
              </w:rPr>
              <w:t>50%</w:t>
            </w:r>
          </w:p>
        </w:tc>
      </w:tr>
    </w:tbl>
    <w:p w14:paraId="6A89AF82" w14:textId="77777777" w:rsidR="00664061" w:rsidRPr="000A349E" w:rsidRDefault="00664061" w:rsidP="00664061">
      <w:pPr>
        <w:pStyle w:val="ExhibitText"/>
        <w:rPr>
          <w:lang w:val="en-CA"/>
        </w:rPr>
      </w:pPr>
    </w:p>
    <w:p w14:paraId="39B313F2" w14:textId="77777777" w:rsidR="00F24B94" w:rsidRPr="000A349E" w:rsidRDefault="00F24B94" w:rsidP="00664061">
      <w:pPr>
        <w:pStyle w:val="Footnote"/>
        <w:rPr>
          <w:lang w:val="en-CA"/>
        </w:rPr>
      </w:pPr>
      <w:r w:rsidRPr="000A349E">
        <w:rPr>
          <w:lang w:val="en-CA"/>
        </w:rPr>
        <w:t xml:space="preserve">Note: CAGR = compound annual growth rate. </w:t>
      </w:r>
    </w:p>
    <w:p w14:paraId="3F1F01D7" w14:textId="2610FA1D" w:rsidR="00664061" w:rsidRPr="000A349E" w:rsidRDefault="00664061" w:rsidP="00664061">
      <w:pPr>
        <w:pStyle w:val="Footnote"/>
        <w:rPr>
          <w:lang w:val="en-CA"/>
        </w:rPr>
      </w:pPr>
      <w:r w:rsidRPr="000A349E">
        <w:rPr>
          <w:lang w:val="en-CA"/>
        </w:rPr>
        <w:t>Source: Organization documents.</w:t>
      </w:r>
    </w:p>
    <w:p w14:paraId="2396795D" w14:textId="77777777" w:rsidR="00664061" w:rsidRPr="000A349E" w:rsidRDefault="00664061" w:rsidP="00664061">
      <w:pPr>
        <w:rPr>
          <w:lang w:val="en-CA"/>
        </w:rPr>
      </w:pPr>
    </w:p>
    <w:p w14:paraId="5EBA999C" w14:textId="77777777" w:rsidR="00664061" w:rsidRPr="000A349E" w:rsidRDefault="00664061" w:rsidP="00664061">
      <w:pPr>
        <w:spacing w:after="160" w:line="259" w:lineRule="auto"/>
        <w:rPr>
          <w:lang w:val="en-CA"/>
        </w:rPr>
      </w:pPr>
      <w:r w:rsidRPr="000A349E">
        <w:rPr>
          <w:lang w:val="en-CA"/>
        </w:rPr>
        <w:br w:type="page"/>
      </w:r>
    </w:p>
    <w:p w14:paraId="6745FD38" w14:textId="2D5E1956" w:rsidR="00B02D49" w:rsidRPr="000A349E" w:rsidRDefault="00B02D49" w:rsidP="00B02D49">
      <w:pPr>
        <w:pStyle w:val="ExhibitHeading"/>
        <w:rPr>
          <w:lang w:val="en-CA"/>
        </w:rPr>
      </w:pPr>
      <w:r w:rsidRPr="000A349E">
        <w:rPr>
          <w:lang w:val="en-CA"/>
        </w:rPr>
        <w:lastRenderedPageBreak/>
        <w:t xml:space="preserve">Exhibit </w:t>
      </w:r>
      <w:r w:rsidR="007E3BBF" w:rsidRPr="000A349E">
        <w:rPr>
          <w:lang w:val="en-CA"/>
        </w:rPr>
        <w:t>3</w:t>
      </w:r>
      <w:r w:rsidRPr="000A349E">
        <w:rPr>
          <w:lang w:val="en-CA"/>
        </w:rPr>
        <w:t xml:space="preserve">: </w:t>
      </w:r>
      <w:r w:rsidRPr="000A349E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0E6E84" wp14:editId="11B29DDD">
                <wp:simplePos x="0" y="0"/>
                <wp:positionH relativeFrom="column">
                  <wp:posOffset>10523220</wp:posOffset>
                </wp:positionH>
                <wp:positionV relativeFrom="paragraph">
                  <wp:posOffset>2217420</wp:posOffset>
                </wp:positionV>
                <wp:extent cx="304053" cy="122093"/>
                <wp:effectExtent l="0" t="0" r="0" b="0"/>
                <wp:wrapNone/>
                <wp:docPr id="12" name="objec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053" cy="122093"/>
                        </a:xfrm>
                        <a:prstGeom prst="rect">
                          <a:avLst/>
                        </a:prstGeom>
                      </wps:spPr>
                      <wps:bodyPr vert="horz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61489E0D" id="_x0000_t202" coordsize="21600,21600" o:spt="202" path="m,l,21600r21600,l21600,xe">
                <v:stroke joinstyle="miter"/>
                <v:path gradientshapeok="t" o:connecttype="rect"/>
              </v:shapetype>
              <v:shape id="object 7" o:spid="_x0000_s1026" type="#_x0000_t202" style="position:absolute;margin-left:828.6pt;margin-top:174.6pt;width:23.95pt;height:9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" filled="f" stroked="f">
                <v:textbox inset="0,0,0,0"/>
              </v:shape>
            </w:pict>
          </mc:Fallback>
        </mc:AlternateContent>
      </w:r>
      <w:r w:rsidRPr="000A349E">
        <w:rPr>
          <w:lang w:val="en-CA"/>
        </w:rPr>
        <w:t>C</w:t>
      </w:r>
      <w:r w:rsidR="00351E42" w:rsidRPr="000A349E">
        <w:rPr>
          <w:lang w:val="en-CA"/>
        </w:rPr>
        <w:t>LIENT</w:t>
      </w:r>
      <w:r w:rsidRPr="000A349E">
        <w:rPr>
          <w:lang w:val="en-CA"/>
        </w:rPr>
        <w:t xml:space="preserve"> Supplier Agreements (CSA</w:t>
      </w:r>
      <w:r w:rsidR="000E286B" w:rsidRPr="000A349E">
        <w:rPr>
          <w:lang w:val="en-CA"/>
        </w:rPr>
        <w:t>s</w:t>
      </w:r>
      <w:r w:rsidRPr="000A349E">
        <w:rPr>
          <w:lang w:val="en-CA"/>
        </w:rPr>
        <w:t>)</w:t>
      </w:r>
    </w:p>
    <w:p w14:paraId="03103366" w14:textId="1CE801DC" w:rsidR="00B02D49" w:rsidRPr="000A349E" w:rsidRDefault="00B02D49" w:rsidP="00B02D49">
      <w:pPr>
        <w:pStyle w:val="ExhibitText"/>
        <w:rPr>
          <w:sz w:val="18"/>
          <w:szCs w:val="18"/>
          <w:lang w:val="en-CA"/>
        </w:rPr>
      </w:pPr>
      <w:r w:rsidRPr="000A349E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5EEDF2" wp14:editId="62FF282F">
                <wp:simplePos x="0" y="0"/>
                <wp:positionH relativeFrom="column">
                  <wp:posOffset>2371394</wp:posOffset>
                </wp:positionH>
                <wp:positionV relativeFrom="paragraph">
                  <wp:posOffset>5588</wp:posOffset>
                </wp:positionV>
                <wp:extent cx="1146810" cy="244475"/>
                <wp:effectExtent l="0" t="0" r="0" b="0"/>
                <wp:wrapNone/>
                <wp:docPr id="23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810" cy="244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39E670A" w14:textId="77777777" w:rsidR="00313C2A" w:rsidRPr="00B02D49" w:rsidRDefault="00313C2A" w:rsidP="008D604C">
                            <w:pPr>
                              <w:pStyle w:val="ExhibitText"/>
                              <w:jc w:val="center"/>
                              <w:rPr>
                                <w:b/>
                              </w:rPr>
                            </w:pPr>
                            <w:r w:rsidRPr="00B02D49">
                              <w:rPr>
                                <w:b/>
                              </w:rPr>
                              <w:t>Total by Sector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5EEDF2" id="Rectangle 22" o:spid="_x0000_s1026" style="position:absolute;left:0;text-align:left;margin-left:186.7pt;margin-top:.45pt;width:90.3pt;height:19.2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" filled="f" stroked="f">
                <v:textbox style="mso-fit-shape-to-text:t">
                  <w:txbxContent>
                    <w:p w14:paraId="139E670A" w14:textId="77777777" w:rsidR="00313C2A" w:rsidRPr="00B02D49" w:rsidRDefault="00313C2A" w:rsidP="008D604C">
                      <w:pPr>
                        <w:pStyle w:val="ExhibitText"/>
                        <w:jc w:val="center"/>
                        <w:rPr>
                          <w:b/>
                        </w:rPr>
                      </w:pPr>
                      <w:r w:rsidRPr="00B02D49">
                        <w:rPr>
                          <w:b/>
                        </w:rPr>
                        <w:t>Total by Sector</w:t>
                      </w:r>
                    </w:p>
                  </w:txbxContent>
                </v:textbox>
              </v:rect>
            </w:pict>
          </mc:Fallback>
        </mc:AlternateContent>
      </w:r>
    </w:p>
    <w:p w14:paraId="1F9092AB" w14:textId="77777777" w:rsidR="00B02D49" w:rsidRPr="000A349E" w:rsidRDefault="00B02D49" w:rsidP="00B02D49">
      <w:pPr>
        <w:rPr>
          <w:sz w:val="18"/>
          <w:szCs w:val="18"/>
          <w:lang w:val="en-CA"/>
        </w:rPr>
      </w:pPr>
    </w:p>
    <w:tbl>
      <w:tblPr>
        <w:tblW w:w="48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5"/>
        <w:gridCol w:w="1620"/>
        <w:gridCol w:w="1600"/>
      </w:tblGrid>
      <w:tr w:rsidR="00B02D49" w:rsidRPr="000A349E" w14:paraId="789655B2" w14:textId="77777777" w:rsidTr="004507F0">
        <w:trPr>
          <w:trHeight w:val="20"/>
          <w:jc w:val="center"/>
        </w:trPr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08576FF6" w14:textId="587D8C3B" w:rsidR="00B02D49" w:rsidRPr="000A349E" w:rsidRDefault="00B02D49" w:rsidP="00B02D49">
            <w:pPr>
              <w:pStyle w:val="ExhibitText"/>
              <w:jc w:val="center"/>
              <w:rPr>
                <w:lang w:val="en-CA" w:eastAsia="en-CA"/>
              </w:rPr>
            </w:pP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1D6EDF93" w14:textId="019A3C9B" w:rsidR="00B02D49" w:rsidRPr="000A349E" w:rsidRDefault="00B02D49" w:rsidP="00B02D49">
            <w:pPr>
              <w:pStyle w:val="ExhibitText"/>
              <w:jc w:val="center"/>
              <w:rPr>
                <w:b/>
                <w:lang w:val="en-CA" w:eastAsia="en-CA"/>
              </w:rPr>
            </w:pPr>
            <w:r w:rsidRPr="000A349E">
              <w:rPr>
                <w:b/>
                <w:lang w:val="en-CA" w:eastAsia="en-CA"/>
              </w:rPr>
              <w:t>Dec</w:t>
            </w:r>
            <w:r w:rsidR="009145A0" w:rsidRPr="000A349E">
              <w:rPr>
                <w:b/>
                <w:lang w:val="en-CA" w:eastAsia="en-CA"/>
              </w:rPr>
              <w:t>.</w:t>
            </w:r>
            <w:r w:rsidRPr="000A349E">
              <w:rPr>
                <w:b/>
                <w:lang w:val="en-CA" w:eastAsia="en-CA"/>
              </w:rPr>
              <w:t xml:space="preserve"> 31</w:t>
            </w:r>
            <w:r w:rsidR="009145A0" w:rsidRPr="000A349E">
              <w:rPr>
                <w:b/>
                <w:lang w:val="en-CA" w:eastAsia="en-CA"/>
              </w:rPr>
              <w:t>,</w:t>
            </w:r>
            <w:r w:rsidRPr="000A349E">
              <w:rPr>
                <w:b/>
                <w:lang w:val="en-CA" w:eastAsia="en-CA"/>
              </w:rPr>
              <w:t xml:space="preserve"> 2016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4183CE83" w14:textId="30948827" w:rsidR="00B02D49" w:rsidRPr="000A349E" w:rsidRDefault="00B02D49" w:rsidP="00B02D49">
            <w:pPr>
              <w:pStyle w:val="ExhibitText"/>
              <w:jc w:val="center"/>
              <w:rPr>
                <w:b/>
                <w:lang w:val="en-CA" w:eastAsia="en-CA"/>
              </w:rPr>
            </w:pPr>
            <w:r w:rsidRPr="000A349E">
              <w:rPr>
                <w:b/>
                <w:lang w:val="en-CA" w:eastAsia="en-CA"/>
              </w:rPr>
              <w:t>Dec</w:t>
            </w:r>
            <w:r w:rsidR="009145A0" w:rsidRPr="000A349E">
              <w:rPr>
                <w:b/>
                <w:lang w:val="en-CA" w:eastAsia="en-CA"/>
              </w:rPr>
              <w:t>.</w:t>
            </w:r>
            <w:r w:rsidRPr="000A349E">
              <w:rPr>
                <w:b/>
                <w:lang w:val="en-CA" w:eastAsia="en-CA"/>
              </w:rPr>
              <w:t xml:space="preserve"> 31</w:t>
            </w:r>
            <w:r w:rsidR="009145A0" w:rsidRPr="000A349E">
              <w:rPr>
                <w:b/>
                <w:lang w:val="en-CA" w:eastAsia="en-CA"/>
              </w:rPr>
              <w:t>,</w:t>
            </w:r>
            <w:r w:rsidRPr="000A349E">
              <w:rPr>
                <w:b/>
                <w:lang w:val="en-CA" w:eastAsia="en-CA"/>
              </w:rPr>
              <w:t xml:space="preserve"> 2017</w:t>
            </w:r>
          </w:p>
        </w:tc>
      </w:tr>
      <w:tr w:rsidR="00B02D49" w:rsidRPr="000A349E" w14:paraId="2AA66994" w14:textId="77777777" w:rsidTr="004507F0">
        <w:trPr>
          <w:trHeight w:val="20"/>
          <w:jc w:val="center"/>
        </w:trPr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3A629343" w14:textId="77777777" w:rsidR="00B02D49" w:rsidRPr="000A349E" w:rsidRDefault="00B02D49" w:rsidP="00B02D49">
            <w:pPr>
              <w:pStyle w:val="ExhibitText"/>
              <w:jc w:val="left"/>
              <w:rPr>
                <w:color w:val="000000"/>
                <w:lang w:val="en-CA" w:eastAsia="en-CA"/>
              </w:rPr>
            </w:pPr>
            <w:r w:rsidRPr="000A349E">
              <w:rPr>
                <w:color w:val="000000"/>
                <w:lang w:val="en-CA" w:eastAsia="en-CA"/>
              </w:rPr>
              <w:t>Universities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72B84615" w14:textId="77777777" w:rsidR="00B02D49" w:rsidRPr="000A349E" w:rsidRDefault="00B02D49" w:rsidP="004507F0">
            <w:pPr>
              <w:pStyle w:val="ExhibitText"/>
              <w:jc w:val="right"/>
              <w:rPr>
                <w:color w:val="000000"/>
                <w:lang w:val="en-CA" w:eastAsia="en-CA"/>
              </w:rPr>
            </w:pPr>
            <w:r w:rsidRPr="000A349E">
              <w:rPr>
                <w:color w:val="000000"/>
                <w:lang w:val="en-CA" w:eastAsia="en-CA"/>
              </w:rPr>
              <w:t>273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22657E2E" w14:textId="77777777" w:rsidR="00B02D49" w:rsidRPr="000A349E" w:rsidRDefault="00B02D49" w:rsidP="004507F0">
            <w:pPr>
              <w:pStyle w:val="ExhibitText"/>
              <w:jc w:val="right"/>
              <w:rPr>
                <w:color w:val="000000"/>
                <w:lang w:val="en-CA" w:eastAsia="en-CA"/>
              </w:rPr>
            </w:pPr>
            <w:r w:rsidRPr="000A349E">
              <w:rPr>
                <w:color w:val="000000"/>
                <w:lang w:val="en-CA" w:eastAsia="en-CA"/>
              </w:rPr>
              <w:t>313</w:t>
            </w:r>
          </w:p>
        </w:tc>
      </w:tr>
      <w:tr w:rsidR="00B02D49" w:rsidRPr="000A349E" w14:paraId="2F8C63F9" w14:textId="77777777" w:rsidTr="004507F0">
        <w:trPr>
          <w:trHeight w:val="20"/>
          <w:jc w:val="center"/>
        </w:trPr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4D2D1574" w14:textId="63799A4F" w:rsidR="00B02D49" w:rsidRPr="000A349E" w:rsidRDefault="00B02D49" w:rsidP="00B02D49">
            <w:pPr>
              <w:pStyle w:val="ExhibitText"/>
              <w:jc w:val="left"/>
              <w:rPr>
                <w:color w:val="000000"/>
                <w:lang w:val="en-CA" w:eastAsia="en-CA"/>
              </w:rPr>
            </w:pPr>
            <w:r w:rsidRPr="000A349E">
              <w:rPr>
                <w:color w:val="000000"/>
                <w:lang w:val="en-CA" w:eastAsia="en-CA"/>
              </w:rPr>
              <w:t>Colleges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559CCFF1" w14:textId="77777777" w:rsidR="00B02D49" w:rsidRPr="000A349E" w:rsidRDefault="00B02D49" w:rsidP="004507F0">
            <w:pPr>
              <w:pStyle w:val="ExhibitText"/>
              <w:jc w:val="right"/>
              <w:rPr>
                <w:color w:val="000000"/>
                <w:lang w:val="en-CA" w:eastAsia="en-CA"/>
              </w:rPr>
            </w:pPr>
            <w:r w:rsidRPr="000A349E">
              <w:rPr>
                <w:color w:val="000000"/>
                <w:lang w:val="en-CA" w:eastAsia="en-CA"/>
              </w:rPr>
              <w:t>335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7BE2315B" w14:textId="77777777" w:rsidR="00B02D49" w:rsidRPr="000A349E" w:rsidRDefault="00B02D49" w:rsidP="004507F0">
            <w:pPr>
              <w:pStyle w:val="ExhibitText"/>
              <w:jc w:val="right"/>
              <w:rPr>
                <w:color w:val="000000"/>
                <w:lang w:val="en-CA" w:eastAsia="en-CA"/>
              </w:rPr>
            </w:pPr>
            <w:r w:rsidRPr="000A349E">
              <w:rPr>
                <w:color w:val="000000"/>
                <w:lang w:val="en-CA" w:eastAsia="en-CA"/>
              </w:rPr>
              <w:t>375</w:t>
            </w:r>
          </w:p>
        </w:tc>
      </w:tr>
      <w:tr w:rsidR="00B02D49" w:rsidRPr="000A349E" w14:paraId="29494216" w14:textId="77777777" w:rsidTr="004507F0">
        <w:trPr>
          <w:trHeight w:val="20"/>
          <w:jc w:val="center"/>
        </w:trPr>
        <w:tc>
          <w:tcPr>
            <w:tcW w:w="1615" w:type="dxa"/>
            <w:shd w:val="clear" w:color="auto" w:fill="auto"/>
            <w:noWrap/>
            <w:vAlign w:val="center"/>
          </w:tcPr>
          <w:p w14:paraId="37E4214C" w14:textId="77777777" w:rsidR="00B02D49" w:rsidRPr="000A349E" w:rsidDel="00BE7A71" w:rsidRDefault="00B02D49" w:rsidP="00B02D49">
            <w:pPr>
              <w:pStyle w:val="ExhibitText"/>
              <w:jc w:val="left"/>
              <w:rPr>
                <w:color w:val="000000"/>
                <w:lang w:val="en-CA" w:eastAsia="en-CA"/>
              </w:rPr>
            </w:pPr>
            <w:r w:rsidRPr="000A349E">
              <w:rPr>
                <w:color w:val="000000"/>
                <w:lang w:val="en-CA" w:eastAsia="en-CA"/>
              </w:rPr>
              <w:t>School Boards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45DE3248" w14:textId="77777777" w:rsidR="00B02D49" w:rsidRPr="000A349E" w:rsidRDefault="00B02D49" w:rsidP="004507F0">
            <w:pPr>
              <w:pStyle w:val="ExhibitText"/>
              <w:jc w:val="right"/>
              <w:rPr>
                <w:color w:val="000000"/>
                <w:lang w:val="en-CA" w:eastAsia="en-CA"/>
              </w:rPr>
            </w:pPr>
            <w:r w:rsidRPr="000A349E">
              <w:rPr>
                <w:color w:val="000000"/>
                <w:lang w:val="en-CA" w:eastAsia="en-CA"/>
              </w:rPr>
              <w:t>681</w:t>
            </w:r>
          </w:p>
        </w:tc>
        <w:tc>
          <w:tcPr>
            <w:tcW w:w="1600" w:type="dxa"/>
            <w:shd w:val="clear" w:color="auto" w:fill="auto"/>
            <w:noWrap/>
            <w:vAlign w:val="center"/>
          </w:tcPr>
          <w:p w14:paraId="783BCD8B" w14:textId="77777777" w:rsidR="00B02D49" w:rsidRPr="000A349E" w:rsidRDefault="00B02D49" w:rsidP="004507F0">
            <w:pPr>
              <w:pStyle w:val="ExhibitText"/>
              <w:jc w:val="right"/>
              <w:rPr>
                <w:color w:val="000000"/>
                <w:lang w:val="en-CA" w:eastAsia="en-CA"/>
              </w:rPr>
            </w:pPr>
            <w:r w:rsidRPr="000A349E">
              <w:rPr>
                <w:color w:val="000000"/>
                <w:lang w:val="en-CA" w:eastAsia="en-CA"/>
              </w:rPr>
              <w:t>871</w:t>
            </w:r>
          </w:p>
        </w:tc>
      </w:tr>
      <w:tr w:rsidR="00B02D49" w:rsidRPr="000A349E" w14:paraId="27F31C62" w14:textId="77777777" w:rsidTr="004507F0">
        <w:trPr>
          <w:trHeight w:val="20"/>
          <w:jc w:val="center"/>
        </w:trPr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7A7911BE" w14:textId="77777777" w:rsidR="00B02D49" w:rsidRPr="000A349E" w:rsidRDefault="00B02D49" w:rsidP="00B02D49">
            <w:pPr>
              <w:pStyle w:val="ExhibitText"/>
              <w:jc w:val="left"/>
              <w:rPr>
                <w:color w:val="000000"/>
                <w:lang w:val="en-CA" w:eastAsia="en-CA"/>
              </w:rPr>
            </w:pPr>
            <w:r w:rsidRPr="000A349E">
              <w:rPr>
                <w:color w:val="000000"/>
                <w:lang w:val="en-CA" w:eastAsia="en-CA"/>
              </w:rPr>
              <w:t>BPS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11AA985E" w14:textId="77777777" w:rsidR="00B02D49" w:rsidRPr="000A349E" w:rsidRDefault="00B02D49" w:rsidP="004507F0">
            <w:pPr>
              <w:pStyle w:val="ExhibitText"/>
              <w:jc w:val="right"/>
              <w:rPr>
                <w:color w:val="000000"/>
                <w:lang w:val="en-CA" w:eastAsia="en-CA"/>
              </w:rPr>
            </w:pPr>
            <w:r w:rsidRPr="000A349E">
              <w:rPr>
                <w:color w:val="000000"/>
                <w:lang w:val="en-CA" w:eastAsia="en-CA"/>
              </w:rPr>
              <w:t>598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58A408D1" w14:textId="77777777" w:rsidR="00B02D49" w:rsidRPr="000A349E" w:rsidRDefault="00B02D49" w:rsidP="004507F0">
            <w:pPr>
              <w:pStyle w:val="ExhibitText"/>
              <w:jc w:val="right"/>
              <w:rPr>
                <w:color w:val="000000"/>
                <w:lang w:val="en-CA" w:eastAsia="en-CA"/>
              </w:rPr>
            </w:pPr>
            <w:r w:rsidRPr="000A349E">
              <w:rPr>
                <w:color w:val="000000"/>
                <w:lang w:val="en-CA" w:eastAsia="en-CA"/>
              </w:rPr>
              <w:t>749</w:t>
            </w:r>
          </w:p>
        </w:tc>
      </w:tr>
      <w:tr w:rsidR="00B02D49" w:rsidRPr="000A349E" w14:paraId="3F7C0D26" w14:textId="77777777" w:rsidTr="004507F0">
        <w:trPr>
          <w:trHeight w:val="20"/>
          <w:jc w:val="center"/>
        </w:trPr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3494A901" w14:textId="77777777" w:rsidR="00B02D49" w:rsidRPr="000A349E" w:rsidRDefault="00B02D49" w:rsidP="00B02D49">
            <w:pPr>
              <w:pStyle w:val="ExhibitText"/>
              <w:jc w:val="left"/>
              <w:rPr>
                <w:color w:val="000000"/>
                <w:lang w:val="en-CA" w:eastAsia="en-CA"/>
              </w:rPr>
            </w:pPr>
            <w:r w:rsidRPr="000A349E">
              <w:rPr>
                <w:color w:val="000000"/>
                <w:lang w:val="en-CA" w:eastAsia="en-CA"/>
              </w:rPr>
              <w:t>Total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46245731" w14:textId="50CEE955" w:rsidR="00B02D49" w:rsidRPr="000A349E" w:rsidRDefault="00B02D49" w:rsidP="004507F0">
            <w:pPr>
              <w:pStyle w:val="ExhibitText"/>
              <w:jc w:val="right"/>
              <w:rPr>
                <w:color w:val="000000"/>
                <w:lang w:val="en-CA" w:eastAsia="en-CA"/>
              </w:rPr>
            </w:pPr>
            <w:r w:rsidRPr="000A349E">
              <w:rPr>
                <w:color w:val="000000"/>
                <w:lang w:val="en-CA" w:eastAsia="en-CA"/>
              </w:rPr>
              <w:t>1</w:t>
            </w:r>
            <w:r w:rsidR="009145A0" w:rsidRPr="000A349E">
              <w:rPr>
                <w:color w:val="000000"/>
                <w:lang w:val="en-CA" w:eastAsia="en-CA"/>
              </w:rPr>
              <w:t>,</w:t>
            </w:r>
            <w:r w:rsidRPr="000A349E">
              <w:rPr>
                <w:color w:val="000000"/>
                <w:lang w:val="en-CA" w:eastAsia="en-CA"/>
              </w:rPr>
              <w:t>887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7B31C5BE" w14:textId="2CDA422A" w:rsidR="00B02D49" w:rsidRPr="000A349E" w:rsidRDefault="00B02D49" w:rsidP="004507F0">
            <w:pPr>
              <w:pStyle w:val="ExhibitText"/>
              <w:jc w:val="right"/>
              <w:rPr>
                <w:color w:val="000000"/>
                <w:lang w:val="en-CA" w:eastAsia="en-CA"/>
              </w:rPr>
            </w:pPr>
            <w:r w:rsidRPr="000A349E">
              <w:rPr>
                <w:color w:val="000000"/>
                <w:lang w:val="en-CA" w:eastAsia="en-CA"/>
              </w:rPr>
              <w:t>2</w:t>
            </w:r>
            <w:r w:rsidR="009145A0" w:rsidRPr="000A349E">
              <w:rPr>
                <w:color w:val="000000"/>
                <w:lang w:val="en-CA" w:eastAsia="en-CA"/>
              </w:rPr>
              <w:t>,</w:t>
            </w:r>
            <w:r w:rsidRPr="000A349E">
              <w:rPr>
                <w:color w:val="000000"/>
                <w:lang w:val="en-CA" w:eastAsia="en-CA"/>
              </w:rPr>
              <w:t>308</w:t>
            </w:r>
          </w:p>
        </w:tc>
      </w:tr>
    </w:tbl>
    <w:p w14:paraId="4C290865" w14:textId="77777777" w:rsidR="009145A0" w:rsidRPr="000A349E" w:rsidRDefault="009145A0" w:rsidP="00B02D49">
      <w:pPr>
        <w:pStyle w:val="ExhibitText"/>
        <w:rPr>
          <w:lang w:val="en-CA"/>
        </w:rPr>
      </w:pPr>
    </w:p>
    <w:p w14:paraId="15113FDA" w14:textId="77777777" w:rsidR="00B02D49" w:rsidRPr="000A349E" w:rsidRDefault="00B02D49" w:rsidP="00B02D49">
      <w:pPr>
        <w:pStyle w:val="ExhibitText"/>
        <w:rPr>
          <w:lang w:val="en-CA"/>
        </w:rPr>
      </w:pPr>
      <w:r w:rsidRPr="000A349E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B72AFD" wp14:editId="47E190B3">
                <wp:simplePos x="0" y="0"/>
                <wp:positionH relativeFrom="column">
                  <wp:posOffset>2318918</wp:posOffset>
                </wp:positionH>
                <wp:positionV relativeFrom="paragraph">
                  <wp:posOffset>30048</wp:posOffset>
                </wp:positionV>
                <wp:extent cx="1419225" cy="244475"/>
                <wp:effectExtent l="0" t="0" r="0" b="0"/>
                <wp:wrapNone/>
                <wp:docPr id="25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244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E26DEFB" w14:textId="77777777" w:rsidR="00313C2A" w:rsidRPr="00B02D49" w:rsidRDefault="00313C2A" w:rsidP="00B02D49">
                            <w:pPr>
                              <w:pStyle w:val="ExhibitText"/>
                              <w:rPr>
                                <w:b/>
                              </w:rPr>
                            </w:pPr>
                            <w:r w:rsidRPr="00B02D49">
                              <w:rPr>
                                <w:b/>
                              </w:rPr>
                              <w:t>Sorted by Category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0B72AFD" id="Rectangle 24" o:spid="_x0000_s1027" style="position:absolute;left:0;text-align:left;margin-left:182.6pt;margin-top:2.35pt;width:111.75pt;height:19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" filled="f" stroked="f">
                <v:textbox style="mso-fit-shape-to-text:t">
                  <w:txbxContent>
                    <w:p w14:paraId="3E26DEFB" w14:textId="77777777" w:rsidR="00313C2A" w:rsidRPr="00B02D49" w:rsidRDefault="00313C2A" w:rsidP="00B02D49">
                      <w:pPr>
                        <w:pStyle w:val="ExhibitText"/>
                        <w:rPr>
                          <w:b/>
                        </w:rPr>
                      </w:pPr>
                      <w:r w:rsidRPr="00B02D49">
                        <w:rPr>
                          <w:b/>
                        </w:rPr>
                        <w:t>Sorted by Category</w:t>
                      </w:r>
                    </w:p>
                  </w:txbxContent>
                </v:textbox>
              </v:rect>
            </w:pict>
          </mc:Fallback>
        </mc:AlternateContent>
      </w:r>
    </w:p>
    <w:p w14:paraId="51CB47E4" w14:textId="77777777" w:rsidR="00B02D49" w:rsidRPr="000A349E" w:rsidRDefault="00B02D49" w:rsidP="00B02D49">
      <w:pPr>
        <w:rPr>
          <w:lang w:val="en-CA"/>
        </w:rPr>
      </w:pPr>
    </w:p>
    <w:tbl>
      <w:tblPr>
        <w:tblW w:w="74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65"/>
        <w:gridCol w:w="1820"/>
        <w:gridCol w:w="1820"/>
      </w:tblGrid>
      <w:tr w:rsidR="00B02D49" w:rsidRPr="000A349E" w14:paraId="0056F3C0" w14:textId="77777777" w:rsidTr="006A09A2">
        <w:trPr>
          <w:trHeight w:val="20"/>
          <w:jc w:val="center"/>
        </w:trPr>
        <w:tc>
          <w:tcPr>
            <w:tcW w:w="3765" w:type="dxa"/>
            <w:shd w:val="clear" w:color="auto" w:fill="auto"/>
            <w:noWrap/>
            <w:vAlign w:val="center"/>
            <w:hideMark/>
          </w:tcPr>
          <w:p w14:paraId="7E91CA6B" w14:textId="77777777" w:rsidR="00B02D49" w:rsidRPr="000A349E" w:rsidRDefault="00B02D49" w:rsidP="00B02D49">
            <w:pPr>
              <w:pStyle w:val="ExhibitText"/>
              <w:jc w:val="left"/>
              <w:rPr>
                <w:b/>
                <w:lang w:val="en-CA" w:eastAsia="en-CA"/>
              </w:rPr>
            </w:pPr>
            <w:r w:rsidRPr="000A349E">
              <w:rPr>
                <w:b/>
                <w:lang w:val="en-CA" w:eastAsia="en-CA"/>
              </w:rPr>
              <w:t>Category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14:paraId="3A0F6DD9" w14:textId="296317A2" w:rsidR="00B02D49" w:rsidRPr="000A349E" w:rsidRDefault="00B02D49" w:rsidP="00B02D49">
            <w:pPr>
              <w:pStyle w:val="ExhibitText"/>
              <w:jc w:val="center"/>
              <w:rPr>
                <w:b/>
                <w:lang w:val="en-CA" w:eastAsia="en-CA"/>
              </w:rPr>
            </w:pPr>
            <w:r w:rsidRPr="000A349E">
              <w:rPr>
                <w:b/>
                <w:lang w:val="en-CA" w:eastAsia="en-CA"/>
              </w:rPr>
              <w:t>Dec</w:t>
            </w:r>
            <w:r w:rsidR="009145A0" w:rsidRPr="000A349E">
              <w:rPr>
                <w:b/>
                <w:lang w:val="en-CA" w:eastAsia="en-CA"/>
              </w:rPr>
              <w:t>.</w:t>
            </w:r>
            <w:r w:rsidRPr="000A349E">
              <w:rPr>
                <w:b/>
                <w:lang w:val="en-CA" w:eastAsia="en-CA"/>
              </w:rPr>
              <w:t xml:space="preserve"> 31</w:t>
            </w:r>
            <w:r w:rsidR="009145A0" w:rsidRPr="000A349E">
              <w:rPr>
                <w:b/>
                <w:lang w:val="en-CA" w:eastAsia="en-CA"/>
              </w:rPr>
              <w:t>,</w:t>
            </w:r>
            <w:r w:rsidRPr="000A349E">
              <w:rPr>
                <w:b/>
                <w:lang w:val="en-CA" w:eastAsia="en-CA"/>
              </w:rPr>
              <w:t xml:space="preserve"> 2016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14:paraId="7CF5E4C9" w14:textId="48AAD84D" w:rsidR="00B02D49" w:rsidRPr="000A349E" w:rsidRDefault="00B02D49" w:rsidP="00B02D49">
            <w:pPr>
              <w:pStyle w:val="ExhibitText"/>
              <w:jc w:val="center"/>
              <w:rPr>
                <w:b/>
                <w:lang w:val="en-CA" w:eastAsia="en-CA"/>
              </w:rPr>
            </w:pPr>
            <w:r w:rsidRPr="000A349E">
              <w:rPr>
                <w:b/>
                <w:lang w:val="en-CA" w:eastAsia="en-CA"/>
              </w:rPr>
              <w:t>Dec</w:t>
            </w:r>
            <w:r w:rsidR="009145A0" w:rsidRPr="000A349E">
              <w:rPr>
                <w:b/>
                <w:lang w:val="en-CA" w:eastAsia="en-CA"/>
              </w:rPr>
              <w:t>.</w:t>
            </w:r>
            <w:r w:rsidRPr="000A349E">
              <w:rPr>
                <w:b/>
                <w:lang w:val="en-CA" w:eastAsia="en-CA"/>
              </w:rPr>
              <w:t xml:space="preserve"> 31</w:t>
            </w:r>
            <w:r w:rsidR="009145A0" w:rsidRPr="000A349E">
              <w:rPr>
                <w:b/>
                <w:lang w:val="en-CA" w:eastAsia="en-CA"/>
              </w:rPr>
              <w:t>,</w:t>
            </w:r>
            <w:r w:rsidRPr="000A349E">
              <w:rPr>
                <w:b/>
                <w:lang w:val="en-CA" w:eastAsia="en-CA"/>
              </w:rPr>
              <w:t xml:space="preserve"> 2017</w:t>
            </w:r>
          </w:p>
        </w:tc>
      </w:tr>
      <w:tr w:rsidR="00B02D49" w:rsidRPr="000A349E" w14:paraId="75F33A63" w14:textId="77777777" w:rsidTr="006A09A2">
        <w:trPr>
          <w:trHeight w:val="20"/>
          <w:jc w:val="center"/>
        </w:trPr>
        <w:tc>
          <w:tcPr>
            <w:tcW w:w="3765" w:type="dxa"/>
            <w:shd w:val="clear" w:color="auto" w:fill="auto"/>
            <w:noWrap/>
            <w:vAlign w:val="center"/>
            <w:hideMark/>
          </w:tcPr>
          <w:p w14:paraId="22D1C2A0" w14:textId="77777777" w:rsidR="00B02D49" w:rsidRPr="000A349E" w:rsidRDefault="00B02D49" w:rsidP="00B02D49">
            <w:pPr>
              <w:pStyle w:val="ExhibitText"/>
              <w:jc w:val="left"/>
              <w:rPr>
                <w:color w:val="000000"/>
                <w:lang w:val="en-CA" w:eastAsia="en-CA"/>
              </w:rPr>
            </w:pPr>
            <w:r w:rsidRPr="000A349E">
              <w:rPr>
                <w:color w:val="000000"/>
                <w:lang w:val="en-CA" w:eastAsia="en-CA"/>
              </w:rPr>
              <w:t>Educational/Recreational Supplies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14:paraId="64243E9A" w14:textId="77777777" w:rsidR="00B02D49" w:rsidRPr="000A349E" w:rsidRDefault="00B02D49" w:rsidP="004507F0">
            <w:pPr>
              <w:pStyle w:val="ExhibitText"/>
              <w:jc w:val="right"/>
              <w:rPr>
                <w:color w:val="000000"/>
                <w:lang w:val="en-CA" w:eastAsia="en-CA"/>
              </w:rPr>
            </w:pPr>
            <w:r w:rsidRPr="000A349E">
              <w:rPr>
                <w:color w:val="000000"/>
                <w:lang w:val="en-CA" w:eastAsia="en-CA"/>
              </w:rPr>
              <w:t>117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14:paraId="5D82974D" w14:textId="77777777" w:rsidR="00B02D49" w:rsidRPr="000A349E" w:rsidRDefault="00B02D49" w:rsidP="004507F0">
            <w:pPr>
              <w:pStyle w:val="ExhibitText"/>
              <w:jc w:val="right"/>
              <w:rPr>
                <w:color w:val="000000"/>
                <w:lang w:val="en-CA" w:eastAsia="en-CA"/>
              </w:rPr>
            </w:pPr>
            <w:r w:rsidRPr="000A349E">
              <w:rPr>
                <w:color w:val="000000"/>
                <w:lang w:val="en-CA" w:eastAsia="en-CA"/>
              </w:rPr>
              <w:t>153</w:t>
            </w:r>
          </w:p>
        </w:tc>
      </w:tr>
      <w:tr w:rsidR="00B02D49" w:rsidRPr="000A349E" w14:paraId="73650DA1" w14:textId="77777777" w:rsidTr="006A09A2">
        <w:trPr>
          <w:trHeight w:val="20"/>
          <w:jc w:val="center"/>
        </w:trPr>
        <w:tc>
          <w:tcPr>
            <w:tcW w:w="3765" w:type="dxa"/>
            <w:shd w:val="clear" w:color="auto" w:fill="auto"/>
            <w:noWrap/>
            <w:vAlign w:val="center"/>
            <w:hideMark/>
          </w:tcPr>
          <w:p w14:paraId="0F13EADE" w14:textId="77777777" w:rsidR="00B02D49" w:rsidRPr="000A349E" w:rsidRDefault="00B02D49" w:rsidP="00B02D49">
            <w:pPr>
              <w:pStyle w:val="ExhibitText"/>
              <w:jc w:val="left"/>
              <w:rPr>
                <w:color w:val="000000"/>
                <w:lang w:val="en-CA" w:eastAsia="en-CA"/>
              </w:rPr>
            </w:pPr>
            <w:r w:rsidRPr="000A349E">
              <w:rPr>
                <w:color w:val="000000"/>
                <w:lang w:val="en-CA" w:eastAsia="en-CA"/>
              </w:rPr>
              <w:t>Facilities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14:paraId="0A2606B7" w14:textId="77777777" w:rsidR="00B02D49" w:rsidRPr="000A349E" w:rsidRDefault="00B02D49" w:rsidP="004507F0">
            <w:pPr>
              <w:pStyle w:val="ExhibitText"/>
              <w:jc w:val="right"/>
              <w:rPr>
                <w:color w:val="000000"/>
                <w:lang w:val="en-CA" w:eastAsia="en-CA"/>
              </w:rPr>
            </w:pPr>
            <w:r w:rsidRPr="000A349E">
              <w:rPr>
                <w:color w:val="000000"/>
                <w:lang w:val="en-CA" w:eastAsia="en-CA"/>
              </w:rPr>
              <w:t>198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14:paraId="6FDC5991" w14:textId="77777777" w:rsidR="00B02D49" w:rsidRPr="000A349E" w:rsidRDefault="00B02D49" w:rsidP="004507F0">
            <w:pPr>
              <w:pStyle w:val="ExhibitText"/>
              <w:jc w:val="right"/>
              <w:rPr>
                <w:color w:val="000000"/>
                <w:lang w:val="en-CA" w:eastAsia="en-CA"/>
              </w:rPr>
            </w:pPr>
            <w:r w:rsidRPr="000A349E">
              <w:rPr>
                <w:color w:val="000000"/>
                <w:lang w:val="en-CA" w:eastAsia="en-CA"/>
              </w:rPr>
              <w:t>298</w:t>
            </w:r>
          </w:p>
        </w:tc>
      </w:tr>
      <w:tr w:rsidR="00B02D49" w:rsidRPr="000A349E" w14:paraId="2E93496A" w14:textId="77777777" w:rsidTr="006A09A2">
        <w:trPr>
          <w:trHeight w:val="20"/>
          <w:jc w:val="center"/>
        </w:trPr>
        <w:tc>
          <w:tcPr>
            <w:tcW w:w="3765" w:type="dxa"/>
            <w:shd w:val="clear" w:color="auto" w:fill="auto"/>
            <w:noWrap/>
            <w:vAlign w:val="center"/>
            <w:hideMark/>
          </w:tcPr>
          <w:p w14:paraId="06C8C05E" w14:textId="77777777" w:rsidR="00B02D49" w:rsidRPr="000A349E" w:rsidRDefault="00B02D49" w:rsidP="00B02D49">
            <w:pPr>
              <w:pStyle w:val="ExhibitText"/>
              <w:jc w:val="left"/>
              <w:rPr>
                <w:color w:val="000000"/>
                <w:lang w:val="en-CA" w:eastAsia="en-CA"/>
              </w:rPr>
            </w:pPr>
            <w:r w:rsidRPr="000A349E">
              <w:rPr>
                <w:color w:val="000000"/>
                <w:lang w:val="en-CA" w:eastAsia="en-CA"/>
              </w:rPr>
              <w:t>Financial Services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14:paraId="5E8898C2" w14:textId="77777777" w:rsidR="00B02D49" w:rsidRPr="000A349E" w:rsidRDefault="00B02D49" w:rsidP="004507F0">
            <w:pPr>
              <w:pStyle w:val="ExhibitText"/>
              <w:jc w:val="right"/>
              <w:rPr>
                <w:color w:val="000000"/>
                <w:lang w:val="en-CA" w:eastAsia="en-CA"/>
              </w:rPr>
            </w:pPr>
            <w:r w:rsidRPr="000A349E">
              <w:rPr>
                <w:color w:val="000000"/>
                <w:lang w:val="en-CA" w:eastAsia="en-CA"/>
              </w:rPr>
              <w:t>110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14:paraId="395936AC" w14:textId="77777777" w:rsidR="00B02D49" w:rsidRPr="000A349E" w:rsidRDefault="00B02D49" w:rsidP="004507F0">
            <w:pPr>
              <w:pStyle w:val="ExhibitText"/>
              <w:jc w:val="right"/>
              <w:rPr>
                <w:color w:val="000000"/>
                <w:lang w:val="en-CA" w:eastAsia="en-CA"/>
              </w:rPr>
            </w:pPr>
            <w:r w:rsidRPr="000A349E">
              <w:rPr>
                <w:color w:val="000000"/>
                <w:lang w:val="en-CA" w:eastAsia="en-CA"/>
              </w:rPr>
              <w:t>147</w:t>
            </w:r>
          </w:p>
        </w:tc>
      </w:tr>
      <w:tr w:rsidR="00B02D49" w:rsidRPr="000A349E" w14:paraId="757A1811" w14:textId="77777777" w:rsidTr="006A09A2">
        <w:trPr>
          <w:trHeight w:val="20"/>
          <w:jc w:val="center"/>
        </w:trPr>
        <w:tc>
          <w:tcPr>
            <w:tcW w:w="3765" w:type="dxa"/>
            <w:shd w:val="clear" w:color="auto" w:fill="auto"/>
            <w:noWrap/>
            <w:vAlign w:val="center"/>
            <w:hideMark/>
          </w:tcPr>
          <w:p w14:paraId="637434AF" w14:textId="77777777" w:rsidR="00B02D49" w:rsidRPr="000A349E" w:rsidRDefault="00B02D49" w:rsidP="00B02D49">
            <w:pPr>
              <w:pStyle w:val="ExhibitText"/>
              <w:jc w:val="left"/>
              <w:rPr>
                <w:color w:val="000000"/>
                <w:lang w:val="en-CA" w:eastAsia="en-CA"/>
              </w:rPr>
            </w:pPr>
            <w:r w:rsidRPr="000A349E">
              <w:rPr>
                <w:color w:val="000000"/>
                <w:lang w:val="en-CA" w:eastAsia="en-CA"/>
              </w:rPr>
              <w:t>Furniture/Furnishing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14:paraId="7C15FADB" w14:textId="77777777" w:rsidR="00B02D49" w:rsidRPr="000A349E" w:rsidRDefault="00B02D49" w:rsidP="004507F0">
            <w:pPr>
              <w:pStyle w:val="ExhibitText"/>
              <w:jc w:val="right"/>
              <w:rPr>
                <w:color w:val="000000"/>
                <w:lang w:val="en-CA" w:eastAsia="en-CA"/>
              </w:rPr>
            </w:pPr>
            <w:r w:rsidRPr="000A349E">
              <w:rPr>
                <w:color w:val="000000"/>
                <w:lang w:val="en-CA" w:eastAsia="en-CA"/>
              </w:rPr>
              <w:t>133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14:paraId="7245A93A" w14:textId="77777777" w:rsidR="00B02D49" w:rsidRPr="000A349E" w:rsidRDefault="00B02D49" w:rsidP="004507F0">
            <w:pPr>
              <w:pStyle w:val="ExhibitText"/>
              <w:jc w:val="right"/>
              <w:rPr>
                <w:color w:val="000000"/>
                <w:lang w:val="en-CA" w:eastAsia="en-CA"/>
              </w:rPr>
            </w:pPr>
            <w:r w:rsidRPr="000A349E">
              <w:rPr>
                <w:color w:val="000000"/>
                <w:lang w:val="en-CA" w:eastAsia="en-CA"/>
              </w:rPr>
              <w:t>180</w:t>
            </w:r>
          </w:p>
        </w:tc>
      </w:tr>
      <w:tr w:rsidR="00B02D49" w:rsidRPr="000A349E" w14:paraId="345D92CC" w14:textId="77777777" w:rsidTr="006A09A2">
        <w:trPr>
          <w:trHeight w:val="20"/>
          <w:jc w:val="center"/>
        </w:trPr>
        <w:tc>
          <w:tcPr>
            <w:tcW w:w="3765" w:type="dxa"/>
            <w:shd w:val="clear" w:color="auto" w:fill="auto"/>
            <w:noWrap/>
            <w:vAlign w:val="center"/>
            <w:hideMark/>
          </w:tcPr>
          <w:p w14:paraId="67FA4A12" w14:textId="77777777" w:rsidR="00B02D49" w:rsidRPr="000A349E" w:rsidRDefault="00B02D49" w:rsidP="00B02D49">
            <w:pPr>
              <w:pStyle w:val="ExhibitText"/>
              <w:jc w:val="left"/>
              <w:rPr>
                <w:color w:val="000000"/>
                <w:lang w:val="en-CA" w:eastAsia="en-CA"/>
              </w:rPr>
            </w:pPr>
            <w:r w:rsidRPr="000A349E">
              <w:rPr>
                <w:color w:val="000000"/>
                <w:lang w:val="en-CA" w:eastAsia="en-CA"/>
              </w:rPr>
              <w:t>IT Hardware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14:paraId="07F88529" w14:textId="77777777" w:rsidR="00B02D49" w:rsidRPr="000A349E" w:rsidRDefault="00B02D49" w:rsidP="004507F0">
            <w:pPr>
              <w:pStyle w:val="ExhibitText"/>
              <w:jc w:val="right"/>
              <w:rPr>
                <w:color w:val="000000"/>
                <w:lang w:val="en-CA" w:eastAsia="en-CA"/>
              </w:rPr>
            </w:pPr>
            <w:r w:rsidRPr="000A349E">
              <w:rPr>
                <w:color w:val="000000"/>
                <w:lang w:val="en-CA" w:eastAsia="en-CA"/>
              </w:rPr>
              <w:t>496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14:paraId="64192998" w14:textId="77777777" w:rsidR="00B02D49" w:rsidRPr="000A349E" w:rsidRDefault="00B02D49" w:rsidP="004507F0">
            <w:pPr>
              <w:pStyle w:val="ExhibitText"/>
              <w:jc w:val="right"/>
              <w:rPr>
                <w:color w:val="000000"/>
                <w:lang w:val="en-CA" w:eastAsia="en-CA"/>
              </w:rPr>
            </w:pPr>
            <w:r w:rsidRPr="000A349E">
              <w:rPr>
                <w:color w:val="000000"/>
                <w:lang w:val="en-CA" w:eastAsia="en-CA"/>
              </w:rPr>
              <w:t>529</w:t>
            </w:r>
          </w:p>
        </w:tc>
      </w:tr>
      <w:tr w:rsidR="00B02D49" w:rsidRPr="000A349E" w14:paraId="19CDCEAD" w14:textId="77777777" w:rsidTr="006A09A2">
        <w:trPr>
          <w:trHeight w:val="20"/>
          <w:jc w:val="center"/>
        </w:trPr>
        <w:tc>
          <w:tcPr>
            <w:tcW w:w="3765" w:type="dxa"/>
            <w:shd w:val="clear" w:color="auto" w:fill="auto"/>
            <w:noWrap/>
            <w:vAlign w:val="center"/>
            <w:hideMark/>
          </w:tcPr>
          <w:p w14:paraId="04D56924" w14:textId="77777777" w:rsidR="00B02D49" w:rsidRPr="000A349E" w:rsidRDefault="00B02D49" w:rsidP="00B02D49">
            <w:pPr>
              <w:pStyle w:val="ExhibitText"/>
              <w:jc w:val="left"/>
              <w:rPr>
                <w:color w:val="000000"/>
                <w:lang w:val="en-CA" w:eastAsia="en-CA"/>
              </w:rPr>
            </w:pPr>
            <w:r w:rsidRPr="000A349E">
              <w:rPr>
                <w:color w:val="000000"/>
                <w:lang w:val="en-CA" w:eastAsia="en-CA"/>
              </w:rPr>
              <w:t>IT Professional Services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14:paraId="0A2F3311" w14:textId="77777777" w:rsidR="00B02D49" w:rsidRPr="000A349E" w:rsidRDefault="00B02D49" w:rsidP="004507F0">
            <w:pPr>
              <w:pStyle w:val="ExhibitText"/>
              <w:jc w:val="right"/>
              <w:rPr>
                <w:color w:val="000000"/>
                <w:lang w:val="en-CA" w:eastAsia="en-CA"/>
              </w:rPr>
            </w:pPr>
            <w:r w:rsidRPr="000A349E">
              <w:rPr>
                <w:color w:val="000000"/>
                <w:lang w:val="en-CA" w:eastAsia="en-CA"/>
              </w:rPr>
              <w:t>48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14:paraId="4FC6D45D" w14:textId="77777777" w:rsidR="00B02D49" w:rsidRPr="000A349E" w:rsidRDefault="00B02D49" w:rsidP="004507F0">
            <w:pPr>
              <w:pStyle w:val="ExhibitText"/>
              <w:jc w:val="right"/>
              <w:rPr>
                <w:color w:val="000000"/>
                <w:lang w:val="en-CA" w:eastAsia="en-CA"/>
              </w:rPr>
            </w:pPr>
            <w:r w:rsidRPr="000A349E">
              <w:rPr>
                <w:color w:val="000000"/>
                <w:lang w:val="en-CA" w:eastAsia="en-CA"/>
              </w:rPr>
              <w:t>52</w:t>
            </w:r>
          </w:p>
        </w:tc>
      </w:tr>
      <w:tr w:rsidR="00B02D49" w:rsidRPr="000A349E" w14:paraId="5FE0557D" w14:textId="77777777" w:rsidTr="006A09A2">
        <w:trPr>
          <w:trHeight w:val="20"/>
          <w:jc w:val="center"/>
        </w:trPr>
        <w:tc>
          <w:tcPr>
            <w:tcW w:w="3765" w:type="dxa"/>
            <w:shd w:val="clear" w:color="auto" w:fill="auto"/>
            <w:noWrap/>
            <w:vAlign w:val="center"/>
            <w:hideMark/>
          </w:tcPr>
          <w:p w14:paraId="077E82FD" w14:textId="77777777" w:rsidR="00B02D49" w:rsidRPr="000A349E" w:rsidRDefault="00B02D49" w:rsidP="00B02D49">
            <w:pPr>
              <w:pStyle w:val="ExhibitText"/>
              <w:jc w:val="left"/>
              <w:rPr>
                <w:color w:val="000000"/>
                <w:lang w:val="en-CA" w:eastAsia="en-CA"/>
              </w:rPr>
            </w:pPr>
            <w:r w:rsidRPr="000A349E">
              <w:rPr>
                <w:color w:val="000000"/>
                <w:lang w:val="en-CA" w:eastAsia="en-CA"/>
              </w:rPr>
              <w:t>IT Solutions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14:paraId="1B73E9F8" w14:textId="77777777" w:rsidR="00B02D49" w:rsidRPr="000A349E" w:rsidRDefault="00B02D49" w:rsidP="004507F0">
            <w:pPr>
              <w:pStyle w:val="ExhibitText"/>
              <w:jc w:val="right"/>
              <w:rPr>
                <w:color w:val="000000"/>
                <w:lang w:val="en-CA" w:eastAsia="en-CA"/>
              </w:rPr>
            </w:pPr>
            <w:r w:rsidRPr="000A349E">
              <w:rPr>
                <w:color w:val="000000"/>
                <w:lang w:val="en-CA" w:eastAsia="en-CA"/>
              </w:rPr>
              <w:t>116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14:paraId="48E3A290" w14:textId="77777777" w:rsidR="00B02D49" w:rsidRPr="000A349E" w:rsidRDefault="00B02D49" w:rsidP="004507F0">
            <w:pPr>
              <w:pStyle w:val="ExhibitText"/>
              <w:jc w:val="right"/>
              <w:rPr>
                <w:color w:val="000000"/>
                <w:lang w:val="en-CA" w:eastAsia="en-CA"/>
              </w:rPr>
            </w:pPr>
            <w:r w:rsidRPr="000A349E">
              <w:rPr>
                <w:color w:val="000000"/>
                <w:lang w:val="en-CA" w:eastAsia="en-CA"/>
              </w:rPr>
              <w:t>166</w:t>
            </w:r>
          </w:p>
        </w:tc>
      </w:tr>
      <w:tr w:rsidR="00B02D49" w:rsidRPr="000A349E" w14:paraId="7FACA75D" w14:textId="77777777" w:rsidTr="006A09A2">
        <w:trPr>
          <w:trHeight w:val="20"/>
          <w:jc w:val="center"/>
        </w:trPr>
        <w:tc>
          <w:tcPr>
            <w:tcW w:w="3765" w:type="dxa"/>
            <w:shd w:val="clear" w:color="auto" w:fill="auto"/>
            <w:noWrap/>
            <w:vAlign w:val="center"/>
            <w:hideMark/>
          </w:tcPr>
          <w:p w14:paraId="3C3C7AD2" w14:textId="77777777" w:rsidR="00B02D49" w:rsidRPr="000A349E" w:rsidRDefault="00B02D49" w:rsidP="00B02D49">
            <w:pPr>
              <w:pStyle w:val="ExhibitText"/>
              <w:jc w:val="left"/>
              <w:rPr>
                <w:color w:val="000000"/>
                <w:lang w:val="en-CA" w:eastAsia="en-CA"/>
              </w:rPr>
            </w:pPr>
            <w:r w:rsidRPr="000A349E">
              <w:rPr>
                <w:color w:val="000000"/>
                <w:lang w:val="en-CA" w:eastAsia="en-CA"/>
              </w:rPr>
              <w:t>Office Stationary/Suppliers &amp; Services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14:paraId="77409F08" w14:textId="77777777" w:rsidR="00B02D49" w:rsidRPr="000A349E" w:rsidRDefault="00B02D49" w:rsidP="004507F0">
            <w:pPr>
              <w:pStyle w:val="ExhibitText"/>
              <w:jc w:val="right"/>
              <w:rPr>
                <w:color w:val="000000"/>
                <w:lang w:val="en-CA" w:eastAsia="en-CA"/>
              </w:rPr>
            </w:pPr>
            <w:r w:rsidRPr="000A349E">
              <w:rPr>
                <w:color w:val="000000"/>
                <w:lang w:val="en-CA" w:eastAsia="en-CA"/>
              </w:rPr>
              <w:t>551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14:paraId="0521E075" w14:textId="77777777" w:rsidR="00B02D49" w:rsidRPr="000A349E" w:rsidRDefault="00B02D49" w:rsidP="004507F0">
            <w:pPr>
              <w:pStyle w:val="ExhibitText"/>
              <w:jc w:val="right"/>
              <w:rPr>
                <w:color w:val="000000"/>
                <w:lang w:val="en-CA" w:eastAsia="en-CA"/>
              </w:rPr>
            </w:pPr>
            <w:r w:rsidRPr="000A349E">
              <w:rPr>
                <w:color w:val="000000"/>
                <w:lang w:val="en-CA" w:eastAsia="en-CA"/>
              </w:rPr>
              <w:t>649</w:t>
            </w:r>
          </w:p>
        </w:tc>
      </w:tr>
      <w:tr w:rsidR="00B02D49" w:rsidRPr="000A349E" w14:paraId="1FEE577D" w14:textId="77777777" w:rsidTr="006A09A2">
        <w:trPr>
          <w:trHeight w:val="20"/>
          <w:jc w:val="center"/>
        </w:trPr>
        <w:tc>
          <w:tcPr>
            <w:tcW w:w="3765" w:type="dxa"/>
            <w:shd w:val="clear" w:color="auto" w:fill="auto"/>
            <w:noWrap/>
            <w:vAlign w:val="center"/>
            <w:hideMark/>
          </w:tcPr>
          <w:p w14:paraId="1D9DAA33" w14:textId="77777777" w:rsidR="00B02D49" w:rsidRPr="000A349E" w:rsidRDefault="00B02D49" w:rsidP="00B02D49">
            <w:pPr>
              <w:pStyle w:val="ExhibitText"/>
              <w:jc w:val="left"/>
              <w:rPr>
                <w:color w:val="000000"/>
                <w:lang w:val="en-CA" w:eastAsia="en-CA"/>
              </w:rPr>
            </w:pPr>
            <w:r w:rsidRPr="000A349E">
              <w:rPr>
                <w:color w:val="000000"/>
                <w:lang w:val="en-CA" w:eastAsia="en-CA"/>
              </w:rPr>
              <w:t>Transportation/Courier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14:paraId="4497337B" w14:textId="77777777" w:rsidR="00B02D49" w:rsidRPr="000A349E" w:rsidRDefault="00B02D49" w:rsidP="004507F0">
            <w:pPr>
              <w:pStyle w:val="ExhibitText"/>
              <w:jc w:val="right"/>
              <w:rPr>
                <w:color w:val="000000"/>
                <w:lang w:val="en-CA" w:eastAsia="en-CA"/>
              </w:rPr>
            </w:pPr>
            <w:r w:rsidRPr="000A349E">
              <w:rPr>
                <w:color w:val="000000"/>
                <w:lang w:val="en-CA" w:eastAsia="en-CA"/>
              </w:rPr>
              <w:t>98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14:paraId="779EBE10" w14:textId="77777777" w:rsidR="00B02D49" w:rsidRPr="000A349E" w:rsidRDefault="00B02D49" w:rsidP="004507F0">
            <w:pPr>
              <w:pStyle w:val="ExhibitText"/>
              <w:jc w:val="right"/>
              <w:rPr>
                <w:color w:val="000000"/>
                <w:lang w:val="en-CA" w:eastAsia="en-CA"/>
              </w:rPr>
            </w:pPr>
            <w:r w:rsidRPr="000A349E">
              <w:rPr>
                <w:color w:val="000000"/>
                <w:lang w:val="en-CA" w:eastAsia="en-CA"/>
              </w:rPr>
              <w:t>119</w:t>
            </w:r>
          </w:p>
        </w:tc>
      </w:tr>
      <w:tr w:rsidR="00B02D49" w:rsidRPr="000A349E" w14:paraId="6D15E70F" w14:textId="77777777" w:rsidTr="006A09A2">
        <w:trPr>
          <w:trHeight w:val="20"/>
          <w:jc w:val="center"/>
        </w:trPr>
        <w:tc>
          <w:tcPr>
            <w:tcW w:w="3765" w:type="dxa"/>
            <w:shd w:val="clear" w:color="auto" w:fill="auto"/>
            <w:noWrap/>
            <w:vAlign w:val="center"/>
            <w:hideMark/>
          </w:tcPr>
          <w:p w14:paraId="159F0AA3" w14:textId="77777777" w:rsidR="00B02D49" w:rsidRPr="000A349E" w:rsidRDefault="00B02D49" w:rsidP="00B02D49">
            <w:pPr>
              <w:pStyle w:val="ExhibitText"/>
              <w:jc w:val="left"/>
              <w:rPr>
                <w:color w:val="000000"/>
                <w:lang w:val="en-CA" w:eastAsia="en-CA"/>
              </w:rPr>
            </w:pPr>
            <w:r w:rsidRPr="000A349E">
              <w:rPr>
                <w:color w:val="000000"/>
                <w:lang w:val="en-CA" w:eastAsia="en-CA"/>
              </w:rPr>
              <w:t>Other/Misc. Professional Services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14:paraId="1167D9D9" w14:textId="77777777" w:rsidR="00B02D49" w:rsidRPr="000A349E" w:rsidRDefault="00B02D49" w:rsidP="004507F0">
            <w:pPr>
              <w:pStyle w:val="ExhibitText"/>
              <w:jc w:val="right"/>
              <w:rPr>
                <w:color w:val="000000"/>
                <w:lang w:val="en-CA" w:eastAsia="en-CA"/>
              </w:rPr>
            </w:pPr>
            <w:r w:rsidRPr="000A349E">
              <w:rPr>
                <w:color w:val="000000"/>
                <w:lang w:val="en-CA" w:eastAsia="en-CA"/>
              </w:rPr>
              <w:t>20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14:paraId="581D0A03" w14:textId="77777777" w:rsidR="00B02D49" w:rsidRPr="000A349E" w:rsidRDefault="00B02D49" w:rsidP="004507F0">
            <w:pPr>
              <w:pStyle w:val="ExhibitText"/>
              <w:jc w:val="right"/>
              <w:rPr>
                <w:color w:val="000000"/>
                <w:lang w:val="en-CA" w:eastAsia="en-CA"/>
              </w:rPr>
            </w:pPr>
            <w:r w:rsidRPr="000A349E">
              <w:rPr>
                <w:color w:val="000000"/>
                <w:lang w:val="en-CA" w:eastAsia="en-CA"/>
              </w:rPr>
              <w:t>15</w:t>
            </w:r>
          </w:p>
        </w:tc>
      </w:tr>
      <w:tr w:rsidR="00B02D49" w:rsidRPr="000A349E" w14:paraId="5D6F1505" w14:textId="77777777" w:rsidTr="006A09A2">
        <w:trPr>
          <w:trHeight w:val="20"/>
          <w:jc w:val="center"/>
        </w:trPr>
        <w:tc>
          <w:tcPr>
            <w:tcW w:w="3765" w:type="dxa"/>
            <w:shd w:val="clear" w:color="auto" w:fill="auto"/>
            <w:noWrap/>
            <w:vAlign w:val="center"/>
            <w:hideMark/>
          </w:tcPr>
          <w:p w14:paraId="7C4E1FB5" w14:textId="77777777" w:rsidR="00B02D49" w:rsidRPr="000A349E" w:rsidRDefault="00B02D49" w:rsidP="00B02D49">
            <w:pPr>
              <w:pStyle w:val="ExhibitText"/>
              <w:jc w:val="left"/>
              <w:rPr>
                <w:color w:val="000000"/>
                <w:lang w:val="en-CA" w:eastAsia="en-CA"/>
              </w:rPr>
            </w:pPr>
            <w:r w:rsidRPr="000A349E">
              <w:rPr>
                <w:color w:val="000000"/>
                <w:lang w:val="en-CA" w:eastAsia="en-CA"/>
              </w:rPr>
              <w:t>Total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14:paraId="5C236D4C" w14:textId="6B88F2E2" w:rsidR="00B02D49" w:rsidRPr="000A349E" w:rsidRDefault="00B02D49" w:rsidP="004507F0">
            <w:pPr>
              <w:pStyle w:val="ExhibitText"/>
              <w:jc w:val="right"/>
              <w:rPr>
                <w:color w:val="000000"/>
                <w:lang w:val="en-CA" w:eastAsia="en-CA"/>
              </w:rPr>
            </w:pPr>
            <w:r w:rsidRPr="000A349E">
              <w:rPr>
                <w:color w:val="000000"/>
                <w:lang w:val="en-CA" w:eastAsia="en-CA"/>
              </w:rPr>
              <w:t>1</w:t>
            </w:r>
            <w:r w:rsidR="009145A0" w:rsidRPr="000A349E">
              <w:rPr>
                <w:color w:val="000000"/>
                <w:lang w:val="en-CA" w:eastAsia="en-CA"/>
              </w:rPr>
              <w:t>,</w:t>
            </w:r>
            <w:r w:rsidRPr="000A349E">
              <w:rPr>
                <w:color w:val="000000"/>
                <w:lang w:val="en-CA" w:eastAsia="en-CA"/>
              </w:rPr>
              <w:t>887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14:paraId="5624D0E7" w14:textId="7FDAC5C1" w:rsidR="00B02D49" w:rsidRPr="000A349E" w:rsidRDefault="00B02D49" w:rsidP="004507F0">
            <w:pPr>
              <w:pStyle w:val="ExhibitText"/>
              <w:jc w:val="right"/>
              <w:rPr>
                <w:color w:val="000000"/>
                <w:lang w:val="en-CA" w:eastAsia="en-CA"/>
              </w:rPr>
            </w:pPr>
            <w:r w:rsidRPr="000A349E">
              <w:rPr>
                <w:color w:val="000000"/>
                <w:lang w:val="en-CA" w:eastAsia="en-CA"/>
              </w:rPr>
              <w:t>2</w:t>
            </w:r>
            <w:r w:rsidR="009145A0" w:rsidRPr="000A349E">
              <w:rPr>
                <w:color w:val="000000"/>
                <w:lang w:val="en-CA" w:eastAsia="en-CA"/>
              </w:rPr>
              <w:t>,</w:t>
            </w:r>
            <w:r w:rsidRPr="000A349E">
              <w:rPr>
                <w:color w:val="000000"/>
                <w:lang w:val="en-CA" w:eastAsia="en-CA"/>
              </w:rPr>
              <w:t>308</w:t>
            </w:r>
          </w:p>
        </w:tc>
      </w:tr>
    </w:tbl>
    <w:p w14:paraId="5D38EA7F" w14:textId="77777777" w:rsidR="009145A0" w:rsidRPr="000A349E" w:rsidRDefault="009145A0" w:rsidP="00B02D49">
      <w:pPr>
        <w:pStyle w:val="ExhibitText"/>
        <w:rPr>
          <w:highlight w:val="yellow"/>
          <w:lang w:val="en-CA"/>
        </w:rPr>
      </w:pPr>
    </w:p>
    <w:p w14:paraId="09863843" w14:textId="77777777" w:rsidR="00B02D49" w:rsidRPr="000A349E" w:rsidRDefault="00B02D49" w:rsidP="00B02D49">
      <w:pPr>
        <w:pStyle w:val="ExhibitText"/>
        <w:rPr>
          <w:highlight w:val="yellow"/>
          <w:lang w:val="en-CA"/>
        </w:rPr>
      </w:pPr>
      <w:r w:rsidRPr="000A349E">
        <w:rPr>
          <w:noProof/>
          <w:highlight w:val="yellow"/>
          <w:lang w:val="en-CA" w:eastAsia="en-C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80BB5D" wp14:editId="1D6D3BC9">
                <wp:simplePos x="0" y="0"/>
                <wp:positionH relativeFrom="column">
                  <wp:posOffset>804672</wp:posOffset>
                </wp:positionH>
                <wp:positionV relativeFrom="paragraph">
                  <wp:posOffset>25908</wp:posOffset>
                </wp:positionV>
                <wp:extent cx="4686300" cy="244475"/>
                <wp:effectExtent l="0" t="0" r="0" b="0"/>
                <wp:wrapNone/>
                <wp:docPr id="3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6300" cy="244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A43832F" w14:textId="22EE5860" w:rsidR="00313C2A" w:rsidRPr="00B02D49" w:rsidRDefault="00313C2A" w:rsidP="00B02D49">
                            <w:pPr>
                              <w:pStyle w:val="ExhibitText"/>
                              <w:rPr>
                                <w:b/>
                              </w:rPr>
                            </w:pPr>
                            <w:r w:rsidRPr="00B02D49">
                              <w:rPr>
                                <w:b/>
                              </w:rPr>
                              <w:t xml:space="preserve">Conversion of Minimum Success Criteria </w:t>
                            </w:r>
                            <w:r>
                              <w:rPr>
                                <w:b/>
                              </w:rPr>
                              <w:t xml:space="preserve">(MSC) </w:t>
                            </w:r>
                            <w:r w:rsidRPr="00B02D49">
                              <w:rPr>
                                <w:b/>
                              </w:rPr>
                              <w:t>from Spend to Surplus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680BB5D" id="_x0000_s1028" style="position:absolute;left:0;text-align:left;margin-left:63.35pt;margin-top:2.05pt;width:369pt;height:19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" filled="f" stroked="f">
                <v:textbox style="mso-fit-shape-to-text:t">
                  <w:txbxContent>
                    <w:p w14:paraId="1A43832F" w14:textId="22EE5860" w:rsidR="00313C2A" w:rsidRPr="00B02D49" w:rsidRDefault="00313C2A" w:rsidP="00B02D49">
                      <w:pPr>
                        <w:pStyle w:val="ExhibitText"/>
                        <w:rPr>
                          <w:b/>
                        </w:rPr>
                      </w:pPr>
                      <w:r w:rsidRPr="00B02D49">
                        <w:rPr>
                          <w:b/>
                        </w:rPr>
                        <w:t xml:space="preserve">Conversion of Minimum Success Criteria </w:t>
                      </w:r>
                      <w:r>
                        <w:rPr>
                          <w:b/>
                        </w:rPr>
                        <w:t xml:space="preserve">(MSC) </w:t>
                      </w:r>
                      <w:r w:rsidRPr="00B02D49">
                        <w:rPr>
                          <w:b/>
                        </w:rPr>
                        <w:t>from Spend to Surplus</w:t>
                      </w:r>
                    </w:p>
                  </w:txbxContent>
                </v:textbox>
              </v:rect>
            </w:pict>
          </mc:Fallback>
        </mc:AlternateContent>
      </w:r>
    </w:p>
    <w:p w14:paraId="7D2914D7" w14:textId="77777777" w:rsidR="00B02D49" w:rsidRPr="000A349E" w:rsidRDefault="00B02D49" w:rsidP="00B02D49">
      <w:pPr>
        <w:rPr>
          <w:highlight w:val="yellow"/>
          <w:lang w:val="en-CA"/>
        </w:rPr>
      </w:pPr>
    </w:p>
    <w:tbl>
      <w:tblPr>
        <w:tblW w:w="52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0"/>
        <w:gridCol w:w="1820"/>
      </w:tblGrid>
      <w:tr w:rsidR="00B02D49" w:rsidRPr="000A349E" w14:paraId="7D6BBDEA" w14:textId="77777777" w:rsidTr="008D604C">
        <w:trPr>
          <w:trHeight w:val="20"/>
          <w:jc w:val="center"/>
        </w:trPr>
        <w:tc>
          <w:tcPr>
            <w:tcW w:w="3400" w:type="dxa"/>
            <w:shd w:val="clear" w:color="auto" w:fill="auto"/>
            <w:noWrap/>
            <w:vAlign w:val="center"/>
            <w:hideMark/>
          </w:tcPr>
          <w:p w14:paraId="2C116648" w14:textId="01899B6E" w:rsidR="00B02D49" w:rsidRPr="000A349E" w:rsidRDefault="00B02D49" w:rsidP="00B02D49">
            <w:pPr>
              <w:pStyle w:val="ExhibitText"/>
              <w:rPr>
                <w:b/>
                <w:lang w:val="en-CA" w:eastAsia="en-CA"/>
              </w:rPr>
            </w:pP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14:paraId="328D9A78" w14:textId="115837C8" w:rsidR="00B02D49" w:rsidRPr="000A349E" w:rsidRDefault="00B02D49" w:rsidP="00B02D49">
            <w:pPr>
              <w:pStyle w:val="ExhibitText"/>
              <w:rPr>
                <w:b/>
                <w:lang w:val="en-CA" w:eastAsia="en-CA"/>
              </w:rPr>
            </w:pPr>
            <w:r w:rsidRPr="000A349E">
              <w:rPr>
                <w:b/>
                <w:lang w:val="en-CA" w:eastAsia="en-CA"/>
              </w:rPr>
              <w:t>Dec</w:t>
            </w:r>
            <w:r w:rsidR="009145A0" w:rsidRPr="000A349E">
              <w:rPr>
                <w:b/>
                <w:lang w:val="en-CA" w:eastAsia="en-CA"/>
              </w:rPr>
              <w:t>.</w:t>
            </w:r>
            <w:r w:rsidRPr="000A349E">
              <w:rPr>
                <w:b/>
                <w:lang w:val="en-CA" w:eastAsia="en-CA"/>
              </w:rPr>
              <w:t xml:space="preserve"> 31</w:t>
            </w:r>
            <w:r w:rsidR="009145A0" w:rsidRPr="000A349E">
              <w:rPr>
                <w:b/>
                <w:lang w:val="en-CA" w:eastAsia="en-CA"/>
              </w:rPr>
              <w:t>,</w:t>
            </w:r>
            <w:r w:rsidRPr="000A349E">
              <w:rPr>
                <w:b/>
                <w:lang w:val="en-CA" w:eastAsia="en-CA"/>
              </w:rPr>
              <w:t xml:space="preserve"> 2020</w:t>
            </w:r>
          </w:p>
        </w:tc>
      </w:tr>
      <w:tr w:rsidR="00B02D49" w:rsidRPr="000A349E" w14:paraId="6EBAEEE3" w14:textId="77777777" w:rsidTr="008D604C">
        <w:trPr>
          <w:trHeight w:val="20"/>
          <w:jc w:val="center"/>
        </w:trPr>
        <w:tc>
          <w:tcPr>
            <w:tcW w:w="3400" w:type="dxa"/>
            <w:shd w:val="clear" w:color="auto" w:fill="auto"/>
            <w:noWrap/>
            <w:vAlign w:val="center"/>
            <w:hideMark/>
          </w:tcPr>
          <w:p w14:paraId="2961AF6C" w14:textId="77777777" w:rsidR="00B02D49" w:rsidRPr="000A349E" w:rsidRDefault="00B02D49" w:rsidP="00B02D49">
            <w:pPr>
              <w:pStyle w:val="ExhibitText"/>
              <w:rPr>
                <w:color w:val="000000"/>
                <w:lang w:val="en-CA" w:eastAsia="en-CA"/>
              </w:rPr>
            </w:pPr>
            <w:r w:rsidRPr="000A349E">
              <w:rPr>
                <w:color w:val="000000"/>
                <w:lang w:val="en-CA" w:eastAsia="en-CA"/>
              </w:rPr>
              <w:t>Spend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14:paraId="23938DFD" w14:textId="77777777" w:rsidR="00B02D49" w:rsidRPr="000A349E" w:rsidRDefault="00B02D49" w:rsidP="004507F0">
            <w:pPr>
              <w:pStyle w:val="ExhibitText"/>
              <w:jc w:val="right"/>
              <w:rPr>
                <w:color w:val="000000"/>
                <w:lang w:val="en-CA" w:eastAsia="en-CA"/>
              </w:rPr>
            </w:pPr>
            <w:r w:rsidRPr="000A349E">
              <w:rPr>
                <w:color w:val="000000"/>
                <w:lang w:val="en-CA" w:eastAsia="en-CA"/>
              </w:rPr>
              <w:t>$2,000,000,000</w:t>
            </w:r>
          </w:p>
        </w:tc>
      </w:tr>
      <w:tr w:rsidR="00B02D49" w:rsidRPr="000A349E" w14:paraId="056715B7" w14:textId="77777777" w:rsidTr="008D604C">
        <w:trPr>
          <w:trHeight w:val="20"/>
          <w:jc w:val="center"/>
        </w:trPr>
        <w:tc>
          <w:tcPr>
            <w:tcW w:w="3400" w:type="dxa"/>
            <w:shd w:val="clear" w:color="auto" w:fill="auto"/>
            <w:noWrap/>
            <w:vAlign w:val="center"/>
            <w:hideMark/>
          </w:tcPr>
          <w:p w14:paraId="146B5B5A" w14:textId="77777777" w:rsidR="00B02D49" w:rsidRPr="000A349E" w:rsidRDefault="00B02D49" w:rsidP="00B02D49">
            <w:pPr>
              <w:pStyle w:val="ExhibitText"/>
              <w:rPr>
                <w:color w:val="000000"/>
                <w:lang w:val="en-CA" w:eastAsia="en-CA"/>
              </w:rPr>
            </w:pPr>
            <w:r w:rsidRPr="000A349E">
              <w:rPr>
                <w:color w:val="000000"/>
                <w:lang w:val="en-CA" w:eastAsia="en-CA"/>
              </w:rPr>
              <w:t>Surplus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14:paraId="759C39EC" w14:textId="77777777" w:rsidR="00B02D49" w:rsidRPr="000A349E" w:rsidRDefault="00B02D49" w:rsidP="004507F0">
            <w:pPr>
              <w:pStyle w:val="ExhibitText"/>
              <w:jc w:val="right"/>
              <w:rPr>
                <w:color w:val="000000"/>
                <w:lang w:val="en-CA" w:eastAsia="en-CA"/>
              </w:rPr>
            </w:pPr>
            <w:r w:rsidRPr="000A349E">
              <w:rPr>
                <w:color w:val="000000"/>
                <w:lang w:val="en-CA" w:eastAsia="en-CA"/>
              </w:rPr>
              <w:t>$6,072,166</w:t>
            </w:r>
          </w:p>
        </w:tc>
      </w:tr>
    </w:tbl>
    <w:p w14:paraId="4B21B199" w14:textId="77777777" w:rsidR="00B02D49" w:rsidRPr="000A349E" w:rsidRDefault="00B02D49" w:rsidP="00B02D49">
      <w:pPr>
        <w:pStyle w:val="ExhibitText"/>
        <w:rPr>
          <w:lang w:val="en-CA"/>
        </w:rPr>
      </w:pPr>
    </w:p>
    <w:p w14:paraId="5EB8AE13" w14:textId="06B42F42" w:rsidR="00B02D49" w:rsidRPr="000A349E" w:rsidRDefault="00B02D49" w:rsidP="00B02D49">
      <w:pPr>
        <w:pStyle w:val="ExhibitText"/>
        <w:rPr>
          <w:lang w:val="en-CA"/>
        </w:rPr>
      </w:pPr>
      <w:r w:rsidRPr="000A349E">
        <w:rPr>
          <w:lang w:val="en-CA"/>
        </w:rPr>
        <w:t xml:space="preserve">Derived by multiplying </w:t>
      </w:r>
      <w:r w:rsidR="00F24B94" w:rsidRPr="000A349E">
        <w:rPr>
          <w:lang w:val="en-CA"/>
        </w:rPr>
        <w:t>s</w:t>
      </w:r>
      <w:r w:rsidRPr="000A349E">
        <w:rPr>
          <w:lang w:val="en-CA"/>
        </w:rPr>
        <w:t>pend ($</w:t>
      </w:r>
      <w:r w:rsidR="00F24B94" w:rsidRPr="000A349E">
        <w:rPr>
          <w:lang w:val="en-CA"/>
        </w:rPr>
        <w:t>2 million</w:t>
      </w:r>
      <w:r w:rsidRPr="000A349E">
        <w:rPr>
          <w:lang w:val="en-CA"/>
        </w:rPr>
        <w:t>) by surplus % (0.3036%) (</w:t>
      </w:r>
      <w:r w:rsidR="00F24B94" w:rsidRPr="000A349E">
        <w:rPr>
          <w:lang w:val="en-CA"/>
        </w:rPr>
        <w:t>i.e., R</w:t>
      </w:r>
      <w:r w:rsidRPr="000A349E">
        <w:rPr>
          <w:lang w:val="en-CA"/>
        </w:rPr>
        <w:t xml:space="preserve">evenue as </w:t>
      </w:r>
      <w:r w:rsidR="00F24B94" w:rsidRPr="000A349E">
        <w:rPr>
          <w:lang w:val="en-CA"/>
        </w:rPr>
        <w:t>a Percentage</w:t>
      </w:r>
      <w:r w:rsidRPr="000A349E">
        <w:rPr>
          <w:lang w:val="en-CA"/>
        </w:rPr>
        <w:t xml:space="preserve"> of </w:t>
      </w:r>
      <w:r w:rsidR="00F24B94" w:rsidRPr="000A349E">
        <w:rPr>
          <w:lang w:val="en-CA"/>
        </w:rPr>
        <w:t>Spend −</w:t>
      </w:r>
      <w:r w:rsidRPr="000A349E">
        <w:rPr>
          <w:lang w:val="en-CA"/>
        </w:rPr>
        <w:t xml:space="preserve"> </w:t>
      </w:r>
      <w:r w:rsidR="00F24B94" w:rsidRPr="000A349E">
        <w:rPr>
          <w:lang w:val="en-CA"/>
        </w:rPr>
        <w:t xml:space="preserve">Expenses </w:t>
      </w:r>
      <w:r w:rsidRPr="000A349E">
        <w:rPr>
          <w:lang w:val="en-CA"/>
        </w:rPr>
        <w:t xml:space="preserve">as </w:t>
      </w:r>
      <w:r w:rsidR="00F24B94" w:rsidRPr="000A349E">
        <w:rPr>
          <w:lang w:val="en-CA"/>
        </w:rPr>
        <w:t xml:space="preserve">a Percentage </w:t>
      </w:r>
      <w:r w:rsidRPr="000A349E">
        <w:rPr>
          <w:lang w:val="en-CA"/>
        </w:rPr>
        <w:t xml:space="preserve">of </w:t>
      </w:r>
      <w:r w:rsidR="00F24B94" w:rsidRPr="000A349E">
        <w:rPr>
          <w:lang w:val="en-CA"/>
        </w:rPr>
        <w:t>Spend</w:t>
      </w:r>
      <w:r w:rsidRPr="000A349E">
        <w:rPr>
          <w:lang w:val="en-CA"/>
        </w:rPr>
        <w:t>)</w:t>
      </w:r>
      <w:r w:rsidR="00F24B94" w:rsidRPr="000A349E">
        <w:rPr>
          <w:lang w:val="en-CA"/>
        </w:rPr>
        <w:t>.</w:t>
      </w:r>
    </w:p>
    <w:p w14:paraId="0060B7FF" w14:textId="77777777" w:rsidR="009145A0" w:rsidRPr="000A349E" w:rsidRDefault="009145A0" w:rsidP="00B02D49">
      <w:pPr>
        <w:pStyle w:val="ExhibitText"/>
        <w:rPr>
          <w:lang w:val="en-CA"/>
        </w:rPr>
      </w:pPr>
    </w:p>
    <w:p w14:paraId="6DFAE943" w14:textId="77777777" w:rsidR="00B02D49" w:rsidRPr="000A349E" w:rsidRDefault="00B02D49" w:rsidP="00B02D49">
      <w:pPr>
        <w:pStyle w:val="ExhibitText"/>
        <w:rPr>
          <w:lang w:val="en-CA"/>
        </w:rPr>
      </w:pPr>
      <w:r w:rsidRPr="000A349E">
        <w:rPr>
          <w:noProof/>
          <w:highlight w:val="yellow"/>
          <w:lang w:val="en-CA" w:eastAsia="en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E6DCB4" wp14:editId="66917AC3">
                <wp:simplePos x="0" y="0"/>
                <wp:positionH relativeFrom="column">
                  <wp:posOffset>540715</wp:posOffset>
                </wp:positionH>
                <wp:positionV relativeFrom="paragraph">
                  <wp:posOffset>26899</wp:posOffset>
                </wp:positionV>
                <wp:extent cx="5158740" cy="244475"/>
                <wp:effectExtent l="0" t="0" r="0" b="0"/>
                <wp:wrapNone/>
                <wp:docPr id="5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8740" cy="244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2C7D912" w14:textId="34B1AF01" w:rsidR="00313C2A" w:rsidRPr="00B02D49" w:rsidRDefault="00313C2A" w:rsidP="00B02D49">
                            <w:pPr>
                              <w:pStyle w:val="ExhibitText"/>
                              <w:rPr>
                                <w:b/>
                              </w:rPr>
                            </w:pPr>
                            <w:r w:rsidRPr="00B02D49">
                              <w:rPr>
                                <w:b/>
                              </w:rPr>
                              <w:t>Average CSA Value Growth Rate Required to Reach MSC of $2</w:t>
                            </w:r>
                            <w:r>
                              <w:rPr>
                                <w:b/>
                              </w:rPr>
                              <w:t xml:space="preserve"> billion</w:t>
                            </w:r>
                            <w:r w:rsidRPr="00B02D49">
                              <w:rPr>
                                <w:b/>
                              </w:rPr>
                              <w:t xml:space="preserve"> by Spend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E6DCB4" id="_x0000_s1029" style="position:absolute;left:0;text-align:left;margin-left:42.6pt;margin-top:2.1pt;width:406.2pt;height:19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" filled="f" stroked="f">
                <v:textbox style="mso-fit-shape-to-text:t">
                  <w:txbxContent>
                    <w:p w14:paraId="12C7D912" w14:textId="34B1AF01" w:rsidR="00313C2A" w:rsidRPr="00B02D49" w:rsidRDefault="00313C2A" w:rsidP="00B02D49">
                      <w:pPr>
                        <w:pStyle w:val="ExhibitText"/>
                        <w:rPr>
                          <w:b/>
                        </w:rPr>
                      </w:pPr>
                      <w:r w:rsidRPr="00B02D49">
                        <w:rPr>
                          <w:b/>
                        </w:rPr>
                        <w:t>Average CSA Value Growth Rate Required to Reach MSC of $2</w:t>
                      </w:r>
                      <w:r>
                        <w:rPr>
                          <w:b/>
                        </w:rPr>
                        <w:t xml:space="preserve"> billion</w:t>
                      </w:r>
                      <w:r w:rsidRPr="00B02D49">
                        <w:rPr>
                          <w:b/>
                        </w:rPr>
                        <w:t xml:space="preserve"> by Spend</w:t>
                      </w:r>
                    </w:p>
                  </w:txbxContent>
                </v:textbox>
              </v:rect>
            </w:pict>
          </mc:Fallback>
        </mc:AlternateContent>
      </w:r>
    </w:p>
    <w:p w14:paraId="4DD3B1CA" w14:textId="1982F457" w:rsidR="00B02D49" w:rsidRPr="000A349E" w:rsidRDefault="00B02D49" w:rsidP="00B02D49">
      <w:pPr>
        <w:rPr>
          <w:lang w:val="en-CA"/>
        </w:rPr>
      </w:pPr>
    </w:p>
    <w:tbl>
      <w:tblPr>
        <w:tblW w:w="91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5"/>
        <w:gridCol w:w="1014"/>
        <w:gridCol w:w="1240"/>
        <w:gridCol w:w="1330"/>
        <w:gridCol w:w="1219"/>
        <w:gridCol w:w="1240"/>
        <w:gridCol w:w="1333"/>
      </w:tblGrid>
      <w:tr w:rsidR="00B02D49" w:rsidRPr="000A349E" w14:paraId="7E8F0DC6" w14:textId="77777777" w:rsidTr="004507F0">
        <w:trPr>
          <w:trHeight w:val="20"/>
          <w:jc w:val="center"/>
        </w:trPr>
        <w:tc>
          <w:tcPr>
            <w:tcW w:w="1795" w:type="dxa"/>
            <w:shd w:val="clear" w:color="auto" w:fill="auto"/>
            <w:noWrap/>
            <w:vAlign w:val="center"/>
            <w:hideMark/>
          </w:tcPr>
          <w:p w14:paraId="4D58755D" w14:textId="77777777" w:rsidR="00B02D49" w:rsidRPr="000A349E" w:rsidRDefault="00B02D49" w:rsidP="00B02D49">
            <w:pPr>
              <w:pStyle w:val="ExhibitText"/>
              <w:jc w:val="center"/>
              <w:rPr>
                <w:lang w:val="en-CA" w:eastAsia="en-CA"/>
              </w:rPr>
            </w:pP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559B489A" w14:textId="77777777" w:rsidR="00B02D49" w:rsidRPr="000A349E" w:rsidRDefault="00B02D49" w:rsidP="00B02D49">
            <w:pPr>
              <w:pStyle w:val="ExhibitText"/>
              <w:jc w:val="center"/>
              <w:rPr>
                <w:b/>
                <w:lang w:val="en-CA" w:eastAsia="en-CA"/>
              </w:rPr>
            </w:pPr>
            <w:r w:rsidRPr="000A349E">
              <w:rPr>
                <w:b/>
                <w:lang w:val="en-CA" w:eastAsia="en-CA"/>
              </w:rPr>
              <w:t>0%</w:t>
            </w: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413D114A" w14:textId="77777777" w:rsidR="00B02D49" w:rsidRPr="000A349E" w:rsidRDefault="00B02D49" w:rsidP="00B02D49">
            <w:pPr>
              <w:pStyle w:val="ExhibitText"/>
              <w:jc w:val="center"/>
              <w:rPr>
                <w:b/>
                <w:lang w:val="en-CA" w:eastAsia="en-CA"/>
              </w:rPr>
            </w:pPr>
            <w:r w:rsidRPr="000A349E">
              <w:rPr>
                <w:b/>
                <w:lang w:val="en-CA" w:eastAsia="en-CA"/>
              </w:rPr>
              <w:t>10%</w:t>
            </w:r>
          </w:p>
        </w:tc>
        <w:tc>
          <w:tcPr>
            <w:tcW w:w="1330" w:type="dxa"/>
            <w:shd w:val="clear" w:color="auto" w:fill="auto"/>
            <w:noWrap/>
            <w:vAlign w:val="center"/>
            <w:hideMark/>
          </w:tcPr>
          <w:p w14:paraId="5ECD1973" w14:textId="77777777" w:rsidR="00B02D49" w:rsidRPr="000A349E" w:rsidRDefault="00B02D49" w:rsidP="00B02D49">
            <w:pPr>
              <w:pStyle w:val="ExhibitText"/>
              <w:jc w:val="center"/>
              <w:rPr>
                <w:b/>
                <w:lang w:val="en-CA" w:eastAsia="en-CA"/>
              </w:rPr>
            </w:pPr>
            <w:r w:rsidRPr="000A349E">
              <w:rPr>
                <w:b/>
                <w:lang w:val="en-CA" w:eastAsia="en-CA"/>
              </w:rPr>
              <w:t>20%</w:t>
            </w:r>
          </w:p>
        </w:tc>
        <w:tc>
          <w:tcPr>
            <w:tcW w:w="1219" w:type="dxa"/>
            <w:shd w:val="clear" w:color="auto" w:fill="auto"/>
            <w:noWrap/>
            <w:vAlign w:val="center"/>
            <w:hideMark/>
          </w:tcPr>
          <w:p w14:paraId="7D563B3F" w14:textId="77777777" w:rsidR="00B02D49" w:rsidRPr="000A349E" w:rsidRDefault="00B02D49" w:rsidP="00B02D49">
            <w:pPr>
              <w:pStyle w:val="ExhibitText"/>
              <w:jc w:val="center"/>
              <w:rPr>
                <w:b/>
                <w:lang w:val="en-CA" w:eastAsia="en-CA"/>
              </w:rPr>
            </w:pPr>
            <w:r w:rsidRPr="000A349E">
              <w:rPr>
                <w:b/>
                <w:lang w:val="en-CA" w:eastAsia="en-CA"/>
              </w:rPr>
              <w:t>30%</w:t>
            </w: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702BE45B" w14:textId="77777777" w:rsidR="00B02D49" w:rsidRPr="000A349E" w:rsidRDefault="00B02D49" w:rsidP="00B02D49">
            <w:pPr>
              <w:pStyle w:val="ExhibitText"/>
              <w:jc w:val="center"/>
              <w:rPr>
                <w:b/>
                <w:lang w:val="en-CA" w:eastAsia="en-CA"/>
              </w:rPr>
            </w:pPr>
            <w:r w:rsidRPr="000A349E">
              <w:rPr>
                <w:b/>
                <w:lang w:val="en-CA" w:eastAsia="en-CA"/>
              </w:rPr>
              <w:t>40%</w:t>
            </w:r>
          </w:p>
        </w:tc>
        <w:tc>
          <w:tcPr>
            <w:tcW w:w="1333" w:type="dxa"/>
            <w:shd w:val="clear" w:color="auto" w:fill="auto"/>
            <w:noWrap/>
            <w:vAlign w:val="center"/>
            <w:hideMark/>
          </w:tcPr>
          <w:p w14:paraId="5EE47CA7" w14:textId="77777777" w:rsidR="00B02D49" w:rsidRPr="000A349E" w:rsidRDefault="00B02D49" w:rsidP="00B02D49">
            <w:pPr>
              <w:pStyle w:val="ExhibitText"/>
              <w:jc w:val="center"/>
              <w:rPr>
                <w:b/>
                <w:lang w:val="en-CA" w:eastAsia="en-CA"/>
              </w:rPr>
            </w:pPr>
            <w:r w:rsidRPr="000A349E">
              <w:rPr>
                <w:b/>
                <w:lang w:val="en-CA" w:eastAsia="en-CA"/>
              </w:rPr>
              <w:t>50%</w:t>
            </w:r>
          </w:p>
        </w:tc>
      </w:tr>
      <w:tr w:rsidR="00B02D49" w:rsidRPr="000A349E" w14:paraId="5936EF77" w14:textId="77777777" w:rsidTr="004507F0">
        <w:trPr>
          <w:trHeight w:val="20"/>
          <w:jc w:val="center"/>
        </w:trPr>
        <w:tc>
          <w:tcPr>
            <w:tcW w:w="1795" w:type="dxa"/>
            <w:shd w:val="clear" w:color="auto" w:fill="auto"/>
            <w:noWrap/>
            <w:vAlign w:val="center"/>
            <w:hideMark/>
          </w:tcPr>
          <w:p w14:paraId="51104F7A" w14:textId="77777777" w:rsidR="00B02D49" w:rsidRPr="000A349E" w:rsidRDefault="00B02D49" w:rsidP="00B02D49">
            <w:pPr>
              <w:pStyle w:val="ExhibitText"/>
              <w:jc w:val="left"/>
              <w:rPr>
                <w:color w:val="000000"/>
                <w:lang w:val="en-CA" w:eastAsia="en-CA"/>
              </w:rPr>
            </w:pPr>
            <w:r w:rsidRPr="000A349E">
              <w:rPr>
                <w:color w:val="000000"/>
                <w:lang w:val="en-CA" w:eastAsia="en-CA"/>
              </w:rPr>
              <w:t>Number of CSAs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14:paraId="79C5E08C" w14:textId="5191CA8B" w:rsidR="00B02D49" w:rsidRPr="000A349E" w:rsidRDefault="00B02D49" w:rsidP="004507F0">
            <w:pPr>
              <w:pStyle w:val="ExhibitText"/>
              <w:jc w:val="right"/>
              <w:rPr>
                <w:color w:val="000000"/>
                <w:lang w:val="en-CA" w:eastAsia="en-CA"/>
              </w:rPr>
            </w:pPr>
            <w:r w:rsidRPr="000A349E">
              <w:rPr>
                <w:color w:val="000000"/>
                <w:lang w:val="en-CA" w:eastAsia="en-CA"/>
              </w:rPr>
              <w:t>1</w:t>
            </w:r>
            <w:r w:rsidR="009145A0" w:rsidRPr="000A349E">
              <w:rPr>
                <w:color w:val="000000"/>
                <w:lang w:val="en-CA" w:eastAsia="en-CA"/>
              </w:rPr>
              <w:t>,</w:t>
            </w:r>
            <w:r w:rsidRPr="000A349E">
              <w:rPr>
                <w:color w:val="000000"/>
                <w:lang w:val="en-CA" w:eastAsia="en-CA"/>
              </w:rPr>
              <w:t>998</w:t>
            </w: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374443E9" w14:textId="61140BD6" w:rsidR="00B02D49" w:rsidRPr="000A349E" w:rsidRDefault="00B02D49" w:rsidP="004507F0">
            <w:pPr>
              <w:pStyle w:val="ExhibitText"/>
              <w:jc w:val="right"/>
              <w:rPr>
                <w:color w:val="000000"/>
                <w:lang w:val="en-CA" w:eastAsia="en-CA"/>
              </w:rPr>
            </w:pPr>
            <w:r w:rsidRPr="000A349E">
              <w:rPr>
                <w:color w:val="000000"/>
                <w:lang w:val="en-CA" w:eastAsia="en-CA"/>
              </w:rPr>
              <w:t>1</w:t>
            </w:r>
            <w:r w:rsidR="009145A0" w:rsidRPr="000A349E">
              <w:rPr>
                <w:color w:val="000000"/>
                <w:lang w:val="en-CA" w:eastAsia="en-CA"/>
              </w:rPr>
              <w:t>,</w:t>
            </w:r>
            <w:r w:rsidRPr="000A349E">
              <w:rPr>
                <w:color w:val="000000"/>
                <w:lang w:val="en-CA" w:eastAsia="en-CA"/>
              </w:rPr>
              <w:t>326</w:t>
            </w:r>
          </w:p>
        </w:tc>
        <w:tc>
          <w:tcPr>
            <w:tcW w:w="1330" w:type="dxa"/>
            <w:shd w:val="clear" w:color="auto" w:fill="auto"/>
            <w:noWrap/>
            <w:vAlign w:val="center"/>
            <w:hideMark/>
          </w:tcPr>
          <w:p w14:paraId="50EE0E98" w14:textId="77777777" w:rsidR="00B02D49" w:rsidRPr="000A349E" w:rsidRDefault="00B02D49" w:rsidP="004507F0">
            <w:pPr>
              <w:pStyle w:val="ExhibitText"/>
              <w:jc w:val="right"/>
              <w:rPr>
                <w:color w:val="000000"/>
                <w:lang w:val="en-CA" w:eastAsia="en-CA"/>
              </w:rPr>
            </w:pPr>
            <w:r w:rsidRPr="000A349E">
              <w:rPr>
                <w:color w:val="000000"/>
                <w:lang w:val="en-CA" w:eastAsia="en-CA"/>
              </w:rPr>
              <w:t>960</w:t>
            </w:r>
          </w:p>
        </w:tc>
        <w:tc>
          <w:tcPr>
            <w:tcW w:w="1219" w:type="dxa"/>
            <w:shd w:val="clear" w:color="auto" w:fill="auto"/>
            <w:noWrap/>
            <w:vAlign w:val="center"/>
            <w:hideMark/>
          </w:tcPr>
          <w:p w14:paraId="57B2CBF6" w14:textId="77777777" w:rsidR="00B02D49" w:rsidRPr="000A349E" w:rsidRDefault="00B02D49" w:rsidP="004507F0">
            <w:pPr>
              <w:pStyle w:val="ExhibitText"/>
              <w:jc w:val="right"/>
              <w:rPr>
                <w:color w:val="000000"/>
                <w:lang w:val="en-CA" w:eastAsia="en-CA"/>
              </w:rPr>
            </w:pPr>
            <w:r w:rsidRPr="000A349E">
              <w:rPr>
                <w:color w:val="000000"/>
                <w:lang w:val="en-CA" w:eastAsia="en-CA"/>
              </w:rPr>
              <w:t>732</w:t>
            </w: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0147880B" w14:textId="77777777" w:rsidR="00B02D49" w:rsidRPr="000A349E" w:rsidRDefault="00B02D49" w:rsidP="004507F0">
            <w:pPr>
              <w:pStyle w:val="ExhibitText"/>
              <w:jc w:val="right"/>
              <w:rPr>
                <w:color w:val="000000"/>
                <w:lang w:val="en-CA" w:eastAsia="en-CA"/>
              </w:rPr>
            </w:pPr>
            <w:r w:rsidRPr="000A349E">
              <w:rPr>
                <w:color w:val="000000"/>
                <w:lang w:val="en-CA" w:eastAsia="en-CA"/>
              </w:rPr>
              <w:t>578</w:t>
            </w:r>
          </w:p>
        </w:tc>
        <w:tc>
          <w:tcPr>
            <w:tcW w:w="1333" w:type="dxa"/>
            <w:shd w:val="clear" w:color="auto" w:fill="auto"/>
            <w:noWrap/>
            <w:vAlign w:val="center"/>
            <w:hideMark/>
          </w:tcPr>
          <w:p w14:paraId="303AC226" w14:textId="77777777" w:rsidR="00B02D49" w:rsidRPr="000A349E" w:rsidRDefault="00B02D49" w:rsidP="004507F0">
            <w:pPr>
              <w:pStyle w:val="ExhibitText"/>
              <w:jc w:val="right"/>
              <w:rPr>
                <w:color w:val="000000"/>
                <w:lang w:val="en-CA" w:eastAsia="en-CA"/>
              </w:rPr>
            </w:pPr>
            <w:r w:rsidRPr="000A349E">
              <w:rPr>
                <w:color w:val="000000"/>
                <w:lang w:val="en-CA" w:eastAsia="en-CA"/>
              </w:rPr>
              <w:t>469</w:t>
            </w:r>
          </w:p>
        </w:tc>
      </w:tr>
    </w:tbl>
    <w:p w14:paraId="197F57EE" w14:textId="77777777" w:rsidR="009145A0" w:rsidRPr="000A349E" w:rsidRDefault="009145A0" w:rsidP="00B02D49">
      <w:pPr>
        <w:pStyle w:val="ExhibitText"/>
        <w:rPr>
          <w:lang w:val="en-CA"/>
        </w:rPr>
      </w:pPr>
    </w:p>
    <w:p w14:paraId="2B8D8E66" w14:textId="4FE4614E" w:rsidR="00B02D49" w:rsidRPr="000A349E" w:rsidRDefault="008D604C" w:rsidP="00B02D49">
      <w:pPr>
        <w:pStyle w:val="ExhibitText"/>
        <w:rPr>
          <w:lang w:val="en-CA"/>
        </w:rPr>
      </w:pPr>
      <w:r w:rsidRPr="000A349E">
        <w:rPr>
          <w:noProof/>
          <w:highlight w:val="yellow"/>
          <w:lang w:val="en-CA" w:eastAsia="en-C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43FD82" wp14:editId="6BD9512C">
                <wp:simplePos x="0" y="0"/>
                <wp:positionH relativeFrom="column">
                  <wp:posOffset>2128418</wp:posOffset>
                </wp:positionH>
                <wp:positionV relativeFrom="paragraph">
                  <wp:posOffset>34290</wp:posOffset>
                </wp:positionV>
                <wp:extent cx="2488692" cy="244475"/>
                <wp:effectExtent l="0" t="0" r="0" b="0"/>
                <wp:wrapNone/>
                <wp:docPr id="7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8692" cy="244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B8B873E" w14:textId="4661DCBE" w:rsidR="00313C2A" w:rsidRPr="00B02D49" w:rsidRDefault="00313C2A" w:rsidP="00B02D49">
                            <w:pPr>
                              <w:pStyle w:val="ExhibitText"/>
                              <w:rPr>
                                <w:b/>
                              </w:rPr>
                            </w:pPr>
                            <w:r w:rsidRPr="00B02D49">
                              <w:rPr>
                                <w:b/>
                              </w:rPr>
                              <w:t xml:space="preserve">Cost of CSA </w:t>
                            </w:r>
                            <w:r>
                              <w:rPr>
                                <w:b/>
                              </w:rPr>
                              <w:t>A</w:t>
                            </w:r>
                            <w:r w:rsidRPr="00B02D49">
                              <w:rPr>
                                <w:b/>
                              </w:rPr>
                              <w:t>cquisition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43FD82" id="_x0000_s1030" style="position:absolute;left:0;text-align:left;margin-left:167.6pt;margin-top:2.7pt;width:195.95pt;height:19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" filled="f" stroked="f">
                <v:textbox style="mso-fit-shape-to-text:t">
                  <w:txbxContent>
                    <w:p w14:paraId="6B8B873E" w14:textId="4661DCBE" w:rsidR="00313C2A" w:rsidRPr="00B02D49" w:rsidRDefault="00313C2A" w:rsidP="00B02D49">
                      <w:pPr>
                        <w:pStyle w:val="ExhibitText"/>
                        <w:rPr>
                          <w:b/>
                        </w:rPr>
                      </w:pPr>
                      <w:r w:rsidRPr="00B02D49">
                        <w:rPr>
                          <w:b/>
                        </w:rPr>
                        <w:t xml:space="preserve">Cost of CSA </w:t>
                      </w:r>
                      <w:r>
                        <w:rPr>
                          <w:b/>
                        </w:rPr>
                        <w:t>A</w:t>
                      </w:r>
                      <w:r w:rsidRPr="00B02D49">
                        <w:rPr>
                          <w:b/>
                        </w:rPr>
                        <w:t>cquisition</w:t>
                      </w:r>
                    </w:p>
                  </w:txbxContent>
                </v:textbox>
              </v:rect>
            </w:pict>
          </mc:Fallback>
        </mc:AlternateContent>
      </w:r>
    </w:p>
    <w:p w14:paraId="709C98E6" w14:textId="77777777" w:rsidR="00B02D49" w:rsidRPr="000A349E" w:rsidRDefault="00B02D49" w:rsidP="00B02D49">
      <w:pPr>
        <w:rPr>
          <w:lang w:val="en-CA"/>
        </w:rPr>
      </w:pPr>
    </w:p>
    <w:tbl>
      <w:tblPr>
        <w:tblW w:w="52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0"/>
        <w:gridCol w:w="1820"/>
      </w:tblGrid>
      <w:tr w:rsidR="00B02D49" w:rsidRPr="000A349E" w14:paraId="1A27D95D" w14:textId="77777777" w:rsidTr="008D604C">
        <w:trPr>
          <w:trHeight w:val="20"/>
          <w:jc w:val="center"/>
        </w:trPr>
        <w:tc>
          <w:tcPr>
            <w:tcW w:w="3400" w:type="dxa"/>
            <w:shd w:val="clear" w:color="auto" w:fill="auto"/>
            <w:noWrap/>
            <w:vAlign w:val="center"/>
            <w:hideMark/>
          </w:tcPr>
          <w:p w14:paraId="42A29216" w14:textId="77777777" w:rsidR="00B02D49" w:rsidRPr="000A349E" w:rsidRDefault="00B02D49" w:rsidP="00B02D49">
            <w:pPr>
              <w:pStyle w:val="ExhibitText"/>
              <w:rPr>
                <w:b/>
                <w:lang w:val="en-CA" w:eastAsia="en-CA"/>
              </w:rPr>
            </w:pP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14:paraId="71CB2A6F" w14:textId="77777777" w:rsidR="00B02D49" w:rsidRPr="000A349E" w:rsidRDefault="00B02D49" w:rsidP="004507F0">
            <w:pPr>
              <w:pStyle w:val="ExhibitText"/>
              <w:jc w:val="center"/>
              <w:rPr>
                <w:b/>
                <w:lang w:val="en-CA" w:eastAsia="en-CA"/>
              </w:rPr>
            </w:pPr>
            <w:r w:rsidRPr="000A349E">
              <w:rPr>
                <w:b/>
                <w:lang w:val="en-CA" w:eastAsia="en-CA"/>
              </w:rPr>
              <w:t>2017</w:t>
            </w:r>
          </w:p>
        </w:tc>
      </w:tr>
      <w:tr w:rsidR="00B02D49" w:rsidRPr="000A349E" w14:paraId="23E54FCF" w14:textId="77777777" w:rsidTr="008D604C">
        <w:trPr>
          <w:trHeight w:val="20"/>
          <w:jc w:val="center"/>
        </w:trPr>
        <w:tc>
          <w:tcPr>
            <w:tcW w:w="3400" w:type="dxa"/>
            <w:shd w:val="clear" w:color="auto" w:fill="auto"/>
            <w:noWrap/>
            <w:vAlign w:val="center"/>
            <w:hideMark/>
          </w:tcPr>
          <w:p w14:paraId="05CA9423" w14:textId="77777777" w:rsidR="00B02D49" w:rsidRPr="000A349E" w:rsidRDefault="00B02D49" w:rsidP="00B02D49">
            <w:pPr>
              <w:pStyle w:val="ExhibitText"/>
              <w:rPr>
                <w:color w:val="000000"/>
                <w:lang w:val="en-CA" w:eastAsia="en-CA"/>
              </w:rPr>
            </w:pPr>
            <w:r w:rsidRPr="000A349E">
              <w:rPr>
                <w:color w:val="000000"/>
                <w:lang w:val="en-CA" w:eastAsia="en-CA"/>
              </w:rPr>
              <w:t>Expenses ($)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14:paraId="47A1C3E7" w14:textId="77777777" w:rsidR="00B02D49" w:rsidRPr="000A349E" w:rsidRDefault="00B02D49" w:rsidP="004507F0">
            <w:pPr>
              <w:pStyle w:val="ExhibitText"/>
              <w:jc w:val="right"/>
              <w:rPr>
                <w:color w:val="000000"/>
                <w:lang w:val="en-CA" w:eastAsia="en-CA"/>
              </w:rPr>
            </w:pPr>
            <w:r w:rsidRPr="000A349E">
              <w:rPr>
                <w:color w:val="000000"/>
                <w:lang w:val="en-CA" w:eastAsia="en-CA"/>
              </w:rPr>
              <w:t>$4,769,000</w:t>
            </w:r>
          </w:p>
        </w:tc>
      </w:tr>
      <w:tr w:rsidR="00B02D49" w:rsidRPr="000A349E" w14:paraId="5F41B83A" w14:textId="77777777" w:rsidTr="008D604C">
        <w:trPr>
          <w:trHeight w:val="20"/>
          <w:jc w:val="center"/>
        </w:trPr>
        <w:tc>
          <w:tcPr>
            <w:tcW w:w="3400" w:type="dxa"/>
            <w:shd w:val="clear" w:color="auto" w:fill="auto"/>
            <w:noWrap/>
            <w:vAlign w:val="center"/>
            <w:hideMark/>
          </w:tcPr>
          <w:p w14:paraId="2F337857" w14:textId="4985B2EB" w:rsidR="00B02D49" w:rsidRPr="000A349E" w:rsidRDefault="00B02D49" w:rsidP="00F24B94">
            <w:pPr>
              <w:pStyle w:val="ExhibitText"/>
              <w:rPr>
                <w:color w:val="000000"/>
                <w:lang w:val="en-CA" w:eastAsia="en-CA"/>
              </w:rPr>
            </w:pPr>
            <w:r w:rsidRPr="000A349E">
              <w:rPr>
                <w:color w:val="000000"/>
                <w:lang w:val="en-CA" w:eastAsia="en-CA"/>
              </w:rPr>
              <w:t>Total CSAs Signed in Year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14:paraId="649C67A9" w14:textId="77777777" w:rsidR="00B02D49" w:rsidRPr="000A349E" w:rsidRDefault="00B02D49" w:rsidP="004507F0">
            <w:pPr>
              <w:pStyle w:val="ExhibitText"/>
              <w:jc w:val="right"/>
              <w:rPr>
                <w:color w:val="000000"/>
                <w:lang w:val="en-CA" w:eastAsia="en-CA"/>
              </w:rPr>
            </w:pPr>
            <w:r w:rsidRPr="000A349E">
              <w:rPr>
                <w:color w:val="000000"/>
                <w:lang w:val="en-CA" w:eastAsia="en-CA"/>
              </w:rPr>
              <w:t>773</w:t>
            </w:r>
          </w:p>
        </w:tc>
      </w:tr>
      <w:tr w:rsidR="00B02D49" w:rsidRPr="000A349E" w14:paraId="3B21DB5B" w14:textId="77777777" w:rsidTr="008D604C">
        <w:trPr>
          <w:trHeight w:val="20"/>
          <w:jc w:val="center"/>
        </w:trPr>
        <w:tc>
          <w:tcPr>
            <w:tcW w:w="3400" w:type="dxa"/>
            <w:shd w:val="clear" w:color="auto" w:fill="auto"/>
            <w:noWrap/>
            <w:vAlign w:val="center"/>
            <w:hideMark/>
          </w:tcPr>
          <w:p w14:paraId="7745703E" w14:textId="292DC733" w:rsidR="00B02D49" w:rsidRPr="000A349E" w:rsidRDefault="00B02D49" w:rsidP="00F24B94">
            <w:pPr>
              <w:pStyle w:val="ExhibitText"/>
              <w:rPr>
                <w:color w:val="000000"/>
                <w:lang w:val="en-CA" w:eastAsia="en-CA"/>
              </w:rPr>
            </w:pPr>
            <w:r w:rsidRPr="000A349E">
              <w:rPr>
                <w:color w:val="000000"/>
                <w:lang w:val="en-CA" w:eastAsia="en-CA"/>
              </w:rPr>
              <w:t>Acquisition Cost per CSA in Year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14:paraId="3DEFFF4C" w14:textId="77777777" w:rsidR="00B02D49" w:rsidRPr="000A349E" w:rsidRDefault="00B02D49" w:rsidP="004507F0">
            <w:pPr>
              <w:pStyle w:val="ExhibitText"/>
              <w:jc w:val="right"/>
              <w:rPr>
                <w:color w:val="000000"/>
                <w:lang w:val="en-CA" w:eastAsia="en-CA"/>
              </w:rPr>
            </w:pPr>
            <w:r w:rsidRPr="000A349E">
              <w:rPr>
                <w:color w:val="000000"/>
                <w:lang w:val="en-CA" w:eastAsia="en-CA"/>
              </w:rPr>
              <w:t>$6,170</w:t>
            </w:r>
          </w:p>
        </w:tc>
      </w:tr>
    </w:tbl>
    <w:p w14:paraId="1CE8F63F" w14:textId="77777777" w:rsidR="00B02D49" w:rsidRPr="000A349E" w:rsidRDefault="00B02D49" w:rsidP="00B02D49">
      <w:pPr>
        <w:pStyle w:val="ExhibitText"/>
        <w:rPr>
          <w:lang w:val="en-CA"/>
        </w:rPr>
      </w:pPr>
    </w:p>
    <w:p w14:paraId="30406ABF" w14:textId="769C9131" w:rsidR="00C039E6" w:rsidRPr="000A349E" w:rsidRDefault="00C039E6" w:rsidP="00B02D49">
      <w:pPr>
        <w:pStyle w:val="Footnote"/>
        <w:rPr>
          <w:lang w:val="en-CA"/>
        </w:rPr>
      </w:pPr>
      <w:r w:rsidRPr="000A349E">
        <w:rPr>
          <w:lang w:val="en-CA"/>
        </w:rPr>
        <w:t>Note: BPS = broader public sector.</w:t>
      </w:r>
    </w:p>
    <w:p w14:paraId="303B8D9A" w14:textId="77777777" w:rsidR="00B02D49" w:rsidRPr="000A349E" w:rsidRDefault="00B02D49" w:rsidP="00B02D49">
      <w:pPr>
        <w:pStyle w:val="Footnote"/>
        <w:rPr>
          <w:lang w:val="en-CA"/>
        </w:rPr>
      </w:pPr>
      <w:r w:rsidRPr="000A349E">
        <w:rPr>
          <w:lang w:val="en-CA"/>
        </w:rPr>
        <w:t>Source: Organization documents.</w:t>
      </w:r>
    </w:p>
    <w:p w14:paraId="028D6DE9" w14:textId="77777777" w:rsidR="00B02D49" w:rsidRPr="000A349E" w:rsidRDefault="00B02D49" w:rsidP="00B02D49">
      <w:pPr>
        <w:spacing w:after="160" w:line="259" w:lineRule="auto"/>
        <w:rPr>
          <w:sz w:val="32"/>
          <w:szCs w:val="32"/>
          <w:lang w:val="en-CA"/>
        </w:rPr>
      </w:pPr>
      <w:r w:rsidRPr="000A349E">
        <w:rPr>
          <w:sz w:val="32"/>
          <w:szCs w:val="32"/>
          <w:lang w:val="en-CA"/>
        </w:rPr>
        <w:br w:type="page"/>
      </w:r>
    </w:p>
    <w:p w14:paraId="28D1B8F2" w14:textId="68469A51" w:rsidR="00B02D49" w:rsidRPr="000A349E" w:rsidRDefault="00B02D49" w:rsidP="00B02D49">
      <w:pPr>
        <w:pStyle w:val="ExhibitHeading"/>
        <w:rPr>
          <w:lang w:val="en-CA"/>
        </w:rPr>
      </w:pPr>
      <w:r w:rsidRPr="000A349E">
        <w:rPr>
          <w:lang w:val="en-CA"/>
        </w:rPr>
        <w:lastRenderedPageBreak/>
        <w:t>Exhibit 4: Historical Spend Levels</w:t>
      </w:r>
    </w:p>
    <w:p w14:paraId="10B0F754" w14:textId="77777777" w:rsidR="00B02D49" w:rsidRPr="000A349E" w:rsidRDefault="00B02D49" w:rsidP="00B02D49">
      <w:pPr>
        <w:pStyle w:val="ExhibitText"/>
        <w:rPr>
          <w:lang w:val="en-CA"/>
        </w:rPr>
      </w:pPr>
    </w:p>
    <w:p w14:paraId="700D1C11" w14:textId="77777777" w:rsidR="00B02D49" w:rsidRPr="000A349E" w:rsidRDefault="00B02D49" w:rsidP="00B02D49">
      <w:pPr>
        <w:jc w:val="center"/>
        <w:rPr>
          <w:sz w:val="32"/>
          <w:szCs w:val="32"/>
          <w:lang w:val="en-CA"/>
        </w:rPr>
      </w:pPr>
      <w:r w:rsidRPr="000A349E">
        <w:rPr>
          <w:noProof/>
          <w:sz w:val="32"/>
          <w:szCs w:val="32"/>
          <w:lang w:val="en-CA" w:eastAsia="en-CA"/>
        </w:rPr>
        <w:drawing>
          <wp:inline distT="0" distB="0" distL="0" distR="0" wp14:anchorId="3DB9624C" wp14:editId="4AA19883">
            <wp:extent cx="3928110" cy="3800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11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AAE1D" w14:textId="77777777" w:rsidR="00B02D49" w:rsidRPr="000A349E" w:rsidRDefault="00B02D49" w:rsidP="00B02D49">
      <w:pPr>
        <w:pStyle w:val="ExhibitText"/>
        <w:rPr>
          <w:lang w:val="en-CA"/>
        </w:rPr>
      </w:pPr>
    </w:p>
    <w:p w14:paraId="48F664C7" w14:textId="65CE4404" w:rsidR="00B02D49" w:rsidRPr="000A349E" w:rsidRDefault="00B02D49" w:rsidP="008D604C">
      <w:pPr>
        <w:pStyle w:val="ExhibitText"/>
        <w:jc w:val="center"/>
        <w:rPr>
          <w:b/>
          <w:lang w:val="en-CA"/>
        </w:rPr>
      </w:pPr>
      <w:r w:rsidRPr="000A349E">
        <w:rPr>
          <w:b/>
          <w:lang w:val="en-CA"/>
        </w:rPr>
        <w:t>Spend per Segment</w:t>
      </w:r>
    </w:p>
    <w:p w14:paraId="643D328E" w14:textId="77777777" w:rsidR="00F24B94" w:rsidRPr="000A349E" w:rsidRDefault="00F24B94" w:rsidP="004507F0">
      <w:pPr>
        <w:pStyle w:val="Footnote"/>
        <w:rPr>
          <w:lang w:val="en-CA"/>
        </w:rPr>
      </w:pPr>
    </w:p>
    <w:tbl>
      <w:tblPr>
        <w:tblW w:w="88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5"/>
        <w:gridCol w:w="1440"/>
        <w:gridCol w:w="1440"/>
        <w:gridCol w:w="1620"/>
        <w:gridCol w:w="1440"/>
        <w:gridCol w:w="1620"/>
      </w:tblGrid>
      <w:tr w:rsidR="00B02D49" w:rsidRPr="000A349E" w14:paraId="5D6BF0F8" w14:textId="77777777" w:rsidTr="008D604C">
        <w:trPr>
          <w:trHeight w:val="20"/>
          <w:jc w:val="center"/>
        </w:trPr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2F8502C1" w14:textId="77777777" w:rsidR="00B02D49" w:rsidRPr="000A349E" w:rsidRDefault="00B02D49" w:rsidP="004507F0">
            <w:pPr>
              <w:pStyle w:val="ExhibitText"/>
              <w:jc w:val="center"/>
              <w:rPr>
                <w:b/>
                <w:lang w:val="en-CA" w:eastAsia="en-CA"/>
              </w:rPr>
            </w:pPr>
            <w:r w:rsidRPr="000A349E">
              <w:rPr>
                <w:b/>
                <w:lang w:val="en-CA" w:eastAsia="en-CA"/>
              </w:rPr>
              <w:t>Year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1CC78580" w14:textId="77777777" w:rsidR="00B02D49" w:rsidRPr="000A349E" w:rsidRDefault="00B02D49" w:rsidP="004507F0">
            <w:pPr>
              <w:pStyle w:val="ExhibitText"/>
              <w:jc w:val="center"/>
              <w:rPr>
                <w:b/>
                <w:lang w:val="en-CA" w:eastAsia="en-CA"/>
              </w:rPr>
            </w:pPr>
            <w:r w:rsidRPr="000A349E">
              <w:rPr>
                <w:b/>
                <w:lang w:val="en-CA" w:eastAsia="en-CA"/>
              </w:rPr>
              <w:t>University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D593BBE" w14:textId="77777777" w:rsidR="00B02D49" w:rsidRPr="000A349E" w:rsidRDefault="00B02D49" w:rsidP="004507F0">
            <w:pPr>
              <w:pStyle w:val="ExhibitText"/>
              <w:jc w:val="center"/>
              <w:rPr>
                <w:b/>
                <w:lang w:val="en-CA" w:eastAsia="en-CA"/>
              </w:rPr>
            </w:pPr>
            <w:r w:rsidRPr="000A349E">
              <w:rPr>
                <w:b/>
                <w:lang w:val="en-CA" w:eastAsia="en-CA"/>
              </w:rPr>
              <w:t>College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5355C35C" w14:textId="77777777" w:rsidR="00B02D49" w:rsidRPr="000A349E" w:rsidRDefault="00B02D49" w:rsidP="004507F0">
            <w:pPr>
              <w:pStyle w:val="ExhibitText"/>
              <w:jc w:val="center"/>
              <w:rPr>
                <w:b/>
                <w:lang w:val="en-CA" w:eastAsia="en-CA"/>
              </w:rPr>
            </w:pPr>
            <w:r w:rsidRPr="000A349E">
              <w:rPr>
                <w:b/>
                <w:lang w:val="en-CA" w:eastAsia="en-CA"/>
              </w:rPr>
              <w:t>School Board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1C348A5F" w14:textId="77777777" w:rsidR="00B02D49" w:rsidRPr="000A349E" w:rsidRDefault="00B02D49" w:rsidP="004507F0">
            <w:pPr>
              <w:pStyle w:val="ExhibitText"/>
              <w:jc w:val="center"/>
              <w:rPr>
                <w:b/>
                <w:lang w:val="en-CA" w:eastAsia="en-CA"/>
              </w:rPr>
            </w:pPr>
            <w:r w:rsidRPr="000A349E">
              <w:rPr>
                <w:b/>
                <w:lang w:val="en-CA" w:eastAsia="en-CA"/>
              </w:rPr>
              <w:t>BPS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26AD3235" w14:textId="77777777" w:rsidR="00B02D49" w:rsidRPr="000A349E" w:rsidRDefault="00B02D49" w:rsidP="004507F0">
            <w:pPr>
              <w:pStyle w:val="ExhibitText"/>
              <w:jc w:val="center"/>
              <w:rPr>
                <w:b/>
                <w:lang w:val="en-CA" w:eastAsia="en-CA"/>
              </w:rPr>
            </w:pPr>
            <w:r w:rsidRPr="000A349E">
              <w:rPr>
                <w:b/>
                <w:lang w:val="en-CA" w:eastAsia="en-CA"/>
              </w:rPr>
              <w:t>Grand Total</w:t>
            </w:r>
          </w:p>
        </w:tc>
      </w:tr>
      <w:tr w:rsidR="00B02D49" w:rsidRPr="000A349E" w14:paraId="180F899B" w14:textId="77777777" w:rsidTr="008D604C">
        <w:trPr>
          <w:trHeight w:val="20"/>
          <w:jc w:val="center"/>
        </w:trPr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11085282" w14:textId="77777777" w:rsidR="00B02D49" w:rsidRPr="000A349E" w:rsidRDefault="00B02D49" w:rsidP="00B02D49">
            <w:pPr>
              <w:pStyle w:val="ExhibitText"/>
              <w:rPr>
                <w:color w:val="000000"/>
                <w:lang w:val="en-CA" w:eastAsia="en-CA"/>
              </w:rPr>
            </w:pPr>
            <w:r w:rsidRPr="000A349E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0751F4BC" w14:textId="77777777" w:rsidR="00B02D49" w:rsidRPr="000A349E" w:rsidRDefault="00B02D49" w:rsidP="004507F0">
            <w:pPr>
              <w:pStyle w:val="ExhibitText"/>
              <w:jc w:val="right"/>
              <w:rPr>
                <w:color w:val="000000"/>
                <w:lang w:val="en-CA" w:eastAsia="en-CA"/>
              </w:rPr>
            </w:pPr>
            <w:r w:rsidRPr="000A349E">
              <w:rPr>
                <w:color w:val="000000"/>
                <w:lang w:val="en-CA" w:eastAsia="en-CA"/>
              </w:rPr>
              <w:t>$28,168,883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6E2689EA" w14:textId="77777777" w:rsidR="00B02D49" w:rsidRPr="000A349E" w:rsidRDefault="00B02D49" w:rsidP="004507F0">
            <w:pPr>
              <w:pStyle w:val="ExhibitText"/>
              <w:jc w:val="right"/>
              <w:rPr>
                <w:color w:val="000000"/>
                <w:lang w:val="en-CA" w:eastAsia="en-CA"/>
              </w:rPr>
            </w:pPr>
            <w:r w:rsidRPr="000A349E">
              <w:rPr>
                <w:color w:val="000000"/>
                <w:lang w:val="en-CA" w:eastAsia="en-CA"/>
              </w:rPr>
              <w:t>$24,353,008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5785C9FF" w14:textId="77777777" w:rsidR="00B02D49" w:rsidRPr="000A349E" w:rsidRDefault="00B02D49" w:rsidP="004507F0">
            <w:pPr>
              <w:pStyle w:val="ExhibitText"/>
              <w:jc w:val="right"/>
              <w:rPr>
                <w:color w:val="000000"/>
                <w:lang w:val="en-CA" w:eastAsia="en-CA"/>
              </w:rPr>
            </w:pPr>
            <w:r w:rsidRPr="000A349E">
              <w:rPr>
                <w:color w:val="000000"/>
                <w:lang w:val="en-CA" w:eastAsia="en-CA"/>
              </w:rPr>
              <w:t>$84,861,664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42A31C5F" w14:textId="77777777" w:rsidR="00B02D49" w:rsidRPr="000A349E" w:rsidRDefault="00B02D49" w:rsidP="004507F0">
            <w:pPr>
              <w:pStyle w:val="ExhibitText"/>
              <w:jc w:val="right"/>
              <w:rPr>
                <w:color w:val="000000"/>
                <w:lang w:val="en-CA" w:eastAsia="en-CA"/>
              </w:rPr>
            </w:pPr>
            <w:r w:rsidRPr="000A349E">
              <w:rPr>
                <w:color w:val="000000"/>
                <w:lang w:val="en-CA" w:eastAsia="en-CA"/>
              </w:rPr>
              <w:t>$12,426,718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06842F19" w14:textId="77777777" w:rsidR="00B02D49" w:rsidRPr="000A349E" w:rsidRDefault="00B02D49" w:rsidP="004507F0">
            <w:pPr>
              <w:pStyle w:val="ExhibitText"/>
              <w:jc w:val="right"/>
              <w:rPr>
                <w:color w:val="000000"/>
                <w:lang w:val="en-CA" w:eastAsia="en-CA"/>
              </w:rPr>
            </w:pPr>
            <w:r w:rsidRPr="000A349E">
              <w:rPr>
                <w:color w:val="000000"/>
                <w:lang w:val="en-CA" w:eastAsia="en-CA"/>
              </w:rPr>
              <w:t>$149,810,273</w:t>
            </w:r>
          </w:p>
        </w:tc>
      </w:tr>
      <w:tr w:rsidR="00B02D49" w:rsidRPr="000A349E" w14:paraId="213BBCFC" w14:textId="77777777" w:rsidTr="008D604C">
        <w:trPr>
          <w:trHeight w:val="20"/>
          <w:jc w:val="center"/>
        </w:trPr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271EC9A4" w14:textId="77777777" w:rsidR="00B02D49" w:rsidRPr="000A349E" w:rsidRDefault="00B02D49" w:rsidP="00B02D49">
            <w:pPr>
              <w:pStyle w:val="ExhibitText"/>
              <w:rPr>
                <w:color w:val="000000"/>
                <w:lang w:val="en-CA" w:eastAsia="en-CA"/>
              </w:rPr>
            </w:pPr>
            <w:r w:rsidRPr="000A349E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632A533F" w14:textId="77777777" w:rsidR="00B02D49" w:rsidRPr="000A349E" w:rsidRDefault="00B02D49" w:rsidP="004507F0">
            <w:pPr>
              <w:pStyle w:val="ExhibitText"/>
              <w:jc w:val="right"/>
              <w:rPr>
                <w:color w:val="000000"/>
                <w:lang w:val="en-CA" w:eastAsia="en-CA"/>
              </w:rPr>
            </w:pPr>
            <w:r w:rsidRPr="000A349E">
              <w:rPr>
                <w:color w:val="000000"/>
                <w:lang w:val="en-CA" w:eastAsia="en-CA"/>
              </w:rPr>
              <w:t>$34,321,645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69C87A57" w14:textId="77777777" w:rsidR="00B02D49" w:rsidRPr="000A349E" w:rsidRDefault="00B02D49" w:rsidP="004507F0">
            <w:pPr>
              <w:pStyle w:val="ExhibitText"/>
              <w:jc w:val="right"/>
              <w:rPr>
                <w:color w:val="000000"/>
                <w:lang w:val="en-CA" w:eastAsia="en-CA"/>
              </w:rPr>
            </w:pPr>
            <w:r w:rsidRPr="000A349E">
              <w:rPr>
                <w:color w:val="000000"/>
                <w:lang w:val="en-CA" w:eastAsia="en-CA"/>
              </w:rPr>
              <w:t>$32,988,659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4B0A4F5F" w14:textId="77777777" w:rsidR="00B02D49" w:rsidRPr="000A349E" w:rsidRDefault="00B02D49" w:rsidP="004507F0">
            <w:pPr>
              <w:pStyle w:val="ExhibitText"/>
              <w:jc w:val="right"/>
              <w:rPr>
                <w:color w:val="000000"/>
                <w:lang w:val="en-CA" w:eastAsia="en-CA"/>
              </w:rPr>
            </w:pPr>
            <w:r w:rsidRPr="000A349E">
              <w:rPr>
                <w:color w:val="000000"/>
                <w:lang w:val="en-CA" w:eastAsia="en-CA"/>
              </w:rPr>
              <w:t>$111,754,968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6593BB56" w14:textId="77777777" w:rsidR="00B02D49" w:rsidRPr="000A349E" w:rsidRDefault="00B02D49" w:rsidP="004507F0">
            <w:pPr>
              <w:pStyle w:val="ExhibitText"/>
              <w:jc w:val="right"/>
              <w:rPr>
                <w:color w:val="000000"/>
                <w:lang w:val="en-CA" w:eastAsia="en-CA"/>
              </w:rPr>
            </w:pPr>
            <w:r w:rsidRPr="000A349E">
              <w:rPr>
                <w:color w:val="000000"/>
                <w:lang w:val="en-CA" w:eastAsia="en-CA"/>
              </w:rPr>
              <w:t>$14,559,616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6F86CB8C" w14:textId="77777777" w:rsidR="00B02D49" w:rsidRPr="000A349E" w:rsidRDefault="00B02D49" w:rsidP="004507F0">
            <w:pPr>
              <w:pStyle w:val="ExhibitText"/>
              <w:jc w:val="right"/>
              <w:rPr>
                <w:color w:val="000000"/>
                <w:lang w:val="en-CA" w:eastAsia="en-CA"/>
              </w:rPr>
            </w:pPr>
            <w:r w:rsidRPr="000A349E">
              <w:rPr>
                <w:color w:val="000000"/>
                <w:lang w:val="en-CA" w:eastAsia="en-CA"/>
              </w:rPr>
              <w:t>$193,624,887</w:t>
            </w:r>
          </w:p>
        </w:tc>
      </w:tr>
      <w:tr w:rsidR="00B02D49" w:rsidRPr="000A349E" w14:paraId="031A893C" w14:textId="77777777" w:rsidTr="008D604C">
        <w:trPr>
          <w:trHeight w:val="20"/>
          <w:jc w:val="center"/>
        </w:trPr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0BCDE498" w14:textId="77777777" w:rsidR="00B02D49" w:rsidRPr="000A349E" w:rsidRDefault="00B02D49" w:rsidP="00B02D49">
            <w:pPr>
              <w:pStyle w:val="ExhibitText"/>
              <w:rPr>
                <w:color w:val="000000"/>
                <w:lang w:val="en-CA" w:eastAsia="en-CA"/>
              </w:rPr>
            </w:pPr>
            <w:r w:rsidRPr="000A349E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4C754E9" w14:textId="77777777" w:rsidR="00B02D49" w:rsidRPr="000A349E" w:rsidRDefault="00B02D49" w:rsidP="004507F0">
            <w:pPr>
              <w:pStyle w:val="ExhibitText"/>
              <w:jc w:val="right"/>
              <w:rPr>
                <w:color w:val="000000"/>
                <w:lang w:val="en-CA" w:eastAsia="en-CA"/>
              </w:rPr>
            </w:pPr>
            <w:r w:rsidRPr="000A349E">
              <w:rPr>
                <w:color w:val="000000"/>
                <w:lang w:val="en-CA" w:eastAsia="en-CA"/>
              </w:rPr>
              <w:t>$41,311,193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1E11699B" w14:textId="77777777" w:rsidR="00B02D49" w:rsidRPr="000A349E" w:rsidRDefault="00B02D49" w:rsidP="004507F0">
            <w:pPr>
              <w:pStyle w:val="ExhibitText"/>
              <w:jc w:val="right"/>
              <w:rPr>
                <w:color w:val="000000"/>
                <w:lang w:val="en-CA" w:eastAsia="en-CA"/>
              </w:rPr>
            </w:pPr>
            <w:r w:rsidRPr="000A349E">
              <w:rPr>
                <w:color w:val="000000"/>
                <w:lang w:val="en-CA" w:eastAsia="en-CA"/>
              </w:rPr>
              <w:t>$40,614,000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1D0D15A2" w14:textId="77777777" w:rsidR="00B02D49" w:rsidRPr="000A349E" w:rsidRDefault="00B02D49" w:rsidP="004507F0">
            <w:pPr>
              <w:pStyle w:val="ExhibitText"/>
              <w:jc w:val="right"/>
              <w:rPr>
                <w:color w:val="000000"/>
                <w:lang w:val="en-CA" w:eastAsia="en-CA"/>
              </w:rPr>
            </w:pPr>
            <w:r w:rsidRPr="000A349E">
              <w:rPr>
                <w:color w:val="000000"/>
                <w:lang w:val="en-CA" w:eastAsia="en-CA"/>
              </w:rPr>
              <w:t>$144,044,108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1A03B5C8" w14:textId="77777777" w:rsidR="00B02D49" w:rsidRPr="000A349E" w:rsidRDefault="00B02D49" w:rsidP="004507F0">
            <w:pPr>
              <w:pStyle w:val="ExhibitText"/>
              <w:jc w:val="right"/>
              <w:rPr>
                <w:color w:val="000000"/>
                <w:lang w:val="en-CA" w:eastAsia="en-CA"/>
              </w:rPr>
            </w:pPr>
            <w:r w:rsidRPr="000A349E">
              <w:rPr>
                <w:color w:val="000000"/>
                <w:lang w:val="en-CA" w:eastAsia="en-CA"/>
              </w:rPr>
              <w:t>$29,367,342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1B61698A" w14:textId="77777777" w:rsidR="00B02D49" w:rsidRPr="000A349E" w:rsidRDefault="00B02D49" w:rsidP="004507F0">
            <w:pPr>
              <w:pStyle w:val="ExhibitText"/>
              <w:jc w:val="right"/>
              <w:rPr>
                <w:color w:val="000000"/>
                <w:lang w:val="en-CA" w:eastAsia="en-CA"/>
              </w:rPr>
            </w:pPr>
            <w:r w:rsidRPr="000A349E">
              <w:rPr>
                <w:color w:val="000000"/>
                <w:lang w:val="en-CA" w:eastAsia="en-CA"/>
              </w:rPr>
              <w:t>$255,336,642</w:t>
            </w:r>
          </w:p>
        </w:tc>
      </w:tr>
      <w:tr w:rsidR="00B02D49" w:rsidRPr="000A349E" w14:paraId="4AAE5DCC" w14:textId="77777777" w:rsidTr="008D604C">
        <w:trPr>
          <w:trHeight w:val="20"/>
          <w:jc w:val="center"/>
        </w:trPr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2C0F7BD2" w14:textId="77777777" w:rsidR="00B02D49" w:rsidRPr="000A349E" w:rsidRDefault="00B02D49" w:rsidP="00B02D49">
            <w:pPr>
              <w:pStyle w:val="ExhibitText"/>
              <w:rPr>
                <w:color w:val="000000"/>
                <w:lang w:val="en-CA" w:eastAsia="en-CA"/>
              </w:rPr>
            </w:pPr>
            <w:r w:rsidRPr="000A349E">
              <w:rPr>
                <w:color w:val="000000"/>
                <w:lang w:val="en-CA" w:eastAsia="en-CA"/>
              </w:rPr>
              <w:t>Grand Total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690DE388" w14:textId="77777777" w:rsidR="00B02D49" w:rsidRPr="000A349E" w:rsidRDefault="00B02D49" w:rsidP="004507F0">
            <w:pPr>
              <w:pStyle w:val="ExhibitText"/>
              <w:jc w:val="right"/>
              <w:rPr>
                <w:color w:val="000000"/>
                <w:lang w:val="en-CA" w:eastAsia="en-CA"/>
              </w:rPr>
            </w:pPr>
            <w:r w:rsidRPr="000A349E">
              <w:rPr>
                <w:color w:val="000000"/>
                <w:lang w:val="en-CA" w:eastAsia="en-CA"/>
              </w:rPr>
              <w:t>$103,801,721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54DECABF" w14:textId="77777777" w:rsidR="00B02D49" w:rsidRPr="000A349E" w:rsidRDefault="00B02D49" w:rsidP="004507F0">
            <w:pPr>
              <w:pStyle w:val="ExhibitText"/>
              <w:jc w:val="right"/>
              <w:rPr>
                <w:color w:val="000000"/>
                <w:lang w:val="en-CA" w:eastAsia="en-CA"/>
              </w:rPr>
            </w:pPr>
            <w:r w:rsidRPr="000A349E">
              <w:rPr>
                <w:color w:val="000000"/>
                <w:lang w:val="en-CA" w:eastAsia="en-CA"/>
              </w:rPr>
              <w:t>$97,955,667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0214E246" w14:textId="77777777" w:rsidR="00B02D49" w:rsidRPr="000A349E" w:rsidRDefault="00B02D49" w:rsidP="004507F0">
            <w:pPr>
              <w:pStyle w:val="ExhibitText"/>
              <w:jc w:val="right"/>
              <w:rPr>
                <w:color w:val="000000"/>
                <w:lang w:val="en-CA" w:eastAsia="en-CA"/>
              </w:rPr>
            </w:pPr>
            <w:r w:rsidRPr="000A349E">
              <w:rPr>
                <w:color w:val="000000"/>
                <w:lang w:val="en-CA" w:eastAsia="en-CA"/>
              </w:rPr>
              <w:t>$340,660,740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6394595" w14:textId="77777777" w:rsidR="00B02D49" w:rsidRPr="000A349E" w:rsidRDefault="00B02D49" w:rsidP="004507F0">
            <w:pPr>
              <w:pStyle w:val="ExhibitText"/>
              <w:jc w:val="right"/>
              <w:rPr>
                <w:color w:val="000000"/>
                <w:lang w:val="en-CA" w:eastAsia="en-CA"/>
              </w:rPr>
            </w:pPr>
            <w:r w:rsidRPr="000A349E">
              <w:rPr>
                <w:color w:val="000000"/>
                <w:lang w:val="en-CA" w:eastAsia="en-CA"/>
              </w:rPr>
              <w:t>$56,353,676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0E2F6124" w14:textId="77777777" w:rsidR="00B02D49" w:rsidRPr="000A349E" w:rsidRDefault="00B02D49" w:rsidP="004507F0">
            <w:pPr>
              <w:pStyle w:val="ExhibitText"/>
              <w:jc w:val="right"/>
              <w:rPr>
                <w:color w:val="000000"/>
                <w:lang w:val="en-CA" w:eastAsia="en-CA"/>
              </w:rPr>
            </w:pPr>
            <w:r w:rsidRPr="000A349E">
              <w:rPr>
                <w:color w:val="000000"/>
                <w:lang w:val="en-CA" w:eastAsia="en-CA"/>
              </w:rPr>
              <w:t>$598,771,804</w:t>
            </w:r>
          </w:p>
        </w:tc>
      </w:tr>
      <w:tr w:rsidR="00B02D49" w:rsidRPr="000A349E" w14:paraId="0C605199" w14:textId="77777777" w:rsidTr="008D604C">
        <w:trPr>
          <w:trHeight w:val="20"/>
          <w:jc w:val="center"/>
        </w:trPr>
        <w:tc>
          <w:tcPr>
            <w:tcW w:w="1275" w:type="dxa"/>
            <w:shd w:val="clear" w:color="auto" w:fill="auto"/>
            <w:noWrap/>
            <w:vAlign w:val="center"/>
          </w:tcPr>
          <w:p w14:paraId="1E512C09" w14:textId="53CC9A1C" w:rsidR="00B02D49" w:rsidRPr="000A349E" w:rsidRDefault="00B02D49">
            <w:pPr>
              <w:pStyle w:val="ExhibitText"/>
              <w:rPr>
                <w:color w:val="000000"/>
                <w:lang w:val="en-CA" w:eastAsia="en-CA"/>
              </w:rPr>
            </w:pPr>
            <w:r w:rsidRPr="000A349E">
              <w:rPr>
                <w:color w:val="000000"/>
                <w:lang w:val="en-CA" w:eastAsia="en-CA"/>
              </w:rPr>
              <w:t>2015</w:t>
            </w:r>
            <w:r w:rsidR="00F24B94" w:rsidRPr="000A349E">
              <w:rPr>
                <w:color w:val="000000"/>
                <w:lang w:val="en-CA" w:eastAsia="en-CA"/>
              </w:rPr>
              <w:t>–</w:t>
            </w:r>
            <w:r w:rsidRPr="000A349E">
              <w:rPr>
                <w:color w:val="000000"/>
                <w:lang w:val="en-CA" w:eastAsia="en-CA"/>
              </w:rPr>
              <w:t>2016 % Change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B130F57" w14:textId="77777777" w:rsidR="00B02D49" w:rsidRPr="000A349E" w:rsidRDefault="00B02D49" w:rsidP="004507F0">
            <w:pPr>
              <w:pStyle w:val="ExhibitText"/>
              <w:jc w:val="right"/>
              <w:rPr>
                <w:color w:val="000000"/>
                <w:lang w:val="en-CA" w:eastAsia="en-CA"/>
              </w:rPr>
            </w:pPr>
            <w:r w:rsidRPr="000A349E">
              <w:rPr>
                <w:color w:val="000000"/>
                <w:lang w:val="en-CA" w:eastAsia="en-CA"/>
              </w:rPr>
              <w:t>21.84%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15404DAE" w14:textId="77777777" w:rsidR="00B02D49" w:rsidRPr="000A349E" w:rsidRDefault="00B02D49" w:rsidP="004507F0">
            <w:pPr>
              <w:pStyle w:val="ExhibitText"/>
              <w:jc w:val="right"/>
              <w:rPr>
                <w:color w:val="000000"/>
                <w:lang w:val="en-CA" w:eastAsia="en-CA"/>
              </w:rPr>
            </w:pPr>
            <w:r w:rsidRPr="000A349E">
              <w:rPr>
                <w:color w:val="000000"/>
                <w:lang w:val="en-CA" w:eastAsia="en-CA"/>
              </w:rPr>
              <w:t>35.46%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5EF0D437" w14:textId="77777777" w:rsidR="00B02D49" w:rsidRPr="000A349E" w:rsidRDefault="00B02D49" w:rsidP="004507F0">
            <w:pPr>
              <w:pStyle w:val="ExhibitText"/>
              <w:jc w:val="right"/>
              <w:rPr>
                <w:color w:val="000000"/>
                <w:lang w:val="en-CA" w:eastAsia="en-CA"/>
              </w:rPr>
            </w:pPr>
            <w:r w:rsidRPr="000A349E">
              <w:rPr>
                <w:color w:val="000000"/>
                <w:lang w:val="en-CA" w:eastAsia="en-CA"/>
              </w:rPr>
              <w:t>31.69%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580A312C" w14:textId="77777777" w:rsidR="00B02D49" w:rsidRPr="000A349E" w:rsidRDefault="00B02D49" w:rsidP="004507F0">
            <w:pPr>
              <w:pStyle w:val="ExhibitText"/>
              <w:jc w:val="right"/>
              <w:rPr>
                <w:color w:val="000000"/>
                <w:lang w:val="en-CA" w:eastAsia="en-CA"/>
              </w:rPr>
            </w:pPr>
            <w:r w:rsidRPr="000A349E">
              <w:rPr>
                <w:color w:val="000000"/>
                <w:lang w:val="en-CA" w:eastAsia="en-CA"/>
              </w:rPr>
              <w:t>17.16%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1A0D541B" w14:textId="77777777" w:rsidR="00B02D49" w:rsidRPr="000A349E" w:rsidRDefault="00B02D49" w:rsidP="004507F0">
            <w:pPr>
              <w:pStyle w:val="ExhibitText"/>
              <w:jc w:val="right"/>
              <w:rPr>
                <w:color w:val="000000"/>
                <w:lang w:val="en-CA" w:eastAsia="en-CA"/>
              </w:rPr>
            </w:pPr>
            <w:r w:rsidRPr="000A349E">
              <w:rPr>
                <w:color w:val="000000"/>
                <w:lang w:val="en-CA" w:eastAsia="en-CA"/>
              </w:rPr>
              <w:t>29.25%</w:t>
            </w:r>
          </w:p>
        </w:tc>
      </w:tr>
      <w:tr w:rsidR="00B02D49" w:rsidRPr="000A349E" w14:paraId="68CB3DB4" w14:textId="77777777" w:rsidTr="008D604C">
        <w:trPr>
          <w:trHeight w:val="20"/>
          <w:jc w:val="center"/>
        </w:trPr>
        <w:tc>
          <w:tcPr>
            <w:tcW w:w="1275" w:type="dxa"/>
            <w:shd w:val="clear" w:color="auto" w:fill="auto"/>
            <w:noWrap/>
            <w:vAlign w:val="center"/>
          </w:tcPr>
          <w:p w14:paraId="6627207D" w14:textId="39C1CF37" w:rsidR="00B02D49" w:rsidRPr="000A349E" w:rsidRDefault="00B02D49">
            <w:pPr>
              <w:pStyle w:val="ExhibitText"/>
              <w:rPr>
                <w:color w:val="000000"/>
                <w:lang w:val="en-CA" w:eastAsia="en-CA"/>
              </w:rPr>
            </w:pPr>
            <w:r w:rsidRPr="000A349E">
              <w:rPr>
                <w:color w:val="000000"/>
                <w:lang w:val="en-CA" w:eastAsia="en-CA"/>
              </w:rPr>
              <w:t>2016</w:t>
            </w:r>
            <w:r w:rsidR="00F24B94" w:rsidRPr="000A349E">
              <w:rPr>
                <w:color w:val="000000"/>
                <w:lang w:val="en-CA" w:eastAsia="en-CA"/>
              </w:rPr>
              <w:t>–</w:t>
            </w:r>
            <w:r w:rsidRPr="000A349E">
              <w:rPr>
                <w:color w:val="000000"/>
                <w:lang w:val="en-CA" w:eastAsia="en-CA"/>
              </w:rPr>
              <w:t>2017 % Change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06164750" w14:textId="3AE09DDD" w:rsidR="00B02D49" w:rsidRPr="000A349E" w:rsidRDefault="00B02D49" w:rsidP="004507F0">
            <w:pPr>
              <w:pStyle w:val="ExhibitText"/>
              <w:jc w:val="right"/>
              <w:rPr>
                <w:color w:val="000000"/>
                <w:lang w:val="en-CA" w:eastAsia="en-CA"/>
              </w:rPr>
            </w:pPr>
            <w:r w:rsidRPr="000A349E">
              <w:rPr>
                <w:color w:val="000000"/>
                <w:lang w:val="en-CA" w:eastAsia="en-CA"/>
              </w:rPr>
              <w:t>20</w:t>
            </w:r>
            <w:r w:rsidR="00F24B94" w:rsidRPr="000A349E">
              <w:rPr>
                <w:color w:val="000000"/>
                <w:lang w:val="en-CA" w:eastAsia="en-CA"/>
              </w:rPr>
              <w:t>.00</w:t>
            </w:r>
            <w:r w:rsidRPr="000A349E">
              <w:rPr>
                <w:color w:val="000000"/>
                <w:lang w:val="en-CA" w:eastAsia="en-CA"/>
              </w:rPr>
              <w:t>%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1FBA6AC2" w14:textId="5614F968" w:rsidR="00B02D49" w:rsidRPr="000A349E" w:rsidRDefault="00B02D49" w:rsidP="004507F0">
            <w:pPr>
              <w:pStyle w:val="ExhibitText"/>
              <w:jc w:val="right"/>
              <w:rPr>
                <w:color w:val="000000"/>
                <w:lang w:val="en-CA" w:eastAsia="en-CA"/>
              </w:rPr>
            </w:pPr>
            <w:r w:rsidRPr="000A349E">
              <w:rPr>
                <w:color w:val="000000"/>
                <w:lang w:val="en-CA" w:eastAsia="en-CA"/>
              </w:rPr>
              <w:t>23</w:t>
            </w:r>
            <w:r w:rsidR="00F24B94" w:rsidRPr="000A349E">
              <w:rPr>
                <w:color w:val="000000"/>
                <w:lang w:val="en-CA" w:eastAsia="en-CA"/>
              </w:rPr>
              <w:t>.00</w:t>
            </w:r>
            <w:r w:rsidRPr="000A349E">
              <w:rPr>
                <w:color w:val="000000"/>
                <w:lang w:val="en-CA" w:eastAsia="en-CA"/>
              </w:rPr>
              <w:t>%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4D9E4BC6" w14:textId="7DB0E79D" w:rsidR="00B02D49" w:rsidRPr="000A349E" w:rsidRDefault="00B02D49" w:rsidP="004507F0">
            <w:pPr>
              <w:pStyle w:val="ExhibitText"/>
              <w:jc w:val="right"/>
              <w:rPr>
                <w:color w:val="000000"/>
                <w:lang w:val="en-CA" w:eastAsia="en-CA"/>
              </w:rPr>
            </w:pPr>
            <w:r w:rsidRPr="000A349E">
              <w:rPr>
                <w:color w:val="000000"/>
                <w:lang w:val="en-CA" w:eastAsia="en-CA"/>
              </w:rPr>
              <w:t>29</w:t>
            </w:r>
            <w:r w:rsidR="00F24B94" w:rsidRPr="000A349E">
              <w:rPr>
                <w:color w:val="000000"/>
                <w:lang w:val="en-CA" w:eastAsia="en-CA"/>
              </w:rPr>
              <w:t>.00</w:t>
            </w:r>
            <w:r w:rsidRPr="000A349E">
              <w:rPr>
                <w:color w:val="000000"/>
                <w:lang w:val="en-CA" w:eastAsia="en-CA"/>
              </w:rPr>
              <w:t>%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4CCDC6B7" w14:textId="06B27444" w:rsidR="00B02D49" w:rsidRPr="000A349E" w:rsidRDefault="00B02D49" w:rsidP="004507F0">
            <w:pPr>
              <w:pStyle w:val="ExhibitText"/>
              <w:jc w:val="right"/>
              <w:rPr>
                <w:color w:val="000000"/>
                <w:lang w:val="en-CA" w:eastAsia="en-CA"/>
              </w:rPr>
            </w:pPr>
            <w:r w:rsidRPr="000A349E">
              <w:rPr>
                <w:color w:val="000000"/>
                <w:lang w:val="en-CA" w:eastAsia="en-CA"/>
              </w:rPr>
              <w:t>101.7</w:t>
            </w:r>
            <w:r w:rsidR="00F24B94" w:rsidRPr="000A349E">
              <w:rPr>
                <w:color w:val="000000"/>
                <w:lang w:val="en-CA" w:eastAsia="en-CA"/>
              </w:rPr>
              <w:t>0</w:t>
            </w:r>
            <w:r w:rsidRPr="000A349E">
              <w:rPr>
                <w:color w:val="000000"/>
                <w:lang w:val="en-CA" w:eastAsia="en-CA"/>
              </w:rPr>
              <w:t>%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0D4D47E1" w14:textId="0722FC7E" w:rsidR="00B02D49" w:rsidRPr="000A349E" w:rsidRDefault="00B02D49" w:rsidP="004507F0">
            <w:pPr>
              <w:pStyle w:val="ExhibitText"/>
              <w:jc w:val="right"/>
              <w:rPr>
                <w:color w:val="000000"/>
                <w:lang w:val="en-CA" w:eastAsia="en-CA"/>
              </w:rPr>
            </w:pPr>
            <w:r w:rsidRPr="000A349E">
              <w:rPr>
                <w:color w:val="000000"/>
                <w:lang w:val="en-CA" w:eastAsia="en-CA"/>
              </w:rPr>
              <w:t>32</w:t>
            </w:r>
            <w:r w:rsidR="00F24B94" w:rsidRPr="000A349E">
              <w:rPr>
                <w:color w:val="000000"/>
                <w:lang w:val="en-CA" w:eastAsia="en-CA"/>
              </w:rPr>
              <w:t>.00</w:t>
            </w:r>
            <w:r w:rsidRPr="000A349E">
              <w:rPr>
                <w:color w:val="000000"/>
                <w:lang w:val="en-CA" w:eastAsia="en-CA"/>
              </w:rPr>
              <w:t>%</w:t>
            </w:r>
          </w:p>
        </w:tc>
      </w:tr>
    </w:tbl>
    <w:p w14:paraId="580B20B8" w14:textId="77777777" w:rsidR="00B02D49" w:rsidRPr="000A349E" w:rsidRDefault="00B02D49" w:rsidP="00B02D49">
      <w:pPr>
        <w:pStyle w:val="ExhibitText"/>
        <w:rPr>
          <w:lang w:val="en-CA"/>
        </w:rPr>
      </w:pPr>
    </w:p>
    <w:p w14:paraId="3DF31620" w14:textId="35142F03" w:rsidR="00B02D49" w:rsidRPr="000A349E" w:rsidRDefault="00B02D49" w:rsidP="008D604C">
      <w:pPr>
        <w:pStyle w:val="ExhibitText"/>
        <w:jc w:val="center"/>
        <w:rPr>
          <w:b/>
          <w:lang w:val="en-CA"/>
        </w:rPr>
      </w:pPr>
      <w:r w:rsidRPr="000A349E">
        <w:rPr>
          <w:b/>
          <w:lang w:val="en-CA"/>
        </w:rPr>
        <w:t>Number of Customers per Segment</w:t>
      </w:r>
    </w:p>
    <w:p w14:paraId="31A496F4" w14:textId="77777777" w:rsidR="00B02D49" w:rsidRPr="000A349E" w:rsidRDefault="00B02D49" w:rsidP="004507F0">
      <w:pPr>
        <w:pStyle w:val="Footnote"/>
        <w:rPr>
          <w:lang w:val="en-CA"/>
        </w:rPr>
      </w:pPr>
    </w:p>
    <w:tbl>
      <w:tblPr>
        <w:tblStyle w:val="LightList-Accent5"/>
        <w:tblW w:w="74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7"/>
        <w:gridCol w:w="1278"/>
        <w:gridCol w:w="1170"/>
        <w:gridCol w:w="1530"/>
        <w:gridCol w:w="900"/>
        <w:gridCol w:w="1617"/>
      </w:tblGrid>
      <w:tr w:rsidR="00B02D49" w:rsidRPr="000A349E" w14:paraId="0E298103" w14:textId="77777777" w:rsidTr="006A09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  <w:shd w:val="clear" w:color="auto" w:fill="auto"/>
            <w:noWrap/>
            <w:vAlign w:val="center"/>
            <w:hideMark/>
          </w:tcPr>
          <w:p w14:paraId="123FD381" w14:textId="77777777" w:rsidR="00B02D49" w:rsidRPr="000A349E" w:rsidRDefault="00B02D49" w:rsidP="006A09A2">
            <w:pPr>
              <w:pStyle w:val="ExhibitText"/>
              <w:jc w:val="left"/>
              <w:rPr>
                <w:color w:val="auto"/>
                <w:lang w:val="en-CA" w:eastAsia="en-CA"/>
              </w:rPr>
            </w:pPr>
            <w:r w:rsidRPr="000A349E">
              <w:rPr>
                <w:color w:val="auto"/>
                <w:lang w:val="en-CA" w:eastAsia="en-CA"/>
              </w:rPr>
              <w:t>Year</w:t>
            </w:r>
          </w:p>
        </w:tc>
        <w:tc>
          <w:tcPr>
            <w:tcW w:w="1278" w:type="dxa"/>
            <w:shd w:val="clear" w:color="auto" w:fill="auto"/>
            <w:vAlign w:val="center"/>
          </w:tcPr>
          <w:p w14:paraId="35A1AC91" w14:textId="77777777" w:rsidR="00B02D49" w:rsidRPr="000A349E" w:rsidRDefault="00B02D49" w:rsidP="006A09A2">
            <w:pPr>
              <w:pStyle w:val="Exhibit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CA" w:eastAsia="en-CA"/>
              </w:rPr>
            </w:pPr>
            <w:r w:rsidRPr="000A349E">
              <w:rPr>
                <w:color w:val="auto"/>
                <w:lang w:val="en-CA" w:eastAsia="en-CA"/>
              </w:rPr>
              <w:t>University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16661311" w14:textId="77777777" w:rsidR="00B02D49" w:rsidRPr="000A349E" w:rsidRDefault="00B02D49" w:rsidP="006A09A2">
            <w:pPr>
              <w:pStyle w:val="Exhibit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CA" w:eastAsia="en-CA"/>
              </w:rPr>
            </w:pPr>
            <w:r w:rsidRPr="000A349E">
              <w:rPr>
                <w:color w:val="auto"/>
                <w:lang w:val="en-CA" w:eastAsia="en-CA"/>
              </w:rPr>
              <w:t>College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64F6253A" w14:textId="77777777" w:rsidR="00B02D49" w:rsidRPr="000A349E" w:rsidRDefault="00B02D49" w:rsidP="006A09A2">
            <w:pPr>
              <w:pStyle w:val="Exhibit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CA" w:eastAsia="en-CA"/>
              </w:rPr>
            </w:pPr>
            <w:bookmarkStart w:id="18" w:name="_GoBack"/>
            <w:bookmarkEnd w:id="18"/>
            <w:r w:rsidRPr="000A349E">
              <w:rPr>
                <w:color w:val="auto"/>
                <w:lang w:val="en-CA" w:eastAsia="en-CA"/>
              </w:rPr>
              <w:t>School Board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51FF08CC" w14:textId="77777777" w:rsidR="00B02D49" w:rsidRPr="000A349E" w:rsidRDefault="00B02D49" w:rsidP="006A09A2">
            <w:pPr>
              <w:pStyle w:val="Exhibit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CA" w:eastAsia="en-CA"/>
              </w:rPr>
            </w:pPr>
            <w:r w:rsidRPr="000A349E">
              <w:rPr>
                <w:color w:val="auto"/>
                <w:lang w:val="en-CA" w:eastAsia="en-CA"/>
              </w:rPr>
              <w:t>BPS</w:t>
            </w:r>
          </w:p>
        </w:tc>
        <w:tc>
          <w:tcPr>
            <w:tcW w:w="1617" w:type="dxa"/>
            <w:shd w:val="clear" w:color="auto" w:fill="auto"/>
            <w:vAlign w:val="center"/>
          </w:tcPr>
          <w:p w14:paraId="40015513" w14:textId="77777777" w:rsidR="00B02D49" w:rsidRPr="000A349E" w:rsidRDefault="00B02D49" w:rsidP="006A09A2">
            <w:pPr>
              <w:pStyle w:val="Exhibit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CA" w:eastAsia="en-CA"/>
              </w:rPr>
            </w:pPr>
            <w:r w:rsidRPr="000A349E">
              <w:rPr>
                <w:color w:val="auto"/>
                <w:lang w:val="en-CA" w:eastAsia="en-CA"/>
              </w:rPr>
              <w:t>Grand Total</w:t>
            </w:r>
          </w:p>
        </w:tc>
      </w:tr>
      <w:tr w:rsidR="00B02D49" w:rsidRPr="000A349E" w14:paraId="57A20F4A" w14:textId="77777777" w:rsidTr="006A09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auto"/>
            <w:noWrap/>
            <w:hideMark/>
          </w:tcPr>
          <w:p w14:paraId="69471206" w14:textId="77777777" w:rsidR="00B02D49" w:rsidRPr="000A349E" w:rsidRDefault="00B02D49" w:rsidP="00B02D49">
            <w:pPr>
              <w:pStyle w:val="ExhibitText"/>
              <w:rPr>
                <w:color w:val="000000"/>
                <w:lang w:val="en-CA" w:eastAsia="en-CA"/>
              </w:rPr>
            </w:pPr>
            <w:r w:rsidRPr="000A349E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1278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</w:tcPr>
          <w:p w14:paraId="668B6A63" w14:textId="77777777" w:rsidR="00B02D49" w:rsidRPr="000A349E" w:rsidRDefault="00B02D49" w:rsidP="004507F0">
            <w:pPr>
              <w:pStyle w:val="ExhibitTex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val="en-CA" w:eastAsia="en-CA"/>
              </w:rPr>
            </w:pPr>
            <w:r w:rsidRPr="000A349E">
              <w:rPr>
                <w:color w:val="000000"/>
                <w:lang w:val="en-CA" w:eastAsia="en-CA"/>
              </w:rPr>
              <w:t>21</w:t>
            </w:r>
          </w:p>
        </w:tc>
        <w:tc>
          <w:tcPr>
            <w:tcW w:w="1170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</w:tcPr>
          <w:p w14:paraId="0D7D3B9F" w14:textId="77777777" w:rsidR="00B02D49" w:rsidRPr="000A349E" w:rsidRDefault="00B02D49" w:rsidP="004507F0">
            <w:pPr>
              <w:pStyle w:val="ExhibitTex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val="en-CA" w:eastAsia="en-CA"/>
              </w:rPr>
            </w:pPr>
            <w:r w:rsidRPr="000A349E">
              <w:rPr>
                <w:color w:val="000000"/>
                <w:lang w:val="en-CA" w:eastAsia="en-CA"/>
              </w:rPr>
              <w:t>24</w:t>
            </w:r>
          </w:p>
        </w:tc>
        <w:tc>
          <w:tcPr>
            <w:tcW w:w="1530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</w:tcPr>
          <w:p w14:paraId="18650C92" w14:textId="77777777" w:rsidR="00B02D49" w:rsidRPr="000A349E" w:rsidRDefault="00B02D49" w:rsidP="004507F0">
            <w:pPr>
              <w:pStyle w:val="ExhibitTex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val="en-CA" w:eastAsia="en-CA"/>
              </w:rPr>
            </w:pPr>
            <w:r w:rsidRPr="000A349E">
              <w:rPr>
                <w:color w:val="000000"/>
                <w:lang w:val="en-CA" w:eastAsia="en-CA"/>
              </w:rPr>
              <w:t>69</w:t>
            </w:r>
          </w:p>
        </w:tc>
        <w:tc>
          <w:tcPr>
            <w:tcW w:w="900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</w:tcPr>
          <w:p w14:paraId="779FED4A" w14:textId="77777777" w:rsidR="00B02D49" w:rsidRPr="000A349E" w:rsidRDefault="00B02D49" w:rsidP="004507F0">
            <w:pPr>
              <w:pStyle w:val="ExhibitTex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val="en-CA" w:eastAsia="en-CA"/>
              </w:rPr>
            </w:pPr>
            <w:r w:rsidRPr="000A349E">
              <w:rPr>
                <w:color w:val="000000"/>
                <w:lang w:val="en-CA" w:eastAsia="en-CA"/>
              </w:rPr>
              <w:t>208</w:t>
            </w:r>
          </w:p>
        </w:tc>
        <w:tc>
          <w:tcPr>
            <w:tcW w:w="161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4D5F2F2F" w14:textId="77777777" w:rsidR="00B02D49" w:rsidRPr="000A349E" w:rsidRDefault="00B02D49" w:rsidP="004507F0">
            <w:pPr>
              <w:pStyle w:val="ExhibitTex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val="en-CA" w:eastAsia="en-CA"/>
              </w:rPr>
            </w:pPr>
            <w:r w:rsidRPr="000A349E">
              <w:rPr>
                <w:bCs/>
                <w:color w:val="000000"/>
                <w:lang w:val="en-CA" w:eastAsia="en-CA"/>
              </w:rPr>
              <w:t>322</w:t>
            </w:r>
          </w:p>
        </w:tc>
      </w:tr>
      <w:tr w:rsidR="00B02D49" w:rsidRPr="000A349E" w14:paraId="767650FA" w14:textId="77777777" w:rsidTr="006A09A2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  <w:shd w:val="clear" w:color="auto" w:fill="auto"/>
            <w:noWrap/>
            <w:hideMark/>
          </w:tcPr>
          <w:p w14:paraId="7F317554" w14:textId="77777777" w:rsidR="00B02D49" w:rsidRPr="000A349E" w:rsidRDefault="00B02D49" w:rsidP="00B02D49">
            <w:pPr>
              <w:pStyle w:val="ExhibitText"/>
              <w:rPr>
                <w:color w:val="000000"/>
                <w:lang w:val="en-CA" w:eastAsia="en-CA"/>
              </w:rPr>
            </w:pPr>
            <w:r w:rsidRPr="000A349E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1278" w:type="dxa"/>
            <w:shd w:val="clear" w:color="auto" w:fill="auto"/>
          </w:tcPr>
          <w:p w14:paraId="276F037D" w14:textId="77777777" w:rsidR="00B02D49" w:rsidRPr="000A349E" w:rsidRDefault="00B02D49" w:rsidP="004507F0">
            <w:pPr>
              <w:pStyle w:val="ExhibitTex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en-CA" w:eastAsia="en-CA"/>
              </w:rPr>
            </w:pPr>
            <w:r w:rsidRPr="000A349E">
              <w:rPr>
                <w:color w:val="000000"/>
                <w:lang w:val="en-CA" w:eastAsia="en-CA"/>
              </w:rPr>
              <w:t>21</w:t>
            </w:r>
          </w:p>
        </w:tc>
        <w:tc>
          <w:tcPr>
            <w:tcW w:w="1170" w:type="dxa"/>
            <w:shd w:val="clear" w:color="auto" w:fill="auto"/>
          </w:tcPr>
          <w:p w14:paraId="68E5A282" w14:textId="77777777" w:rsidR="00B02D49" w:rsidRPr="000A349E" w:rsidRDefault="00B02D49" w:rsidP="004507F0">
            <w:pPr>
              <w:pStyle w:val="ExhibitTex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en-CA" w:eastAsia="en-CA"/>
              </w:rPr>
            </w:pPr>
            <w:r w:rsidRPr="000A349E">
              <w:rPr>
                <w:color w:val="000000"/>
                <w:lang w:val="en-CA" w:eastAsia="en-CA"/>
              </w:rPr>
              <w:t>24</w:t>
            </w:r>
          </w:p>
        </w:tc>
        <w:tc>
          <w:tcPr>
            <w:tcW w:w="1530" w:type="dxa"/>
            <w:shd w:val="clear" w:color="auto" w:fill="auto"/>
          </w:tcPr>
          <w:p w14:paraId="4C9835BC" w14:textId="77777777" w:rsidR="00B02D49" w:rsidRPr="000A349E" w:rsidRDefault="00B02D49" w:rsidP="004507F0">
            <w:pPr>
              <w:pStyle w:val="ExhibitTex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en-CA" w:eastAsia="en-CA"/>
              </w:rPr>
            </w:pPr>
            <w:r w:rsidRPr="000A349E">
              <w:rPr>
                <w:color w:val="000000"/>
                <w:lang w:val="en-CA" w:eastAsia="en-CA"/>
              </w:rPr>
              <w:t>71</w:t>
            </w:r>
          </w:p>
        </w:tc>
        <w:tc>
          <w:tcPr>
            <w:tcW w:w="900" w:type="dxa"/>
            <w:shd w:val="clear" w:color="auto" w:fill="auto"/>
          </w:tcPr>
          <w:p w14:paraId="06524557" w14:textId="77777777" w:rsidR="00B02D49" w:rsidRPr="000A349E" w:rsidRDefault="00B02D49" w:rsidP="004507F0">
            <w:pPr>
              <w:pStyle w:val="ExhibitTex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en-CA" w:eastAsia="en-CA"/>
              </w:rPr>
            </w:pPr>
            <w:r w:rsidRPr="000A349E">
              <w:rPr>
                <w:color w:val="000000"/>
                <w:lang w:val="en-CA" w:eastAsia="en-CA"/>
              </w:rPr>
              <w:t>292</w:t>
            </w:r>
          </w:p>
        </w:tc>
        <w:tc>
          <w:tcPr>
            <w:tcW w:w="1617" w:type="dxa"/>
            <w:shd w:val="clear" w:color="auto" w:fill="auto"/>
          </w:tcPr>
          <w:p w14:paraId="1D3ADE7E" w14:textId="77777777" w:rsidR="00B02D49" w:rsidRPr="000A349E" w:rsidRDefault="00B02D49" w:rsidP="004507F0">
            <w:pPr>
              <w:pStyle w:val="ExhibitTex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en-CA" w:eastAsia="en-CA"/>
              </w:rPr>
            </w:pPr>
            <w:r w:rsidRPr="000A349E">
              <w:rPr>
                <w:bCs/>
                <w:color w:val="000000"/>
                <w:lang w:val="en-CA" w:eastAsia="en-CA"/>
              </w:rPr>
              <w:t>408</w:t>
            </w:r>
          </w:p>
        </w:tc>
      </w:tr>
      <w:tr w:rsidR="00B02D49" w:rsidRPr="000A349E" w14:paraId="342189A9" w14:textId="77777777" w:rsidTr="006A09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auto"/>
            <w:noWrap/>
            <w:hideMark/>
          </w:tcPr>
          <w:p w14:paraId="340D726B" w14:textId="77777777" w:rsidR="00B02D49" w:rsidRPr="000A349E" w:rsidRDefault="00B02D49" w:rsidP="00B02D49">
            <w:pPr>
              <w:pStyle w:val="ExhibitText"/>
              <w:rPr>
                <w:color w:val="000000"/>
                <w:lang w:val="en-CA" w:eastAsia="en-CA"/>
              </w:rPr>
            </w:pPr>
            <w:r w:rsidRPr="000A349E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1278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</w:tcPr>
          <w:p w14:paraId="02EB466C" w14:textId="77777777" w:rsidR="00B02D49" w:rsidRPr="000A349E" w:rsidRDefault="00B02D49" w:rsidP="004507F0">
            <w:pPr>
              <w:pStyle w:val="ExhibitTex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val="en-CA" w:eastAsia="en-CA"/>
              </w:rPr>
            </w:pPr>
            <w:r w:rsidRPr="000A349E">
              <w:rPr>
                <w:color w:val="000000"/>
                <w:lang w:val="en-CA" w:eastAsia="en-CA"/>
              </w:rPr>
              <w:t>21</w:t>
            </w:r>
          </w:p>
        </w:tc>
        <w:tc>
          <w:tcPr>
            <w:tcW w:w="1170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</w:tcPr>
          <w:p w14:paraId="16F93EA8" w14:textId="77777777" w:rsidR="00B02D49" w:rsidRPr="000A349E" w:rsidRDefault="00B02D49" w:rsidP="004507F0">
            <w:pPr>
              <w:pStyle w:val="ExhibitTex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val="en-CA" w:eastAsia="en-CA"/>
              </w:rPr>
            </w:pPr>
            <w:r w:rsidRPr="000A349E">
              <w:rPr>
                <w:color w:val="000000"/>
                <w:lang w:val="en-CA" w:eastAsia="en-CA"/>
              </w:rPr>
              <w:t>24</w:t>
            </w:r>
          </w:p>
        </w:tc>
        <w:tc>
          <w:tcPr>
            <w:tcW w:w="1530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</w:tcPr>
          <w:p w14:paraId="72E566F5" w14:textId="77777777" w:rsidR="00B02D49" w:rsidRPr="000A349E" w:rsidRDefault="00B02D49" w:rsidP="004507F0">
            <w:pPr>
              <w:pStyle w:val="ExhibitTex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val="en-CA" w:eastAsia="en-CA"/>
              </w:rPr>
            </w:pPr>
            <w:r w:rsidRPr="000A349E">
              <w:rPr>
                <w:color w:val="000000"/>
                <w:lang w:val="en-CA" w:eastAsia="en-CA"/>
              </w:rPr>
              <w:t>72</w:t>
            </w:r>
          </w:p>
        </w:tc>
        <w:tc>
          <w:tcPr>
            <w:tcW w:w="900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</w:tcPr>
          <w:p w14:paraId="65ABB120" w14:textId="77777777" w:rsidR="00B02D49" w:rsidRPr="000A349E" w:rsidRDefault="00B02D49" w:rsidP="004507F0">
            <w:pPr>
              <w:pStyle w:val="ExhibitTex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val="en-CA" w:eastAsia="en-CA"/>
              </w:rPr>
            </w:pPr>
            <w:r w:rsidRPr="000A349E">
              <w:rPr>
                <w:color w:val="000000"/>
                <w:lang w:val="en-CA" w:eastAsia="en-CA"/>
              </w:rPr>
              <w:t>436</w:t>
            </w:r>
          </w:p>
        </w:tc>
        <w:tc>
          <w:tcPr>
            <w:tcW w:w="161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06B6F6AA" w14:textId="77777777" w:rsidR="00B02D49" w:rsidRPr="000A349E" w:rsidRDefault="00B02D49" w:rsidP="004507F0">
            <w:pPr>
              <w:pStyle w:val="ExhibitTex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val="en-CA" w:eastAsia="en-CA"/>
              </w:rPr>
            </w:pPr>
            <w:r w:rsidRPr="000A349E">
              <w:rPr>
                <w:bCs/>
                <w:color w:val="000000"/>
                <w:lang w:val="en-CA" w:eastAsia="en-CA"/>
              </w:rPr>
              <w:t>553</w:t>
            </w:r>
          </w:p>
        </w:tc>
      </w:tr>
    </w:tbl>
    <w:p w14:paraId="07F227A3" w14:textId="77777777" w:rsidR="00B02D49" w:rsidRPr="000A349E" w:rsidRDefault="00B02D49" w:rsidP="00B02D49">
      <w:pPr>
        <w:rPr>
          <w:i/>
          <w:lang w:val="en-CA"/>
        </w:rPr>
      </w:pPr>
    </w:p>
    <w:p w14:paraId="05AAF130" w14:textId="77777777" w:rsidR="00B02D49" w:rsidRPr="000A349E" w:rsidRDefault="00B02D49" w:rsidP="00B02D49">
      <w:pPr>
        <w:pStyle w:val="Footnote"/>
        <w:rPr>
          <w:lang w:val="en-CA"/>
        </w:rPr>
      </w:pPr>
      <w:r w:rsidRPr="000A349E">
        <w:rPr>
          <w:lang w:val="en-CA"/>
        </w:rPr>
        <w:t>Source: Organization documents.</w:t>
      </w:r>
    </w:p>
    <w:p w14:paraId="49B3D8AC" w14:textId="77777777" w:rsidR="00B87DC0" w:rsidRPr="000A349E" w:rsidRDefault="00B87DC0">
      <w:pPr>
        <w:pStyle w:val="Casehead1"/>
        <w:rPr>
          <w:lang w:val="en-CA"/>
        </w:rPr>
      </w:pPr>
    </w:p>
    <w:sectPr w:rsidR="00B87DC0" w:rsidRPr="000A349E" w:rsidSect="00751E0B">
      <w:headerReference w:type="default" r:id="rId15"/>
      <w:pgSz w:w="12240" w:h="15840" w:code="1"/>
      <w:pgMar w:top="1080" w:right="1440" w:bottom="1440" w:left="1440" w:header="1080" w:footer="720" w:gutter="0"/>
      <w:cols w:space="720"/>
      <w:titlePg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D38710F" w16cid:durableId="20B49001"/>
  <w16cid:commentId w16cid:paraId="0B051E27" w16cid:durableId="20B49002"/>
  <w16cid:commentId w16cid:paraId="41564CD0" w16cid:durableId="20B49003"/>
  <w16cid:commentId w16cid:paraId="046A6232" w16cid:durableId="20B49004"/>
  <w16cid:commentId w16cid:paraId="02509AEF" w16cid:durableId="20B49005"/>
  <w16cid:commentId w16cid:paraId="08EBFE93" w16cid:durableId="20B49006"/>
  <w16cid:commentId w16cid:paraId="10421EAF" w16cid:durableId="20B49007"/>
  <w16cid:commentId w16cid:paraId="18AA2F0D" w16cid:durableId="20B49008"/>
  <w16cid:commentId w16cid:paraId="165F353A" w16cid:durableId="20B49009"/>
  <w16cid:commentId w16cid:paraId="29DF6E5D" w16cid:durableId="20B4900A"/>
  <w16cid:commentId w16cid:paraId="7AF12003" w16cid:durableId="20B4900B"/>
  <w16cid:commentId w16cid:paraId="7AD43394" w16cid:durableId="20B4900C"/>
  <w16cid:commentId w16cid:paraId="3DAC3941" w16cid:durableId="20B4900D"/>
  <w16cid:commentId w16cid:paraId="5C44D045" w16cid:durableId="20B4900E"/>
  <w16cid:commentId w16cid:paraId="0BD567CF" w16cid:durableId="20B4900F"/>
  <w16cid:commentId w16cid:paraId="78A9DEAE" w16cid:durableId="20B49010"/>
  <w16cid:commentId w16cid:paraId="4CA8C167" w16cid:durableId="20B49011"/>
  <w16cid:commentId w16cid:paraId="211E9782" w16cid:durableId="20B49012"/>
  <w16cid:commentId w16cid:paraId="6FE91F06" w16cid:durableId="20B49013"/>
  <w16cid:commentId w16cid:paraId="6C27BF91" w16cid:durableId="20B49014"/>
  <w16cid:commentId w16cid:paraId="019AA193" w16cid:durableId="20B49015"/>
  <w16cid:commentId w16cid:paraId="17D126B0" w16cid:durableId="20B49016"/>
  <w16cid:commentId w16cid:paraId="205623BA" w16cid:durableId="20B49017"/>
  <w16cid:commentId w16cid:paraId="67EFC696" w16cid:durableId="20B49018"/>
  <w16cid:commentId w16cid:paraId="3D234633" w16cid:durableId="20B49019"/>
  <w16cid:commentId w16cid:paraId="1CC9E347" w16cid:durableId="20B4901A"/>
  <w16cid:commentId w16cid:paraId="0E5D4C9D" w16cid:durableId="20B4901B"/>
  <w16cid:commentId w16cid:paraId="500FDB52" w16cid:durableId="20B4901C"/>
  <w16cid:commentId w16cid:paraId="2CC38D18" w16cid:durableId="20E45141"/>
  <w16cid:commentId w16cid:paraId="68CEB7A6" w16cid:durableId="20B4901D"/>
  <w16cid:commentId w16cid:paraId="0D631CE9" w16cid:durableId="20B4901E"/>
  <w16cid:commentId w16cid:paraId="64BBB2DA" w16cid:durableId="20B4901F"/>
  <w16cid:commentId w16cid:paraId="7D001AC8" w16cid:durableId="20E451A1"/>
  <w16cid:commentId w16cid:paraId="7C920661" w16cid:durableId="20B49020"/>
  <w16cid:commentId w16cid:paraId="09D028F1" w16cid:durableId="20B49021"/>
  <w16cid:commentId w16cid:paraId="56DC8917" w16cid:durableId="20B49022"/>
  <w16cid:commentId w16cid:paraId="17D85AB3" w16cid:durableId="20B49023"/>
  <w16cid:commentId w16cid:paraId="4FF6074A" w16cid:durableId="20B49024"/>
  <w16cid:commentId w16cid:paraId="08A80A28" w16cid:durableId="20B49025"/>
  <w16cid:commentId w16cid:paraId="3472E24A" w16cid:durableId="20B49026"/>
  <w16cid:commentId w16cid:paraId="30CC8FB6" w16cid:durableId="20B49027"/>
  <w16cid:commentId w16cid:paraId="694A4408" w16cid:durableId="20B49028"/>
  <w16cid:commentId w16cid:paraId="3BC0EAAE" w16cid:durableId="20E4520D"/>
  <w16cid:commentId w16cid:paraId="55413F6E" w16cid:durableId="20B49029"/>
  <w16cid:commentId w16cid:paraId="61AD3D94" w16cid:durableId="20B4902A"/>
  <w16cid:commentId w16cid:paraId="62D8AD2F" w16cid:durableId="20B4902B"/>
  <w16cid:commentId w16cid:paraId="62E97AF4" w16cid:durableId="20B4902C"/>
  <w16cid:commentId w16cid:paraId="1C8F89CB" w16cid:durableId="20E452B7"/>
  <w16cid:commentId w16cid:paraId="263B5D99" w16cid:durableId="20B4902D"/>
  <w16cid:commentId w16cid:paraId="62A9D299" w16cid:durableId="20B4902E"/>
  <w16cid:commentId w16cid:paraId="40FB9E55" w16cid:durableId="20B4902F"/>
  <w16cid:commentId w16cid:paraId="57C6D314" w16cid:durableId="20B49030"/>
  <w16cid:commentId w16cid:paraId="74580426" w16cid:durableId="20B4903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B33105" w14:textId="77777777" w:rsidR="009C5DDE" w:rsidRDefault="009C5DDE" w:rsidP="00D75295">
      <w:r>
        <w:separator/>
      </w:r>
    </w:p>
  </w:endnote>
  <w:endnote w:type="continuationSeparator" w:id="0">
    <w:p w14:paraId="27267BB5" w14:textId="77777777" w:rsidR="009C5DDE" w:rsidRDefault="009C5DDE" w:rsidP="00D752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iTi_GB2312">
    <w:altName w:val="Microsoft YaHei"/>
    <w:charset w:val="86"/>
    <w:family w:val="modern"/>
    <w:pitch w:val="fixed"/>
    <w:sig w:usb0="800002BF" w:usb1="38CF7CFA" w:usb2="00000016" w:usb3="00000000" w:csb0="00040001" w:csb1="00000000"/>
  </w:font>
  <w:font w:name="Yu Mincho">
    <w:altName w:val="MS Gothic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DBD176" w14:textId="77777777" w:rsidR="009C5DDE" w:rsidRDefault="009C5DDE" w:rsidP="00D75295">
      <w:r>
        <w:separator/>
      </w:r>
    </w:p>
  </w:footnote>
  <w:footnote w:type="continuationSeparator" w:id="0">
    <w:p w14:paraId="23EB490B" w14:textId="77777777" w:rsidR="009C5DDE" w:rsidRDefault="009C5DDE" w:rsidP="00D75295">
      <w:r>
        <w:continuationSeparator/>
      </w:r>
    </w:p>
  </w:footnote>
  <w:footnote w:id="1">
    <w:p w14:paraId="423B9ECD" w14:textId="793ED4DE" w:rsidR="00313C2A" w:rsidRPr="004507F0" w:rsidRDefault="00313C2A" w:rsidP="004507F0">
      <w:pPr>
        <w:pStyle w:val="Footnote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CA"/>
        </w:rPr>
        <w:t>All currency amounts are in Canadian dollars unless otherwise specified.</w:t>
      </w:r>
    </w:p>
  </w:footnote>
  <w:footnote w:id="2">
    <w:p w14:paraId="7D1F91CC" w14:textId="395F750E" w:rsidR="00313C2A" w:rsidRPr="00B02D49" w:rsidRDefault="00313C2A" w:rsidP="00B02D49">
      <w:pPr>
        <w:pStyle w:val="Footnote"/>
      </w:pPr>
      <w:r w:rsidRPr="00B02D49">
        <w:rPr>
          <w:rStyle w:val="FootnoteReference"/>
        </w:rPr>
        <w:footnoteRef/>
      </w:r>
      <w:r w:rsidRPr="00B02D49">
        <w:t xml:space="preserve"> See</w:t>
      </w:r>
      <w:r>
        <w:t xml:space="preserve"> Supply Chain Ontario, “</w:t>
      </w:r>
      <w:r w:rsidRPr="00B02D49">
        <w:rPr>
          <w:rFonts w:eastAsia="Yu Mincho"/>
          <w:lang w:val="en-CA"/>
        </w:rPr>
        <w:t>Ontario Broader Public Sector Procurement Directive</w:t>
      </w:r>
      <w:r>
        <w:rPr>
          <w:rStyle w:val="Hyperlink"/>
          <w:color w:val="auto"/>
          <w:u w:val="none"/>
        </w:rPr>
        <w:t xml:space="preserve">,” July 1, 2011, </w:t>
      </w:r>
      <w:r>
        <w:t>Ontario Ministry of Government and Consumer Services,</w:t>
      </w:r>
      <w:r w:rsidRPr="00B02D49">
        <w:t xml:space="preserve"> </w:t>
      </w:r>
      <w:r w:rsidRPr="000A349E">
        <w:t xml:space="preserve">accessed April 22, 2019, </w:t>
      </w:r>
      <w:r w:rsidRPr="000A349E">
        <w:rPr>
          <w:rStyle w:val="Hyperlink"/>
          <w:color w:val="auto"/>
          <w:u w:val="none"/>
        </w:rPr>
        <w:t>www.doingbusiness</w:t>
      </w:r>
      <w:r w:rsidRPr="002C0285">
        <w:rPr>
          <w:rStyle w:val="Hyperlink"/>
          <w:color w:val="auto"/>
          <w:u w:val="none"/>
        </w:rPr>
        <w:t>.mgs</w:t>
      </w:r>
      <w:r w:rsidRPr="004210C6">
        <w:rPr>
          <w:rStyle w:val="Hyperlink"/>
          <w:color w:val="auto"/>
          <w:u w:val="none"/>
        </w:rPr>
        <w:t>.gov.on.ca/mbs/psb/psb.nsf/EN/bps-procure</w:t>
      </w:r>
      <w:r w:rsidRPr="00664061">
        <w:rPr>
          <w:rStyle w:val="Hyperlink"/>
          <w:color w:val="auto"/>
          <w:u w:val="none"/>
        </w:rPr>
        <w:t>mentdirective</w:t>
      </w:r>
      <w:r>
        <w:rPr>
          <w:rStyle w:val="Hyperlink"/>
          <w:color w:val="auto"/>
          <w:u w:val="none"/>
        </w:rPr>
        <w:t>.</w:t>
      </w:r>
    </w:p>
  </w:footnote>
  <w:footnote w:id="3">
    <w:p w14:paraId="3F2942D5" w14:textId="4C9D7C5B" w:rsidR="00313C2A" w:rsidRPr="00183407" w:rsidRDefault="00313C2A" w:rsidP="00B02D49">
      <w:pPr>
        <w:pStyle w:val="Footnote"/>
      </w:pPr>
      <w:r>
        <w:rPr>
          <w:rStyle w:val="FootnoteReference"/>
        </w:rPr>
        <w:footnoteRef/>
      </w:r>
      <w:r>
        <w:t xml:space="preserve"> Customers were the organiz</w:t>
      </w:r>
      <w:r w:rsidRPr="00AF4E22">
        <w:t>ation</w:t>
      </w:r>
      <w:r>
        <w:t>s</w:t>
      </w:r>
      <w:r w:rsidRPr="00AF4E22">
        <w:t xml:space="preserve"> purchasing </w:t>
      </w:r>
      <w:r>
        <w:t>through</w:t>
      </w:r>
      <w:r w:rsidRPr="00AF4E22">
        <w:t xml:space="preserve"> c</w:t>
      </w:r>
      <w:r>
        <w:t>ontracts</w:t>
      </w:r>
      <w:r w:rsidRPr="00AF4E22">
        <w:t>.</w:t>
      </w:r>
    </w:p>
  </w:footnote>
  <w:footnote w:id="4">
    <w:p w14:paraId="2CF5CBCF" w14:textId="372E59D4" w:rsidR="00313C2A" w:rsidRPr="00183407" w:rsidRDefault="00313C2A" w:rsidP="00B02D49">
      <w:pPr>
        <w:pStyle w:val="Footnote"/>
      </w:pPr>
      <w:r>
        <w:rPr>
          <w:rStyle w:val="FootnoteReference"/>
        </w:rPr>
        <w:footnoteRef/>
      </w:r>
      <w:r>
        <w:t xml:space="preserve"> Suppliers were the organizations that had fully executed agreements with OECM for the provision of goods and/or services.</w:t>
      </w:r>
    </w:p>
  </w:footnote>
  <w:footnote w:id="5">
    <w:p w14:paraId="6C988349" w14:textId="1B263A04" w:rsidR="00313C2A" w:rsidRPr="000A349E" w:rsidRDefault="00313C2A" w:rsidP="00B02D49">
      <w:pPr>
        <w:pStyle w:val="Footnote"/>
        <w:rPr>
          <w:spacing w:val="-2"/>
          <w:kern w:val="17"/>
        </w:rPr>
      </w:pPr>
      <w:r w:rsidRPr="000A349E">
        <w:rPr>
          <w:rStyle w:val="FootnoteReference"/>
          <w:spacing w:val="-2"/>
          <w:kern w:val="17"/>
        </w:rPr>
        <w:footnoteRef/>
      </w:r>
      <w:r w:rsidRPr="000A349E">
        <w:rPr>
          <w:spacing w:val="-2"/>
          <w:kern w:val="17"/>
        </w:rPr>
        <w:t xml:space="preserve"> Cost recovery fees, the fees that covered OECM’s expenses, </w:t>
      </w:r>
      <w:proofErr w:type="gramStart"/>
      <w:r w:rsidRPr="000A349E">
        <w:rPr>
          <w:spacing w:val="-2"/>
          <w:kern w:val="17"/>
        </w:rPr>
        <w:t>were taken</w:t>
      </w:r>
      <w:proofErr w:type="gramEnd"/>
      <w:r w:rsidRPr="000A349E">
        <w:rPr>
          <w:spacing w:val="-2"/>
          <w:kern w:val="17"/>
        </w:rPr>
        <w:t xml:space="preserve"> as a percentage of spend and charged to the suppliers.</w:t>
      </w:r>
    </w:p>
  </w:footnote>
  <w:footnote w:id="6">
    <w:p w14:paraId="31F1857A" w14:textId="04F60CAB" w:rsidR="00313C2A" w:rsidRPr="00C35AAB" w:rsidRDefault="00313C2A" w:rsidP="00B02D49">
      <w:pPr>
        <w:pStyle w:val="Footnote"/>
      </w:pPr>
      <w:r>
        <w:rPr>
          <w:rStyle w:val="FootnoteReference"/>
        </w:rPr>
        <w:footnoteRef/>
      </w:r>
      <w:r>
        <w:t xml:space="preserve"> Client supplier </w:t>
      </w:r>
      <w:r w:rsidRPr="00AF4E22">
        <w:t>agreement</w:t>
      </w:r>
      <w:r>
        <w:t>s</w:t>
      </w:r>
      <w:r w:rsidRPr="00AF4E22">
        <w:t xml:space="preserve"> between </w:t>
      </w:r>
      <w:r>
        <w:t>c</w:t>
      </w:r>
      <w:r w:rsidRPr="00AF4E22">
        <w:t>ustomer</w:t>
      </w:r>
      <w:r>
        <w:t>s</w:t>
      </w:r>
      <w:r w:rsidRPr="00AF4E22">
        <w:t xml:space="preserve"> and </w:t>
      </w:r>
      <w:r>
        <w:t>s</w:t>
      </w:r>
      <w:r w:rsidRPr="00AF4E22">
        <w:t>upplier</w:t>
      </w:r>
      <w:r>
        <w:t>s</w:t>
      </w:r>
      <w:r w:rsidRPr="00AF4E22">
        <w:t xml:space="preserve"> indicat</w:t>
      </w:r>
      <w:r>
        <w:t>ed</w:t>
      </w:r>
      <w:r w:rsidRPr="00AF4E22">
        <w:t xml:space="preserve"> </w:t>
      </w:r>
      <w:r>
        <w:t>terms</w:t>
      </w:r>
      <w:r w:rsidRPr="00AF4E22">
        <w:t xml:space="preserve"> regarding the goods</w:t>
      </w:r>
      <w:r>
        <w:t xml:space="preserve"> or services</w:t>
      </w:r>
      <w:r w:rsidRPr="00AF4E22">
        <w:t xml:space="preserve"> the </w:t>
      </w:r>
      <w:r>
        <w:t>s</w:t>
      </w:r>
      <w:r w:rsidRPr="00AF4E22">
        <w:t>upplier w</w:t>
      </w:r>
      <w:r>
        <w:t>ould</w:t>
      </w:r>
      <w:r w:rsidRPr="00AF4E22">
        <w:t xml:space="preserve"> provide to the </w:t>
      </w:r>
      <w:r>
        <w:t>c</w:t>
      </w:r>
      <w:r w:rsidRPr="00AF4E22">
        <w:t>ustomer.</w:t>
      </w:r>
    </w:p>
  </w:footnote>
  <w:footnote w:id="7">
    <w:p w14:paraId="199A59D6" w14:textId="1A2E93EA" w:rsidR="00313C2A" w:rsidRPr="00183407" w:rsidRDefault="00313C2A" w:rsidP="00B02D49">
      <w:pPr>
        <w:pStyle w:val="Footnote"/>
      </w:pPr>
      <w:r>
        <w:rPr>
          <w:rStyle w:val="FootnoteReference"/>
        </w:rPr>
        <w:footnoteRef/>
      </w:r>
      <w:r>
        <w:t xml:space="preserve"> A t</w:t>
      </w:r>
      <w:proofErr w:type="spellStart"/>
      <w:r>
        <w:rPr>
          <w:rFonts w:eastAsia="Yu Mincho"/>
          <w:lang w:val="en-CA"/>
        </w:rPr>
        <w:t>ransfer</w:t>
      </w:r>
      <w:proofErr w:type="spellEnd"/>
      <w:r>
        <w:rPr>
          <w:rFonts w:eastAsia="Yu Mincho"/>
          <w:lang w:val="en-CA"/>
        </w:rPr>
        <w:t xml:space="preserve"> p</w:t>
      </w:r>
      <w:r w:rsidRPr="00B02D49">
        <w:rPr>
          <w:rFonts w:eastAsia="Yu Mincho"/>
          <w:lang w:val="en-CA"/>
        </w:rPr>
        <w:t>a</w:t>
      </w:r>
      <w:r>
        <w:rPr>
          <w:rFonts w:eastAsia="Yu Mincho"/>
          <w:lang w:val="en-CA"/>
        </w:rPr>
        <w:t>yment a</w:t>
      </w:r>
      <w:r w:rsidRPr="00B02D49">
        <w:rPr>
          <w:rFonts w:eastAsia="Yu Mincho"/>
          <w:lang w:val="en-CA"/>
        </w:rPr>
        <w:t>greement</w:t>
      </w:r>
      <w:r>
        <w:rPr>
          <w:rFonts w:eastAsia="Yu Mincho"/>
          <w:lang w:val="en-CA"/>
        </w:rPr>
        <w:t xml:space="preserve"> </w:t>
      </w:r>
      <w:r w:rsidRPr="00B02D49">
        <w:rPr>
          <w:rFonts w:eastAsia="Yu Mincho"/>
          <w:lang w:val="en-CA"/>
        </w:rPr>
        <w:t>(TPA)</w:t>
      </w:r>
      <w:r>
        <w:rPr>
          <w:rFonts w:eastAsia="Yu Mincho"/>
          <w:lang w:val="en-CA"/>
        </w:rPr>
        <w:t xml:space="preserve"> </w:t>
      </w:r>
      <w:proofErr w:type="gramStart"/>
      <w:r>
        <w:rPr>
          <w:rFonts w:eastAsia="Yu Mincho"/>
          <w:lang w:val="en-CA"/>
        </w:rPr>
        <w:t xml:space="preserve">was </w:t>
      </w:r>
      <w:r w:rsidRPr="00D92E4B">
        <w:t>used</w:t>
      </w:r>
      <w:proofErr w:type="gramEnd"/>
      <w:r w:rsidRPr="00D92E4B">
        <w:t xml:space="preserve"> to manage and oversee </w:t>
      </w:r>
      <w:r>
        <w:t xml:space="preserve">government transfer payments </w:t>
      </w:r>
      <w:r w:rsidRPr="00D92E4B">
        <w:t>to recipient</w:t>
      </w:r>
      <w:r>
        <w:t>s; the transfer payments were cash grants</w:t>
      </w:r>
      <w:r w:rsidRPr="00D92E4B">
        <w:t>.</w:t>
      </w:r>
    </w:p>
  </w:footnote>
  <w:footnote w:id="8">
    <w:p w14:paraId="16BD6E06" w14:textId="4D4B4691" w:rsidR="00313C2A" w:rsidRPr="00B02D49" w:rsidRDefault="00313C2A" w:rsidP="00B02D49">
      <w:pPr>
        <w:pStyle w:val="Footnote"/>
      </w:pPr>
      <w:r w:rsidRPr="00B02D49">
        <w:rPr>
          <w:rStyle w:val="FootnoteReference"/>
        </w:rPr>
        <w:footnoteRef/>
      </w:r>
      <w:r w:rsidRPr="00B02D49">
        <w:t xml:space="preserve"> </w:t>
      </w:r>
      <w:r>
        <w:t xml:space="preserve">Contracts </w:t>
      </w:r>
      <w:proofErr w:type="gramStart"/>
      <w:r>
        <w:t>were</w:t>
      </w:r>
      <w:r w:rsidRPr="00B02D49">
        <w:t xml:space="preserve"> written</w:t>
      </w:r>
      <w:proofErr w:type="gramEnd"/>
      <w:r w:rsidRPr="00B02D49">
        <w:t xml:space="preserve"> agreement</w:t>
      </w:r>
      <w:r>
        <w:t>s</w:t>
      </w:r>
      <w:r w:rsidRPr="00B02D49">
        <w:t xml:space="preserve"> between OECM and the awarded </w:t>
      </w:r>
      <w:r>
        <w:t>s</w:t>
      </w:r>
      <w:r w:rsidRPr="00B02D49">
        <w:t>upplier</w:t>
      </w:r>
      <w:r>
        <w:t>s</w:t>
      </w:r>
      <w:r w:rsidRPr="00B02D49">
        <w:t>, outlining details of future exchange</w:t>
      </w:r>
      <w:r>
        <w:t>s</w:t>
      </w:r>
      <w:r w:rsidRPr="00B02D49">
        <w:t xml:space="preserve"> of goods or services.  </w:t>
      </w:r>
    </w:p>
  </w:footnote>
  <w:footnote w:id="9">
    <w:p w14:paraId="7C329EDD" w14:textId="7CA68430" w:rsidR="00313C2A" w:rsidRPr="00B02D49" w:rsidRDefault="00313C2A" w:rsidP="00B02D49">
      <w:pPr>
        <w:pStyle w:val="Footnote"/>
      </w:pPr>
      <w:r w:rsidRPr="00B02D49">
        <w:rPr>
          <w:rStyle w:val="FootnoteReference"/>
        </w:rPr>
        <w:footnoteRef/>
      </w:r>
      <w:r w:rsidRPr="00B02D49">
        <w:t xml:space="preserve"> </w:t>
      </w:r>
      <w:r>
        <w:t>Contract categories were s</w:t>
      </w:r>
      <w:r w:rsidRPr="00B02D49">
        <w:t xml:space="preserve">egments of the market </w:t>
      </w:r>
      <w:r>
        <w:t>for which</w:t>
      </w:r>
      <w:r w:rsidRPr="00B02D49">
        <w:t xml:space="preserve"> OECM currently ha</w:t>
      </w:r>
      <w:r>
        <w:t>d</w:t>
      </w:r>
      <w:r w:rsidRPr="00B02D49">
        <w:t xml:space="preserve"> </w:t>
      </w:r>
      <w:r>
        <w:t>c</w:t>
      </w:r>
      <w:r w:rsidRPr="00B02D49">
        <w:t>ontracts (e.g.</w:t>
      </w:r>
      <w:r>
        <w:t>,</w:t>
      </w:r>
      <w:r w:rsidRPr="00B02D49">
        <w:t xml:space="preserve"> furniture, computer services, </w:t>
      </w:r>
      <w:r>
        <w:t xml:space="preserve">and </w:t>
      </w:r>
      <w:r w:rsidRPr="00B02D49">
        <w:t>office supplies)</w:t>
      </w:r>
      <w:r>
        <w:t>.</w:t>
      </w:r>
    </w:p>
  </w:footnote>
  <w:footnote w:id="10">
    <w:p w14:paraId="3D057773" w14:textId="79372C78" w:rsidR="00313C2A" w:rsidRPr="000A349E" w:rsidRDefault="00313C2A" w:rsidP="00B02D49">
      <w:pPr>
        <w:pStyle w:val="Footnote"/>
        <w:rPr>
          <w:spacing w:val="-4"/>
          <w:kern w:val="17"/>
        </w:rPr>
      </w:pPr>
      <w:r w:rsidRPr="000A349E">
        <w:rPr>
          <w:rStyle w:val="FootnoteReference"/>
          <w:spacing w:val="-4"/>
          <w:kern w:val="17"/>
        </w:rPr>
        <w:footnoteRef/>
      </w:r>
      <w:r w:rsidRPr="000A349E">
        <w:rPr>
          <w:spacing w:val="-4"/>
          <w:kern w:val="17"/>
        </w:rPr>
        <w:t xml:space="preserve"> Contract participation was the number of contracts and the amount of spend that went through each contract a customer utilized.</w:t>
      </w:r>
    </w:p>
  </w:footnote>
  <w:footnote w:id="11">
    <w:p w14:paraId="2863C2EA" w14:textId="50B30AFD" w:rsidR="00313C2A" w:rsidRPr="000A349E" w:rsidRDefault="00313C2A" w:rsidP="00B02D49">
      <w:pPr>
        <w:pStyle w:val="Footnote"/>
        <w:rPr>
          <w:spacing w:val="-4"/>
          <w:kern w:val="17"/>
        </w:rPr>
      </w:pPr>
      <w:r w:rsidRPr="000A349E">
        <w:rPr>
          <w:rStyle w:val="FootnoteReference"/>
          <w:spacing w:val="-4"/>
          <w:kern w:val="17"/>
        </w:rPr>
        <w:footnoteRef/>
      </w:r>
      <w:r w:rsidRPr="000A349E">
        <w:rPr>
          <w:spacing w:val="-4"/>
          <w:kern w:val="17"/>
        </w:rPr>
        <w:t xml:space="preserve"> Requests for proposal were documents that solicited proposals, outlining the requirements and the terms and conditions of a competitive procurement. Proposals </w:t>
      </w:r>
      <w:proofErr w:type="gramStart"/>
      <w:r w:rsidRPr="000A349E">
        <w:rPr>
          <w:spacing w:val="-4"/>
          <w:kern w:val="17"/>
        </w:rPr>
        <w:t>were then assessed and scored,</w:t>
      </w:r>
      <w:proofErr w:type="gramEnd"/>
      <w:r w:rsidRPr="000A349E">
        <w:rPr>
          <w:spacing w:val="-4"/>
          <w:kern w:val="17"/>
        </w:rPr>
        <w:t xml:space="preserve"> and the highest-scoring submissions were awarded contracts.</w:t>
      </w:r>
    </w:p>
  </w:footnote>
  <w:footnote w:id="12">
    <w:p w14:paraId="6CDA5CDF" w14:textId="16B2A012" w:rsidR="00313C2A" w:rsidRPr="00183407" w:rsidRDefault="00313C2A" w:rsidP="00B02D49">
      <w:pPr>
        <w:pStyle w:val="Footnote"/>
      </w:pPr>
      <w:r>
        <w:rPr>
          <w:rStyle w:val="FootnoteReference"/>
        </w:rPr>
        <w:footnoteRef/>
      </w:r>
      <w:r>
        <w:t xml:space="preserve"> The broader public sector (BPS) was all publicly funded organizations in Ontario, including all hospitals, school boards, universities, agencies </w:t>
      </w:r>
      <w:r w:rsidRPr="00547CFF">
        <w:t>design</w:t>
      </w:r>
      <w:r>
        <w:t>ated as children’s aid societies, and other similar organizations</w:t>
      </w:r>
      <w:r w:rsidRPr="00547CFF">
        <w:t>.</w:t>
      </w:r>
      <w:r>
        <w:t xml:space="preserve"> </w:t>
      </w:r>
      <w:r w:rsidRPr="00001302">
        <w:t>For OECM’s purposes, BPS refer</w:t>
      </w:r>
      <w:r>
        <w:t>red</w:t>
      </w:r>
      <w:r w:rsidRPr="00001302">
        <w:t xml:space="preserve"> to the non-education public sector</w:t>
      </w:r>
      <w: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A67142" w14:textId="1C899E3E" w:rsidR="00313C2A" w:rsidRPr="00C92CC4" w:rsidRDefault="00313C2A" w:rsidP="001C7777">
    <w:pPr>
      <w:pBdr>
        <w:bottom w:val="single" w:sz="18" w:space="1" w:color="auto"/>
      </w:pBdr>
      <w:tabs>
        <w:tab w:val="left" w:pos="-1440"/>
        <w:tab w:val="left" w:pos="-720"/>
        <w:tab w:val="right" w:pos="9360"/>
      </w:tabs>
      <w:rPr>
        <w:sz w:val="18"/>
        <w:szCs w:val="18"/>
      </w:rPr>
    </w:pPr>
    <w:r>
      <w:rPr>
        <w:rFonts w:ascii="Arial" w:hAnsi="Arial"/>
        <w:b/>
      </w:rPr>
      <w:t xml:space="preserve">Page </w:t>
    </w:r>
    <w:r>
      <w:rPr>
        <w:rFonts w:ascii="Arial" w:hAnsi="Arial"/>
        <w:b/>
      </w:rPr>
      <w:fldChar w:fldCharType="begin"/>
    </w:r>
    <w:r>
      <w:rPr>
        <w:rFonts w:ascii="Arial" w:hAnsi="Arial"/>
        <w:b/>
      </w:rPr>
      <w:instrText>PAGE</w:instrText>
    </w:r>
    <w:r>
      <w:rPr>
        <w:rFonts w:ascii="Arial" w:hAnsi="Arial"/>
        <w:b/>
      </w:rPr>
      <w:fldChar w:fldCharType="separate"/>
    </w:r>
    <w:r w:rsidR="006A09A2">
      <w:rPr>
        <w:rFonts w:ascii="Arial" w:hAnsi="Arial"/>
        <w:b/>
        <w:noProof/>
      </w:rPr>
      <w:t>11</w:t>
    </w:r>
    <w:r>
      <w:rPr>
        <w:rFonts w:ascii="Arial" w:hAnsi="Arial"/>
        <w:b/>
      </w:rPr>
      <w:fldChar w:fldCharType="end"/>
    </w:r>
    <w:r w:rsidR="00301D54">
      <w:rPr>
        <w:rFonts w:ascii="Arial" w:hAnsi="Arial"/>
        <w:b/>
      </w:rPr>
      <w:tab/>
      <w:t>9B19M101</w:t>
    </w:r>
  </w:p>
  <w:p w14:paraId="2B53C0A0" w14:textId="77777777" w:rsidR="00313C2A" w:rsidRDefault="00313C2A" w:rsidP="00D13667">
    <w:pPr>
      <w:pStyle w:val="Header"/>
      <w:tabs>
        <w:tab w:val="clear" w:pos="4680"/>
      </w:tabs>
      <w:rPr>
        <w:sz w:val="18"/>
        <w:szCs w:val="18"/>
      </w:rPr>
    </w:pPr>
  </w:p>
  <w:p w14:paraId="47119730" w14:textId="77777777" w:rsidR="00313C2A" w:rsidRPr="00C92CC4" w:rsidRDefault="00313C2A" w:rsidP="00D13667">
    <w:pPr>
      <w:pStyle w:val="Header"/>
      <w:tabs>
        <w:tab w:val="clear" w:pos="4680"/>
      </w:tabs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50A14"/>
    <w:multiLevelType w:val="hybridMultilevel"/>
    <w:tmpl w:val="AAC4B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353479"/>
    <w:multiLevelType w:val="hybridMultilevel"/>
    <w:tmpl w:val="7C8EC4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FD1411"/>
    <w:multiLevelType w:val="hybridMultilevel"/>
    <w:tmpl w:val="D724183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181C07"/>
    <w:multiLevelType w:val="hybridMultilevel"/>
    <w:tmpl w:val="85E64D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6743B3"/>
    <w:multiLevelType w:val="hybridMultilevel"/>
    <w:tmpl w:val="E5966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5B1C85"/>
    <w:multiLevelType w:val="hybridMultilevel"/>
    <w:tmpl w:val="A0E4FC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0D2676C"/>
    <w:multiLevelType w:val="hybridMultilevel"/>
    <w:tmpl w:val="C3E48E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5711BE"/>
    <w:multiLevelType w:val="hybridMultilevel"/>
    <w:tmpl w:val="58DC7D86"/>
    <w:lvl w:ilvl="0" w:tplc="29E0C0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2575D9"/>
    <w:multiLevelType w:val="hybridMultilevel"/>
    <w:tmpl w:val="04D6D55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01093A"/>
    <w:multiLevelType w:val="hybridMultilevel"/>
    <w:tmpl w:val="42762F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44A344F"/>
    <w:multiLevelType w:val="hybridMultilevel"/>
    <w:tmpl w:val="4658F376"/>
    <w:lvl w:ilvl="0" w:tplc="19FC575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4A7E41"/>
    <w:multiLevelType w:val="hybridMultilevel"/>
    <w:tmpl w:val="AC12C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2661C0"/>
    <w:multiLevelType w:val="hybridMultilevel"/>
    <w:tmpl w:val="81E81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7B5D2C"/>
    <w:multiLevelType w:val="hybridMultilevel"/>
    <w:tmpl w:val="55AE8F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B4F72CD"/>
    <w:multiLevelType w:val="hybridMultilevel"/>
    <w:tmpl w:val="CCE60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C414D5"/>
    <w:multiLevelType w:val="hybridMultilevel"/>
    <w:tmpl w:val="47F26A3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EA314B"/>
    <w:multiLevelType w:val="hybridMultilevel"/>
    <w:tmpl w:val="944828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9754927"/>
    <w:multiLevelType w:val="hybridMultilevel"/>
    <w:tmpl w:val="5B5E89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AE33829"/>
    <w:multiLevelType w:val="hybridMultilevel"/>
    <w:tmpl w:val="D180B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9"/>
  </w:num>
  <w:num w:numId="3">
    <w:abstractNumId w:val="5"/>
  </w:num>
  <w:num w:numId="4">
    <w:abstractNumId w:val="16"/>
  </w:num>
  <w:num w:numId="5">
    <w:abstractNumId w:val="6"/>
  </w:num>
  <w:num w:numId="6">
    <w:abstractNumId w:val="13"/>
  </w:num>
  <w:num w:numId="7">
    <w:abstractNumId w:val="1"/>
  </w:num>
  <w:num w:numId="8">
    <w:abstractNumId w:val="18"/>
  </w:num>
  <w:num w:numId="9">
    <w:abstractNumId w:val="14"/>
  </w:num>
  <w:num w:numId="10">
    <w:abstractNumId w:val="4"/>
  </w:num>
  <w:num w:numId="11">
    <w:abstractNumId w:val="11"/>
  </w:num>
  <w:num w:numId="12">
    <w:abstractNumId w:val="12"/>
  </w:num>
  <w:num w:numId="13">
    <w:abstractNumId w:val="7"/>
  </w:num>
  <w:num w:numId="14">
    <w:abstractNumId w:val="0"/>
  </w:num>
  <w:num w:numId="15">
    <w:abstractNumId w:val="10"/>
  </w:num>
  <w:num w:numId="16">
    <w:abstractNumId w:val="3"/>
  </w:num>
  <w:num w:numId="17">
    <w:abstractNumId w:val="2"/>
  </w:num>
  <w:num w:numId="18">
    <w:abstractNumId w:val="15"/>
  </w:num>
  <w:num w:numId="19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DC4"/>
    <w:rsid w:val="0000085A"/>
    <w:rsid w:val="00013360"/>
    <w:rsid w:val="00016759"/>
    <w:rsid w:val="000216CE"/>
    <w:rsid w:val="00024ED4"/>
    <w:rsid w:val="00025DC7"/>
    <w:rsid w:val="00032901"/>
    <w:rsid w:val="00035F09"/>
    <w:rsid w:val="00044ECC"/>
    <w:rsid w:val="000531D3"/>
    <w:rsid w:val="0005646B"/>
    <w:rsid w:val="000615D1"/>
    <w:rsid w:val="0008102D"/>
    <w:rsid w:val="00086B26"/>
    <w:rsid w:val="00094C0E"/>
    <w:rsid w:val="000A0F64"/>
    <w:rsid w:val="000A146D"/>
    <w:rsid w:val="000A349E"/>
    <w:rsid w:val="000A544A"/>
    <w:rsid w:val="000B06B3"/>
    <w:rsid w:val="000B0C67"/>
    <w:rsid w:val="000D2A2F"/>
    <w:rsid w:val="000D7091"/>
    <w:rsid w:val="000E286B"/>
    <w:rsid w:val="000F0C22"/>
    <w:rsid w:val="000F6B09"/>
    <w:rsid w:val="000F6FDC"/>
    <w:rsid w:val="00104567"/>
    <w:rsid w:val="00104916"/>
    <w:rsid w:val="00104AA7"/>
    <w:rsid w:val="001132C4"/>
    <w:rsid w:val="0012732D"/>
    <w:rsid w:val="00143F25"/>
    <w:rsid w:val="00147279"/>
    <w:rsid w:val="00152682"/>
    <w:rsid w:val="00154FC9"/>
    <w:rsid w:val="001816E4"/>
    <w:rsid w:val="001901C0"/>
    <w:rsid w:val="0019241A"/>
    <w:rsid w:val="00192A18"/>
    <w:rsid w:val="001A22D1"/>
    <w:rsid w:val="001A752D"/>
    <w:rsid w:val="001A757E"/>
    <w:rsid w:val="001B5032"/>
    <w:rsid w:val="001C7777"/>
    <w:rsid w:val="001D0F8B"/>
    <w:rsid w:val="001D344B"/>
    <w:rsid w:val="001D7D01"/>
    <w:rsid w:val="001E211A"/>
    <w:rsid w:val="001E364F"/>
    <w:rsid w:val="001F03D4"/>
    <w:rsid w:val="001F4222"/>
    <w:rsid w:val="001F46F7"/>
    <w:rsid w:val="00203AA1"/>
    <w:rsid w:val="00213E98"/>
    <w:rsid w:val="00230150"/>
    <w:rsid w:val="0023081A"/>
    <w:rsid w:val="00233111"/>
    <w:rsid w:val="00256821"/>
    <w:rsid w:val="00265FA8"/>
    <w:rsid w:val="00292B1C"/>
    <w:rsid w:val="002B40FF"/>
    <w:rsid w:val="002C0285"/>
    <w:rsid w:val="002C4E29"/>
    <w:rsid w:val="002F460C"/>
    <w:rsid w:val="002F485A"/>
    <w:rsid w:val="002F48D6"/>
    <w:rsid w:val="00301D54"/>
    <w:rsid w:val="00313C2A"/>
    <w:rsid w:val="00317391"/>
    <w:rsid w:val="00326216"/>
    <w:rsid w:val="00336580"/>
    <w:rsid w:val="00351E42"/>
    <w:rsid w:val="00354899"/>
    <w:rsid w:val="00355FD6"/>
    <w:rsid w:val="00364A5C"/>
    <w:rsid w:val="00373FB1"/>
    <w:rsid w:val="00396C76"/>
    <w:rsid w:val="003A7648"/>
    <w:rsid w:val="003B30D8"/>
    <w:rsid w:val="003B7EF2"/>
    <w:rsid w:val="003C3425"/>
    <w:rsid w:val="003C3FA4"/>
    <w:rsid w:val="003D0BA1"/>
    <w:rsid w:val="003F2B0C"/>
    <w:rsid w:val="004105B2"/>
    <w:rsid w:val="0041145A"/>
    <w:rsid w:val="00412900"/>
    <w:rsid w:val="004210C6"/>
    <w:rsid w:val="004221E4"/>
    <w:rsid w:val="00424646"/>
    <w:rsid w:val="004273F8"/>
    <w:rsid w:val="004355A3"/>
    <w:rsid w:val="004407E3"/>
    <w:rsid w:val="0044253F"/>
    <w:rsid w:val="00446546"/>
    <w:rsid w:val="004507F0"/>
    <w:rsid w:val="00452769"/>
    <w:rsid w:val="00454FA7"/>
    <w:rsid w:val="00456600"/>
    <w:rsid w:val="0046196B"/>
    <w:rsid w:val="00465348"/>
    <w:rsid w:val="0049188F"/>
    <w:rsid w:val="004979A5"/>
    <w:rsid w:val="004A209A"/>
    <w:rsid w:val="004A25E0"/>
    <w:rsid w:val="004B1CCB"/>
    <w:rsid w:val="004B632F"/>
    <w:rsid w:val="004C6A61"/>
    <w:rsid w:val="004D3FB1"/>
    <w:rsid w:val="004D6F21"/>
    <w:rsid w:val="004D73A5"/>
    <w:rsid w:val="004F25E3"/>
    <w:rsid w:val="0051188F"/>
    <w:rsid w:val="005160F1"/>
    <w:rsid w:val="00521644"/>
    <w:rsid w:val="00524F2F"/>
    <w:rsid w:val="00527E5C"/>
    <w:rsid w:val="00532CF5"/>
    <w:rsid w:val="005528CB"/>
    <w:rsid w:val="005611BC"/>
    <w:rsid w:val="00566771"/>
    <w:rsid w:val="00581E2E"/>
    <w:rsid w:val="00584C90"/>
    <w:rsid w:val="00584F15"/>
    <w:rsid w:val="0059514B"/>
    <w:rsid w:val="005A1B0F"/>
    <w:rsid w:val="005B4CE6"/>
    <w:rsid w:val="005B5EFE"/>
    <w:rsid w:val="005C5B10"/>
    <w:rsid w:val="0061328A"/>
    <w:rsid w:val="006163F7"/>
    <w:rsid w:val="00627C63"/>
    <w:rsid w:val="0063350B"/>
    <w:rsid w:val="00633D93"/>
    <w:rsid w:val="00652606"/>
    <w:rsid w:val="00664061"/>
    <w:rsid w:val="00681525"/>
    <w:rsid w:val="006946EE"/>
    <w:rsid w:val="006A09A2"/>
    <w:rsid w:val="006A183B"/>
    <w:rsid w:val="006A58A9"/>
    <w:rsid w:val="006A606D"/>
    <w:rsid w:val="006B0803"/>
    <w:rsid w:val="006C0371"/>
    <w:rsid w:val="006C08B6"/>
    <w:rsid w:val="006C0B1A"/>
    <w:rsid w:val="006C6065"/>
    <w:rsid w:val="006C7F9F"/>
    <w:rsid w:val="006E2F6D"/>
    <w:rsid w:val="006E58F6"/>
    <w:rsid w:val="006E77E1"/>
    <w:rsid w:val="006F131D"/>
    <w:rsid w:val="006F52FB"/>
    <w:rsid w:val="006F76AD"/>
    <w:rsid w:val="00710BD0"/>
    <w:rsid w:val="00711642"/>
    <w:rsid w:val="007125EC"/>
    <w:rsid w:val="00733277"/>
    <w:rsid w:val="007358E6"/>
    <w:rsid w:val="007476DC"/>
    <w:rsid w:val="007506B1"/>
    <w:rsid w:val="007507C6"/>
    <w:rsid w:val="00751E0B"/>
    <w:rsid w:val="00752BCD"/>
    <w:rsid w:val="00764025"/>
    <w:rsid w:val="00766DA1"/>
    <w:rsid w:val="00780D94"/>
    <w:rsid w:val="007866A6"/>
    <w:rsid w:val="007A130D"/>
    <w:rsid w:val="007C66BF"/>
    <w:rsid w:val="007D1A2D"/>
    <w:rsid w:val="007D32E6"/>
    <w:rsid w:val="007D4102"/>
    <w:rsid w:val="007E3BBF"/>
    <w:rsid w:val="007E54A7"/>
    <w:rsid w:val="007F43B7"/>
    <w:rsid w:val="00800E5D"/>
    <w:rsid w:val="00821FFC"/>
    <w:rsid w:val="008238EF"/>
    <w:rsid w:val="008271CA"/>
    <w:rsid w:val="008467D5"/>
    <w:rsid w:val="008500B9"/>
    <w:rsid w:val="00851358"/>
    <w:rsid w:val="00876EE4"/>
    <w:rsid w:val="0088024C"/>
    <w:rsid w:val="00896363"/>
    <w:rsid w:val="008A4DC4"/>
    <w:rsid w:val="008B438C"/>
    <w:rsid w:val="008D06CA"/>
    <w:rsid w:val="008D3A46"/>
    <w:rsid w:val="008D604C"/>
    <w:rsid w:val="008D7134"/>
    <w:rsid w:val="008E0D6A"/>
    <w:rsid w:val="008F2385"/>
    <w:rsid w:val="0090529A"/>
    <w:rsid w:val="009067A4"/>
    <w:rsid w:val="009078FE"/>
    <w:rsid w:val="009101F0"/>
    <w:rsid w:val="009130B1"/>
    <w:rsid w:val="009145A0"/>
    <w:rsid w:val="00930885"/>
    <w:rsid w:val="00933D68"/>
    <w:rsid w:val="009340DB"/>
    <w:rsid w:val="0093705D"/>
    <w:rsid w:val="0094618C"/>
    <w:rsid w:val="00950576"/>
    <w:rsid w:val="0095684B"/>
    <w:rsid w:val="0096497F"/>
    <w:rsid w:val="00972498"/>
    <w:rsid w:val="0097481F"/>
    <w:rsid w:val="00974CC6"/>
    <w:rsid w:val="00976AD4"/>
    <w:rsid w:val="009812FB"/>
    <w:rsid w:val="00995547"/>
    <w:rsid w:val="009A312F"/>
    <w:rsid w:val="009A5348"/>
    <w:rsid w:val="009A59C7"/>
    <w:rsid w:val="009B0AB7"/>
    <w:rsid w:val="009C4C2F"/>
    <w:rsid w:val="009C5DDE"/>
    <w:rsid w:val="009C76D5"/>
    <w:rsid w:val="009D579C"/>
    <w:rsid w:val="009F7AA4"/>
    <w:rsid w:val="00A10AD7"/>
    <w:rsid w:val="00A2108D"/>
    <w:rsid w:val="00A2682D"/>
    <w:rsid w:val="00A323B0"/>
    <w:rsid w:val="00A46467"/>
    <w:rsid w:val="00A559DB"/>
    <w:rsid w:val="00A569EA"/>
    <w:rsid w:val="00A676A0"/>
    <w:rsid w:val="00AF35FC"/>
    <w:rsid w:val="00AF5556"/>
    <w:rsid w:val="00B02D49"/>
    <w:rsid w:val="00B03639"/>
    <w:rsid w:val="00B05546"/>
    <w:rsid w:val="00B0652A"/>
    <w:rsid w:val="00B23B36"/>
    <w:rsid w:val="00B40937"/>
    <w:rsid w:val="00B423EF"/>
    <w:rsid w:val="00B453DE"/>
    <w:rsid w:val="00B62497"/>
    <w:rsid w:val="00B72597"/>
    <w:rsid w:val="00B86CB5"/>
    <w:rsid w:val="00B87DC0"/>
    <w:rsid w:val="00B901F9"/>
    <w:rsid w:val="00B970D3"/>
    <w:rsid w:val="00BA166E"/>
    <w:rsid w:val="00BA42C2"/>
    <w:rsid w:val="00BC4D98"/>
    <w:rsid w:val="00BC566D"/>
    <w:rsid w:val="00BD6EFB"/>
    <w:rsid w:val="00BE3DF5"/>
    <w:rsid w:val="00BF5EAB"/>
    <w:rsid w:val="00C02410"/>
    <w:rsid w:val="00C039E6"/>
    <w:rsid w:val="00C11F82"/>
    <w:rsid w:val="00C1584D"/>
    <w:rsid w:val="00C15BE2"/>
    <w:rsid w:val="00C3447F"/>
    <w:rsid w:val="00C44714"/>
    <w:rsid w:val="00C67102"/>
    <w:rsid w:val="00C81491"/>
    <w:rsid w:val="00C81676"/>
    <w:rsid w:val="00C85171"/>
    <w:rsid w:val="00C85C5D"/>
    <w:rsid w:val="00C92CC4"/>
    <w:rsid w:val="00CA0AFB"/>
    <w:rsid w:val="00CA2CE1"/>
    <w:rsid w:val="00CA3976"/>
    <w:rsid w:val="00CA50E3"/>
    <w:rsid w:val="00CA757B"/>
    <w:rsid w:val="00CC1787"/>
    <w:rsid w:val="00CC182C"/>
    <w:rsid w:val="00CD0824"/>
    <w:rsid w:val="00CD2908"/>
    <w:rsid w:val="00CF3F7F"/>
    <w:rsid w:val="00D03A82"/>
    <w:rsid w:val="00D13667"/>
    <w:rsid w:val="00D15344"/>
    <w:rsid w:val="00D217E3"/>
    <w:rsid w:val="00D23F57"/>
    <w:rsid w:val="00D31BEC"/>
    <w:rsid w:val="00D63150"/>
    <w:rsid w:val="00D636BA"/>
    <w:rsid w:val="00D64A32"/>
    <w:rsid w:val="00D64EFC"/>
    <w:rsid w:val="00D75295"/>
    <w:rsid w:val="00D76CE9"/>
    <w:rsid w:val="00D97F12"/>
    <w:rsid w:val="00DA6095"/>
    <w:rsid w:val="00DB42E7"/>
    <w:rsid w:val="00DC09D8"/>
    <w:rsid w:val="00DE01A6"/>
    <w:rsid w:val="00DE7A98"/>
    <w:rsid w:val="00DF32C2"/>
    <w:rsid w:val="00E31E3A"/>
    <w:rsid w:val="00E471A7"/>
    <w:rsid w:val="00E635CF"/>
    <w:rsid w:val="00E65A2E"/>
    <w:rsid w:val="00E70D40"/>
    <w:rsid w:val="00E814C6"/>
    <w:rsid w:val="00EA1817"/>
    <w:rsid w:val="00EA2CBD"/>
    <w:rsid w:val="00EB1E3B"/>
    <w:rsid w:val="00EC6E0A"/>
    <w:rsid w:val="00ED329B"/>
    <w:rsid w:val="00ED4E18"/>
    <w:rsid w:val="00ED7922"/>
    <w:rsid w:val="00EE02C4"/>
    <w:rsid w:val="00EE1F37"/>
    <w:rsid w:val="00F0159C"/>
    <w:rsid w:val="00F105B7"/>
    <w:rsid w:val="00F13220"/>
    <w:rsid w:val="00F17A21"/>
    <w:rsid w:val="00F24B94"/>
    <w:rsid w:val="00F364DE"/>
    <w:rsid w:val="00F36FC2"/>
    <w:rsid w:val="00F37B27"/>
    <w:rsid w:val="00F46556"/>
    <w:rsid w:val="00F471E0"/>
    <w:rsid w:val="00F5045E"/>
    <w:rsid w:val="00F50E91"/>
    <w:rsid w:val="00F56799"/>
    <w:rsid w:val="00F57D29"/>
    <w:rsid w:val="00F60786"/>
    <w:rsid w:val="00F642DF"/>
    <w:rsid w:val="00F70CA1"/>
    <w:rsid w:val="00F8239C"/>
    <w:rsid w:val="00F838A7"/>
    <w:rsid w:val="00F87C91"/>
    <w:rsid w:val="00F91BC7"/>
    <w:rsid w:val="00F94CD7"/>
    <w:rsid w:val="00F96201"/>
    <w:rsid w:val="00FA1BBC"/>
    <w:rsid w:val="00FA1F44"/>
    <w:rsid w:val="00FD0B18"/>
    <w:rsid w:val="00FD2FAD"/>
    <w:rsid w:val="00FD5209"/>
    <w:rsid w:val="00FE7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779AA937"/>
  <w15:docId w15:val="{1EE1BD04-684C-4A25-ABE8-DB2AFF17F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 w:qFormat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0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036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73F8"/>
    <w:pPr>
      <w:keepNext/>
      <w:keepLines/>
      <w:spacing w:before="480" w:line="276" w:lineRule="auto"/>
      <w:outlineLvl w:val="0"/>
    </w:pPr>
    <w:rPr>
      <w:rFonts w:ascii="Arial" w:hAnsi="Arial"/>
      <w:b/>
      <w:bCs/>
      <w:color w:val="365F91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73F8"/>
    <w:pPr>
      <w:keepNext/>
      <w:keepLines/>
      <w:spacing w:before="200" w:line="276" w:lineRule="auto"/>
      <w:outlineLvl w:val="1"/>
    </w:pPr>
    <w:rPr>
      <w:rFonts w:ascii="Arial" w:hAnsi="Arial"/>
      <w:b/>
      <w:bCs/>
      <w:color w:val="4F81BD"/>
      <w:szCs w:val="26"/>
      <w:lang w:val="x-none" w:eastAsia="x-none"/>
    </w:rPr>
  </w:style>
  <w:style w:type="paragraph" w:styleId="Heading3">
    <w:name w:val="heading 3"/>
    <w:basedOn w:val="Normal"/>
    <w:next w:val="Normal"/>
    <w:link w:val="Heading3Char"/>
    <w:unhideWhenUsed/>
    <w:qFormat/>
    <w:rsid w:val="004273F8"/>
    <w:pPr>
      <w:keepNext/>
      <w:keepLines/>
      <w:spacing w:before="200" w:line="276" w:lineRule="auto"/>
      <w:outlineLvl w:val="2"/>
    </w:pPr>
    <w:rPr>
      <w:rFonts w:ascii="Cambria" w:hAnsi="Cambria"/>
      <w:b/>
      <w:bCs/>
      <w:color w:val="4F81BD"/>
      <w:lang w:val="x-none" w:eastAsia="x-none"/>
    </w:rPr>
  </w:style>
  <w:style w:type="paragraph" w:styleId="Heading4">
    <w:name w:val="heading 4"/>
    <w:basedOn w:val="Normal"/>
    <w:next w:val="Normal"/>
    <w:link w:val="Heading4Char"/>
    <w:unhideWhenUsed/>
    <w:qFormat/>
    <w:rsid w:val="001C777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1C7777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4273F8"/>
    <w:pPr>
      <w:keepNext/>
      <w:outlineLvl w:val="6"/>
    </w:pPr>
    <w:rPr>
      <w:b/>
      <w:bCs/>
      <w:sz w:val="24"/>
      <w:szCs w:val="24"/>
      <w:lang w:val="en-GB" w:eastAsia="x-none"/>
    </w:rPr>
  </w:style>
  <w:style w:type="paragraph" w:styleId="Heading8">
    <w:name w:val="heading 8"/>
    <w:basedOn w:val="Normal"/>
    <w:next w:val="Normal"/>
    <w:link w:val="Heading8Char"/>
    <w:qFormat/>
    <w:rsid w:val="00711642"/>
    <w:pPr>
      <w:tabs>
        <w:tab w:val="left" w:pos="0"/>
      </w:tabs>
      <w:jc w:val="center"/>
      <w:outlineLvl w:val="7"/>
    </w:pPr>
    <w:rPr>
      <w:b/>
      <w:sz w:val="18"/>
      <w:lang w:val="en-AU"/>
    </w:rPr>
  </w:style>
  <w:style w:type="paragraph" w:styleId="Heading9">
    <w:name w:val="heading 9"/>
    <w:basedOn w:val="Normal"/>
    <w:next w:val="Normal"/>
    <w:link w:val="Heading9Char"/>
    <w:qFormat/>
    <w:rsid w:val="00711642"/>
    <w:pPr>
      <w:spacing w:before="40" w:after="40"/>
      <w:outlineLvl w:val="8"/>
    </w:pPr>
    <w:rPr>
      <w:b/>
      <w:sz w:val="18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3F8"/>
    <w:rPr>
      <w:rFonts w:ascii="Arial" w:eastAsia="Times New Roman" w:hAnsi="Arial" w:cs="Times New Roman"/>
      <w:b/>
      <w:bCs/>
      <w:color w:val="365F91"/>
      <w:sz w:val="20"/>
      <w:szCs w:val="28"/>
      <w:lang w:val="x-none" w:eastAsia="x-none"/>
    </w:rPr>
  </w:style>
  <w:style w:type="character" w:customStyle="1" w:styleId="Heading2Char">
    <w:name w:val="Heading 2 Char"/>
    <w:basedOn w:val="DefaultParagraphFont"/>
    <w:link w:val="Heading2"/>
    <w:uiPriority w:val="9"/>
    <w:rsid w:val="004273F8"/>
    <w:rPr>
      <w:rFonts w:ascii="Arial" w:eastAsia="Times New Roman" w:hAnsi="Arial" w:cs="Times New Roman"/>
      <w:b/>
      <w:bCs/>
      <w:color w:val="4F81BD"/>
      <w:sz w:val="20"/>
      <w:szCs w:val="26"/>
      <w:lang w:val="x-none" w:eastAsia="x-none"/>
    </w:rPr>
  </w:style>
  <w:style w:type="character" w:customStyle="1" w:styleId="Heading3Char">
    <w:name w:val="Heading 3 Char"/>
    <w:basedOn w:val="DefaultParagraphFont"/>
    <w:link w:val="Heading3"/>
    <w:rsid w:val="004273F8"/>
    <w:rPr>
      <w:rFonts w:ascii="Cambria" w:eastAsia="Times New Roman" w:hAnsi="Cambria" w:cs="Times New Roman"/>
      <w:b/>
      <w:bCs/>
      <w:color w:val="4F81BD"/>
      <w:sz w:val="20"/>
      <w:szCs w:val="20"/>
      <w:lang w:val="x-none" w:eastAsia="x-none"/>
    </w:rPr>
  </w:style>
  <w:style w:type="character" w:customStyle="1" w:styleId="Heading7Char">
    <w:name w:val="Heading 7 Char"/>
    <w:basedOn w:val="DefaultParagraphFont"/>
    <w:link w:val="Heading7"/>
    <w:rsid w:val="004273F8"/>
    <w:rPr>
      <w:rFonts w:ascii="Times New Roman" w:eastAsia="Times New Roman" w:hAnsi="Times New Roman" w:cs="Times New Roman"/>
      <w:b/>
      <w:bCs/>
      <w:sz w:val="24"/>
      <w:szCs w:val="24"/>
      <w:lang w:val="en-GB" w:eastAsia="x-none"/>
    </w:rPr>
  </w:style>
  <w:style w:type="character" w:customStyle="1" w:styleId="Heading8Char">
    <w:name w:val="Heading 8 Char"/>
    <w:basedOn w:val="DefaultParagraphFont"/>
    <w:link w:val="Heading8"/>
    <w:rsid w:val="00711642"/>
    <w:rPr>
      <w:rFonts w:ascii="Times New Roman" w:eastAsia="Times New Roman" w:hAnsi="Times New Roman" w:cs="Times New Roman"/>
      <w:b/>
      <w:sz w:val="18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rsid w:val="00711642"/>
    <w:rPr>
      <w:rFonts w:ascii="Times New Roman" w:eastAsia="Times New Roman" w:hAnsi="Times New Roman" w:cs="Times New Roman"/>
      <w:b/>
      <w:sz w:val="18"/>
      <w:szCs w:val="20"/>
      <w:lang w:val="en-AU"/>
    </w:rPr>
  </w:style>
  <w:style w:type="paragraph" w:styleId="BalloonText">
    <w:name w:val="Balloon Text"/>
    <w:basedOn w:val="Normal"/>
    <w:link w:val="BalloonTextChar"/>
    <w:uiPriority w:val="99"/>
    <w:unhideWhenUsed/>
    <w:rsid w:val="008467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8467D5"/>
    <w:rPr>
      <w:rFonts w:ascii="Tahoma" w:hAnsi="Tahoma" w:cs="Tahoma"/>
      <w:sz w:val="16"/>
      <w:szCs w:val="16"/>
    </w:rPr>
  </w:style>
  <w:style w:type="paragraph" w:customStyle="1" w:styleId="MainTitle">
    <w:name w:val="MainTitle"/>
    <w:basedOn w:val="Normal"/>
    <w:link w:val="MainTitleChar"/>
    <w:rsid w:val="00D75295"/>
    <w:pPr>
      <w:autoSpaceDE w:val="0"/>
      <w:autoSpaceDN w:val="0"/>
      <w:adjustRightInd w:val="0"/>
      <w:spacing w:after="576" w:line="288" w:lineRule="auto"/>
      <w:textAlignment w:val="center"/>
    </w:pPr>
    <w:rPr>
      <w:rFonts w:ascii="Arial" w:eastAsiaTheme="minorHAnsi" w:hAnsi="Arial" w:cs="Arial"/>
      <w:b/>
      <w:bCs/>
      <w:caps/>
      <w:color w:val="000000"/>
      <w:sz w:val="28"/>
      <w:szCs w:val="28"/>
    </w:rPr>
  </w:style>
  <w:style w:type="character" w:customStyle="1" w:styleId="MainTitleChar">
    <w:name w:val="MainTitle Char"/>
    <w:basedOn w:val="DefaultParagraphFont"/>
    <w:link w:val="MainTitle"/>
    <w:uiPriority w:val="99"/>
    <w:rsid w:val="00752BCD"/>
    <w:rPr>
      <w:rFonts w:ascii="Arial" w:hAnsi="Arial" w:cs="Arial"/>
      <w:b/>
      <w:bCs/>
      <w:caps/>
      <w:color w:val="000000"/>
      <w:sz w:val="28"/>
      <w:szCs w:val="28"/>
    </w:rPr>
  </w:style>
  <w:style w:type="paragraph" w:customStyle="1" w:styleId="CopyrightStatement">
    <w:name w:val="CopyrightStatement"/>
    <w:basedOn w:val="Normal"/>
    <w:rsid w:val="00D75295"/>
    <w:pPr>
      <w:pBdr>
        <w:top w:val="single" w:sz="8" w:space="13" w:color="auto"/>
        <w:bottom w:val="single" w:sz="8" w:space="9" w:color="auto"/>
      </w:pBdr>
      <w:tabs>
        <w:tab w:val="right" w:pos="9360"/>
      </w:tabs>
      <w:autoSpaceDE w:val="0"/>
      <w:autoSpaceDN w:val="0"/>
      <w:adjustRightInd w:val="0"/>
      <w:spacing w:after="540" w:line="288" w:lineRule="auto"/>
      <w:jc w:val="both"/>
      <w:textAlignment w:val="center"/>
    </w:pPr>
    <w:rPr>
      <w:rFonts w:ascii="Arial" w:eastAsiaTheme="minorHAnsi" w:hAnsi="Arial" w:cs="Arial"/>
      <w:i/>
      <w:iCs/>
      <w:color w:val="000000"/>
      <w:sz w:val="16"/>
      <w:szCs w:val="16"/>
    </w:rPr>
  </w:style>
  <w:style w:type="paragraph" w:customStyle="1" w:styleId="BodyTextMain">
    <w:name w:val="Body Text Main"/>
    <w:basedOn w:val="Normal"/>
    <w:link w:val="BodyTextMainChar"/>
    <w:qFormat/>
    <w:rsid w:val="000F0C22"/>
    <w:pPr>
      <w:jc w:val="both"/>
    </w:pPr>
    <w:rPr>
      <w:sz w:val="22"/>
      <w:szCs w:val="22"/>
    </w:rPr>
  </w:style>
  <w:style w:type="character" w:customStyle="1" w:styleId="BodyTextMainChar">
    <w:name w:val="Body Text Main Char"/>
    <w:basedOn w:val="DefaultParagraphFont"/>
    <w:link w:val="BodyTextMain"/>
    <w:rsid w:val="000F0C22"/>
    <w:rPr>
      <w:rFonts w:ascii="Times New Roman" w:eastAsia="Times New Roman" w:hAnsi="Times New Roman" w:cs="Times New Roman"/>
    </w:rPr>
  </w:style>
  <w:style w:type="paragraph" w:customStyle="1" w:styleId="Casehead1">
    <w:name w:val="Casehead 1"/>
    <w:basedOn w:val="BodyTextMain"/>
    <w:link w:val="Casehead1Char"/>
    <w:qFormat/>
    <w:rsid w:val="00213E98"/>
    <w:rPr>
      <w:rFonts w:ascii="Arial" w:hAnsi="Arial" w:cs="Arial"/>
      <w:b/>
      <w:caps/>
      <w:sz w:val="20"/>
      <w:szCs w:val="20"/>
    </w:rPr>
  </w:style>
  <w:style w:type="character" w:customStyle="1" w:styleId="Casehead1Char">
    <w:name w:val="Casehead 1 Char"/>
    <w:basedOn w:val="BodyTextMainChar"/>
    <w:link w:val="Casehead1"/>
    <w:rsid w:val="00213E98"/>
    <w:rPr>
      <w:rFonts w:ascii="Arial" w:eastAsia="Times New Roman" w:hAnsi="Arial" w:cs="Arial"/>
      <w:b/>
      <w:caps/>
      <w:sz w:val="20"/>
      <w:szCs w:val="20"/>
    </w:rPr>
  </w:style>
  <w:style w:type="paragraph" w:customStyle="1" w:styleId="Casehead2">
    <w:name w:val="Casehead 2"/>
    <w:basedOn w:val="Casehead1"/>
    <w:link w:val="Casehead2Char"/>
    <w:qFormat/>
    <w:rsid w:val="00213E98"/>
    <w:rPr>
      <w:caps w:val="0"/>
    </w:rPr>
  </w:style>
  <w:style w:type="character" w:customStyle="1" w:styleId="Casehead2Char">
    <w:name w:val="Casehead 2 Char"/>
    <w:basedOn w:val="Casehead1Char"/>
    <w:link w:val="Casehead2"/>
    <w:rsid w:val="00213E98"/>
    <w:rPr>
      <w:rFonts w:ascii="Arial" w:eastAsia="Times New Roman" w:hAnsi="Arial" w:cs="Arial"/>
      <w:b/>
      <w:caps w:val="0"/>
      <w:sz w:val="20"/>
      <w:szCs w:val="20"/>
    </w:rPr>
  </w:style>
  <w:style w:type="paragraph" w:customStyle="1" w:styleId="Casehead3">
    <w:name w:val="Casehead 3"/>
    <w:basedOn w:val="Casehead2"/>
    <w:link w:val="Casehead3Char"/>
    <w:qFormat/>
    <w:rsid w:val="00213E98"/>
    <w:rPr>
      <w:rFonts w:ascii="Times New Roman" w:hAnsi="Times New Roman" w:cs="Times New Roman"/>
      <w:b w:val="0"/>
      <w:sz w:val="22"/>
      <w:szCs w:val="22"/>
      <w:u w:val="single"/>
    </w:rPr>
  </w:style>
  <w:style w:type="character" w:customStyle="1" w:styleId="Casehead3Char">
    <w:name w:val="Casehead 3 Char"/>
    <w:basedOn w:val="Casehead2Char"/>
    <w:link w:val="Casehead3"/>
    <w:rsid w:val="00213E98"/>
    <w:rPr>
      <w:rFonts w:ascii="Times New Roman" w:eastAsia="Times New Roman" w:hAnsi="Times New Roman" w:cs="Times New Roman"/>
      <w:b w:val="0"/>
      <w:caps w:val="0"/>
      <w:sz w:val="20"/>
      <w:szCs w:val="20"/>
      <w:u w:val="single"/>
    </w:rPr>
  </w:style>
  <w:style w:type="paragraph" w:customStyle="1" w:styleId="Casehead4">
    <w:name w:val="Casehead 4"/>
    <w:basedOn w:val="Casehead3"/>
    <w:link w:val="Casehead4Char"/>
    <w:qFormat/>
    <w:rsid w:val="00454FA7"/>
    <w:rPr>
      <w:i/>
      <w:u w:val="none"/>
    </w:rPr>
  </w:style>
  <w:style w:type="character" w:customStyle="1" w:styleId="Casehead4Char">
    <w:name w:val="Casehead 4 Char"/>
    <w:basedOn w:val="Casehead3Char"/>
    <w:link w:val="Casehead4"/>
    <w:rsid w:val="00454FA7"/>
    <w:rPr>
      <w:rFonts w:ascii="Times New Roman" w:eastAsia="Times New Roman" w:hAnsi="Times New Roman" w:cs="Times New Roman"/>
      <w:b w:val="0"/>
      <w:i/>
      <w:caps w:val="0"/>
      <w:sz w:val="20"/>
      <w:szCs w:val="20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6C0B1A"/>
  </w:style>
  <w:style w:type="character" w:customStyle="1" w:styleId="FootnoteTextChar">
    <w:name w:val="Footnote Text Char"/>
    <w:basedOn w:val="DefaultParagraphFont"/>
    <w:link w:val="FootnoteText"/>
    <w:uiPriority w:val="99"/>
    <w:rsid w:val="006C0B1A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6C0B1A"/>
    <w:rPr>
      <w:vertAlign w:val="superscript"/>
    </w:rPr>
  </w:style>
  <w:style w:type="paragraph" w:customStyle="1" w:styleId="Footnote">
    <w:name w:val="Footnote"/>
    <w:basedOn w:val="FootnoteText"/>
    <w:link w:val="FootnoteChar"/>
    <w:qFormat/>
    <w:rsid w:val="00C02410"/>
    <w:pPr>
      <w:jc w:val="both"/>
    </w:pPr>
    <w:rPr>
      <w:rFonts w:ascii="Arial" w:hAnsi="Arial" w:cs="Arial"/>
      <w:sz w:val="17"/>
      <w:szCs w:val="17"/>
    </w:rPr>
  </w:style>
  <w:style w:type="character" w:customStyle="1" w:styleId="FootnoteChar">
    <w:name w:val="Footnote Char"/>
    <w:basedOn w:val="FootnoteTextChar"/>
    <w:link w:val="Footnote"/>
    <w:rsid w:val="00C02410"/>
    <w:rPr>
      <w:rFonts w:ascii="Arial" w:eastAsia="Times New Roman" w:hAnsi="Arial" w:cs="Arial"/>
      <w:sz w:val="17"/>
      <w:szCs w:val="17"/>
    </w:rPr>
  </w:style>
  <w:style w:type="paragraph" w:customStyle="1" w:styleId="Quotation3Lines">
    <w:name w:val="Quotation (3+ Lines)"/>
    <w:basedOn w:val="BodyTextMain"/>
    <w:link w:val="Quotation3LinesChar"/>
    <w:qFormat/>
    <w:rsid w:val="00752BCD"/>
    <w:pPr>
      <w:ind w:left="720" w:right="720"/>
    </w:pPr>
  </w:style>
  <w:style w:type="character" w:customStyle="1" w:styleId="Quotation3LinesChar">
    <w:name w:val="Quotation (3+ Lines) Char"/>
    <w:basedOn w:val="BodyTextMainChar"/>
    <w:link w:val="Quotation3Lines"/>
    <w:rsid w:val="00752BCD"/>
    <w:rPr>
      <w:rFonts w:ascii="Times New Roman" w:eastAsia="Times New Roman" w:hAnsi="Times New Roman" w:cs="Times New Roman"/>
    </w:rPr>
  </w:style>
  <w:style w:type="paragraph" w:customStyle="1" w:styleId="ExhibitNumber">
    <w:name w:val="Exhibit Number"/>
    <w:basedOn w:val="BodyTextMain"/>
    <w:link w:val="ExhibitNumberChar"/>
    <w:qFormat/>
    <w:rsid w:val="00752BCD"/>
    <w:pPr>
      <w:jc w:val="center"/>
    </w:pPr>
    <w:rPr>
      <w:rFonts w:ascii="Arial" w:hAnsi="Arial" w:cs="Arial"/>
      <w:b/>
      <w:sz w:val="20"/>
      <w:szCs w:val="20"/>
    </w:rPr>
  </w:style>
  <w:style w:type="character" w:customStyle="1" w:styleId="ExhibitNumberChar">
    <w:name w:val="Exhibit Number Char"/>
    <w:basedOn w:val="BodyTextMainChar"/>
    <w:link w:val="ExhibitNumber"/>
    <w:rsid w:val="00752BCD"/>
    <w:rPr>
      <w:rFonts w:ascii="Arial" w:eastAsia="Times New Roman" w:hAnsi="Arial" w:cs="Arial"/>
      <w:b/>
      <w:sz w:val="20"/>
      <w:szCs w:val="20"/>
    </w:rPr>
  </w:style>
  <w:style w:type="paragraph" w:customStyle="1" w:styleId="ExhibitHeading">
    <w:name w:val="Exhibit Heading"/>
    <w:basedOn w:val="BodyTextMain"/>
    <w:link w:val="ExhibitHeadingChar"/>
    <w:qFormat/>
    <w:rsid w:val="00752BCD"/>
    <w:pPr>
      <w:jc w:val="center"/>
    </w:pPr>
    <w:rPr>
      <w:rFonts w:ascii="Arial" w:hAnsi="Arial" w:cs="Arial"/>
      <w:b/>
      <w:caps/>
      <w:sz w:val="20"/>
      <w:szCs w:val="20"/>
    </w:rPr>
  </w:style>
  <w:style w:type="character" w:customStyle="1" w:styleId="ExhibitHeadingChar">
    <w:name w:val="Exhibit Heading Char"/>
    <w:basedOn w:val="BodyTextMainChar"/>
    <w:link w:val="ExhibitHeading"/>
    <w:rsid w:val="00752BCD"/>
    <w:rPr>
      <w:rFonts w:ascii="Arial" w:eastAsia="Times New Roman" w:hAnsi="Arial" w:cs="Arial"/>
      <w:b/>
      <w:caps/>
      <w:sz w:val="20"/>
      <w:szCs w:val="20"/>
    </w:rPr>
  </w:style>
  <w:style w:type="paragraph" w:customStyle="1" w:styleId="CaseTitle">
    <w:name w:val="Case Title"/>
    <w:basedOn w:val="MainTitle"/>
    <w:link w:val="CaseTitleChar"/>
    <w:qFormat/>
    <w:rsid w:val="00752BCD"/>
  </w:style>
  <w:style w:type="character" w:customStyle="1" w:styleId="CaseTitleChar">
    <w:name w:val="Case Title Char"/>
    <w:basedOn w:val="MainTitleChar"/>
    <w:link w:val="CaseTitle"/>
    <w:rsid w:val="00752BCD"/>
    <w:rPr>
      <w:rFonts w:ascii="Arial" w:hAnsi="Arial" w:cs="Arial"/>
      <w:b/>
      <w:bCs/>
      <w:caps/>
      <w:color w:val="000000"/>
      <w:sz w:val="28"/>
      <w:szCs w:val="28"/>
    </w:rPr>
  </w:style>
  <w:style w:type="paragraph" w:customStyle="1" w:styleId="TeachingNoteTitle">
    <w:name w:val="Teaching Note Title"/>
    <w:basedOn w:val="CaseTitle"/>
    <w:link w:val="TeachingNoteTitleChar"/>
    <w:qFormat/>
    <w:rsid w:val="00752BCD"/>
    <w:pPr>
      <w:jc w:val="center"/>
    </w:pPr>
  </w:style>
  <w:style w:type="character" w:customStyle="1" w:styleId="TeachingNoteTitleChar">
    <w:name w:val="Teaching Note Title Char"/>
    <w:basedOn w:val="CaseTitleChar"/>
    <w:link w:val="TeachingNoteTitle"/>
    <w:rsid w:val="00752BCD"/>
    <w:rPr>
      <w:rFonts w:ascii="Arial" w:hAnsi="Arial" w:cs="Arial"/>
      <w:b/>
      <w:bCs/>
      <w:caps/>
      <w:color w:val="000000"/>
      <w:sz w:val="28"/>
      <w:szCs w:val="28"/>
    </w:rPr>
  </w:style>
  <w:style w:type="paragraph" w:customStyle="1" w:styleId="ProductNumber">
    <w:name w:val="Product Number"/>
    <w:basedOn w:val="Normal"/>
    <w:link w:val="ProductNumberChar"/>
    <w:qFormat/>
    <w:rsid w:val="00752BCD"/>
    <w:pPr>
      <w:jc w:val="right"/>
    </w:pPr>
    <w:rPr>
      <w:rFonts w:ascii="Arial" w:hAnsi="Arial"/>
      <w:b/>
      <w:caps/>
      <w:sz w:val="24"/>
    </w:rPr>
  </w:style>
  <w:style w:type="character" w:customStyle="1" w:styleId="ProductNumberChar">
    <w:name w:val="Product Number Char"/>
    <w:basedOn w:val="DefaultParagraphFont"/>
    <w:link w:val="ProductNumber"/>
    <w:rsid w:val="00752BCD"/>
    <w:rPr>
      <w:rFonts w:ascii="Arial" w:eastAsia="Times New Roman" w:hAnsi="Arial" w:cs="Times New Roman"/>
      <w:b/>
      <w:caps/>
      <w:sz w:val="24"/>
      <w:szCs w:val="20"/>
    </w:rPr>
  </w:style>
  <w:style w:type="paragraph" w:customStyle="1" w:styleId="ExhibitText">
    <w:name w:val="Exhibit Text"/>
    <w:basedOn w:val="BodyTextMain"/>
    <w:link w:val="ExhibitTextChar"/>
    <w:qFormat/>
    <w:rsid w:val="00F105B7"/>
    <w:rPr>
      <w:rFonts w:ascii="Arial" w:hAnsi="Arial" w:cs="Arial"/>
      <w:sz w:val="20"/>
      <w:szCs w:val="20"/>
    </w:rPr>
  </w:style>
  <w:style w:type="character" w:customStyle="1" w:styleId="ExhibitTextChar">
    <w:name w:val="Exhibit Text Char"/>
    <w:basedOn w:val="BodyTextMainChar"/>
    <w:link w:val="ExhibitText"/>
    <w:rsid w:val="00F105B7"/>
    <w:rPr>
      <w:rFonts w:ascii="Arial" w:eastAsia="Times New Roman" w:hAnsi="Arial" w:cs="Arial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105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05B7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105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05B7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13360"/>
    <w:rPr>
      <w:color w:val="0000FF" w:themeColor="hyperlink"/>
      <w:u w:val="single"/>
    </w:rPr>
  </w:style>
  <w:style w:type="paragraph" w:customStyle="1" w:styleId="StyleCopyrightStatementAfter0ptBottomSinglesolidline">
    <w:name w:val="Style CopyrightStatement + After:  0 pt Bottom: (Single solid line..."/>
    <w:basedOn w:val="CopyrightStatement"/>
    <w:rsid w:val="00104567"/>
    <w:pPr>
      <w:pBdr>
        <w:bottom w:val="single" w:sz="8" w:space="1" w:color="auto"/>
      </w:pBdr>
      <w:spacing w:after="0" w:line="240" w:lineRule="auto"/>
    </w:pPr>
    <w:rPr>
      <w:rFonts w:eastAsia="Times New Roman" w:cs="Times New Roman"/>
      <w:szCs w:val="20"/>
    </w:rPr>
  </w:style>
  <w:style w:type="paragraph" w:customStyle="1" w:styleId="StyleCopyrightStatementAfter0ptBottomSinglesolidline1">
    <w:name w:val="Style CopyrightStatement + After:  0 pt Bottom: (Single solid line...1"/>
    <w:basedOn w:val="CopyrightStatement"/>
    <w:rsid w:val="003B7EF2"/>
    <w:pPr>
      <w:pBdr>
        <w:top w:val="single" w:sz="8" w:space="4" w:color="auto"/>
        <w:bottom w:val="none" w:sz="0" w:space="0" w:color="auto"/>
      </w:pBdr>
      <w:spacing w:after="0" w:line="240" w:lineRule="auto"/>
    </w:pPr>
    <w:rPr>
      <w:rFonts w:eastAsia="Times New Roman" w:cs="Times New Roman"/>
      <w:szCs w:val="20"/>
    </w:rPr>
  </w:style>
  <w:style w:type="paragraph" w:customStyle="1" w:styleId="StyleStyleCopyrightStatementAfter0ptBottomSinglesolid">
    <w:name w:val="Style Style CopyrightStatement + After:  0 pt Bottom: (Single solid..."/>
    <w:basedOn w:val="StyleCopyrightStatementAfter0ptBottomSinglesolidline1"/>
    <w:rsid w:val="003B7EF2"/>
    <w:pPr>
      <w:pBdr>
        <w:top w:val="none" w:sz="0" w:space="0" w:color="auto"/>
      </w:pBdr>
    </w:pPr>
  </w:style>
  <w:style w:type="paragraph" w:styleId="BodyText">
    <w:name w:val="Body Text"/>
    <w:basedOn w:val="Normal"/>
    <w:link w:val="BodyTextChar"/>
    <w:unhideWhenUsed/>
    <w:rsid w:val="00CA3976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CA3976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CA3976"/>
    <w:pPr>
      <w:ind w:left="720"/>
      <w:contextualSpacing/>
      <w:jc w:val="both"/>
    </w:pPr>
    <w:rPr>
      <w:rFonts w:eastAsia="Calibri"/>
      <w:sz w:val="22"/>
      <w:szCs w:val="22"/>
    </w:rPr>
  </w:style>
  <w:style w:type="character" w:styleId="CommentReference">
    <w:name w:val="annotation reference"/>
    <w:uiPriority w:val="99"/>
    <w:semiHidden/>
    <w:unhideWhenUsed/>
    <w:rsid w:val="009A53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A5348"/>
  </w:style>
  <w:style w:type="character" w:customStyle="1" w:styleId="CommentTextChar">
    <w:name w:val="Comment Text Char"/>
    <w:basedOn w:val="DefaultParagraphFont"/>
    <w:link w:val="CommentText"/>
    <w:uiPriority w:val="99"/>
    <w:rsid w:val="009A5348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53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9A5348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FootnoteText1">
    <w:name w:val="Footnote Text1"/>
    <w:basedOn w:val="Normal"/>
    <w:next w:val="BodyText"/>
    <w:link w:val="footnotetextCharChar"/>
    <w:rsid w:val="00BC4D98"/>
    <w:pPr>
      <w:tabs>
        <w:tab w:val="left" w:pos="-1440"/>
        <w:tab w:val="left" w:pos="-720"/>
        <w:tab w:val="left" w:pos="1"/>
        <w:tab w:val="right" w:pos="9000"/>
      </w:tabs>
      <w:jc w:val="both"/>
    </w:pPr>
    <w:rPr>
      <w:rFonts w:ascii="Arial" w:hAnsi="Arial" w:cs="Arial"/>
      <w:iCs/>
      <w:sz w:val="17"/>
      <w:szCs w:val="17"/>
    </w:rPr>
  </w:style>
  <w:style w:type="paragraph" w:styleId="NormalWeb">
    <w:name w:val="Normal (Web)"/>
    <w:basedOn w:val="Normal"/>
    <w:uiPriority w:val="99"/>
    <w:unhideWhenUsed/>
    <w:rsid w:val="004273F8"/>
    <w:pPr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customStyle="1" w:styleId="apple-style-span">
    <w:name w:val="apple-style-span"/>
    <w:basedOn w:val="DefaultParagraphFont"/>
    <w:rsid w:val="004273F8"/>
  </w:style>
  <w:style w:type="character" w:customStyle="1" w:styleId="apple-converted-space">
    <w:name w:val="apple-converted-space"/>
    <w:basedOn w:val="DefaultParagraphFont"/>
    <w:rsid w:val="004273F8"/>
  </w:style>
  <w:style w:type="character" w:styleId="Strong">
    <w:name w:val="Strong"/>
    <w:uiPriority w:val="22"/>
    <w:qFormat/>
    <w:rsid w:val="004273F8"/>
    <w:rPr>
      <w:b/>
      <w:bCs/>
    </w:rPr>
  </w:style>
  <w:style w:type="character" w:styleId="IntenseReference">
    <w:name w:val="Intense Reference"/>
    <w:qFormat/>
    <w:rsid w:val="004273F8"/>
    <w:rPr>
      <w:b/>
      <w:bCs/>
      <w:smallCaps/>
      <w:color w:val="C0504D"/>
      <w:spacing w:val="5"/>
      <w:u w:val="single"/>
    </w:rPr>
  </w:style>
  <w:style w:type="paragraph" w:styleId="EndnoteText">
    <w:name w:val="endnote text"/>
    <w:basedOn w:val="Normal"/>
    <w:link w:val="EndnoteTextChar"/>
    <w:unhideWhenUsed/>
    <w:rsid w:val="004273F8"/>
    <w:rPr>
      <w:rFonts w:ascii="Calibri" w:eastAsia="Calibri" w:hAnsi="Calibri"/>
      <w:lang w:val="x-none" w:eastAsia="x-none"/>
    </w:rPr>
  </w:style>
  <w:style w:type="character" w:customStyle="1" w:styleId="EndnoteTextChar">
    <w:name w:val="Endnote Text Char"/>
    <w:basedOn w:val="DefaultParagraphFont"/>
    <w:link w:val="EndnoteText"/>
    <w:rsid w:val="004273F8"/>
    <w:rPr>
      <w:rFonts w:ascii="Calibri" w:eastAsia="Calibri" w:hAnsi="Calibri" w:cs="Times New Roman"/>
      <w:sz w:val="20"/>
      <w:szCs w:val="20"/>
      <w:lang w:val="x-none" w:eastAsia="x-none"/>
    </w:rPr>
  </w:style>
  <w:style w:type="character" w:styleId="EndnoteReference">
    <w:name w:val="endnote reference"/>
    <w:unhideWhenUsed/>
    <w:qFormat/>
    <w:rsid w:val="004273F8"/>
    <w:rPr>
      <w:vertAlign w:val="superscript"/>
    </w:rPr>
  </w:style>
  <w:style w:type="paragraph" w:styleId="NoSpacing">
    <w:name w:val="No Spacing"/>
    <w:link w:val="NoSpacingChar"/>
    <w:qFormat/>
    <w:rsid w:val="004273F8"/>
    <w:pPr>
      <w:spacing w:after="0" w:line="240" w:lineRule="auto"/>
    </w:pPr>
    <w:rPr>
      <w:rFonts w:ascii="Calibri" w:eastAsia="Calibri" w:hAnsi="Calibri" w:cs="Times New Roman"/>
      <w:lang w:val="en-IN"/>
    </w:rPr>
  </w:style>
  <w:style w:type="character" w:customStyle="1" w:styleId="NoSpacingChar">
    <w:name w:val="No Spacing Char"/>
    <w:link w:val="NoSpacing"/>
    <w:rsid w:val="004273F8"/>
    <w:rPr>
      <w:rFonts w:ascii="Calibri" w:eastAsia="Calibri" w:hAnsi="Calibri" w:cs="Times New Roman"/>
      <w:lang w:val="en-IN"/>
    </w:rPr>
  </w:style>
  <w:style w:type="character" w:styleId="FollowedHyperlink">
    <w:name w:val="FollowedHyperlink"/>
    <w:unhideWhenUsed/>
    <w:rsid w:val="004273F8"/>
    <w:rPr>
      <w:color w:val="800080"/>
      <w:u w:val="single"/>
    </w:rPr>
  </w:style>
  <w:style w:type="paragraph" w:customStyle="1" w:styleId="Casehead40">
    <w:name w:val="Casehead4"/>
    <w:basedOn w:val="Normal"/>
    <w:next w:val="Normal"/>
    <w:rsid w:val="004273F8"/>
    <w:pPr>
      <w:tabs>
        <w:tab w:val="left" w:pos="-1440"/>
        <w:tab w:val="left" w:pos="-720"/>
        <w:tab w:val="left" w:pos="1"/>
      </w:tabs>
      <w:jc w:val="both"/>
    </w:pPr>
    <w:rPr>
      <w:i/>
      <w:noProof/>
      <w:sz w:val="24"/>
    </w:rPr>
  </w:style>
  <w:style w:type="table" w:styleId="TableGrid">
    <w:name w:val="Table Grid"/>
    <w:basedOn w:val="TableNormal"/>
    <w:uiPriority w:val="39"/>
    <w:rsid w:val="003365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unhideWhenUsed/>
    <w:rsid w:val="00DE01A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E01A6"/>
    <w:rPr>
      <w:rFonts w:ascii="Times New Roman" w:eastAsia="Times New Roman" w:hAnsi="Times New Roman" w:cs="Times New Roman"/>
      <w:sz w:val="20"/>
      <w:szCs w:val="20"/>
    </w:rPr>
  </w:style>
  <w:style w:type="paragraph" w:customStyle="1" w:styleId="NormalJustified">
    <w:name w:val="Normal + Justified"/>
    <w:basedOn w:val="BodyText"/>
    <w:rsid w:val="00DE01A6"/>
    <w:pPr>
      <w:spacing w:after="0"/>
      <w:jc w:val="both"/>
    </w:pPr>
    <w:rPr>
      <w:sz w:val="24"/>
      <w:szCs w:val="24"/>
    </w:rPr>
  </w:style>
  <w:style w:type="paragraph" w:customStyle="1" w:styleId="nsource1">
    <w:name w:val="nsource1"/>
    <w:basedOn w:val="Normal"/>
    <w:rsid w:val="00711642"/>
    <w:pPr>
      <w:tabs>
        <w:tab w:val="left" w:pos="900"/>
        <w:tab w:val="left" w:pos="1080"/>
        <w:tab w:val="left" w:pos="1260"/>
      </w:tabs>
      <w:ind w:left="1260" w:hanging="1260"/>
    </w:pPr>
    <w:rPr>
      <w:lang w:val="en-AU"/>
    </w:rPr>
  </w:style>
  <w:style w:type="paragraph" w:styleId="BodyTextIndent3">
    <w:name w:val="Body Text Indent 3"/>
    <w:basedOn w:val="Normal"/>
    <w:link w:val="BodyTextIndent3Char"/>
    <w:rsid w:val="00711642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711642"/>
    <w:rPr>
      <w:rFonts w:ascii="Times New Roman" w:eastAsia="Times New Roman" w:hAnsi="Times New Roman" w:cs="Times New Roman"/>
      <w:sz w:val="16"/>
      <w:szCs w:val="16"/>
    </w:rPr>
  </w:style>
  <w:style w:type="character" w:styleId="PageNumber">
    <w:name w:val="page number"/>
    <w:basedOn w:val="DefaultParagraphFont"/>
    <w:uiPriority w:val="99"/>
    <w:rsid w:val="00711642"/>
  </w:style>
  <w:style w:type="paragraph" w:styleId="Title">
    <w:name w:val="Title"/>
    <w:basedOn w:val="Normal"/>
    <w:link w:val="TitleChar"/>
    <w:qFormat/>
    <w:rsid w:val="00711642"/>
    <w:pPr>
      <w:spacing w:after="240"/>
      <w:jc w:val="center"/>
    </w:pPr>
    <w:rPr>
      <w:b/>
      <w:sz w:val="24"/>
      <w:lang w:val="en-AU"/>
    </w:rPr>
  </w:style>
  <w:style w:type="character" w:customStyle="1" w:styleId="TitleChar">
    <w:name w:val="Title Char"/>
    <w:basedOn w:val="DefaultParagraphFont"/>
    <w:link w:val="Title"/>
    <w:rsid w:val="00711642"/>
    <w:rPr>
      <w:rFonts w:ascii="Times New Roman" w:eastAsia="Times New Roman" w:hAnsi="Times New Roman" w:cs="Times New Roman"/>
      <w:b/>
      <w:sz w:val="24"/>
      <w:szCs w:val="20"/>
      <w:lang w:val="en-AU"/>
    </w:rPr>
  </w:style>
  <w:style w:type="character" w:styleId="Emphasis">
    <w:name w:val="Emphasis"/>
    <w:qFormat/>
    <w:rsid w:val="00711642"/>
    <w:rPr>
      <w:i/>
      <w:iCs/>
    </w:rPr>
  </w:style>
  <w:style w:type="character" w:customStyle="1" w:styleId="citation">
    <w:name w:val="citation"/>
    <w:basedOn w:val="DefaultParagraphFont"/>
    <w:rsid w:val="0023081A"/>
  </w:style>
  <w:style w:type="character" w:customStyle="1" w:styleId="reference-accessdate">
    <w:name w:val="reference-accessdate"/>
    <w:basedOn w:val="DefaultParagraphFont"/>
    <w:rsid w:val="0023081A"/>
  </w:style>
  <w:style w:type="character" w:customStyle="1" w:styleId="xn-person">
    <w:name w:val="xn-person"/>
    <w:basedOn w:val="DefaultParagraphFont"/>
    <w:rsid w:val="0023081A"/>
  </w:style>
  <w:style w:type="character" w:customStyle="1" w:styleId="bold01">
    <w:name w:val="bold_01"/>
    <w:basedOn w:val="DefaultParagraphFont"/>
    <w:rsid w:val="0023081A"/>
  </w:style>
  <w:style w:type="character" w:customStyle="1" w:styleId="cst-tbl-subtitle">
    <w:name w:val="cst-tbl-subtitle"/>
    <w:basedOn w:val="DefaultParagraphFont"/>
    <w:rsid w:val="0023081A"/>
  </w:style>
  <w:style w:type="paragraph" w:styleId="Revision">
    <w:name w:val="Revision"/>
    <w:hidden/>
    <w:uiPriority w:val="99"/>
    <w:rsid w:val="002308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1C7777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1C7777"/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  <w:style w:type="paragraph" w:customStyle="1" w:styleId="casehead10">
    <w:name w:val="casehead1"/>
    <w:basedOn w:val="Normal"/>
    <w:next w:val="BodyText"/>
    <w:rsid w:val="001C7777"/>
    <w:rPr>
      <w:rFonts w:ascii="Arial" w:hAnsi="Arial"/>
      <w:b/>
      <w:caps/>
      <w:lang w:eastAsia="en-CA"/>
    </w:rPr>
  </w:style>
  <w:style w:type="paragraph" w:customStyle="1" w:styleId="casehead20">
    <w:name w:val="casehead2"/>
    <w:basedOn w:val="Normal"/>
    <w:next w:val="BodyText"/>
    <w:rsid w:val="001C7777"/>
    <w:rPr>
      <w:rFonts w:ascii="Arial" w:hAnsi="Arial"/>
      <w:b/>
      <w:lang w:eastAsia="en-CA"/>
    </w:rPr>
  </w:style>
  <w:style w:type="table" w:styleId="MediumList1">
    <w:name w:val="Medium List 1"/>
    <w:basedOn w:val="TableNormal"/>
    <w:uiPriority w:val="65"/>
    <w:rsid w:val="00DC09D8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character" w:customStyle="1" w:styleId="MainTitleCharChar">
    <w:name w:val="MainTitle Char Char"/>
    <w:rsid w:val="00ED7922"/>
    <w:rPr>
      <w:rFonts w:ascii="Arial" w:hAnsi="Arial" w:cs="Arial"/>
      <w:b/>
      <w:bCs/>
      <w:caps/>
      <w:color w:val="000000"/>
      <w:sz w:val="28"/>
      <w:szCs w:val="28"/>
    </w:rPr>
  </w:style>
  <w:style w:type="character" w:customStyle="1" w:styleId="BodyTextMainCharCharChar">
    <w:name w:val="Body Text Main Char Char Char"/>
    <w:rsid w:val="00ED7922"/>
    <w:rPr>
      <w:rFonts w:ascii="Times New Roman" w:eastAsia="Times New Roman" w:hAnsi="Times New Roman" w:cs="Times New Roman"/>
    </w:rPr>
  </w:style>
  <w:style w:type="character" w:customStyle="1" w:styleId="CaseTitleCharChar">
    <w:name w:val="Case Title Char Char"/>
    <w:rsid w:val="00ED7922"/>
    <w:rPr>
      <w:rFonts w:ascii="Arial" w:hAnsi="Arial" w:cs="Arial"/>
      <w:b/>
      <w:bCs/>
      <w:caps/>
      <w:color w:val="000000"/>
      <w:sz w:val="28"/>
      <w:szCs w:val="28"/>
    </w:rPr>
  </w:style>
  <w:style w:type="character" w:customStyle="1" w:styleId="TeachingNoteTitleCharChar">
    <w:name w:val="Teaching Note Title Char Char"/>
    <w:rsid w:val="00ED7922"/>
    <w:rPr>
      <w:rFonts w:ascii="Arial" w:hAnsi="Arial" w:cs="Arial"/>
      <w:b/>
      <w:bCs/>
      <w:caps/>
      <w:color w:val="000000"/>
      <w:sz w:val="28"/>
      <w:szCs w:val="28"/>
    </w:rPr>
  </w:style>
  <w:style w:type="character" w:customStyle="1" w:styleId="CommentReference1">
    <w:name w:val="Comment Reference1"/>
    <w:rsid w:val="00ED7922"/>
    <w:rPr>
      <w:sz w:val="16"/>
      <w:szCs w:val="16"/>
    </w:rPr>
  </w:style>
  <w:style w:type="character" w:customStyle="1" w:styleId="Casehead2CharChar">
    <w:name w:val="Casehead 2 Char Char"/>
    <w:rsid w:val="00ED7922"/>
    <w:rPr>
      <w:rFonts w:ascii="Arial" w:eastAsia="Times New Roman" w:hAnsi="Arial" w:cs="Arial"/>
      <w:b/>
      <w:caps w:val="0"/>
      <w:sz w:val="20"/>
      <w:szCs w:val="20"/>
    </w:rPr>
  </w:style>
  <w:style w:type="character" w:customStyle="1" w:styleId="Casehead4CharChar">
    <w:name w:val="Casehead 4 Char Char"/>
    <w:rsid w:val="00ED7922"/>
    <w:rPr>
      <w:rFonts w:ascii="Times New Roman" w:eastAsia="Times New Roman" w:hAnsi="Times New Roman" w:cs="Times New Roman"/>
      <w:b w:val="0"/>
      <w:i/>
      <w:caps w:val="0"/>
      <w:sz w:val="20"/>
      <w:szCs w:val="20"/>
      <w:u w:val="single"/>
    </w:rPr>
  </w:style>
  <w:style w:type="character" w:customStyle="1" w:styleId="Casehead1CharChar">
    <w:name w:val="Casehead 1 Char Char"/>
    <w:rsid w:val="00ED7922"/>
    <w:rPr>
      <w:rFonts w:ascii="Arial" w:eastAsia="Times New Roman" w:hAnsi="Arial" w:cs="Arial"/>
      <w:b/>
      <w:caps/>
      <w:sz w:val="20"/>
      <w:szCs w:val="20"/>
    </w:rPr>
  </w:style>
  <w:style w:type="character" w:customStyle="1" w:styleId="hps">
    <w:name w:val="hps"/>
    <w:basedOn w:val="DefaultParagraphFont"/>
    <w:rsid w:val="00ED7922"/>
  </w:style>
  <w:style w:type="character" w:customStyle="1" w:styleId="ExhibitNumberCharChar">
    <w:name w:val="Exhibit Number Char Char"/>
    <w:rsid w:val="00ED7922"/>
    <w:rPr>
      <w:rFonts w:ascii="Arial" w:eastAsia="Times New Roman" w:hAnsi="Arial" w:cs="Arial"/>
      <w:b/>
      <w:sz w:val="20"/>
      <w:szCs w:val="20"/>
    </w:rPr>
  </w:style>
  <w:style w:type="character" w:customStyle="1" w:styleId="Quotation3LinesCharChar">
    <w:name w:val="Quotation (3+ Lines) Char Char"/>
    <w:rsid w:val="00ED7922"/>
    <w:rPr>
      <w:rFonts w:ascii="Times New Roman" w:eastAsia="Times New Roman" w:hAnsi="Times New Roman" w:cs="Times New Roman"/>
    </w:rPr>
  </w:style>
  <w:style w:type="character" w:customStyle="1" w:styleId="FootnoteCharChar">
    <w:name w:val="Footnote Char Char"/>
    <w:rsid w:val="00ED7922"/>
    <w:rPr>
      <w:rFonts w:ascii="Arial" w:eastAsia="Times New Roman" w:hAnsi="Arial" w:cs="Arial"/>
      <w:kern w:val="2"/>
      <w:sz w:val="17"/>
      <w:szCs w:val="17"/>
    </w:rPr>
  </w:style>
  <w:style w:type="character" w:customStyle="1" w:styleId="ExhibitHeadingCharChar">
    <w:name w:val="Exhibit Heading Char Char"/>
    <w:rsid w:val="00ED7922"/>
    <w:rPr>
      <w:rFonts w:ascii="Arial" w:eastAsia="Times New Roman" w:hAnsi="Arial" w:cs="Arial"/>
      <w:b/>
      <w:caps/>
      <w:sz w:val="20"/>
      <w:szCs w:val="20"/>
    </w:rPr>
  </w:style>
  <w:style w:type="character" w:customStyle="1" w:styleId="CommentSubjectCharChar">
    <w:name w:val="Comment Subject Char Char"/>
    <w:rsid w:val="00ED7922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Casehead3CharChar">
    <w:name w:val="Casehead 3 Char Char"/>
    <w:rsid w:val="00ED7922"/>
    <w:rPr>
      <w:rFonts w:ascii="Times New Roman" w:eastAsia="Times New Roman" w:hAnsi="Times New Roman" w:cs="Times New Roman"/>
      <w:b w:val="0"/>
      <w:caps w:val="0"/>
      <w:sz w:val="20"/>
      <w:szCs w:val="20"/>
      <w:u w:val="single"/>
    </w:rPr>
  </w:style>
  <w:style w:type="character" w:customStyle="1" w:styleId="BodyTextIndentCharChar">
    <w:name w:val="Body Text Indent Char Char"/>
    <w:link w:val="BodyTextIndent1"/>
    <w:rsid w:val="00ED7922"/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MainCharChar">
    <w:name w:val="Body Text Main Char Char"/>
    <w:rsid w:val="00ED7922"/>
    <w:rPr>
      <w:rFonts w:ascii="Times New Roman" w:eastAsia="Times New Roman" w:hAnsi="Times New Roman" w:cs="Times New Roman"/>
    </w:rPr>
  </w:style>
  <w:style w:type="character" w:customStyle="1" w:styleId="CommentSubjectChar1">
    <w:name w:val="Comment Subject Char1"/>
    <w:link w:val="CommentSubject1"/>
    <w:rsid w:val="00ED7922"/>
    <w:rPr>
      <w:rFonts w:ascii="Times New Roman" w:eastAsia="Times New Roman" w:hAnsi="Times New Roman" w:cs="Times New Roman"/>
      <w:b/>
      <w:bCs/>
      <w:kern w:val="2"/>
      <w:szCs w:val="20"/>
    </w:rPr>
  </w:style>
  <w:style w:type="character" w:customStyle="1" w:styleId="CommentReference2">
    <w:name w:val="Comment Reference2"/>
    <w:rsid w:val="00ED7922"/>
    <w:rPr>
      <w:sz w:val="16"/>
      <w:szCs w:val="16"/>
    </w:rPr>
  </w:style>
  <w:style w:type="character" w:customStyle="1" w:styleId="atn">
    <w:name w:val="atn"/>
    <w:basedOn w:val="DefaultParagraphFont"/>
    <w:rsid w:val="00ED7922"/>
  </w:style>
  <w:style w:type="character" w:customStyle="1" w:styleId="footnotetextCharChar">
    <w:name w:val="footnote text Char Char"/>
    <w:link w:val="FootnoteText1"/>
    <w:rsid w:val="00ED7922"/>
    <w:rPr>
      <w:rFonts w:ascii="Arial" w:eastAsia="Times New Roman" w:hAnsi="Arial" w:cs="Arial"/>
      <w:iCs/>
      <w:sz w:val="17"/>
      <w:szCs w:val="17"/>
    </w:rPr>
  </w:style>
  <w:style w:type="character" w:customStyle="1" w:styleId="BodyTextIndent3CharChar">
    <w:name w:val="Body Text Indent 3 Char Char"/>
    <w:link w:val="BodyTextIndent31"/>
    <w:rsid w:val="00ED7922"/>
    <w:rPr>
      <w:rFonts w:ascii="Times New Roman" w:eastAsia="Times New Roman" w:hAnsi="Times New Roman" w:cs="Times New Roman"/>
      <w:sz w:val="16"/>
      <w:szCs w:val="16"/>
    </w:rPr>
  </w:style>
  <w:style w:type="character" w:customStyle="1" w:styleId="ProductNumberCharChar">
    <w:name w:val="Product Number Char Char"/>
    <w:rsid w:val="00ED7922"/>
    <w:rPr>
      <w:rFonts w:ascii="Arial" w:eastAsia="Times New Roman" w:hAnsi="Arial" w:cs="Times New Roman"/>
      <w:b/>
      <w:caps/>
      <w:sz w:val="24"/>
      <w:szCs w:val="20"/>
    </w:rPr>
  </w:style>
  <w:style w:type="character" w:customStyle="1" w:styleId="PageNumber1">
    <w:name w:val="Page Number1"/>
    <w:basedOn w:val="DefaultParagraphFont"/>
    <w:rsid w:val="00ED7922"/>
  </w:style>
  <w:style w:type="character" w:customStyle="1" w:styleId="ExhibitTextCharChar">
    <w:name w:val="Exhibit Text Char Char"/>
    <w:rsid w:val="00ED7922"/>
    <w:rPr>
      <w:rFonts w:ascii="Arial" w:eastAsia="Times New Roman" w:hAnsi="Arial" w:cs="Arial"/>
      <w:sz w:val="20"/>
      <w:szCs w:val="20"/>
    </w:rPr>
  </w:style>
  <w:style w:type="paragraph" w:customStyle="1" w:styleId="NewNew">
    <w:name w:val="页眉 New New"/>
    <w:basedOn w:val="NewNewNewNewNew"/>
    <w:rsid w:val="00ED79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paragraph" w:customStyle="1" w:styleId="BodyTextIndent1">
    <w:name w:val="Body Text Indent1"/>
    <w:basedOn w:val="Normal"/>
    <w:link w:val="BodyTextIndentCharChar"/>
    <w:rsid w:val="00ED7922"/>
    <w:pPr>
      <w:spacing w:after="120"/>
      <w:ind w:left="360"/>
    </w:pPr>
  </w:style>
  <w:style w:type="paragraph" w:customStyle="1" w:styleId="NormalNew">
    <w:name w:val="Normal New"/>
    <w:rsid w:val="00ED7922"/>
    <w:pPr>
      <w:spacing w:after="0" w:line="240" w:lineRule="auto"/>
      <w:jc w:val="both"/>
    </w:pPr>
    <w:rPr>
      <w:rFonts w:ascii="Times New Roman" w:eastAsia="SimSun" w:hAnsi="Times New Roman" w:cs="Times New Roman"/>
      <w:kern w:val="2"/>
      <w:sz w:val="21"/>
      <w:szCs w:val="20"/>
    </w:rPr>
  </w:style>
  <w:style w:type="paragraph" w:customStyle="1" w:styleId="BodyTextIndent31">
    <w:name w:val="Body Text Indent 31"/>
    <w:basedOn w:val="Normal"/>
    <w:link w:val="BodyTextIndent3CharChar"/>
    <w:rsid w:val="00ED7922"/>
    <w:pPr>
      <w:spacing w:after="120"/>
      <w:ind w:left="360"/>
    </w:pPr>
    <w:rPr>
      <w:sz w:val="16"/>
      <w:szCs w:val="16"/>
    </w:rPr>
  </w:style>
  <w:style w:type="paragraph" w:customStyle="1" w:styleId="NewNew0">
    <w:name w:val="页脚 New New"/>
    <w:basedOn w:val="NewNewNewNewNew"/>
    <w:rsid w:val="00ED7922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paragraph" w:customStyle="1" w:styleId="New">
    <w:name w:val="页脚 New"/>
    <w:basedOn w:val="NewNewNewNew"/>
    <w:rsid w:val="00ED7922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paragraph" w:customStyle="1" w:styleId="NewNewNewNew0">
    <w:name w:val="页眉 New New New New"/>
    <w:basedOn w:val="NewNewNewNewNewNewNew"/>
    <w:rsid w:val="00ED79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paragraph" w:customStyle="1" w:styleId="NewNewNewNew1">
    <w:name w:val="页脚 New New New New"/>
    <w:basedOn w:val="NewNewNewNewNewNewNew"/>
    <w:rsid w:val="00ED7922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paragraph" w:customStyle="1" w:styleId="Normal2">
    <w:name w:val="Normal2"/>
    <w:rsid w:val="00ED7922"/>
    <w:pPr>
      <w:spacing w:after="0" w:line="240" w:lineRule="auto"/>
      <w:jc w:val="both"/>
    </w:pPr>
    <w:rPr>
      <w:rFonts w:ascii="Times New Roman" w:eastAsia="SimSun" w:hAnsi="Times New Roman" w:cs="Times New Roman"/>
      <w:kern w:val="2"/>
      <w:sz w:val="21"/>
      <w:szCs w:val="20"/>
    </w:rPr>
  </w:style>
  <w:style w:type="paragraph" w:customStyle="1" w:styleId="CommentSubject1">
    <w:name w:val="Comment Subject1"/>
    <w:basedOn w:val="CommentText"/>
    <w:next w:val="CommentText"/>
    <w:link w:val="CommentSubjectChar1"/>
    <w:rsid w:val="00ED7922"/>
    <w:rPr>
      <w:b/>
      <w:bCs/>
      <w:kern w:val="2"/>
      <w:sz w:val="22"/>
    </w:rPr>
  </w:style>
  <w:style w:type="paragraph" w:customStyle="1" w:styleId="NormalWeb1">
    <w:name w:val="Normal (Web)1"/>
    <w:basedOn w:val="Normal"/>
    <w:rsid w:val="00ED7922"/>
    <w:pPr>
      <w:spacing w:before="100" w:beforeAutospacing="1" w:after="100" w:afterAutospacing="1"/>
    </w:pPr>
    <w:rPr>
      <w:kern w:val="2"/>
      <w:sz w:val="24"/>
      <w:szCs w:val="24"/>
    </w:rPr>
  </w:style>
  <w:style w:type="paragraph" w:customStyle="1" w:styleId="Normal1">
    <w:name w:val="Normal1"/>
    <w:rsid w:val="00ED7922"/>
    <w:pPr>
      <w:spacing w:after="0" w:line="240" w:lineRule="auto"/>
      <w:jc w:val="both"/>
    </w:pPr>
    <w:rPr>
      <w:rFonts w:ascii="Times New Roman" w:eastAsia="SimSun" w:hAnsi="Times New Roman" w:cs="Times New Roman"/>
      <w:kern w:val="2"/>
      <w:sz w:val="21"/>
      <w:szCs w:val="20"/>
    </w:rPr>
  </w:style>
  <w:style w:type="paragraph" w:customStyle="1" w:styleId="New0">
    <w:name w:val="页眉 New"/>
    <w:basedOn w:val="NewNewNewNew"/>
    <w:rsid w:val="00ED79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paragraph" w:customStyle="1" w:styleId="NewNewNew">
    <w:name w:val="页眉 New New New"/>
    <w:basedOn w:val="NewNewNewNewNewNew"/>
    <w:rsid w:val="00ED79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paragraph" w:customStyle="1" w:styleId="NewNewNew0">
    <w:name w:val="页脚 New New New"/>
    <w:basedOn w:val="NewNewNewNewNewNew"/>
    <w:rsid w:val="00ED7922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paragraph" w:customStyle="1" w:styleId="Normal3">
    <w:name w:val="Normal3"/>
    <w:link w:val="Normal3Char"/>
    <w:rsid w:val="00ED7922"/>
    <w:pPr>
      <w:spacing w:after="0" w:line="240" w:lineRule="auto"/>
      <w:jc w:val="both"/>
    </w:pPr>
    <w:rPr>
      <w:rFonts w:ascii="Times New Roman" w:eastAsia="SimSun" w:hAnsi="Times New Roman" w:cs="Times New Roman"/>
      <w:kern w:val="2"/>
      <w:sz w:val="21"/>
      <w:szCs w:val="20"/>
    </w:rPr>
  </w:style>
  <w:style w:type="paragraph" w:customStyle="1" w:styleId="New1">
    <w:name w:val="正文 New"/>
    <w:rsid w:val="00ED7922"/>
    <w:pPr>
      <w:spacing w:after="0" w:line="240" w:lineRule="auto"/>
    </w:pPr>
    <w:rPr>
      <w:rFonts w:ascii="Times New Roman" w:eastAsia="Times New Roman" w:hAnsi="Times New Roman" w:cs="Times New Roman"/>
      <w:kern w:val="2"/>
      <w:sz w:val="20"/>
      <w:szCs w:val="20"/>
    </w:rPr>
  </w:style>
  <w:style w:type="paragraph" w:customStyle="1" w:styleId="NewNewNewNewNew">
    <w:name w:val="正文 New New New New New"/>
    <w:rsid w:val="00ED7922"/>
    <w:pPr>
      <w:widowControl w:val="0"/>
      <w:spacing w:after="0" w:line="240" w:lineRule="auto"/>
      <w:jc w:val="both"/>
    </w:pPr>
    <w:rPr>
      <w:rFonts w:ascii="Times New Roman" w:eastAsia="SimSun" w:hAnsi="Times New Roman" w:cs="Calibri"/>
      <w:kern w:val="2"/>
      <w:sz w:val="21"/>
      <w:szCs w:val="21"/>
      <w:lang w:eastAsia="zh-CN"/>
    </w:rPr>
  </w:style>
  <w:style w:type="paragraph" w:customStyle="1" w:styleId="NewNewNewNew">
    <w:name w:val="正文 New New New New"/>
    <w:rsid w:val="00ED7922"/>
    <w:pPr>
      <w:widowControl w:val="0"/>
      <w:spacing w:after="0" w:line="240" w:lineRule="auto"/>
      <w:jc w:val="both"/>
    </w:pPr>
    <w:rPr>
      <w:rFonts w:ascii="Times New Roman" w:eastAsia="SimSun" w:hAnsi="Times New Roman" w:cs="Calibri"/>
      <w:kern w:val="2"/>
      <w:sz w:val="21"/>
      <w:szCs w:val="21"/>
      <w:lang w:eastAsia="zh-CN"/>
    </w:rPr>
  </w:style>
  <w:style w:type="paragraph" w:styleId="TOCHeading">
    <w:name w:val="TOC Heading"/>
    <w:basedOn w:val="Heading1"/>
    <w:next w:val="Normal"/>
    <w:uiPriority w:val="39"/>
    <w:qFormat/>
    <w:rsid w:val="00ED7922"/>
    <w:pPr>
      <w:spacing w:before="240" w:line="259" w:lineRule="auto"/>
      <w:outlineLvl w:val="9"/>
    </w:pPr>
    <w:rPr>
      <w:rFonts w:ascii="Cambria" w:hAnsi="Cambria"/>
      <w:b w:val="0"/>
      <w:bCs w:val="0"/>
      <w:color w:val="365F90"/>
      <w:kern w:val="2"/>
      <w:sz w:val="32"/>
      <w:szCs w:val="32"/>
      <w:lang w:val="en-US" w:eastAsia="en-US"/>
    </w:rPr>
  </w:style>
  <w:style w:type="paragraph" w:customStyle="1" w:styleId="NewNew1">
    <w:name w:val="正文 New New"/>
    <w:rsid w:val="00ED7922"/>
    <w:pPr>
      <w:widowControl w:val="0"/>
      <w:spacing w:after="0" w:line="240" w:lineRule="auto"/>
      <w:jc w:val="both"/>
    </w:pPr>
    <w:rPr>
      <w:rFonts w:ascii="Calibri" w:eastAsia="SimSun" w:hAnsi="Calibri" w:cs="Times New Roman"/>
      <w:kern w:val="2"/>
      <w:sz w:val="21"/>
      <w:szCs w:val="24"/>
      <w:lang w:eastAsia="zh-CN"/>
    </w:rPr>
  </w:style>
  <w:style w:type="paragraph" w:customStyle="1" w:styleId="NewNewNewNewNewNew">
    <w:name w:val="正文 New New New New New New"/>
    <w:rsid w:val="00ED7922"/>
    <w:pPr>
      <w:widowControl w:val="0"/>
      <w:spacing w:after="0" w:line="240" w:lineRule="auto"/>
      <w:jc w:val="both"/>
    </w:pPr>
    <w:rPr>
      <w:rFonts w:ascii="Times New Roman" w:eastAsia="SimSun" w:hAnsi="Times New Roman" w:cs="Calibri"/>
      <w:kern w:val="2"/>
      <w:sz w:val="21"/>
      <w:szCs w:val="21"/>
      <w:lang w:eastAsia="zh-CN"/>
    </w:rPr>
  </w:style>
  <w:style w:type="paragraph" w:customStyle="1" w:styleId="NewNewNewNewNewNewNew">
    <w:name w:val="正文 New New New New New New New"/>
    <w:rsid w:val="00ED7922"/>
    <w:pPr>
      <w:widowControl w:val="0"/>
      <w:spacing w:after="0" w:line="240" w:lineRule="auto"/>
      <w:jc w:val="both"/>
    </w:pPr>
    <w:rPr>
      <w:rFonts w:ascii="Times New Roman" w:eastAsia="SimSun" w:hAnsi="Times New Roman" w:cs="Calibri"/>
      <w:kern w:val="2"/>
      <w:sz w:val="21"/>
      <w:szCs w:val="21"/>
      <w:lang w:eastAsia="zh-CN"/>
    </w:rPr>
  </w:style>
  <w:style w:type="paragraph" w:customStyle="1" w:styleId="Default">
    <w:name w:val="Default"/>
    <w:rsid w:val="00ED7922"/>
    <w:pPr>
      <w:widowControl w:val="0"/>
      <w:autoSpaceDE w:val="0"/>
      <w:autoSpaceDN w:val="0"/>
      <w:spacing w:after="0" w:line="240" w:lineRule="auto"/>
    </w:pPr>
    <w:rPr>
      <w:rFonts w:ascii="KaiTi_GB2312" w:eastAsia="KaiTi_GB2312" w:hAnsi="KaiTi_GB2312" w:cs="Times New Roman" w:hint="eastAsia"/>
      <w:color w:val="000000"/>
      <w:sz w:val="24"/>
      <w:szCs w:val="20"/>
    </w:rPr>
  </w:style>
  <w:style w:type="paragraph" w:customStyle="1" w:styleId="NewNewNew1">
    <w:name w:val="正文 New New New"/>
    <w:rsid w:val="00ED7922"/>
    <w:pPr>
      <w:widowControl w:val="0"/>
      <w:spacing w:after="0" w:line="240" w:lineRule="auto"/>
      <w:jc w:val="both"/>
    </w:pPr>
    <w:rPr>
      <w:rFonts w:ascii="Calibri" w:eastAsia="SimSun" w:hAnsi="Calibri" w:cs="Times New Roman"/>
      <w:kern w:val="2"/>
      <w:sz w:val="21"/>
      <w:szCs w:val="24"/>
      <w:lang w:eastAsia="zh-CN"/>
    </w:rPr>
  </w:style>
  <w:style w:type="character" w:customStyle="1" w:styleId="CommentSubjectChar2">
    <w:name w:val="Comment Subject Char2"/>
    <w:uiPriority w:val="99"/>
    <w:semiHidden/>
    <w:rsid w:val="00ED7922"/>
    <w:rPr>
      <w:rFonts w:ascii="Times New Roman" w:eastAsia="Times New Roman" w:hAnsi="Times New Roman" w:cs="Times New Roman"/>
      <w:b/>
      <w:bCs/>
      <w:kern w:val="2"/>
      <w:sz w:val="20"/>
      <w:szCs w:val="20"/>
      <w:lang w:val="en-US" w:eastAsia="en-US"/>
    </w:rPr>
  </w:style>
  <w:style w:type="paragraph" w:customStyle="1" w:styleId="Paragraph">
    <w:name w:val="Paragraph"/>
    <w:basedOn w:val="Normal3"/>
    <w:link w:val="ParagraphChar"/>
    <w:qFormat/>
    <w:rsid w:val="00ED7922"/>
    <w:pPr>
      <w:widowControl w:val="0"/>
      <w:autoSpaceDE w:val="0"/>
      <w:autoSpaceDN w:val="0"/>
    </w:pPr>
    <w:rPr>
      <w:lang w:val="en-CA"/>
    </w:rPr>
  </w:style>
  <w:style w:type="character" w:customStyle="1" w:styleId="Normal3Char">
    <w:name w:val="Normal3 Char"/>
    <w:basedOn w:val="DefaultParagraphFont"/>
    <w:link w:val="Normal3"/>
    <w:rsid w:val="00ED7922"/>
    <w:rPr>
      <w:rFonts w:ascii="Times New Roman" w:eastAsia="SimSun" w:hAnsi="Times New Roman" w:cs="Times New Roman"/>
      <w:kern w:val="2"/>
      <w:sz w:val="21"/>
      <w:szCs w:val="20"/>
    </w:rPr>
  </w:style>
  <w:style w:type="character" w:customStyle="1" w:styleId="ParagraphChar">
    <w:name w:val="Paragraph Char"/>
    <w:basedOn w:val="Normal3Char"/>
    <w:link w:val="Paragraph"/>
    <w:rsid w:val="00ED7922"/>
    <w:rPr>
      <w:rFonts w:ascii="Times New Roman" w:eastAsia="SimSun" w:hAnsi="Times New Roman" w:cs="Times New Roman"/>
      <w:kern w:val="2"/>
      <w:sz w:val="21"/>
      <w:szCs w:val="20"/>
      <w:lang w:val="en-CA"/>
    </w:rPr>
  </w:style>
  <w:style w:type="paragraph" w:customStyle="1" w:styleId="TableParagraph">
    <w:name w:val="Table Paragraph"/>
    <w:basedOn w:val="Normal"/>
    <w:uiPriority w:val="1"/>
    <w:qFormat/>
    <w:rsid w:val="00ED7922"/>
    <w:pPr>
      <w:widowControl w:val="0"/>
      <w:autoSpaceDE w:val="0"/>
      <w:autoSpaceDN w:val="0"/>
      <w:jc w:val="right"/>
    </w:pPr>
    <w:rPr>
      <w:sz w:val="22"/>
      <w:szCs w:val="22"/>
    </w:rPr>
  </w:style>
  <w:style w:type="numbering" w:customStyle="1" w:styleId="NoList1">
    <w:name w:val="No List1"/>
    <w:next w:val="NoList"/>
    <w:uiPriority w:val="99"/>
    <w:semiHidden/>
    <w:unhideWhenUsed/>
    <w:rsid w:val="00B02D49"/>
  </w:style>
  <w:style w:type="paragraph" w:styleId="TOC1">
    <w:name w:val="toc 1"/>
    <w:basedOn w:val="Normal"/>
    <w:next w:val="Normal"/>
    <w:autoRedefine/>
    <w:uiPriority w:val="39"/>
    <w:unhideWhenUsed/>
    <w:rsid w:val="00B02D49"/>
    <w:pPr>
      <w:spacing w:after="100"/>
    </w:pPr>
    <w:rPr>
      <w:rFonts w:ascii="Calibri" w:eastAsia="Yu Mincho" w:hAnsi="Calibri"/>
      <w:sz w:val="24"/>
      <w:szCs w:val="24"/>
      <w:lang w:val="en-CA"/>
    </w:rPr>
  </w:style>
  <w:style w:type="paragraph" w:styleId="TOC2">
    <w:name w:val="toc 2"/>
    <w:basedOn w:val="Normal"/>
    <w:next w:val="Normal"/>
    <w:autoRedefine/>
    <w:uiPriority w:val="39"/>
    <w:unhideWhenUsed/>
    <w:rsid w:val="00B02D49"/>
    <w:pPr>
      <w:spacing w:after="100"/>
      <w:ind w:left="240"/>
    </w:pPr>
    <w:rPr>
      <w:rFonts w:ascii="Calibri" w:eastAsia="Yu Mincho" w:hAnsi="Calibri"/>
      <w:sz w:val="24"/>
      <w:szCs w:val="24"/>
      <w:lang w:val="en-CA"/>
    </w:rPr>
  </w:style>
  <w:style w:type="paragraph" w:customStyle="1" w:styleId="RFPTitle">
    <w:name w:val="RFP Title"/>
    <w:link w:val="RFPTitleChar"/>
    <w:qFormat/>
    <w:rsid w:val="00B02D49"/>
    <w:pPr>
      <w:spacing w:after="180" w:line="240" w:lineRule="auto"/>
      <w:ind w:left="720"/>
      <w:jc w:val="center"/>
    </w:pPr>
    <w:rPr>
      <w:rFonts w:ascii="Arial" w:eastAsia="Times New Roman" w:hAnsi="Arial" w:cs="Times New Roman"/>
      <w:b/>
      <w:sz w:val="24"/>
      <w:szCs w:val="24"/>
      <w:lang w:val="en-CA"/>
    </w:rPr>
  </w:style>
  <w:style w:type="character" w:customStyle="1" w:styleId="RFPTitleChar">
    <w:name w:val="RFP Title Char"/>
    <w:basedOn w:val="DefaultParagraphFont"/>
    <w:link w:val="RFPTitle"/>
    <w:rsid w:val="00B02D49"/>
    <w:rPr>
      <w:rFonts w:ascii="Arial" w:eastAsia="Times New Roman" w:hAnsi="Arial" w:cs="Times New Roman"/>
      <w:b/>
      <w:sz w:val="24"/>
      <w:szCs w:val="24"/>
      <w:lang w:val="en-CA"/>
    </w:rPr>
  </w:style>
  <w:style w:type="table" w:customStyle="1" w:styleId="LightList-Accent51">
    <w:name w:val="Light List - Accent 51"/>
    <w:basedOn w:val="TableNormal"/>
    <w:next w:val="LightList-Accent5"/>
    <w:uiPriority w:val="61"/>
    <w:rsid w:val="00B02D49"/>
    <w:pPr>
      <w:spacing w:after="0" w:line="240" w:lineRule="auto"/>
    </w:pPr>
    <w:rPr>
      <w:lang w:val="en-CA"/>
    </w:rPr>
    <w:tblPr>
      <w:tblStyleRowBandSize w:val="1"/>
      <w:tblStyleColBandSize w:val="1"/>
      <w:tblBorders>
        <w:top w:val="single" w:sz="8" w:space="0" w:color="5B9BD5"/>
        <w:left w:val="single" w:sz="8" w:space="0" w:color="5B9BD5"/>
        <w:bottom w:val="single" w:sz="8" w:space="0" w:color="5B9BD5"/>
        <w:right w:val="single" w:sz="8" w:space="0" w:color="5B9BD5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5B9BD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</w:tcPr>
    </w:tblStylePr>
    <w:tblStylePr w:type="band1Horz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</w:tcPr>
    </w:tblStylePr>
  </w:style>
  <w:style w:type="table" w:styleId="LightList-Accent5">
    <w:name w:val="Light List Accent 5"/>
    <w:basedOn w:val="TableNormal"/>
    <w:uiPriority w:val="61"/>
    <w:unhideWhenUsed/>
    <w:rsid w:val="00B02D49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720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20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895DFB0-6839-4485-8E14-D65775650875}" type="doc">
      <dgm:prSet loTypeId="urn:microsoft.com/office/officeart/2005/8/layout/lProcess3" loCatId="process" qsTypeId="urn:microsoft.com/office/officeart/2005/8/quickstyle/simple2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13A14AE2-764A-439B-B747-3BC333344261}">
      <dgm:prSet phldrT="[Text]" custT="1"/>
      <dgm:spPr/>
      <dgm:t>
        <a:bodyPr anchor="ctr"/>
        <a:lstStyle/>
        <a:p>
          <a:pPr algn="ctr"/>
          <a:r>
            <a:rPr lang="en-US" sz="1000" b="1">
              <a:latin typeface="Arial" panose="020B0604020202020204" pitchFamily="34" charset="0"/>
              <a:cs typeface="Arial" panose="020B0604020202020204" pitchFamily="34" charset="0"/>
            </a:rPr>
            <a:t>1. Identify Opportunity</a:t>
          </a:r>
        </a:p>
      </dgm:t>
    </dgm:pt>
    <dgm:pt modelId="{53BF9ACB-E14E-491D-80ED-970C06E12212}" type="parTrans" cxnId="{44A53D2E-9E19-4269-902A-B139076448BB}">
      <dgm:prSet/>
      <dgm:spPr/>
      <dgm:t>
        <a:bodyPr/>
        <a:lstStyle/>
        <a:p>
          <a:endParaRPr lang="en-US" sz="1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6BF04C69-8126-46C3-98BD-BB55CE25C2D1}" type="sibTrans" cxnId="{44A53D2E-9E19-4269-902A-B139076448BB}">
      <dgm:prSet/>
      <dgm:spPr/>
      <dgm:t>
        <a:bodyPr/>
        <a:lstStyle/>
        <a:p>
          <a:endParaRPr lang="en-US" sz="1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78FE0941-44AD-41AE-ADEB-CC7B5686ED3F}">
      <dgm:prSet phldrT="[Text]" custT="1"/>
      <dgm:spPr/>
      <dgm:t>
        <a:bodyPr anchor="ctr"/>
        <a:lstStyle/>
        <a:p>
          <a:pPr algn="ctr"/>
          <a:r>
            <a:rPr lang="en-US" sz="1000">
              <a:latin typeface="Arial" panose="020B0604020202020204" pitchFamily="34" charset="0"/>
              <a:cs typeface="Arial" panose="020B0604020202020204" pitchFamily="34" charset="0"/>
            </a:rPr>
            <a:t>Identify contract opportunities through market research and analysis of current contracts and customers.</a:t>
          </a:r>
        </a:p>
      </dgm:t>
    </dgm:pt>
    <dgm:pt modelId="{55583E45-0D15-4B87-8564-F6A07CA1746F}" type="parTrans" cxnId="{59D0128F-E86A-4993-BA51-170E1ADE62AD}">
      <dgm:prSet/>
      <dgm:spPr/>
      <dgm:t>
        <a:bodyPr/>
        <a:lstStyle/>
        <a:p>
          <a:endParaRPr lang="en-US" sz="1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98C79CBD-9C9F-47C4-A213-649B1CC5843C}" type="sibTrans" cxnId="{59D0128F-E86A-4993-BA51-170E1ADE62AD}">
      <dgm:prSet/>
      <dgm:spPr/>
      <dgm:t>
        <a:bodyPr/>
        <a:lstStyle/>
        <a:p>
          <a:endParaRPr lang="en-US" sz="1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D3EEA5DB-F287-4AEC-8AFE-E9EACE0FE8EE}">
      <dgm:prSet phldrT="[Text]" custT="1"/>
      <dgm:spPr/>
      <dgm:t>
        <a:bodyPr anchor="ctr"/>
        <a:lstStyle/>
        <a:p>
          <a:pPr algn="ctr"/>
          <a:r>
            <a:rPr lang="en-US" sz="1000" b="1">
              <a:latin typeface="Arial" panose="020B0604020202020204" pitchFamily="34" charset="0"/>
              <a:cs typeface="Arial" panose="020B0604020202020204" pitchFamily="34" charset="0"/>
            </a:rPr>
            <a:t>2. Gather Data </a:t>
          </a:r>
        </a:p>
      </dgm:t>
    </dgm:pt>
    <dgm:pt modelId="{AF07F5D1-595C-477B-82B0-10521D974EA0}" type="parTrans" cxnId="{F6E6A14F-2C0D-4998-80CB-4C5A6FD89540}">
      <dgm:prSet/>
      <dgm:spPr/>
      <dgm:t>
        <a:bodyPr/>
        <a:lstStyle/>
        <a:p>
          <a:endParaRPr lang="en-US" sz="1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026F6295-E57C-482C-9F8B-1FD652155C96}" type="sibTrans" cxnId="{F6E6A14F-2C0D-4998-80CB-4C5A6FD89540}">
      <dgm:prSet/>
      <dgm:spPr/>
      <dgm:t>
        <a:bodyPr/>
        <a:lstStyle/>
        <a:p>
          <a:endParaRPr lang="en-US" sz="1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948C526F-2398-4EF2-892E-42BCEC7491F7}">
      <dgm:prSet phldrT="[Text]" custT="1"/>
      <dgm:spPr/>
      <dgm:t>
        <a:bodyPr anchor="ctr"/>
        <a:lstStyle/>
        <a:p>
          <a:pPr algn="ctr"/>
          <a:r>
            <a:rPr lang="en-US" sz="1000">
              <a:latin typeface="Arial" panose="020B0604020202020204" pitchFamily="34" charset="0"/>
              <a:cs typeface="Arial" panose="020B0604020202020204" pitchFamily="34" charset="0"/>
            </a:rPr>
            <a:t>Gather data through subject matter experts, supplier consultations</a:t>
          </a:r>
          <a:r>
            <a:rPr lang="en-CA" sz="1000">
              <a:latin typeface="Arial" panose="020B0604020202020204" pitchFamily="34" charset="0"/>
              <a:cs typeface="Arial" panose="020B0604020202020204" pitchFamily="34" charset="0"/>
            </a:rPr>
            <a:t>, </a:t>
          </a:r>
          <a:r>
            <a:rPr lang="en-US" sz="1000">
              <a:latin typeface="Arial" panose="020B0604020202020204" pitchFamily="34" charset="0"/>
              <a:cs typeface="Arial" panose="020B0604020202020204" pitchFamily="34" charset="0"/>
            </a:rPr>
            <a:t>past </a:t>
          </a:r>
          <a:r>
            <a:rPr lang="en-CA" sz="1000">
              <a:latin typeface="Arial" panose="020B0604020202020204" pitchFamily="34" charset="0"/>
              <a:cs typeface="Arial" panose="020B0604020202020204" pitchFamily="34" charset="0"/>
            </a:rPr>
            <a:t>agreements, customers, and past RFPs.</a:t>
          </a:r>
          <a:endParaRPr lang="en-US" sz="1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8D81C7A2-C60A-4F55-93CE-48EE2CA0D743}" type="parTrans" cxnId="{11F1E1EE-814D-4078-B9C5-4ED12B242EE4}">
      <dgm:prSet/>
      <dgm:spPr/>
      <dgm:t>
        <a:bodyPr/>
        <a:lstStyle/>
        <a:p>
          <a:endParaRPr lang="en-US" sz="1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BF3276F6-4FD9-4862-8F28-8A361843F8EB}" type="sibTrans" cxnId="{11F1E1EE-814D-4078-B9C5-4ED12B242EE4}">
      <dgm:prSet/>
      <dgm:spPr/>
      <dgm:t>
        <a:bodyPr/>
        <a:lstStyle/>
        <a:p>
          <a:endParaRPr lang="en-US" sz="1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E2C93D71-836B-4DDA-BF2B-64563714DCD0}">
      <dgm:prSet phldrT="[Text]" custT="1"/>
      <dgm:spPr/>
      <dgm:t>
        <a:bodyPr anchor="ctr"/>
        <a:lstStyle/>
        <a:p>
          <a:pPr algn="ctr"/>
          <a:r>
            <a:rPr lang="en-US" sz="1000" b="1">
              <a:latin typeface="Arial" panose="020B0604020202020204" pitchFamily="34" charset="0"/>
              <a:cs typeface="Arial" panose="020B0604020202020204" pitchFamily="34" charset="0"/>
            </a:rPr>
            <a:t>5. Evaluate Responses</a:t>
          </a:r>
          <a:endParaRPr lang="en-CA" sz="1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0993A2A5-CDC4-44D9-88FA-31838A34617C}" type="parTrans" cxnId="{53E3C0D6-9CEC-49D4-B161-CF45538670BF}">
      <dgm:prSet/>
      <dgm:spPr/>
      <dgm:t>
        <a:bodyPr/>
        <a:lstStyle/>
        <a:p>
          <a:endParaRPr lang="en-US" sz="1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6D5B59A9-4C1D-4622-B213-56E5174639DE}" type="sibTrans" cxnId="{53E3C0D6-9CEC-49D4-B161-CF45538670BF}">
      <dgm:prSet/>
      <dgm:spPr/>
      <dgm:t>
        <a:bodyPr/>
        <a:lstStyle/>
        <a:p>
          <a:endParaRPr lang="en-US" sz="1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CEA15307-6F7F-4E2D-BE66-229A9E26A482}">
      <dgm:prSet phldrT="[Text]" custT="1"/>
      <dgm:spPr/>
      <dgm:t>
        <a:bodyPr anchor="ctr"/>
        <a:lstStyle/>
        <a:p>
          <a:pPr algn="ctr"/>
          <a:r>
            <a:rPr lang="en-US" sz="1000">
              <a:latin typeface="Arial" panose="020B0604020202020204" pitchFamily="34" charset="0"/>
              <a:cs typeface="Arial" panose="020B0604020202020204" pitchFamily="34" charset="0"/>
            </a:rPr>
            <a:t>Responses are evaluated by OECM and a third-party evaluation committee. Evaluation is based on pricing, expertise, and level of service.</a:t>
          </a:r>
        </a:p>
      </dgm:t>
    </dgm:pt>
    <dgm:pt modelId="{659D67DF-A4D8-436F-8554-C1EBE48B39EA}" type="parTrans" cxnId="{6AB4B70F-0820-4CE5-AAF1-B88AB3782761}">
      <dgm:prSet/>
      <dgm:spPr/>
      <dgm:t>
        <a:bodyPr/>
        <a:lstStyle/>
        <a:p>
          <a:endParaRPr lang="en-US" sz="1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274CC03A-4B85-4E04-BBB5-10D0DA30090F}" type="sibTrans" cxnId="{6AB4B70F-0820-4CE5-AAF1-B88AB3782761}">
      <dgm:prSet/>
      <dgm:spPr/>
      <dgm:t>
        <a:bodyPr/>
        <a:lstStyle/>
        <a:p>
          <a:endParaRPr lang="en-US" sz="1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5C478403-B3E6-402F-8639-EFF6233F1D45}">
      <dgm:prSet custT="1"/>
      <dgm:spPr/>
      <dgm:t>
        <a:bodyPr anchor="ctr"/>
        <a:lstStyle/>
        <a:p>
          <a:pPr algn="ctr"/>
          <a:r>
            <a:rPr lang="en-US" sz="1000" b="1">
              <a:latin typeface="Arial" panose="020B0604020202020204" pitchFamily="34" charset="0"/>
              <a:cs typeface="Arial" panose="020B0604020202020204" pitchFamily="34" charset="0"/>
            </a:rPr>
            <a:t>3. Develop RFP and Post</a:t>
          </a:r>
        </a:p>
      </dgm:t>
    </dgm:pt>
    <dgm:pt modelId="{42D66712-E8D6-4572-BC25-C995BBB12C56}" type="parTrans" cxnId="{6ED5F6E7-A00B-4144-A4DE-BDE0353B2152}">
      <dgm:prSet/>
      <dgm:spPr/>
      <dgm:t>
        <a:bodyPr/>
        <a:lstStyle/>
        <a:p>
          <a:endParaRPr lang="en-US" sz="1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9EECC5D5-14B4-4A4E-B3C1-02D9CA75C6A9}" type="sibTrans" cxnId="{6ED5F6E7-A00B-4144-A4DE-BDE0353B2152}">
      <dgm:prSet/>
      <dgm:spPr/>
      <dgm:t>
        <a:bodyPr/>
        <a:lstStyle/>
        <a:p>
          <a:endParaRPr lang="en-US" sz="1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B4A50F7E-72EF-4F0C-B1BD-08D31E4A0BC3}">
      <dgm:prSet custT="1"/>
      <dgm:spPr/>
      <dgm:t>
        <a:bodyPr anchor="ctr"/>
        <a:lstStyle/>
        <a:p>
          <a:pPr algn="ctr"/>
          <a:r>
            <a:rPr lang="en-US" sz="1000">
              <a:latin typeface="Arial" panose="020B0604020202020204" pitchFamily="34" charset="0"/>
              <a:cs typeface="Arial" panose="020B0604020202020204" pitchFamily="34" charset="0"/>
            </a:rPr>
            <a:t>Publicly post RFP to Ontario Tenders Portal (e-procurement website) for suppliers to view and respond.</a:t>
          </a:r>
        </a:p>
      </dgm:t>
    </dgm:pt>
    <dgm:pt modelId="{6FA51E9C-C36F-47B9-81E3-FBA232DEDD2E}" type="parTrans" cxnId="{CACE4E05-3731-4E0B-AC63-D9C9A25B073E}">
      <dgm:prSet/>
      <dgm:spPr/>
      <dgm:t>
        <a:bodyPr/>
        <a:lstStyle/>
        <a:p>
          <a:endParaRPr lang="en-US" sz="1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729EB096-9116-4624-891C-9BA27633284B}" type="sibTrans" cxnId="{CACE4E05-3731-4E0B-AC63-D9C9A25B073E}">
      <dgm:prSet/>
      <dgm:spPr/>
      <dgm:t>
        <a:bodyPr/>
        <a:lstStyle/>
        <a:p>
          <a:endParaRPr lang="en-US" sz="1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5E578135-FC37-41A4-BC11-DA50C79CE7C2}">
      <dgm:prSet custT="1"/>
      <dgm:spPr/>
      <dgm:t>
        <a:bodyPr anchor="ctr"/>
        <a:lstStyle/>
        <a:p>
          <a:pPr algn="ctr"/>
          <a:r>
            <a:rPr lang="en-US" sz="1000" b="1">
              <a:latin typeface="Arial" panose="020B0604020202020204" pitchFamily="34" charset="0"/>
              <a:cs typeface="Arial" panose="020B0604020202020204" pitchFamily="34" charset="0"/>
            </a:rPr>
            <a:t>4. Suppliers Respond to RFP</a:t>
          </a:r>
        </a:p>
      </dgm:t>
    </dgm:pt>
    <dgm:pt modelId="{A2FB31B7-5528-4534-BEB0-133EC25C148A}" type="parTrans" cxnId="{47DCA9DA-C0EA-463C-94BA-995FD874F6A6}">
      <dgm:prSet/>
      <dgm:spPr/>
      <dgm:t>
        <a:bodyPr/>
        <a:lstStyle/>
        <a:p>
          <a:endParaRPr lang="en-US" sz="1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2006D628-12AE-4D66-83CF-DFECE5EB800C}" type="sibTrans" cxnId="{47DCA9DA-C0EA-463C-94BA-995FD874F6A6}">
      <dgm:prSet/>
      <dgm:spPr/>
      <dgm:t>
        <a:bodyPr/>
        <a:lstStyle/>
        <a:p>
          <a:endParaRPr lang="en-US" sz="1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DE8CAFB1-18B3-4237-B22D-FC33251A7604}">
      <dgm:prSet custT="1"/>
      <dgm:spPr/>
      <dgm:t>
        <a:bodyPr anchor="ctr"/>
        <a:lstStyle/>
        <a:p>
          <a:pPr algn="ctr"/>
          <a:r>
            <a:rPr lang="en-US" sz="1000" b="1">
              <a:latin typeface="Arial" panose="020B0604020202020204" pitchFamily="34" charset="0"/>
              <a:cs typeface="Arial" panose="020B0604020202020204" pitchFamily="34" charset="0"/>
            </a:rPr>
            <a:t>7. Launch New Agreement on OECM’s Marketplace</a:t>
          </a:r>
          <a:endParaRPr lang="en-CA" sz="1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4B37EBB7-9680-43A1-AA09-D6B366A16931}" type="parTrans" cxnId="{EC0AB2DC-D26C-49E6-9141-22978DE4F276}">
      <dgm:prSet/>
      <dgm:spPr/>
      <dgm:t>
        <a:bodyPr/>
        <a:lstStyle/>
        <a:p>
          <a:endParaRPr lang="en-US" sz="1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D1B67419-F281-48FD-9842-4535824BED17}" type="sibTrans" cxnId="{EC0AB2DC-D26C-49E6-9141-22978DE4F276}">
      <dgm:prSet/>
      <dgm:spPr/>
      <dgm:t>
        <a:bodyPr/>
        <a:lstStyle/>
        <a:p>
          <a:endParaRPr lang="en-US" sz="1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465A1B6C-170B-4942-B9F4-DADDB67B01F3}">
      <dgm:prSet custT="1"/>
      <dgm:spPr/>
      <dgm:t>
        <a:bodyPr anchor="ctr"/>
        <a:lstStyle/>
        <a:p>
          <a:pPr algn="ctr"/>
          <a:r>
            <a:rPr lang="en-US" sz="1000">
              <a:latin typeface="Arial" panose="020B0604020202020204" pitchFamily="34" charset="0"/>
              <a:cs typeface="Arial" panose="020B0604020202020204" pitchFamily="34" charset="0"/>
            </a:rPr>
            <a:t>Suppliers will have a minimum of 30 days to respond to the RFP, with an opportunity to ask questions.</a:t>
          </a:r>
        </a:p>
      </dgm:t>
    </dgm:pt>
    <dgm:pt modelId="{594D666E-5628-47EC-9D1A-1EA9B259C170}" type="parTrans" cxnId="{706B11D7-0E81-4BCD-93FC-3F178785FE24}">
      <dgm:prSet/>
      <dgm:spPr/>
      <dgm:t>
        <a:bodyPr/>
        <a:lstStyle/>
        <a:p>
          <a:endParaRPr lang="en-US" sz="1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BC239D40-DED1-4422-B279-53D30B1415D6}" type="sibTrans" cxnId="{706B11D7-0E81-4BCD-93FC-3F178785FE24}">
      <dgm:prSet/>
      <dgm:spPr/>
      <dgm:t>
        <a:bodyPr/>
        <a:lstStyle/>
        <a:p>
          <a:endParaRPr lang="en-US" sz="1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F154F061-D773-41AE-8286-C751B912E0C8}">
      <dgm:prSet custT="1"/>
      <dgm:spPr/>
      <dgm:t>
        <a:bodyPr anchor="ctr"/>
        <a:lstStyle/>
        <a:p>
          <a:pPr algn="ctr"/>
          <a:r>
            <a:rPr lang="en-US" sz="1000">
              <a:latin typeface="Arial" panose="020B0604020202020204" pitchFamily="34" charset="0"/>
              <a:cs typeface="Arial" panose="020B0604020202020204" pitchFamily="34" charset="0"/>
            </a:rPr>
            <a:t>Upon launch, the business relationship team will manage contract details, purchases by customers, and relationships with the suppliers. </a:t>
          </a:r>
        </a:p>
      </dgm:t>
    </dgm:pt>
    <dgm:pt modelId="{FC2DCA26-4DB0-4F67-91B4-208EA709FED2}" type="parTrans" cxnId="{CD5FEE6F-8A93-49C4-91D4-161919BE8980}">
      <dgm:prSet/>
      <dgm:spPr/>
      <dgm:t>
        <a:bodyPr/>
        <a:lstStyle/>
        <a:p>
          <a:endParaRPr lang="en-US" sz="1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5A61A6CD-5E5D-40E3-B862-144C8AF9F2FE}" type="sibTrans" cxnId="{CD5FEE6F-8A93-49C4-91D4-161919BE8980}">
      <dgm:prSet/>
      <dgm:spPr/>
      <dgm:t>
        <a:bodyPr/>
        <a:lstStyle/>
        <a:p>
          <a:endParaRPr lang="en-US" sz="1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2417D55A-2ACB-402D-A1C4-A776B3B356F8}">
      <dgm:prSet custT="1"/>
      <dgm:spPr/>
      <dgm:t>
        <a:bodyPr anchor="ctr"/>
        <a:lstStyle/>
        <a:p>
          <a:pPr algn="ctr"/>
          <a:r>
            <a:rPr lang="en-US" sz="1000" b="1">
              <a:latin typeface="Arial" panose="020B0604020202020204" pitchFamily="34" charset="0"/>
              <a:cs typeface="Arial" panose="020B0604020202020204" pitchFamily="34" charset="0"/>
            </a:rPr>
            <a:t>6. Negotiate Master Agreement </a:t>
          </a:r>
          <a:endParaRPr lang="en-CA" sz="1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747AD863-14DD-4DFC-825B-A57338583ADA}" type="parTrans" cxnId="{7D72D26A-2274-481D-AFCA-58974588E7F5}">
      <dgm:prSet/>
      <dgm:spPr/>
      <dgm:t>
        <a:bodyPr/>
        <a:lstStyle/>
        <a:p>
          <a:endParaRPr lang="en-CA" sz="1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21577032-693B-41F4-9FAE-283B411B621F}" type="sibTrans" cxnId="{7D72D26A-2274-481D-AFCA-58974588E7F5}">
      <dgm:prSet/>
      <dgm:spPr/>
      <dgm:t>
        <a:bodyPr/>
        <a:lstStyle/>
        <a:p>
          <a:endParaRPr lang="en-CA" sz="1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679F7870-A7E6-45A8-A777-84E0A5B5D00B}">
      <dgm:prSet custT="1"/>
      <dgm:spPr/>
      <dgm:t>
        <a:bodyPr anchor="ctr"/>
        <a:lstStyle/>
        <a:p>
          <a:pPr algn="ctr"/>
          <a:r>
            <a:rPr lang="en-US" sz="1000">
              <a:latin typeface="Arial" panose="020B0604020202020204" pitchFamily="34" charset="0"/>
              <a:cs typeface="Arial" panose="020B0604020202020204" pitchFamily="34" charset="0"/>
            </a:rPr>
            <a:t>Master agreement</a:t>
          </a:r>
          <a:r>
            <a:rPr lang="en-CA" sz="1000">
              <a:latin typeface="Arial" panose="020B0604020202020204" pitchFamily="34" charset="0"/>
              <a:cs typeface="Arial" panose="020B0604020202020204" pitchFamily="34" charset="0"/>
            </a:rPr>
            <a:t> negotiations </a:t>
          </a:r>
          <a:r>
            <a:rPr lang="en-US" sz="1000">
              <a:latin typeface="Arial" panose="020B0604020202020204" pitchFamily="34" charset="0"/>
              <a:cs typeface="Arial" panose="020B0604020202020204" pitchFamily="34" charset="0"/>
            </a:rPr>
            <a:t>occur with suppliers having the highest scores. The master agreement outlines the terms the winning supplier must meet.</a:t>
          </a:r>
          <a:endParaRPr lang="en-CA" sz="1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3F0A54CC-0B7A-4567-A0EC-22E81B497829}" type="parTrans" cxnId="{923D7FFE-0DA1-4BDE-ADE2-2F999BCD5E74}">
      <dgm:prSet/>
      <dgm:spPr/>
      <dgm:t>
        <a:bodyPr/>
        <a:lstStyle/>
        <a:p>
          <a:endParaRPr lang="en-CA" sz="1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EE227522-1954-476E-B82A-6416274417F7}" type="sibTrans" cxnId="{923D7FFE-0DA1-4BDE-ADE2-2F999BCD5E74}">
      <dgm:prSet/>
      <dgm:spPr/>
      <dgm:t>
        <a:bodyPr/>
        <a:lstStyle/>
        <a:p>
          <a:endParaRPr lang="en-CA" sz="1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C050CBAD-AB25-4F43-8AC6-DB99F6246D3A}" type="pres">
      <dgm:prSet presAssocID="{A895DFB0-6839-4485-8E14-D65775650875}" presName="Name0" presStyleCnt="0">
        <dgm:presLayoutVars>
          <dgm:chPref val="3"/>
          <dgm:dir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4C861E0A-6D92-4800-8298-86820A7A6CE9}" type="pres">
      <dgm:prSet presAssocID="{13A14AE2-764A-439B-B747-3BC333344261}" presName="horFlow" presStyleCnt="0"/>
      <dgm:spPr/>
    </dgm:pt>
    <dgm:pt modelId="{C2CADD98-C618-4F96-A3D3-D707925C2833}" type="pres">
      <dgm:prSet presAssocID="{13A14AE2-764A-439B-B747-3BC333344261}" presName="bigChev" presStyleLbl="node1" presStyleIdx="0" presStyleCnt="7"/>
      <dgm:spPr/>
      <dgm:t>
        <a:bodyPr/>
        <a:lstStyle/>
        <a:p>
          <a:endParaRPr lang="en-US"/>
        </a:p>
      </dgm:t>
    </dgm:pt>
    <dgm:pt modelId="{7D95B429-C77C-414E-B288-01AEE315818B}" type="pres">
      <dgm:prSet presAssocID="{55583E45-0D15-4B87-8564-F6A07CA1746F}" presName="parTrans" presStyleCnt="0"/>
      <dgm:spPr/>
    </dgm:pt>
    <dgm:pt modelId="{A2AE8E76-9112-42A4-8706-F4209B6CF69F}" type="pres">
      <dgm:prSet presAssocID="{78FE0941-44AD-41AE-ADEB-CC7B5686ED3F}" presName="node" presStyleLbl="alignAccFollowNode1" presStyleIdx="0" presStyleCnt="7" custScaleX="26770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D41DAD2-B94B-4FEA-98BD-99B993A385CA}" type="pres">
      <dgm:prSet presAssocID="{13A14AE2-764A-439B-B747-3BC333344261}" presName="vSp" presStyleCnt="0"/>
      <dgm:spPr/>
    </dgm:pt>
    <dgm:pt modelId="{45B0074C-6133-44E3-B206-AEF581EBD58F}" type="pres">
      <dgm:prSet presAssocID="{D3EEA5DB-F287-4AEC-8AFE-E9EACE0FE8EE}" presName="horFlow" presStyleCnt="0"/>
      <dgm:spPr/>
    </dgm:pt>
    <dgm:pt modelId="{2A94B871-25AF-4F46-8318-989CE33706A0}" type="pres">
      <dgm:prSet presAssocID="{D3EEA5DB-F287-4AEC-8AFE-E9EACE0FE8EE}" presName="bigChev" presStyleLbl="node1" presStyleIdx="1" presStyleCnt="7"/>
      <dgm:spPr/>
      <dgm:t>
        <a:bodyPr/>
        <a:lstStyle/>
        <a:p>
          <a:endParaRPr lang="en-US"/>
        </a:p>
      </dgm:t>
    </dgm:pt>
    <dgm:pt modelId="{5F7AEE36-454D-447A-BC82-9CA28F20CE40}" type="pres">
      <dgm:prSet presAssocID="{8D81C7A2-C60A-4F55-93CE-48EE2CA0D743}" presName="parTrans" presStyleCnt="0"/>
      <dgm:spPr/>
    </dgm:pt>
    <dgm:pt modelId="{E86A23BF-E39E-4179-A974-45C1F5A7B577}" type="pres">
      <dgm:prSet presAssocID="{948C526F-2398-4EF2-892E-42BCEC7491F7}" presName="node" presStyleLbl="alignAccFollowNode1" presStyleIdx="1" presStyleCnt="7" custScaleX="26770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D7FCC6B-D8D2-4791-82F3-529E59F29B5D}" type="pres">
      <dgm:prSet presAssocID="{D3EEA5DB-F287-4AEC-8AFE-E9EACE0FE8EE}" presName="vSp" presStyleCnt="0"/>
      <dgm:spPr/>
    </dgm:pt>
    <dgm:pt modelId="{C76EC9D0-C63E-4D00-903D-696A2C35D61A}" type="pres">
      <dgm:prSet presAssocID="{5C478403-B3E6-402F-8639-EFF6233F1D45}" presName="horFlow" presStyleCnt="0"/>
      <dgm:spPr/>
    </dgm:pt>
    <dgm:pt modelId="{B913D9E3-90AB-4924-BE7C-CDD432ADD924}" type="pres">
      <dgm:prSet presAssocID="{5C478403-B3E6-402F-8639-EFF6233F1D45}" presName="bigChev" presStyleLbl="node1" presStyleIdx="2" presStyleCnt="7"/>
      <dgm:spPr/>
      <dgm:t>
        <a:bodyPr/>
        <a:lstStyle/>
        <a:p>
          <a:endParaRPr lang="en-US"/>
        </a:p>
      </dgm:t>
    </dgm:pt>
    <dgm:pt modelId="{5212FBE3-B787-4DC0-AA22-DFC5C147326C}" type="pres">
      <dgm:prSet presAssocID="{6FA51E9C-C36F-47B9-81E3-FBA232DEDD2E}" presName="parTrans" presStyleCnt="0"/>
      <dgm:spPr/>
    </dgm:pt>
    <dgm:pt modelId="{CAAC61EA-C017-4E4E-9090-57881422210D}" type="pres">
      <dgm:prSet presAssocID="{B4A50F7E-72EF-4F0C-B1BD-08D31E4A0BC3}" presName="node" presStyleLbl="alignAccFollowNode1" presStyleIdx="2" presStyleCnt="7" custScaleX="26770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F7BD2AB-6CB8-4A18-9437-4BBE0C060038}" type="pres">
      <dgm:prSet presAssocID="{5C478403-B3E6-402F-8639-EFF6233F1D45}" presName="vSp" presStyleCnt="0"/>
      <dgm:spPr/>
    </dgm:pt>
    <dgm:pt modelId="{4F013453-ACAB-4C85-8037-76BA7F990069}" type="pres">
      <dgm:prSet presAssocID="{5E578135-FC37-41A4-BC11-DA50C79CE7C2}" presName="horFlow" presStyleCnt="0"/>
      <dgm:spPr/>
    </dgm:pt>
    <dgm:pt modelId="{B92AE735-A173-44CF-988E-47585745EF18}" type="pres">
      <dgm:prSet presAssocID="{5E578135-FC37-41A4-BC11-DA50C79CE7C2}" presName="bigChev" presStyleLbl="node1" presStyleIdx="3" presStyleCnt="7"/>
      <dgm:spPr/>
      <dgm:t>
        <a:bodyPr/>
        <a:lstStyle/>
        <a:p>
          <a:endParaRPr lang="en-US"/>
        </a:p>
      </dgm:t>
    </dgm:pt>
    <dgm:pt modelId="{43205B98-BF73-47DD-8B9C-E4DF3BF23051}" type="pres">
      <dgm:prSet presAssocID="{594D666E-5628-47EC-9D1A-1EA9B259C170}" presName="parTrans" presStyleCnt="0"/>
      <dgm:spPr/>
    </dgm:pt>
    <dgm:pt modelId="{FF07F343-EA1D-4EF6-8FF5-BDE40F2E0C22}" type="pres">
      <dgm:prSet presAssocID="{465A1B6C-170B-4942-B9F4-DADDB67B01F3}" presName="node" presStyleLbl="alignAccFollowNode1" presStyleIdx="3" presStyleCnt="7" custScaleX="267703" custLinFactNeighborX="328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8FFC7AE-50A4-4DA6-92A3-3CC923FD6CDE}" type="pres">
      <dgm:prSet presAssocID="{5E578135-FC37-41A4-BC11-DA50C79CE7C2}" presName="vSp" presStyleCnt="0"/>
      <dgm:spPr/>
    </dgm:pt>
    <dgm:pt modelId="{185D5F33-F5C1-453A-AF0D-0DF4825DE46F}" type="pres">
      <dgm:prSet presAssocID="{E2C93D71-836B-4DDA-BF2B-64563714DCD0}" presName="horFlow" presStyleCnt="0"/>
      <dgm:spPr/>
    </dgm:pt>
    <dgm:pt modelId="{054F45E0-4798-45DA-843E-98009D75289C}" type="pres">
      <dgm:prSet presAssocID="{E2C93D71-836B-4DDA-BF2B-64563714DCD0}" presName="bigChev" presStyleLbl="node1" presStyleIdx="4" presStyleCnt="7"/>
      <dgm:spPr/>
      <dgm:t>
        <a:bodyPr/>
        <a:lstStyle/>
        <a:p>
          <a:endParaRPr lang="en-US"/>
        </a:p>
      </dgm:t>
    </dgm:pt>
    <dgm:pt modelId="{6F4B9FA4-7BBE-4BC4-BBA2-F3F2F95CF4D3}" type="pres">
      <dgm:prSet presAssocID="{659D67DF-A4D8-436F-8554-C1EBE48B39EA}" presName="parTrans" presStyleCnt="0"/>
      <dgm:spPr/>
    </dgm:pt>
    <dgm:pt modelId="{BB10FC1B-1819-4312-8D97-5B71BEC76A32}" type="pres">
      <dgm:prSet presAssocID="{CEA15307-6F7F-4E2D-BE66-229A9E26A482}" presName="node" presStyleLbl="alignAccFollowNode1" presStyleIdx="4" presStyleCnt="7" custScaleX="26770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BDC56F5-A8DD-4D98-9080-DEC2BD55943E}" type="pres">
      <dgm:prSet presAssocID="{E2C93D71-836B-4DDA-BF2B-64563714DCD0}" presName="vSp" presStyleCnt="0"/>
      <dgm:spPr/>
    </dgm:pt>
    <dgm:pt modelId="{CBBC636D-D33E-4F11-AFBE-F10FB0849A4A}" type="pres">
      <dgm:prSet presAssocID="{2417D55A-2ACB-402D-A1C4-A776B3B356F8}" presName="horFlow" presStyleCnt="0"/>
      <dgm:spPr/>
    </dgm:pt>
    <dgm:pt modelId="{5A4B3F91-BCF4-4963-98D9-95CDA17DBACF}" type="pres">
      <dgm:prSet presAssocID="{2417D55A-2ACB-402D-A1C4-A776B3B356F8}" presName="bigChev" presStyleLbl="node1" presStyleIdx="5" presStyleCnt="7" custLinFactNeighborX="3282"/>
      <dgm:spPr/>
      <dgm:t>
        <a:bodyPr/>
        <a:lstStyle/>
        <a:p>
          <a:endParaRPr lang="en-US"/>
        </a:p>
      </dgm:t>
    </dgm:pt>
    <dgm:pt modelId="{4CA1315F-E053-401D-B2EC-65F954815A00}" type="pres">
      <dgm:prSet presAssocID="{3F0A54CC-0B7A-4567-A0EC-22E81B497829}" presName="parTrans" presStyleCnt="0"/>
      <dgm:spPr/>
    </dgm:pt>
    <dgm:pt modelId="{1A3BDA22-0FB7-4197-B4F3-C88A54183B42}" type="pres">
      <dgm:prSet presAssocID="{679F7870-A7E6-45A8-A777-84E0A5B5D00B}" presName="node" presStyleLbl="alignAccFollowNode1" presStyleIdx="5" presStyleCnt="7" custScaleX="26770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65C152A-F879-4429-AAE1-A3B644A4190D}" type="pres">
      <dgm:prSet presAssocID="{2417D55A-2ACB-402D-A1C4-A776B3B356F8}" presName="vSp" presStyleCnt="0"/>
      <dgm:spPr/>
    </dgm:pt>
    <dgm:pt modelId="{38FD2EEF-E6DE-4579-BB0A-2404F30F223B}" type="pres">
      <dgm:prSet presAssocID="{DE8CAFB1-18B3-4237-B22D-FC33251A7604}" presName="horFlow" presStyleCnt="0"/>
      <dgm:spPr/>
    </dgm:pt>
    <dgm:pt modelId="{B70A19E0-8D58-4B90-BE50-C3B2FBDC77CE}" type="pres">
      <dgm:prSet presAssocID="{DE8CAFB1-18B3-4237-B22D-FC33251A7604}" presName="bigChev" presStyleLbl="node1" presStyleIdx="6" presStyleCnt="7"/>
      <dgm:spPr/>
      <dgm:t>
        <a:bodyPr/>
        <a:lstStyle/>
        <a:p>
          <a:endParaRPr lang="en-US"/>
        </a:p>
      </dgm:t>
    </dgm:pt>
    <dgm:pt modelId="{4B10A11E-7216-42D6-8528-75897A74C89D}" type="pres">
      <dgm:prSet presAssocID="{FC2DCA26-4DB0-4F67-91B4-208EA709FED2}" presName="parTrans" presStyleCnt="0"/>
      <dgm:spPr/>
    </dgm:pt>
    <dgm:pt modelId="{D70A32E8-72EB-498E-8033-B9C50245B98A}" type="pres">
      <dgm:prSet presAssocID="{F154F061-D773-41AE-8286-C751B912E0C8}" presName="node" presStyleLbl="alignAccFollowNode1" presStyleIdx="6" presStyleCnt="7" custScaleX="26770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CACE4E05-3731-4E0B-AC63-D9C9A25B073E}" srcId="{5C478403-B3E6-402F-8639-EFF6233F1D45}" destId="{B4A50F7E-72EF-4F0C-B1BD-08D31E4A0BC3}" srcOrd="0" destOrd="0" parTransId="{6FA51E9C-C36F-47B9-81E3-FBA232DEDD2E}" sibTransId="{729EB096-9116-4624-891C-9BA27633284B}"/>
    <dgm:cxn modelId="{6ED5F6E7-A00B-4144-A4DE-BDE0353B2152}" srcId="{A895DFB0-6839-4485-8E14-D65775650875}" destId="{5C478403-B3E6-402F-8639-EFF6233F1D45}" srcOrd="2" destOrd="0" parTransId="{42D66712-E8D6-4572-BC25-C995BBB12C56}" sibTransId="{9EECC5D5-14B4-4A4E-B3C1-02D9CA75C6A9}"/>
    <dgm:cxn modelId="{EC0AB2DC-D26C-49E6-9141-22978DE4F276}" srcId="{A895DFB0-6839-4485-8E14-D65775650875}" destId="{DE8CAFB1-18B3-4237-B22D-FC33251A7604}" srcOrd="6" destOrd="0" parTransId="{4B37EBB7-9680-43A1-AA09-D6B366A16931}" sibTransId="{D1B67419-F281-48FD-9842-4535824BED17}"/>
    <dgm:cxn modelId="{44A53D2E-9E19-4269-902A-B139076448BB}" srcId="{A895DFB0-6839-4485-8E14-D65775650875}" destId="{13A14AE2-764A-439B-B747-3BC333344261}" srcOrd="0" destOrd="0" parTransId="{53BF9ACB-E14E-491D-80ED-970C06E12212}" sibTransId="{6BF04C69-8126-46C3-98BD-BB55CE25C2D1}"/>
    <dgm:cxn modelId="{3E4E7B78-E9D8-465C-9A64-28B907A39E3E}" type="presOf" srcId="{D3EEA5DB-F287-4AEC-8AFE-E9EACE0FE8EE}" destId="{2A94B871-25AF-4F46-8318-989CE33706A0}" srcOrd="0" destOrd="0" presId="urn:microsoft.com/office/officeart/2005/8/layout/lProcess3"/>
    <dgm:cxn modelId="{CD5FEE6F-8A93-49C4-91D4-161919BE8980}" srcId="{DE8CAFB1-18B3-4237-B22D-FC33251A7604}" destId="{F154F061-D773-41AE-8286-C751B912E0C8}" srcOrd="0" destOrd="0" parTransId="{FC2DCA26-4DB0-4F67-91B4-208EA709FED2}" sibTransId="{5A61A6CD-5E5D-40E3-B862-144C8AF9F2FE}"/>
    <dgm:cxn modelId="{E186FBC1-BC31-42D2-8F7C-4F46AA53A8A9}" type="presOf" srcId="{465A1B6C-170B-4942-B9F4-DADDB67B01F3}" destId="{FF07F343-EA1D-4EF6-8FF5-BDE40F2E0C22}" srcOrd="0" destOrd="0" presId="urn:microsoft.com/office/officeart/2005/8/layout/lProcess3"/>
    <dgm:cxn modelId="{6AB4B70F-0820-4CE5-AAF1-B88AB3782761}" srcId="{E2C93D71-836B-4DDA-BF2B-64563714DCD0}" destId="{CEA15307-6F7F-4E2D-BE66-229A9E26A482}" srcOrd="0" destOrd="0" parTransId="{659D67DF-A4D8-436F-8554-C1EBE48B39EA}" sibTransId="{274CC03A-4B85-4E04-BBB5-10D0DA30090F}"/>
    <dgm:cxn modelId="{1FD0BB40-2CAC-4EC9-819E-B706A464720C}" type="presOf" srcId="{CEA15307-6F7F-4E2D-BE66-229A9E26A482}" destId="{BB10FC1B-1819-4312-8D97-5B71BEC76A32}" srcOrd="0" destOrd="0" presId="urn:microsoft.com/office/officeart/2005/8/layout/lProcess3"/>
    <dgm:cxn modelId="{F6E6A14F-2C0D-4998-80CB-4C5A6FD89540}" srcId="{A895DFB0-6839-4485-8E14-D65775650875}" destId="{D3EEA5DB-F287-4AEC-8AFE-E9EACE0FE8EE}" srcOrd="1" destOrd="0" parTransId="{AF07F5D1-595C-477B-82B0-10521D974EA0}" sibTransId="{026F6295-E57C-482C-9F8B-1FD652155C96}"/>
    <dgm:cxn modelId="{706B11D7-0E81-4BCD-93FC-3F178785FE24}" srcId="{5E578135-FC37-41A4-BC11-DA50C79CE7C2}" destId="{465A1B6C-170B-4942-B9F4-DADDB67B01F3}" srcOrd="0" destOrd="0" parTransId="{594D666E-5628-47EC-9D1A-1EA9B259C170}" sibTransId="{BC239D40-DED1-4422-B279-53D30B1415D6}"/>
    <dgm:cxn modelId="{923D7FFE-0DA1-4BDE-ADE2-2F999BCD5E74}" srcId="{2417D55A-2ACB-402D-A1C4-A776B3B356F8}" destId="{679F7870-A7E6-45A8-A777-84E0A5B5D00B}" srcOrd="0" destOrd="0" parTransId="{3F0A54CC-0B7A-4567-A0EC-22E81B497829}" sibTransId="{EE227522-1954-476E-B82A-6416274417F7}"/>
    <dgm:cxn modelId="{BB56882B-961B-4A5C-B313-46EC5CDCAC91}" type="presOf" srcId="{5E578135-FC37-41A4-BC11-DA50C79CE7C2}" destId="{B92AE735-A173-44CF-988E-47585745EF18}" srcOrd="0" destOrd="0" presId="urn:microsoft.com/office/officeart/2005/8/layout/lProcess3"/>
    <dgm:cxn modelId="{457AAC78-D281-48C7-9117-773644F00A5F}" type="presOf" srcId="{78FE0941-44AD-41AE-ADEB-CC7B5686ED3F}" destId="{A2AE8E76-9112-42A4-8706-F4209B6CF69F}" srcOrd="0" destOrd="0" presId="urn:microsoft.com/office/officeart/2005/8/layout/lProcess3"/>
    <dgm:cxn modelId="{59D0128F-E86A-4993-BA51-170E1ADE62AD}" srcId="{13A14AE2-764A-439B-B747-3BC333344261}" destId="{78FE0941-44AD-41AE-ADEB-CC7B5686ED3F}" srcOrd="0" destOrd="0" parTransId="{55583E45-0D15-4B87-8564-F6A07CA1746F}" sibTransId="{98C79CBD-9C9F-47C4-A213-649B1CC5843C}"/>
    <dgm:cxn modelId="{E0C92C14-5922-4A53-940C-DAD5AD7D8882}" type="presOf" srcId="{2417D55A-2ACB-402D-A1C4-A776B3B356F8}" destId="{5A4B3F91-BCF4-4963-98D9-95CDA17DBACF}" srcOrd="0" destOrd="0" presId="urn:microsoft.com/office/officeart/2005/8/layout/lProcess3"/>
    <dgm:cxn modelId="{D3F4940A-B765-4FFA-858B-83F6DE50D630}" type="presOf" srcId="{A895DFB0-6839-4485-8E14-D65775650875}" destId="{C050CBAD-AB25-4F43-8AC6-DB99F6246D3A}" srcOrd="0" destOrd="0" presId="urn:microsoft.com/office/officeart/2005/8/layout/lProcess3"/>
    <dgm:cxn modelId="{1FFFF6F2-6C78-4038-934B-148445CC5373}" type="presOf" srcId="{F154F061-D773-41AE-8286-C751B912E0C8}" destId="{D70A32E8-72EB-498E-8033-B9C50245B98A}" srcOrd="0" destOrd="0" presId="urn:microsoft.com/office/officeart/2005/8/layout/lProcess3"/>
    <dgm:cxn modelId="{A896E677-8C5C-4B1B-AE6B-C2CB0B2421AF}" type="presOf" srcId="{5C478403-B3E6-402F-8639-EFF6233F1D45}" destId="{B913D9E3-90AB-4924-BE7C-CDD432ADD924}" srcOrd="0" destOrd="0" presId="urn:microsoft.com/office/officeart/2005/8/layout/lProcess3"/>
    <dgm:cxn modelId="{359FEE64-C41D-4842-A5AC-45CF79621991}" type="presOf" srcId="{E2C93D71-836B-4DDA-BF2B-64563714DCD0}" destId="{054F45E0-4798-45DA-843E-98009D75289C}" srcOrd="0" destOrd="0" presId="urn:microsoft.com/office/officeart/2005/8/layout/lProcess3"/>
    <dgm:cxn modelId="{7D72D26A-2274-481D-AFCA-58974588E7F5}" srcId="{A895DFB0-6839-4485-8E14-D65775650875}" destId="{2417D55A-2ACB-402D-A1C4-A776B3B356F8}" srcOrd="5" destOrd="0" parTransId="{747AD863-14DD-4DFC-825B-A57338583ADA}" sibTransId="{21577032-693B-41F4-9FAE-283B411B621F}"/>
    <dgm:cxn modelId="{0E5FBA25-77CD-4835-9046-684B90192B24}" type="presOf" srcId="{948C526F-2398-4EF2-892E-42BCEC7491F7}" destId="{E86A23BF-E39E-4179-A974-45C1F5A7B577}" srcOrd="0" destOrd="0" presId="urn:microsoft.com/office/officeart/2005/8/layout/lProcess3"/>
    <dgm:cxn modelId="{41958197-DA76-4B56-AB19-1A5D13D1A69D}" type="presOf" srcId="{13A14AE2-764A-439B-B747-3BC333344261}" destId="{C2CADD98-C618-4F96-A3D3-D707925C2833}" srcOrd="0" destOrd="0" presId="urn:microsoft.com/office/officeart/2005/8/layout/lProcess3"/>
    <dgm:cxn modelId="{0849193F-97FE-4489-A809-FABF7C75DCC1}" type="presOf" srcId="{679F7870-A7E6-45A8-A777-84E0A5B5D00B}" destId="{1A3BDA22-0FB7-4197-B4F3-C88A54183B42}" srcOrd="0" destOrd="0" presId="urn:microsoft.com/office/officeart/2005/8/layout/lProcess3"/>
    <dgm:cxn modelId="{11F1E1EE-814D-4078-B9C5-4ED12B242EE4}" srcId="{D3EEA5DB-F287-4AEC-8AFE-E9EACE0FE8EE}" destId="{948C526F-2398-4EF2-892E-42BCEC7491F7}" srcOrd="0" destOrd="0" parTransId="{8D81C7A2-C60A-4F55-93CE-48EE2CA0D743}" sibTransId="{BF3276F6-4FD9-4862-8F28-8A361843F8EB}"/>
    <dgm:cxn modelId="{53E3C0D6-9CEC-49D4-B161-CF45538670BF}" srcId="{A895DFB0-6839-4485-8E14-D65775650875}" destId="{E2C93D71-836B-4DDA-BF2B-64563714DCD0}" srcOrd="4" destOrd="0" parTransId="{0993A2A5-CDC4-44D9-88FA-31838A34617C}" sibTransId="{6D5B59A9-4C1D-4622-B213-56E5174639DE}"/>
    <dgm:cxn modelId="{47DCA9DA-C0EA-463C-94BA-995FD874F6A6}" srcId="{A895DFB0-6839-4485-8E14-D65775650875}" destId="{5E578135-FC37-41A4-BC11-DA50C79CE7C2}" srcOrd="3" destOrd="0" parTransId="{A2FB31B7-5528-4534-BEB0-133EC25C148A}" sibTransId="{2006D628-12AE-4D66-83CF-DFECE5EB800C}"/>
    <dgm:cxn modelId="{22FA4B45-C50F-4494-AD11-D93958C8AF95}" type="presOf" srcId="{B4A50F7E-72EF-4F0C-B1BD-08D31E4A0BC3}" destId="{CAAC61EA-C017-4E4E-9090-57881422210D}" srcOrd="0" destOrd="0" presId="urn:microsoft.com/office/officeart/2005/8/layout/lProcess3"/>
    <dgm:cxn modelId="{426F9971-413D-4F2E-9F48-9FCF43FB5617}" type="presOf" srcId="{DE8CAFB1-18B3-4237-B22D-FC33251A7604}" destId="{B70A19E0-8D58-4B90-BE50-C3B2FBDC77CE}" srcOrd="0" destOrd="0" presId="urn:microsoft.com/office/officeart/2005/8/layout/lProcess3"/>
    <dgm:cxn modelId="{445A843B-C98E-4F62-8856-A5D8E408A501}" type="presParOf" srcId="{C050CBAD-AB25-4F43-8AC6-DB99F6246D3A}" destId="{4C861E0A-6D92-4800-8298-86820A7A6CE9}" srcOrd="0" destOrd="0" presId="urn:microsoft.com/office/officeart/2005/8/layout/lProcess3"/>
    <dgm:cxn modelId="{AF41BD19-2E45-4C0E-A3C7-D4340DF22333}" type="presParOf" srcId="{4C861E0A-6D92-4800-8298-86820A7A6CE9}" destId="{C2CADD98-C618-4F96-A3D3-D707925C2833}" srcOrd="0" destOrd="0" presId="urn:microsoft.com/office/officeart/2005/8/layout/lProcess3"/>
    <dgm:cxn modelId="{29423929-8447-4009-A6DA-818DA5912445}" type="presParOf" srcId="{4C861E0A-6D92-4800-8298-86820A7A6CE9}" destId="{7D95B429-C77C-414E-B288-01AEE315818B}" srcOrd="1" destOrd="0" presId="urn:microsoft.com/office/officeart/2005/8/layout/lProcess3"/>
    <dgm:cxn modelId="{243BE7FC-2DDF-4987-9A1C-9070BA91D59C}" type="presParOf" srcId="{4C861E0A-6D92-4800-8298-86820A7A6CE9}" destId="{A2AE8E76-9112-42A4-8706-F4209B6CF69F}" srcOrd="2" destOrd="0" presId="urn:microsoft.com/office/officeart/2005/8/layout/lProcess3"/>
    <dgm:cxn modelId="{74C8240A-0C91-4067-B8FD-E28FD4769BE3}" type="presParOf" srcId="{C050CBAD-AB25-4F43-8AC6-DB99F6246D3A}" destId="{FD41DAD2-B94B-4FEA-98BD-99B993A385CA}" srcOrd="1" destOrd="0" presId="urn:microsoft.com/office/officeart/2005/8/layout/lProcess3"/>
    <dgm:cxn modelId="{7C06258B-C9AC-439A-B8B7-5C339C43F89E}" type="presParOf" srcId="{C050CBAD-AB25-4F43-8AC6-DB99F6246D3A}" destId="{45B0074C-6133-44E3-B206-AEF581EBD58F}" srcOrd="2" destOrd="0" presId="urn:microsoft.com/office/officeart/2005/8/layout/lProcess3"/>
    <dgm:cxn modelId="{CAD41B82-EA68-4E1B-AEA0-BF5D35E58D5D}" type="presParOf" srcId="{45B0074C-6133-44E3-B206-AEF581EBD58F}" destId="{2A94B871-25AF-4F46-8318-989CE33706A0}" srcOrd="0" destOrd="0" presId="urn:microsoft.com/office/officeart/2005/8/layout/lProcess3"/>
    <dgm:cxn modelId="{0F43B684-D552-477B-B0D6-9EBCC6945ADE}" type="presParOf" srcId="{45B0074C-6133-44E3-B206-AEF581EBD58F}" destId="{5F7AEE36-454D-447A-BC82-9CA28F20CE40}" srcOrd="1" destOrd="0" presId="urn:microsoft.com/office/officeart/2005/8/layout/lProcess3"/>
    <dgm:cxn modelId="{7669F5E4-25EC-4F67-88F2-FC72726AF563}" type="presParOf" srcId="{45B0074C-6133-44E3-B206-AEF581EBD58F}" destId="{E86A23BF-E39E-4179-A974-45C1F5A7B577}" srcOrd="2" destOrd="0" presId="urn:microsoft.com/office/officeart/2005/8/layout/lProcess3"/>
    <dgm:cxn modelId="{AF867256-5257-4C2E-840D-CD8683D226A6}" type="presParOf" srcId="{C050CBAD-AB25-4F43-8AC6-DB99F6246D3A}" destId="{3D7FCC6B-D8D2-4791-82F3-529E59F29B5D}" srcOrd="3" destOrd="0" presId="urn:microsoft.com/office/officeart/2005/8/layout/lProcess3"/>
    <dgm:cxn modelId="{43AC0621-F319-4530-8326-608444BFA7C0}" type="presParOf" srcId="{C050CBAD-AB25-4F43-8AC6-DB99F6246D3A}" destId="{C76EC9D0-C63E-4D00-903D-696A2C35D61A}" srcOrd="4" destOrd="0" presId="urn:microsoft.com/office/officeart/2005/8/layout/lProcess3"/>
    <dgm:cxn modelId="{03302DAC-14DA-41A8-8502-FD26F49B90E9}" type="presParOf" srcId="{C76EC9D0-C63E-4D00-903D-696A2C35D61A}" destId="{B913D9E3-90AB-4924-BE7C-CDD432ADD924}" srcOrd="0" destOrd="0" presId="urn:microsoft.com/office/officeart/2005/8/layout/lProcess3"/>
    <dgm:cxn modelId="{6E263544-629E-47B7-BE56-07942AA7EEE5}" type="presParOf" srcId="{C76EC9D0-C63E-4D00-903D-696A2C35D61A}" destId="{5212FBE3-B787-4DC0-AA22-DFC5C147326C}" srcOrd="1" destOrd="0" presId="urn:microsoft.com/office/officeart/2005/8/layout/lProcess3"/>
    <dgm:cxn modelId="{AF5F36CE-7E1E-471C-B62E-09C97F81D0D0}" type="presParOf" srcId="{C76EC9D0-C63E-4D00-903D-696A2C35D61A}" destId="{CAAC61EA-C017-4E4E-9090-57881422210D}" srcOrd="2" destOrd="0" presId="urn:microsoft.com/office/officeart/2005/8/layout/lProcess3"/>
    <dgm:cxn modelId="{23CD62F1-00D5-4B0E-B20B-262213F75881}" type="presParOf" srcId="{C050CBAD-AB25-4F43-8AC6-DB99F6246D3A}" destId="{FF7BD2AB-6CB8-4A18-9437-4BBE0C060038}" srcOrd="5" destOrd="0" presId="urn:microsoft.com/office/officeart/2005/8/layout/lProcess3"/>
    <dgm:cxn modelId="{3E6DF502-9EF5-40B3-8242-1B7CAD24AA44}" type="presParOf" srcId="{C050CBAD-AB25-4F43-8AC6-DB99F6246D3A}" destId="{4F013453-ACAB-4C85-8037-76BA7F990069}" srcOrd="6" destOrd="0" presId="urn:microsoft.com/office/officeart/2005/8/layout/lProcess3"/>
    <dgm:cxn modelId="{BF08413C-C46E-4A53-8AE3-118424BDB4F0}" type="presParOf" srcId="{4F013453-ACAB-4C85-8037-76BA7F990069}" destId="{B92AE735-A173-44CF-988E-47585745EF18}" srcOrd="0" destOrd="0" presId="urn:microsoft.com/office/officeart/2005/8/layout/lProcess3"/>
    <dgm:cxn modelId="{E5CA2AD8-3FE5-43DD-BF51-A9DF4912180A}" type="presParOf" srcId="{4F013453-ACAB-4C85-8037-76BA7F990069}" destId="{43205B98-BF73-47DD-8B9C-E4DF3BF23051}" srcOrd="1" destOrd="0" presId="urn:microsoft.com/office/officeart/2005/8/layout/lProcess3"/>
    <dgm:cxn modelId="{AECB7803-05D8-447B-9BDC-912AA9163555}" type="presParOf" srcId="{4F013453-ACAB-4C85-8037-76BA7F990069}" destId="{FF07F343-EA1D-4EF6-8FF5-BDE40F2E0C22}" srcOrd="2" destOrd="0" presId="urn:microsoft.com/office/officeart/2005/8/layout/lProcess3"/>
    <dgm:cxn modelId="{E3DDF880-4D18-4D4E-B2ED-8B761F03368F}" type="presParOf" srcId="{C050CBAD-AB25-4F43-8AC6-DB99F6246D3A}" destId="{98FFC7AE-50A4-4DA6-92A3-3CC923FD6CDE}" srcOrd="7" destOrd="0" presId="urn:microsoft.com/office/officeart/2005/8/layout/lProcess3"/>
    <dgm:cxn modelId="{7F981266-E2E7-4528-B128-5AF0EAE336BF}" type="presParOf" srcId="{C050CBAD-AB25-4F43-8AC6-DB99F6246D3A}" destId="{185D5F33-F5C1-453A-AF0D-0DF4825DE46F}" srcOrd="8" destOrd="0" presId="urn:microsoft.com/office/officeart/2005/8/layout/lProcess3"/>
    <dgm:cxn modelId="{5130EE0A-6FD1-464E-A0E3-93785D5632D9}" type="presParOf" srcId="{185D5F33-F5C1-453A-AF0D-0DF4825DE46F}" destId="{054F45E0-4798-45DA-843E-98009D75289C}" srcOrd="0" destOrd="0" presId="urn:microsoft.com/office/officeart/2005/8/layout/lProcess3"/>
    <dgm:cxn modelId="{2DE6E6EA-2C09-4F48-84EC-8A605BE2E876}" type="presParOf" srcId="{185D5F33-F5C1-453A-AF0D-0DF4825DE46F}" destId="{6F4B9FA4-7BBE-4BC4-BBA2-F3F2F95CF4D3}" srcOrd="1" destOrd="0" presId="urn:microsoft.com/office/officeart/2005/8/layout/lProcess3"/>
    <dgm:cxn modelId="{2E0D99A5-79A4-4EDF-A644-E5AE3438F367}" type="presParOf" srcId="{185D5F33-F5C1-453A-AF0D-0DF4825DE46F}" destId="{BB10FC1B-1819-4312-8D97-5B71BEC76A32}" srcOrd="2" destOrd="0" presId="urn:microsoft.com/office/officeart/2005/8/layout/lProcess3"/>
    <dgm:cxn modelId="{6DF21C12-4D15-4785-8699-1CD4DC726FFF}" type="presParOf" srcId="{C050CBAD-AB25-4F43-8AC6-DB99F6246D3A}" destId="{5BDC56F5-A8DD-4D98-9080-DEC2BD55943E}" srcOrd="9" destOrd="0" presId="urn:microsoft.com/office/officeart/2005/8/layout/lProcess3"/>
    <dgm:cxn modelId="{7EE23D9A-1EF6-47C3-B78F-3F219E127D6D}" type="presParOf" srcId="{C050CBAD-AB25-4F43-8AC6-DB99F6246D3A}" destId="{CBBC636D-D33E-4F11-AFBE-F10FB0849A4A}" srcOrd="10" destOrd="0" presId="urn:microsoft.com/office/officeart/2005/8/layout/lProcess3"/>
    <dgm:cxn modelId="{6B826A6D-A57B-47F7-B9A3-CDCFA135DDAD}" type="presParOf" srcId="{CBBC636D-D33E-4F11-AFBE-F10FB0849A4A}" destId="{5A4B3F91-BCF4-4963-98D9-95CDA17DBACF}" srcOrd="0" destOrd="0" presId="urn:microsoft.com/office/officeart/2005/8/layout/lProcess3"/>
    <dgm:cxn modelId="{A5BA36F6-ADC9-4722-82A2-E326B9FC445E}" type="presParOf" srcId="{CBBC636D-D33E-4F11-AFBE-F10FB0849A4A}" destId="{4CA1315F-E053-401D-B2EC-65F954815A00}" srcOrd="1" destOrd="0" presId="urn:microsoft.com/office/officeart/2005/8/layout/lProcess3"/>
    <dgm:cxn modelId="{007434F1-74F4-4BB3-B86F-F457B381D5C3}" type="presParOf" srcId="{CBBC636D-D33E-4F11-AFBE-F10FB0849A4A}" destId="{1A3BDA22-0FB7-4197-B4F3-C88A54183B42}" srcOrd="2" destOrd="0" presId="urn:microsoft.com/office/officeart/2005/8/layout/lProcess3"/>
    <dgm:cxn modelId="{716C6029-6C17-4DC7-952E-51807AD23540}" type="presParOf" srcId="{C050CBAD-AB25-4F43-8AC6-DB99F6246D3A}" destId="{665C152A-F879-4429-AAE1-A3B644A4190D}" srcOrd="11" destOrd="0" presId="urn:microsoft.com/office/officeart/2005/8/layout/lProcess3"/>
    <dgm:cxn modelId="{1AD37150-2125-4ABF-9371-7D5CB18687FB}" type="presParOf" srcId="{C050CBAD-AB25-4F43-8AC6-DB99F6246D3A}" destId="{38FD2EEF-E6DE-4579-BB0A-2404F30F223B}" srcOrd="12" destOrd="0" presId="urn:microsoft.com/office/officeart/2005/8/layout/lProcess3"/>
    <dgm:cxn modelId="{8DE818E3-DEDD-47DA-8ACA-DCA4F591852B}" type="presParOf" srcId="{38FD2EEF-E6DE-4579-BB0A-2404F30F223B}" destId="{B70A19E0-8D58-4B90-BE50-C3B2FBDC77CE}" srcOrd="0" destOrd="0" presId="urn:microsoft.com/office/officeart/2005/8/layout/lProcess3"/>
    <dgm:cxn modelId="{F6A1DA4D-ACF0-4D5D-93FD-C084A339AF50}" type="presParOf" srcId="{38FD2EEF-E6DE-4579-BB0A-2404F30F223B}" destId="{4B10A11E-7216-42D6-8528-75897A74C89D}" srcOrd="1" destOrd="0" presId="urn:microsoft.com/office/officeart/2005/8/layout/lProcess3"/>
    <dgm:cxn modelId="{27C6CC4C-D7D2-4B64-9691-273042495104}" type="presParOf" srcId="{38FD2EEF-E6DE-4579-BB0A-2404F30F223B}" destId="{D70A32E8-72EB-498E-8033-B9C50245B98A}" srcOrd="2" destOrd="0" presId="urn:microsoft.com/office/officeart/2005/8/layout/lProcess3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2CADD98-C618-4F96-A3D3-D707925C2833}">
      <dsp:nvSpPr>
        <dsp:cNvPr id="0" name=""/>
        <dsp:cNvSpPr/>
      </dsp:nvSpPr>
      <dsp:spPr>
        <a:xfrm>
          <a:off x="91385" y="2709"/>
          <a:ext cx="1863179" cy="745271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2700" tIns="6350" rIns="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>
              <a:latin typeface="Arial" panose="020B0604020202020204" pitchFamily="34" charset="0"/>
              <a:cs typeface="Arial" panose="020B0604020202020204" pitchFamily="34" charset="0"/>
            </a:rPr>
            <a:t>1. Identify Opportunity</a:t>
          </a:r>
        </a:p>
      </dsp:txBody>
      <dsp:txXfrm>
        <a:off x="464021" y="2709"/>
        <a:ext cx="1117908" cy="745271"/>
      </dsp:txXfrm>
    </dsp:sp>
    <dsp:sp modelId="{A2AE8E76-9112-42A4-8706-F4209B6CF69F}">
      <dsp:nvSpPr>
        <dsp:cNvPr id="0" name=""/>
        <dsp:cNvSpPr/>
      </dsp:nvSpPr>
      <dsp:spPr>
        <a:xfrm>
          <a:off x="1712351" y="66057"/>
          <a:ext cx="4139863" cy="618575"/>
        </a:xfrm>
        <a:prstGeom prst="chevron">
          <a:avLst/>
        </a:prstGeom>
        <a:solidFill>
          <a:schemeClr val="l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6350" rIns="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latin typeface="Arial" panose="020B0604020202020204" pitchFamily="34" charset="0"/>
              <a:cs typeface="Arial" panose="020B0604020202020204" pitchFamily="34" charset="0"/>
            </a:rPr>
            <a:t>Identify contract opportunities through market research and analysis of current contracts and customers.</a:t>
          </a:r>
        </a:p>
      </dsp:txBody>
      <dsp:txXfrm>
        <a:off x="2021639" y="66057"/>
        <a:ext cx="3521288" cy="618575"/>
      </dsp:txXfrm>
    </dsp:sp>
    <dsp:sp modelId="{2A94B871-25AF-4F46-8318-989CE33706A0}">
      <dsp:nvSpPr>
        <dsp:cNvPr id="0" name=""/>
        <dsp:cNvSpPr/>
      </dsp:nvSpPr>
      <dsp:spPr>
        <a:xfrm>
          <a:off x="91385" y="852319"/>
          <a:ext cx="1863179" cy="745271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2700" tIns="6350" rIns="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>
              <a:latin typeface="Arial" panose="020B0604020202020204" pitchFamily="34" charset="0"/>
              <a:cs typeface="Arial" panose="020B0604020202020204" pitchFamily="34" charset="0"/>
            </a:rPr>
            <a:t>2. Gather Data </a:t>
          </a:r>
        </a:p>
      </dsp:txBody>
      <dsp:txXfrm>
        <a:off x="464021" y="852319"/>
        <a:ext cx="1117908" cy="745271"/>
      </dsp:txXfrm>
    </dsp:sp>
    <dsp:sp modelId="{E86A23BF-E39E-4179-A974-45C1F5A7B577}">
      <dsp:nvSpPr>
        <dsp:cNvPr id="0" name=""/>
        <dsp:cNvSpPr/>
      </dsp:nvSpPr>
      <dsp:spPr>
        <a:xfrm>
          <a:off x="1712351" y="915667"/>
          <a:ext cx="4139863" cy="618575"/>
        </a:xfrm>
        <a:prstGeom prst="chevron">
          <a:avLst/>
        </a:prstGeom>
        <a:solidFill>
          <a:schemeClr val="l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6350" rIns="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latin typeface="Arial" panose="020B0604020202020204" pitchFamily="34" charset="0"/>
              <a:cs typeface="Arial" panose="020B0604020202020204" pitchFamily="34" charset="0"/>
            </a:rPr>
            <a:t>Gather data through subject matter experts, supplier consultations</a:t>
          </a:r>
          <a:r>
            <a:rPr lang="en-CA" sz="1000" kern="1200">
              <a:latin typeface="Arial" panose="020B0604020202020204" pitchFamily="34" charset="0"/>
              <a:cs typeface="Arial" panose="020B0604020202020204" pitchFamily="34" charset="0"/>
            </a:rPr>
            <a:t>, </a:t>
          </a:r>
          <a:r>
            <a:rPr lang="en-US" sz="1000" kern="1200">
              <a:latin typeface="Arial" panose="020B0604020202020204" pitchFamily="34" charset="0"/>
              <a:cs typeface="Arial" panose="020B0604020202020204" pitchFamily="34" charset="0"/>
            </a:rPr>
            <a:t>past </a:t>
          </a:r>
          <a:r>
            <a:rPr lang="en-CA" sz="1000" kern="1200">
              <a:latin typeface="Arial" panose="020B0604020202020204" pitchFamily="34" charset="0"/>
              <a:cs typeface="Arial" panose="020B0604020202020204" pitchFamily="34" charset="0"/>
            </a:rPr>
            <a:t>agreements, customers, and past RFPs.</a:t>
          </a:r>
          <a:endParaRPr lang="en-US" sz="10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2021639" y="915667"/>
        <a:ext cx="3521288" cy="618575"/>
      </dsp:txXfrm>
    </dsp:sp>
    <dsp:sp modelId="{B913D9E3-90AB-4924-BE7C-CDD432ADD924}">
      <dsp:nvSpPr>
        <dsp:cNvPr id="0" name=""/>
        <dsp:cNvSpPr/>
      </dsp:nvSpPr>
      <dsp:spPr>
        <a:xfrm>
          <a:off x="91385" y="1701929"/>
          <a:ext cx="1863179" cy="745271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2700" tIns="6350" rIns="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>
              <a:latin typeface="Arial" panose="020B0604020202020204" pitchFamily="34" charset="0"/>
              <a:cs typeface="Arial" panose="020B0604020202020204" pitchFamily="34" charset="0"/>
            </a:rPr>
            <a:t>3. Develop RFP and Post</a:t>
          </a:r>
        </a:p>
      </dsp:txBody>
      <dsp:txXfrm>
        <a:off x="464021" y="1701929"/>
        <a:ext cx="1117908" cy="745271"/>
      </dsp:txXfrm>
    </dsp:sp>
    <dsp:sp modelId="{CAAC61EA-C017-4E4E-9090-57881422210D}">
      <dsp:nvSpPr>
        <dsp:cNvPr id="0" name=""/>
        <dsp:cNvSpPr/>
      </dsp:nvSpPr>
      <dsp:spPr>
        <a:xfrm>
          <a:off x="1712351" y="1765277"/>
          <a:ext cx="4139863" cy="618575"/>
        </a:xfrm>
        <a:prstGeom prst="chevron">
          <a:avLst/>
        </a:prstGeom>
        <a:solidFill>
          <a:schemeClr val="l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6350" rIns="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latin typeface="Arial" panose="020B0604020202020204" pitchFamily="34" charset="0"/>
              <a:cs typeface="Arial" panose="020B0604020202020204" pitchFamily="34" charset="0"/>
            </a:rPr>
            <a:t>Publicly post RFP to Ontario Tenders Portal (e-procurement website) for suppliers to view and respond.</a:t>
          </a:r>
        </a:p>
      </dsp:txBody>
      <dsp:txXfrm>
        <a:off x="2021639" y="1765277"/>
        <a:ext cx="3521288" cy="618575"/>
      </dsp:txXfrm>
    </dsp:sp>
    <dsp:sp modelId="{B92AE735-A173-44CF-988E-47585745EF18}">
      <dsp:nvSpPr>
        <dsp:cNvPr id="0" name=""/>
        <dsp:cNvSpPr/>
      </dsp:nvSpPr>
      <dsp:spPr>
        <a:xfrm>
          <a:off x="91385" y="2551539"/>
          <a:ext cx="1863179" cy="745271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2700" tIns="6350" rIns="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>
              <a:latin typeface="Arial" panose="020B0604020202020204" pitchFamily="34" charset="0"/>
              <a:cs typeface="Arial" panose="020B0604020202020204" pitchFamily="34" charset="0"/>
            </a:rPr>
            <a:t>4. Suppliers Respond to RFP</a:t>
          </a:r>
        </a:p>
      </dsp:txBody>
      <dsp:txXfrm>
        <a:off x="464021" y="2551539"/>
        <a:ext cx="1117908" cy="745271"/>
      </dsp:txXfrm>
    </dsp:sp>
    <dsp:sp modelId="{FF07F343-EA1D-4EF6-8FF5-BDE40F2E0C22}">
      <dsp:nvSpPr>
        <dsp:cNvPr id="0" name=""/>
        <dsp:cNvSpPr/>
      </dsp:nvSpPr>
      <dsp:spPr>
        <a:xfrm>
          <a:off x="1720300" y="2614887"/>
          <a:ext cx="4139863" cy="618575"/>
        </a:xfrm>
        <a:prstGeom prst="chevron">
          <a:avLst/>
        </a:prstGeom>
        <a:solidFill>
          <a:schemeClr val="l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6350" rIns="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latin typeface="Arial" panose="020B0604020202020204" pitchFamily="34" charset="0"/>
              <a:cs typeface="Arial" panose="020B0604020202020204" pitchFamily="34" charset="0"/>
            </a:rPr>
            <a:t>Suppliers will have a minimum of 30 days to respond to the RFP, with an opportunity to ask questions.</a:t>
          </a:r>
        </a:p>
      </dsp:txBody>
      <dsp:txXfrm>
        <a:off x="2029588" y="2614887"/>
        <a:ext cx="3521288" cy="618575"/>
      </dsp:txXfrm>
    </dsp:sp>
    <dsp:sp modelId="{054F45E0-4798-45DA-843E-98009D75289C}">
      <dsp:nvSpPr>
        <dsp:cNvPr id="0" name=""/>
        <dsp:cNvSpPr/>
      </dsp:nvSpPr>
      <dsp:spPr>
        <a:xfrm>
          <a:off x="91385" y="3401148"/>
          <a:ext cx="1863179" cy="745271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2700" tIns="6350" rIns="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>
              <a:latin typeface="Arial" panose="020B0604020202020204" pitchFamily="34" charset="0"/>
              <a:cs typeface="Arial" panose="020B0604020202020204" pitchFamily="34" charset="0"/>
            </a:rPr>
            <a:t>5. Evaluate Responses</a:t>
          </a:r>
          <a:endParaRPr lang="en-CA" sz="10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464021" y="3401148"/>
        <a:ext cx="1117908" cy="745271"/>
      </dsp:txXfrm>
    </dsp:sp>
    <dsp:sp modelId="{BB10FC1B-1819-4312-8D97-5B71BEC76A32}">
      <dsp:nvSpPr>
        <dsp:cNvPr id="0" name=""/>
        <dsp:cNvSpPr/>
      </dsp:nvSpPr>
      <dsp:spPr>
        <a:xfrm>
          <a:off x="1712351" y="3464496"/>
          <a:ext cx="4139863" cy="618575"/>
        </a:xfrm>
        <a:prstGeom prst="chevron">
          <a:avLst/>
        </a:prstGeom>
        <a:solidFill>
          <a:schemeClr val="l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6350" rIns="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latin typeface="Arial" panose="020B0604020202020204" pitchFamily="34" charset="0"/>
              <a:cs typeface="Arial" panose="020B0604020202020204" pitchFamily="34" charset="0"/>
            </a:rPr>
            <a:t>Responses are evaluated by OECM and a third-party evaluation committee. Evaluation is based on pricing, expertise, and level of service.</a:t>
          </a:r>
        </a:p>
      </dsp:txBody>
      <dsp:txXfrm>
        <a:off x="2021639" y="3464496"/>
        <a:ext cx="3521288" cy="618575"/>
      </dsp:txXfrm>
    </dsp:sp>
    <dsp:sp modelId="{5A4B3F91-BCF4-4963-98D9-95CDA17DBACF}">
      <dsp:nvSpPr>
        <dsp:cNvPr id="0" name=""/>
        <dsp:cNvSpPr/>
      </dsp:nvSpPr>
      <dsp:spPr>
        <a:xfrm>
          <a:off x="99334" y="4250758"/>
          <a:ext cx="1863179" cy="745271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2700" tIns="6350" rIns="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>
              <a:latin typeface="Arial" panose="020B0604020202020204" pitchFamily="34" charset="0"/>
              <a:cs typeface="Arial" panose="020B0604020202020204" pitchFamily="34" charset="0"/>
            </a:rPr>
            <a:t>6. Negotiate Master Agreement </a:t>
          </a:r>
          <a:endParaRPr lang="en-CA" sz="10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471970" y="4250758"/>
        <a:ext cx="1117908" cy="745271"/>
      </dsp:txXfrm>
    </dsp:sp>
    <dsp:sp modelId="{1A3BDA22-0FB7-4197-B4F3-C88A54183B42}">
      <dsp:nvSpPr>
        <dsp:cNvPr id="0" name=""/>
        <dsp:cNvSpPr/>
      </dsp:nvSpPr>
      <dsp:spPr>
        <a:xfrm>
          <a:off x="1712351" y="4314106"/>
          <a:ext cx="4139863" cy="618575"/>
        </a:xfrm>
        <a:prstGeom prst="chevron">
          <a:avLst/>
        </a:prstGeom>
        <a:solidFill>
          <a:schemeClr val="l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6350" rIns="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latin typeface="Arial" panose="020B0604020202020204" pitchFamily="34" charset="0"/>
              <a:cs typeface="Arial" panose="020B0604020202020204" pitchFamily="34" charset="0"/>
            </a:rPr>
            <a:t>Master agreement</a:t>
          </a:r>
          <a:r>
            <a:rPr lang="en-CA" sz="1000" kern="1200">
              <a:latin typeface="Arial" panose="020B0604020202020204" pitchFamily="34" charset="0"/>
              <a:cs typeface="Arial" panose="020B0604020202020204" pitchFamily="34" charset="0"/>
            </a:rPr>
            <a:t> negotiations </a:t>
          </a:r>
          <a:r>
            <a:rPr lang="en-US" sz="1000" kern="1200">
              <a:latin typeface="Arial" panose="020B0604020202020204" pitchFamily="34" charset="0"/>
              <a:cs typeface="Arial" panose="020B0604020202020204" pitchFamily="34" charset="0"/>
            </a:rPr>
            <a:t>occur with suppliers having the highest scores. The master agreement outlines the terms the winning supplier must meet.</a:t>
          </a:r>
          <a:endParaRPr lang="en-CA" sz="10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2021639" y="4314106"/>
        <a:ext cx="3521288" cy="618575"/>
      </dsp:txXfrm>
    </dsp:sp>
    <dsp:sp modelId="{B70A19E0-8D58-4B90-BE50-C3B2FBDC77CE}">
      <dsp:nvSpPr>
        <dsp:cNvPr id="0" name=""/>
        <dsp:cNvSpPr/>
      </dsp:nvSpPr>
      <dsp:spPr>
        <a:xfrm>
          <a:off x="91385" y="5100368"/>
          <a:ext cx="1863179" cy="745271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2700" tIns="6350" rIns="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>
              <a:latin typeface="Arial" panose="020B0604020202020204" pitchFamily="34" charset="0"/>
              <a:cs typeface="Arial" panose="020B0604020202020204" pitchFamily="34" charset="0"/>
            </a:rPr>
            <a:t>7. Launch New Agreement on OECM’s Marketplace</a:t>
          </a:r>
          <a:endParaRPr lang="en-CA" sz="10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464021" y="5100368"/>
        <a:ext cx="1117908" cy="745271"/>
      </dsp:txXfrm>
    </dsp:sp>
    <dsp:sp modelId="{D70A32E8-72EB-498E-8033-B9C50245B98A}">
      <dsp:nvSpPr>
        <dsp:cNvPr id="0" name=""/>
        <dsp:cNvSpPr/>
      </dsp:nvSpPr>
      <dsp:spPr>
        <a:xfrm>
          <a:off x="1712351" y="5163716"/>
          <a:ext cx="4139863" cy="618575"/>
        </a:xfrm>
        <a:prstGeom prst="chevron">
          <a:avLst/>
        </a:prstGeom>
        <a:solidFill>
          <a:schemeClr val="l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6350" rIns="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latin typeface="Arial" panose="020B0604020202020204" pitchFamily="34" charset="0"/>
              <a:cs typeface="Arial" panose="020B0604020202020204" pitchFamily="34" charset="0"/>
            </a:rPr>
            <a:t>Upon launch, the business relationship team will manage contract details, purchases by customers, and relationships with the suppliers. </a:t>
          </a:r>
        </a:p>
      </dsp:txBody>
      <dsp:txXfrm>
        <a:off x="2021639" y="5163716"/>
        <a:ext cx="3521288" cy="61857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Process3">
  <dgm:title val=""/>
  <dgm:desc val=""/>
  <dgm:catLst>
    <dgm:cat type="process" pri="11000"/>
    <dgm:cat type="convert" pri="1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41" srcId="1" destId="11" srcOrd="0" destOrd="0"/>
        <dgm:cxn modelId="42" srcId="1" destId="12" srcOrd="1" destOrd="0"/>
        <dgm:cxn modelId="51" srcId="2" destId="21" srcOrd="0" destOrd="0"/>
        <dgm:cxn modelId="52" srcId="2" destId="22" srcOrd="1" destOrd="0"/>
        <dgm:cxn modelId="61" srcId="3" destId="31" srcOrd="0" destOrd="0"/>
        <dgm:cxn modelId="62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1" destId="2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51" srcId="1" destId="11" srcOrd="0" destOrd="0"/>
        <dgm:cxn modelId="61" srcId="2" destId="21" srcOrd="0" destOrd="0"/>
        <dgm:cxn modelId="71" srcId="3" destId="31" srcOrd="0" destOrd="0"/>
        <dgm:cxn modelId="81" srcId="4" destId="41" srcOrd="0" destOrd="0"/>
      </dgm:cxnLst>
      <dgm:bg/>
      <dgm:whole/>
    </dgm:dataModel>
  </dgm:clrData>
  <dgm:layoutNode name="Name0">
    <dgm:varLst>
      <dgm:chPref val="3"/>
      <dgm:dir/>
      <dgm:animLvl val="lvl"/>
      <dgm:resizeHandles/>
    </dgm:varLst>
    <dgm:choose name="Name1">
      <dgm:if name="Name2" func="var" arg="dir" op="equ" val="norm">
        <dgm:alg type="lin">
          <dgm:param type="linDir" val="fromT"/>
          <dgm:param type="vertAlign" val="mid"/>
          <dgm:param type="nodeHorzAlign" val="l"/>
          <dgm:param type="nodeVertAlign" val="t"/>
          <dgm:param type="fallback" val="2D"/>
        </dgm:alg>
      </dgm:if>
      <dgm:else name="Name3">
        <dgm:alg type="lin">
          <dgm:param type="linDir" val="fromT"/>
          <dgm:param type="vertAlign" val="mid"/>
          <dgm:param type="nodeHorzAlign" val="r"/>
          <dgm:param type="nodeVertAlign" val="t"/>
          <dgm:param type="fallback" val="2D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bigChev" refType="w"/>
      <dgm:constr type="h" for="des" forName="bigChev" refType="w" refFor="des" refForName="bigChev" op="equ" fact="0.4"/>
      <dgm:constr type="w" for="des" forName="node" refType="w" refFor="des" refForName="bigChev" fact="0.83"/>
      <dgm:constr type="h" for="des" forName="node" refType="w" refFor="des" refForName="node" op="equ" fact="0.4"/>
      <dgm:constr type="w" for="des" forName="parTrans" refType="w" refFor="des" refForName="bigChev" op="equ" fact="-0.13"/>
      <dgm:constr type="w" for="des" forName="sibTrans" refType="w" refFor="des" refForName="node" op="equ" fact="-0.14"/>
      <dgm:constr type="h" for="ch" forName="vSp" refType="h" refFor="des" refForName="bigChev" op="equ" fact="0.14"/>
      <dgm:constr type="primFontSz" for="des" forName="node" op="equ"/>
      <dgm:constr type="primFontSz" for="des" forName="bigChev" op="equ"/>
    </dgm:constrLst>
    <dgm:ruleLst/>
    <dgm:forEach name="Name4" axis="ch" ptType="node">
      <dgm:layoutNode name="horFlow">
        <dgm:choose name="Name5">
          <dgm:if name="Name6" func="var" arg="dir" op="equ" val="norm">
            <dgm:alg type="lin">
              <dgm:param type="linDir" val="fromL"/>
              <dgm:param type="nodeHorzAlign" val="l"/>
              <dgm:param type="nodeVertAlign" val="mid"/>
              <dgm:param type="fallback" val="2D"/>
            </dgm:alg>
          </dgm:if>
          <dgm:else name="Name7">
            <dgm:alg type="lin">
              <dgm:param type="linDir" val="fromR"/>
              <dgm:param type="nodeHorzAlign" val="r"/>
              <dgm:param type="nodeVertAlign" val="mid"/>
              <dgm:param type="fallback" val="2D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bigChev" styleLbl="node1">
          <dgm:alg type="tx"/>
          <dgm:choose name="Name8">
            <dgm:if name="Name9" func="var" arg="dir" op="equ" val="norm">
              <dgm:shape xmlns:r="http://schemas.openxmlformats.org/officeDocument/2006/relationships" type="chevron" r:blip="">
                <dgm:adjLst/>
              </dgm:shape>
              <dgm:presOf axis="self"/>
              <dgm:constrLst>
                <dgm:constr type="primFontSz" val="65"/>
                <dgm:constr type="rMarg"/>
                <dgm:constr type="lMarg" refType="primFontSz" fact="0.1"/>
                <dgm:constr type="tMarg" refType="primFontSz" fact="0.05"/>
                <dgm:constr type="bMarg" refType="primFontSz" fact="0.05"/>
              </dgm:constrLst>
            </dgm:if>
            <dgm:else name="Name10">
              <dgm:shape xmlns:r="http://schemas.openxmlformats.org/officeDocument/2006/relationships" rot="180" type="chevron" r:blip="">
                <dgm:adjLst/>
              </dgm:shape>
              <dgm:presOf axis="self"/>
              <dgm:constrLst>
                <dgm:constr type="primFontSz" val="65"/>
                <dgm:constr type="lMarg"/>
                <dgm:constr type="rMarg" refType="primFontSz" fact="0.1"/>
                <dgm:constr type="tMarg" refType="primFontSz" fact="0.05"/>
                <dgm:constr type="bMarg" refType="primFontSz" fact="0.05"/>
              </dgm:constrLst>
            </dgm:else>
          </dgm:choose>
          <dgm:ruleLst>
            <dgm:rule type="primFontSz" val="5" fact="NaN" max="NaN"/>
          </dgm:ruleLst>
        </dgm:layoutNode>
        <dgm:forEach name="parTransForEach" axis="ch" ptType="parTrans" cnt="1">
          <dgm:layoutNode name="par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  <dgm:forEach name="Name11" axis="ch" ptType="node">
          <dgm:layoutNode name="node" styleLbl="alignAccFollowNode1">
            <dgm:varLst>
              <dgm:bulletEnabled val="1"/>
            </dgm:varLst>
            <dgm:alg type="tx"/>
            <dgm:choose name="Name12">
              <dgm:if name="Name13" func="var" arg="dir" op="equ" val="norm">
                <dgm:shape xmlns:r="http://schemas.openxmlformats.org/officeDocument/2006/relationships" type="chevron" r:blip="">
                  <dgm:adjLst/>
                </dgm:shape>
                <dgm:presOf axis="desOrSelf" ptType="node"/>
                <dgm:constrLst>
                  <dgm:constr type="primFontSz" val="65"/>
                  <dgm:constr type="rMarg"/>
                  <dgm:constr type="lMarg" refType="primFontSz" fact="0.1"/>
                  <dgm:constr type="tMarg" refType="primFontSz" fact="0.05"/>
                  <dgm:constr type="bMarg" refType="primFontSz" fact="0.05"/>
                </dgm:constrLst>
              </dgm:if>
              <dgm:else name="Name14">
                <dgm:shape xmlns:r="http://schemas.openxmlformats.org/officeDocument/2006/relationships" rot="180" type="chevron" r:blip="">
                  <dgm:adjLst/>
                </dgm:shape>
                <dgm:presOf axis="desOrSelf" ptType="node"/>
                <dgm:constrLst>
                  <dgm:constr type="primFontSz" val="65"/>
                  <dgm:constr type="lMarg"/>
                  <dgm:constr type="rMarg" refType="primFontSz" fact="0.1"/>
                  <dgm:constr type="tMarg" refType="primFontSz" fact="0.05"/>
                  <dgm:constr type="bMarg" refType="primFontSz" fact="0.05"/>
                </dgm:constrLst>
              </dgm:else>
            </dgm:choose>
            <dgm:ruleLst>
              <dgm:rule type="primFontSz" val="5" fact="NaN" max="NaN"/>
            </dgm:ruleLst>
          </dgm:layoutNode>
          <dgm:forEach name="sibTransForEach" axis="followSib" ptType="sibTrans" cnt="1">
            <dgm:layoutNode name="sibTrans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layoutNode>
      <dgm:choose name="Name15">
        <dgm:if name="Name16" axis="self" ptType="node" func="revPos" op="gte" val="2">
          <dgm:layoutNode name="vSp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17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  <wetp:taskpane dockstate="right" visibility="0" width="350" row="5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4050DE94-A162-4605-A890-6316FE8CD4CD}">
  <we:reference id="wa104043061" version="1.1.1.0" store="en-US" storeType="OMEX"/>
  <we:alternateReferences/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856141F9-F575-4A83-9A19-F869B6EE27F1}">
  <we:reference id="wa104041485" version="1.1.1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07C2BB-444B-4C45-9FB5-404B10A97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4214</Words>
  <Characters>24024</Characters>
  <Application>Microsoft Office Word</Application>
  <DocSecurity>0</DocSecurity>
  <Lines>200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Ivey Business School</Company>
  <LinksUpToDate>false</LinksUpToDate>
  <CharactersWithSpaces>28182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smuir</dc:creator>
  <cp:keywords/>
  <cp:lastModifiedBy>Martinali, Sara</cp:lastModifiedBy>
  <cp:revision>3</cp:revision>
  <cp:lastPrinted>2015-03-04T20:34:00Z</cp:lastPrinted>
  <dcterms:created xsi:type="dcterms:W3CDTF">2019-09-03T17:27:00Z</dcterms:created>
  <dcterms:modified xsi:type="dcterms:W3CDTF">2019-09-06T15:54:00Z</dcterms:modified>
</cp:coreProperties>
</file>