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4585C" w14:textId="1BC02E73" w:rsidR="00651CD1" w:rsidRPr="00D6631F" w:rsidRDefault="00AE0CCB" w:rsidP="00C02410">
      <w:pPr>
        <w:pBdr>
          <w:bottom w:val="single" w:sz="18" w:space="1" w:color="auto"/>
        </w:pBdr>
        <w:tabs>
          <w:tab w:val="left" w:pos="-1440"/>
          <w:tab w:val="left" w:pos="-720"/>
          <w:tab w:val="left" w:pos="1"/>
        </w:tabs>
        <w:jc w:val="both"/>
        <w:rPr>
          <w:rFonts w:ascii="Arial" w:hAnsi="Arial"/>
          <w:b/>
          <w:sz w:val="24"/>
          <w:lang w:val="en-GB"/>
        </w:rPr>
      </w:pPr>
      <w:r w:rsidRPr="00D6631F">
        <w:rPr>
          <w:rFonts w:ascii="Arial" w:hAnsi="Arial"/>
          <w:b/>
          <w:noProof/>
          <w:sz w:val="24"/>
          <w:lang w:eastAsia="en-CA"/>
        </w:rPr>
        <w:drawing>
          <wp:inline distT="0" distB="0" distL="0" distR="0" wp14:anchorId="36C2ADCC" wp14:editId="6592318A">
            <wp:extent cx="2614930" cy="545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4930" cy="545465"/>
                    </a:xfrm>
                    <a:prstGeom prst="rect">
                      <a:avLst/>
                    </a:prstGeom>
                    <a:noFill/>
                    <a:ln>
                      <a:noFill/>
                    </a:ln>
                  </pic:spPr>
                </pic:pic>
              </a:graphicData>
            </a:graphic>
          </wp:inline>
        </w:drawing>
      </w:r>
    </w:p>
    <w:p w14:paraId="61BBD9A0" w14:textId="622B3246" w:rsidR="00C02410" w:rsidRPr="00D6631F" w:rsidRDefault="00AE0CCB" w:rsidP="00C02410">
      <w:pPr>
        <w:pStyle w:val="ProductNumber"/>
        <w:rPr>
          <w:lang w:val="en-GB"/>
        </w:rPr>
      </w:pPr>
      <w:r>
        <w:rPr>
          <w:lang w:val="en-GB"/>
        </w:rPr>
        <w:t>9B19M108</w:t>
      </w:r>
    </w:p>
    <w:p w14:paraId="4E057522" w14:textId="7A113CB1" w:rsidR="00D75295" w:rsidRPr="00D6631F" w:rsidRDefault="00D75295" w:rsidP="00D75295">
      <w:pPr>
        <w:jc w:val="right"/>
        <w:rPr>
          <w:rFonts w:ascii="Arial" w:hAnsi="Arial"/>
          <w:b/>
          <w:lang w:val="en-GB"/>
        </w:rPr>
      </w:pPr>
    </w:p>
    <w:p w14:paraId="2F03D26A" w14:textId="43C7EF84" w:rsidR="00013360" w:rsidRPr="00D6631F" w:rsidRDefault="00107531" w:rsidP="00013360">
      <w:pPr>
        <w:pStyle w:val="CaseTitle"/>
        <w:spacing w:after="0" w:line="240" w:lineRule="auto"/>
        <w:rPr>
          <w:sz w:val="20"/>
          <w:szCs w:val="20"/>
          <w:lang w:val="en-GB"/>
        </w:rPr>
      </w:pPr>
      <w:r w:rsidRPr="00D6631F">
        <w:rPr>
          <w:lang w:val="en-GB"/>
        </w:rPr>
        <w:t>moviepass: disruption through subscription</w:t>
      </w:r>
      <w:r w:rsidR="00CC619C" w:rsidRPr="00D6631F">
        <w:rPr>
          <w:rStyle w:val="EndnoteReference"/>
          <w:lang w:val="en-GB"/>
        </w:rPr>
        <w:endnoteReference w:id="1"/>
      </w:r>
    </w:p>
    <w:p w14:paraId="40ABF6FD" w14:textId="77777777" w:rsidR="00CA3976" w:rsidRPr="00D6631F" w:rsidRDefault="00CA3976" w:rsidP="00013360">
      <w:pPr>
        <w:pStyle w:val="CaseTitle"/>
        <w:spacing w:after="0" w:line="240" w:lineRule="auto"/>
        <w:rPr>
          <w:sz w:val="20"/>
          <w:szCs w:val="20"/>
          <w:lang w:val="en-GB"/>
        </w:rPr>
      </w:pPr>
    </w:p>
    <w:p w14:paraId="202F1085" w14:textId="77777777" w:rsidR="00013360" w:rsidRPr="00D6631F" w:rsidRDefault="00013360" w:rsidP="00013360">
      <w:pPr>
        <w:pStyle w:val="CaseTitle"/>
        <w:spacing w:after="0" w:line="240" w:lineRule="auto"/>
        <w:rPr>
          <w:sz w:val="20"/>
          <w:szCs w:val="20"/>
          <w:lang w:val="en-GB"/>
        </w:rPr>
      </w:pPr>
    </w:p>
    <w:p w14:paraId="58B0C73F" w14:textId="2EA3FF1D" w:rsidR="00086B26" w:rsidRPr="00D6631F" w:rsidRDefault="00107531" w:rsidP="00086B26">
      <w:pPr>
        <w:pStyle w:val="StyleCopyrightStatementAfter0ptBottomSinglesolidline1"/>
        <w:rPr>
          <w:lang w:val="en-GB"/>
        </w:rPr>
      </w:pPr>
      <w:r w:rsidRPr="00D6631F">
        <w:rPr>
          <w:lang w:val="en-GB"/>
        </w:rPr>
        <w:t>Ram Subramanian</w:t>
      </w:r>
      <w:r w:rsidR="00ED7922" w:rsidRPr="00D6631F">
        <w:rPr>
          <w:rFonts w:cs="Arial"/>
          <w:szCs w:val="16"/>
          <w:lang w:val="en-GB"/>
        </w:rPr>
        <w:t xml:space="preserve"> </w:t>
      </w:r>
      <w:r w:rsidR="00086B26" w:rsidRPr="00D6631F">
        <w:rPr>
          <w:lang w:val="en-GB"/>
        </w:rPr>
        <w:t>wrote this case solely to provide material for class discussion. The author do</w:t>
      </w:r>
      <w:r w:rsidR="004F49F9" w:rsidRPr="00D6631F">
        <w:rPr>
          <w:lang w:val="en-GB"/>
        </w:rPr>
        <w:t>es</w:t>
      </w:r>
      <w:r w:rsidR="00086B26" w:rsidRPr="00D6631F">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Pr="00D6631F" w:rsidRDefault="00086B26" w:rsidP="00086B26">
      <w:pPr>
        <w:pStyle w:val="StyleCopyrightStatementAfter0ptBottomSinglesolidline1"/>
        <w:rPr>
          <w:lang w:val="en-GB"/>
        </w:rPr>
      </w:pPr>
    </w:p>
    <w:p w14:paraId="5BDC323D" w14:textId="77777777" w:rsidR="00B66BD1" w:rsidRPr="00D6631F" w:rsidRDefault="00B66BD1" w:rsidP="00B66BD1">
      <w:pPr>
        <w:pStyle w:val="StyleStyleCopyrightStatementAfter0ptBottomSinglesolid"/>
        <w:rPr>
          <w:rFonts w:cs="Arial"/>
          <w:szCs w:val="16"/>
          <w:lang w:val="en-GB"/>
        </w:rPr>
      </w:pPr>
      <w:r w:rsidRPr="00D6631F">
        <w:rPr>
          <w:rFonts w:cs="Arial"/>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D6631F">
        <w:rPr>
          <w:rFonts w:cs="Arial"/>
          <w:color w:val="FFFFFF" w:themeColor="background1"/>
          <w:szCs w:val="16"/>
          <w:lang w:val="en-GB"/>
        </w:rPr>
        <w:t>i1v2e5y5pubs</w:t>
      </w:r>
    </w:p>
    <w:p w14:paraId="1FE2D472" w14:textId="77777777" w:rsidR="00107531" w:rsidRPr="00D6631F" w:rsidRDefault="00107531" w:rsidP="00A323B0">
      <w:pPr>
        <w:pStyle w:val="StyleStyleCopyrightStatementAfter0ptBottomSinglesolid"/>
        <w:rPr>
          <w:rFonts w:cs="Arial"/>
          <w:szCs w:val="16"/>
          <w:lang w:val="en-GB"/>
        </w:rPr>
      </w:pPr>
    </w:p>
    <w:p w14:paraId="3922E14F" w14:textId="69F1EF14" w:rsidR="00751E0B" w:rsidRPr="00D6631F" w:rsidRDefault="00B66BD1" w:rsidP="00A323B0">
      <w:pPr>
        <w:pStyle w:val="StyleStyleCopyrightStatementAfter0ptBottomSinglesolid"/>
        <w:rPr>
          <w:rFonts w:cs="Arial"/>
          <w:szCs w:val="16"/>
          <w:lang w:val="en-GB"/>
        </w:rPr>
      </w:pPr>
      <w:r w:rsidRPr="00D6631F">
        <w:rPr>
          <w:rFonts w:cs="Arial"/>
          <w:iCs w:val="0"/>
          <w:color w:val="auto"/>
          <w:szCs w:val="16"/>
          <w:lang w:val="en-GB"/>
        </w:rPr>
        <w:t>Copyright © 2019, Ivey Business School Foundation</w:t>
      </w:r>
      <w:r w:rsidR="00A323B0" w:rsidRPr="00D6631F">
        <w:rPr>
          <w:rFonts w:cs="Arial"/>
          <w:iCs w:val="0"/>
          <w:color w:val="auto"/>
          <w:szCs w:val="16"/>
          <w:lang w:val="en-GB"/>
        </w:rPr>
        <w:tab/>
        <w:t xml:space="preserve">Version: </w:t>
      </w:r>
      <w:r w:rsidR="00107531" w:rsidRPr="00D6631F">
        <w:rPr>
          <w:rFonts w:cs="Arial"/>
          <w:iCs w:val="0"/>
          <w:color w:val="auto"/>
          <w:szCs w:val="16"/>
          <w:lang w:val="en-GB"/>
        </w:rPr>
        <w:t>2019-</w:t>
      </w:r>
      <w:r w:rsidR="00EA17A9">
        <w:rPr>
          <w:rFonts w:cs="Arial"/>
          <w:iCs w:val="0"/>
          <w:color w:val="auto"/>
          <w:szCs w:val="16"/>
          <w:lang w:val="en-GB"/>
        </w:rPr>
        <w:t>09-</w:t>
      </w:r>
      <w:r w:rsidR="00AE0CCB">
        <w:rPr>
          <w:rFonts w:cs="Arial"/>
          <w:iCs w:val="0"/>
          <w:color w:val="auto"/>
          <w:szCs w:val="16"/>
          <w:lang w:val="en-GB"/>
        </w:rPr>
        <w:t>1</w:t>
      </w:r>
      <w:r w:rsidR="00AE0CCB">
        <w:rPr>
          <w:rFonts w:cs="Arial"/>
          <w:iCs w:val="0"/>
          <w:color w:val="auto"/>
          <w:szCs w:val="16"/>
          <w:lang w:val="en-GB"/>
        </w:rPr>
        <w:t>3</w:t>
      </w:r>
    </w:p>
    <w:p w14:paraId="0A2A54E4" w14:textId="77777777" w:rsidR="00751E0B" w:rsidRPr="00D6631F" w:rsidRDefault="00751E0B" w:rsidP="00751E0B">
      <w:pPr>
        <w:pStyle w:val="StyleCopyrightStatementAfter0ptBottomSinglesolidline1"/>
        <w:rPr>
          <w:rFonts w:ascii="Times New Roman" w:hAnsi="Times New Roman"/>
          <w:sz w:val="20"/>
          <w:lang w:val="en-GB"/>
        </w:rPr>
      </w:pPr>
    </w:p>
    <w:p w14:paraId="1558D4D9" w14:textId="77777777" w:rsidR="00692668" w:rsidRPr="00D6631F" w:rsidRDefault="00692668" w:rsidP="00751E0B">
      <w:pPr>
        <w:pStyle w:val="StyleCopyrightStatementAfter0ptBottomSinglesolidline1"/>
        <w:rPr>
          <w:rFonts w:ascii="Times New Roman" w:hAnsi="Times New Roman"/>
          <w:sz w:val="20"/>
          <w:lang w:val="en-GB"/>
        </w:rPr>
      </w:pPr>
    </w:p>
    <w:p w14:paraId="796A00F0" w14:textId="797DBF48" w:rsidR="00216865" w:rsidRPr="00D6631F" w:rsidRDefault="00107531" w:rsidP="00692668">
      <w:pPr>
        <w:pStyle w:val="BodyTextMain"/>
        <w:rPr>
          <w:lang w:val="en-GB"/>
        </w:rPr>
      </w:pPr>
      <w:r w:rsidRPr="00D6631F">
        <w:rPr>
          <w:lang w:val="en-GB"/>
        </w:rPr>
        <w:t>On August 7, 2018, MoviePass</w:t>
      </w:r>
      <w:r w:rsidR="001059E2" w:rsidRPr="00D6631F">
        <w:rPr>
          <w:lang w:val="en-GB"/>
        </w:rPr>
        <w:t xml:space="preserve"> Inc. (MoviePass)</w:t>
      </w:r>
      <w:r w:rsidRPr="00D6631F">
        <w:rPr>
          <w:lang w:val="en-GB"/>
        </w:rPr>
        <w:t>, the New York City</w:t>
      </w:r>
      <w:r w:rsidR="008F0254" w:rsidRPr="00D6631F">
        <w:rPr>
          <w:lang w:val="en-GB"/>
        </w:rPr>
        <w:t>–</w:t>
      </w:r>
      <w:r w:rsidRPr="00D6631F">
        <w:rPr>
          <w:lang w:val="en-GB"/>
        </w:rPr>
        <w:t xml:space="preserve">based movie ticket subscription service, announced that it would </w:t>
      </w:r>
      <w:r w:rsidR="001059E2" w:rsidRPr="00D6631F">
        <w:rPr>
          <w:lang w:val="en-GB"/>
        </w:rPr>
        <w:t>restore</w:t>
      </w:r>
      <w:r w:rsidRPr="00D6631F">
        <w:rPr>
          <w:lang w:val="en-GB"/>
        </w:rPr>
        <w:t xml:space="preserve"> its popular </w:t>
      </w:r>
      <w:r w:rsidR="00CF5441" w:rsidRPr="00D6631F">
        <w:rPr>
          <w:lang w:val="en-GB"/>
        </w:rPr>
        <w:t>US</w:t>
      </w:r>
      <w:r w:rsidR="001059E2" w:rsidRPr="00D6631F">
        <w:rPr>
          <w:lang w:val="en-GB"/>
        </w:rPr>
        <w:t>$9.95</w:t>
      </w:r>
      <w:r w:rsidR="00CF5441" w:rsidRPr="00D6631F">
        <w:rPr>
          <w:rStyle w:val="EndnoteReference"/>
          <w:lang w:val="en-GB"/>
        </w:rPr>
        <w:endnoteReference w:id="2"/>
      </w:r>
      <w:r w:rsidR="001059E2" w:rsidRPr="00D6631F">
        <w:rPr>
          <w:lang w:val="en-GB"/>
        </w:rPr>
        <w:t xml:space="preserve"> per month </w:t>
      </w:r>
      <w:r w:rsidRPr="00D6631F">
        <w:rPr>
          <w:lang w:val="en-GB"/>
        </w:rPr>
        <w:t xml:space="preserve">plan, but in a change from the past, subscribers would be restricted to three movies a month instead of </w:t>
      </w:r>
      <w:r w:rsidR="001059E2" w:rsidRPr="00D6631F">
        <w:rPr>
          <w:lang w:val="en-GB"/>
        </w:rPr>
        <w:t xml:space="preserve">having access to </w:t>
      </w:r>
      <w:r w:rsidRPr="00D6631F">
        <w:rPr>
          <w:lang w:val="en-GB"/>
        </w:rPr>
        <w:t>an unlimited number</w:t>
      </w:r>
      <w:r w:rsidR="002C57C1">
        <w:rPr>
          <w:lang w:val="en-GB"/>
        </w:rPr>
        <w:t xml:space="preserve"> of movies</w:t>
      </w:r>
      <w:r w:rsidRPr="00D6631F">
        <w:rPr>
          <w:lang w:val="en-GB"/>
        </w:rPr>
        <w:t xml:space="preserve">. In announcing the new pricing plan, MoviePass’s </w:t>
      </w:r>
      <w:r w:rsidR="001059E2" w:rsidRPr="00D6631F">
        <w:rPr>
          <w:lang w:val="en-GB"/>
        </w:rPr>
        <w:t>chief executive officer (</w:t>
      </w:r>
      <w:r w:rsidRPr="00D6631F">
        <w:rPr>
          <w:lang w:val="en-GB"/>
        </w:rPr>
        <w:t>CEO</w:t>
      </w:r>
      <w:r w:rsidR="001059E2" w:rsidRPr="00D6631F">
        <w:rPr>
          <w:lang w:val="en-GB"/>
        </w:rPr>
        <w:t>)</w:t>
      </w:r>
      <w:r w:rsidRPr="00D6631F">
        <w:rPr>
          <w:lang w:val="en-GB"/>
        </w:rPr>
        <w:t xml:space="preserve">, Mitch Lowe, </w:t>
      </w:r>
      <w:r w:rsidR="001059E2" w:rsidRPr="00D6631F">
        <w:rPr>
          <w:lang w:val="en-GB"/>
        </w:rPr>
        <w:t xml:space="preserve">noted </w:t>
      </w:r>
      <w:r w:rsidRPr="00D6631F">
        <w:rPr>
          <w:lang w:val="en-GB"/>
        </w:rPr>
        <w:t>that the new plan would reduce MoviePass’s cash burn rate by 60 per</w:t>
      </w:r>
      <w:r w:rsidR="001059E2" w:rsidRPr="00D6631F">
        <w:rPr>
          <w:lang w:val="en-GB"/>
        </w:rPr>
        <w:t xml:space="preserve"> </w:t>
      </w:r>
      <w:r w:rsidRPr="00D6631F">
        <w:rPr>
          <w:lang w:val="en-GB"/>
        </w:rPr>
        <w:t xml:space="preserve">cent and help make </w:t>
      </w:r>
      <w:r w:rsidR="001059E2" w:rsidRPr="00D6631F">
        <w:rPr>
          <w:lang w:val="en-GB"/>
        </w:rPr>
        <w:t xml:space="preserve">its </w:t>
      </w:r>
      <w:r w:rsidRPr="00D6631F">
        <w:rPr>
          <w:lang w:val="en-GB"/>
        </w:rPr>
        <w:t>path to profitability “more manageable.</w:t>
      </w:r>
      <w:r w:rsidR="001059E2" w:rsidRPr="00D6631F">
        <w:rPr>
          <w:lang w:val="en-GB"/>
        </w:rPr>
        <w:t>”</w:t>
      </w:r>
      <w:r w:rsidR="00216865" w:rsidRPr="00D6631F">
        <w:rPr>
          <w:rStyle w:val="EndnoteReference"/>
          <w:lang w:val="en-GB"/>
        </w:rPr>
        <w:endnoteReference w:id="3"/>
      </w:r>
    </w:p>
    <w:p w14:paraId="7948F03E" w14:textId="55D53424" w:rsidR="00216865" w:rsidRPr="00C63E85" w:rsidRDefault="00216865" w:rsidP="00504D42">
      <w:pPr>
        <w:pStyle w:val="BodyTextMain"/>
        <w:rPr>
          <w:sz w:val="18"/>
          <w:lang w:val="en-GB"/>
        </w:rPr>
      </w:pPr>
    </w:p>
    <w:p w14:paraId="7E3573FB" w14:textId="21D97CE7" w:rsidR="00216865" w:rsidRPr="00D6631F" w:rsidRDefault="00216865" w:rsidP="00692668">
      <w:pPr>
        <w:pStyle w:val="BodyTextMain"/>
        <w:rPr>
          <w:lang w:val="en-GB"/>
        </w:rPr>
      </w:pPr>
      <w:r w:rsidRPr="00D6631F">
        <w:rPr>
          <w:lang w:val="en-GB"/>
        </w:rPr>
        <w:t>While the summer of 2018 was the second-best year ever for the movie business, with $4.8 billion in ticket sales,</w:t>
      </w:r>
      <w:r w:rsidRPr="00D6631F">
        <w:rPr>
          <w:rStyle w:val="EndnoteReference"/>
          <w:lang w:val="en-GB"/>
        </w:rPr>
        <w:endnoteReference w:id="4"/>
      </w:r>
      <w:r w:rsidRPr="00D6631F">
        <w:rPr>
          <w:lang w:val="en-GB"/>
        </w:rPr>
        <w:t xml:space="preserve"> MoviePass faced significant challenges in its role as a disruptor. The first challenge was internal. MoviePass was losing cash at a rate that caused its parent company’s auditors to express concerns about its ability to continue</w:t>
      </w:r>
      <w:r w:rsidR="00537B1A" w:rsidRPr="00D6631F">
        <w:rPr>
          <w:lang w:val="en-GB"/>
        </w:rPr>
        <w:t xml:space="preserve"> operating</w:t>
      </w:r>
      <w:r w:rsidRPr="00D6631F">
        <w:rPr>
          <w:lang w:val="en-GB"/>
        </w:rPr>
        <w:t>.</w:t>
      </w:r>
      <w:r w:rsidRPr="00D6631F">
        <w:rPr>
          <w:rStyle w:val="EndnoteReference"/>
          <w:lang w:val="en-GB"/>
        </w:rPr>
        <w:endnoteReference w:id="5"/>
      </w:r>
      <w:r w:rsidRPr="00D6631F">
        <w:rPr>
          <w:lang w:val="en-GB"/>
        </w:rPr>
        <w:t xml:space="preserve"> The second was external. AMC Entertainment Holdings Inc. (AMC), the world’s leading theatre chain, had recently launched its own subscription service to compete with MoviePass. While MoviePass had a massive lead in terms of </w:t>
      </w:r>
      <w:r w:rsidR="00EC12AE" w:rsidRPr="00D6631F">
        <w:rPr>
          <w:lang w:val="en-GB"/>
        </w:rPr>
        <w:t xml:space="preserve">its </w:t>
      </w:r>
      <w:r w:rsidRPr="00D6631F">
        <w:rPr>
          <w:lang w:val="en-GB"/>
        </w:rPr>
        <w:t>number of subscribers, AMC had significant financial advantages in its pricing plan and unit economics</w:t>
      </w:r>
      <w:r w:rsidR="005E115D" w:rsidRPr="00D6631F">
        <w:rPr>
          <w:lang w:val="en-GB"/>
        </w:rPr>
        <w:t>.</w:t>
      </w:r>
      <w:r w:rsidR="00D73E7A" w:rsidRPr="00D6631F">
        <w:rPr>
          <w:rStyle w:val="EndnoteReference"/>
          <w:lang w:val="en-GB"/>
        </w:rPr>
        <w:endnoteReference w:id="6"/>
      </w:r>
    </w:p>
    <w:p w14:paraId="6F3E357F" w14:textId="77777777" w:rsidR="00216865" w:rsidRPr="00C63E85" w:rsidRDefault="00216865" w:rsidP="00504D42">
      <w:pPr>
        <w:pStyle w:val="BodyTextMain"/>
        <w:rPr>
          <w:sz w:val="18"/>
          <w:lang w:val="en-GB"/>
        </w:rPr>
      </w:pPr>
    </w:p>
    <w:p w14:paraId="63AF4EF4" w14:textId="256D9C23" w:rsidR="00216865" w:rsidRPr="00D6631F" w:rsidRDefault="00216865" w:rsidP="00692668">
      <w:pPr>
        <w:pStyle w:val="BodyTextMain"/>
        <w:rPr>
          <w:lang w:val="en-GB"/>
        </w:rPr>
      </w:pPr>
      <w:r w:rsidRPr="00D6631F">
        <w:rPr>
          <w:lang w:val="en-GB"/>
        </w:rPr>
        <w:t>Lowe had been charged with increasing MoviePass’s subscription base to 5 million (from its current 3.</w:t>
      </w:r>
      <w:r w:rsidR="00A43C33" w:rsidRPr="00D6631F">
        <w:rPr>
          <w:lang w:val="en-GB"/>
        </w:rPr>
        <w:t>2</w:t>
      </w:r>
      <w:r w:rsidR="005E115D" w:rsidRPr="00D6631F">
        <w:rPr>
          <w:lang w:val="en-GB"/>
        </w:rPr>
        <w:t xml:space="preserve"> </w:t>
      </w:r>
      <w:r w:rsidRPr="00D6631F">
        <w:rPr>
          <w:lang w:val="en-GB"/>
        </w:rPr>
        <w:t>million), which would enable the company both to offer analytical information about moviegoers’ likes and dislikes to theatres and movie studios and to receive a share of theatres’ concession and other revenues in return for driving traffic to the theatres</w:t>
      </w:r>
      <w:r w:rsidR="00537B1A" w:rsidRPr="00D6631F">
        <w:rPr>
          <w:lang w:val="en-GB"/>
        </w:rPr>
        <w:t>.</w:t>
      </w:r>
      <w:r w:rsidR="00D73E7A" w:rsidRPr="00D6631F">
        <w:rPr>
          <w:rStyle w:val="EndnoteReference"/>
          <w:lang w:val="en-GB"/>
        </w:rPr>
        <w:endnoteReference w:id="7"/>
      </w:r>
      <w:r w:rsidRPr="00D6631F">
        <w:rPr>
          <w:lang w:val="en-GB"/>
        </w:rPr>
        <w:t xml:space="preserve"> Lowe and his team </w:t>
      </w:r>
      <w:r w:rsidR="001E68BF">
        <w:rPr>
          <w:lang w:val="en-GB"/>
        </w:rPr>
        <w:t>needed</w:t>
      </w:r>
      <w:r w:rsidR="001E68BF" w:rsidRPr="00D6631F">
        <w:rPr>
          <w:lang w:val="en-GB"/>
        </w:rPr>
        <w:t xml:space="preserve"> </w:t>
      </w:r>
      <w:r w:rsidRPr="00D6631F">
        <w:rPr>
          <w:lang w:val="en-GB"/>
        </w:rPr>
        <w:t>to find a way to reach this subscription goal ahead of the competition and before the company ran out of capital.</w:t>
      </w:r>
      <w:r w:rsidR="005E115D" w:rsidRPr="00D6631F">
        <w:rPr>
          <w:lang w:val="en-GB"/>
        </w:rPr>
        <w:t xml:space="preserve"> </w:t>
      </w:r>
    </w:p>
    <w:p w14:paraId="409742F8" w14:textId="77777777" w:rsidR="00216865" w:rsidRPr="00C63E85" w:rsidRDefault="00216865" w:rsidP="005E115D">
      <w:pPr>
        <w:pStyle w:val="BodyTextMain"/>
        <w:rPr>
          <w:sz w:val="18"/>
          <w:lang w:val="en-GB"/>
        </w:rPr>
      </w:pPr>
    </w:p>
    <w:p w14:paraId="05F10B6C" w14:textId="77777777" w:rsidR="00216865" w:rsidRPr="00C63E85" w:rsidRDefault="00216865" w:rsidP="005E115D">
      <w:pPr>
        <w:pStyle w:val="BodyTextMain"/>
        <w:rPr>
          <w:sz w:val="18"/>
          <w:lang w:val="en-GB"/>
        </w:rPr>
      </w:pPr>
    </w:p>
    <w:p w14:paraId="5774E0B3" w14:textId="77777777" w:rsidR="00216865" w:rsidRPr="00D6631F" w:rsidRDefault="00216865" w:rsidP="00692668">
      <w:pPr>
        <w:pStyle w:val="Casehead1"/>
        <w:rPr>
          <w:lang w:val="en-GB"/>
        </w:rPr>
      </w:pPr>
      <w:r w:rsidRPr="00D6631F">
        <w:rPr>
          <w:lang w:val="en-GB"/>
        </w:rPr>
        <w:t>THE MOVIE EXHIBITION INDUSTRY</w:t>
      </w:r>
    </w:p>
    <w:p w14:paraId="0B4FF439" w14:textId="77777777" w:rsidR="00216865" w:rsidRPr="00C63E85" w:rsidRDefault="00216865" w:rsidP="005E115D">
      <w:pPr>
        <w:pStyle w:val="BodyTextMain"/>
        <w:rPr>
          <w:sz w:val="18"/>
          <w:lang w:val="en-GB"/>
        </w:rPr>
      </w:pPr>
    </w:p>
    <w:p w14:paraId="39DD08BF" w14:textId="790BC3BA" w:rsidR="00216865" w:rsidRPr="00D6631F" w:rsidRDefault="00216865" w:rsidP="00692668">
      <w:pPr>
        <w:pStyle w:val="BodyTextMain"/>
        <w:rPr>
          <w:lang w:val="en-GB"/>
        </w:rPr>
      </w:pPr>
      <w:r w:rsidRPr="00D6631F">
        <w:rPr>
          <w:lang w:val="en-GB"/>
        </w:rPr>
        <w:t>The movie exhibition industry in the United States consisted of businesses that enabled audiences to see movies in indoor, drive-in, and outdoor movie theatres. According to an IBISWorld report, the industry was expected to generate revenues of $17.5 billion in 2018—</w:t>
      </w:r>
      <w:r w:rsidR="00E619BB" w:rsidRPr="00D6631F">
        <w:rPr>
          <w:lang w:val="en-GB"/>
        </w:rPr>
        <w:t>represent</w:t>
      </w:r>
      <w:r w:rsidR="00E619BB">
        <w:rPr>
          <w:lang w:val="en-GB"/>
        </w:rPr>
        <w:t>ing</w:t>
      </w:r>
      <w:r w:rsidR="00E619BB" w:rsidRPr="00D6631F">
        <w:rPr>
          <w:lang w:val="en-GB"/>
        </w:rPr>
        <w:t xml:space="preserve"> </w:t>
      </w:r>
      <w:r w:rsidRPr="00D6631F">
        <w:rPr>
          <w:lang w:val="en-GB"/>
        </w:rPr>
        <w:t>a 2.7 per cent per year growth rate since 2013. However, its annual growth rate was expected to drop to 0.7 per cent due to a variety of industry-specific and external factors</w:t>
      </w:r>
      <w:r w:rsidR="00A43C33" w:rsidRPr="00D6631F">
        <w:rPr>
          <w:lang w:val="en-GB"/>
        </w:rPr>
        <w:t>, and</w:t>
      </w:r>
      <w:r w:rsidRPr="00D6631F">
        <w:rPr>
          <w:lang w:val="en-GB"/>
        </w:rPr>
        <w:t xml:space="preserve"> the average </w:t>
      </w:r>
      <w:r w:rsidRPr="009F233E">
        <w:rPr>
          <w:lang w:val="en-GB"/>
        </w:rPr>
        <w:t>ticket price remained steady at $</w:t>
      </w:r>
      <w:r w:rsidR="00B747BD" w:rsidRPr="009F233E">
        <w:rPr>
          <w:lang w:val="en-GB"/>
        </w:rPr>
        <w:t>9.00</w:t>
      </w:r>
      <w:r w:rsidRPr="009F233E">
        <w:rPr>
          <w:lang w:val="en-GB"/>
        </w:rPr>
        <w:t xml:space="preserve"> in 2018.</w:t>
      </w:r>
      <w:r w:rsidRPr="009F233E">
        <w:rPr>
          <w:rStyle w:val="EndnoteReference"/>
          <w:lang w:val="en-GB"/>
        </w:rPr>
        <w:endnoteReference w:id="8"/>
      </w:r>
      <w:r w:rsidRPr="00D6631F">
        <w:rPr>
          <w:lang w:val="en-GB"/>
        </w:rPr>
        <w:t xml:space="preserve"> </w:t>
      </w:r>
    </w:p>
    <w:p w14:paraId="277A2D6F" w14:textId="77777777" w:rsidR="00216865" w:rsidRPr="00C63E85" w:rsidRDefault="00216865" w:rsidP="005E115D">
      <w:pPr>
        <w:pStyle w:val="BodyTextMain"/>
        <w:rPr>
          <w:sz w:val="18"/>
          <w:lang w:val="en-GB"/>
        </w:rPr>
      </w:pPr>
    </w:p>
    <w:p w14:paraId="6FA5596E" w14:textId="3F1A29A5" w:rsidR="00216865" w:rsidRPr="00D6631F" w:rsidRDefault="00216865" w:rsidP="00692668">
      <w:pPr>
        <w:pStyle w:val="BodyTextMain"/>
        <w:rPr>
          <w:spacing w:val="-4"/>
          <w:lang w:val="en-GB"/>
        </w:rPr>
      </w:pPr>
      <w:r w:rsidRPr="00D6631F">
        <w:rPr>
          <w:lang w:val="en-GB"/>
        </w:rPr>
        <w:t>IBISWorld noted that consumers aged 40 and older represented 41 per cent of moviegoers and were the largest demographic for the movie exhibition industry; they were followed by consumers in th</w:t>
      </w:r>
      <w:r w:rsidR="00A43C33" w:rsidRPr="00D6631F">
        <w:rPr>
          <w:lang w:val="en-GB"/>
        </w:rPr>
        <w:t>e 25–39 age group (23 per cent)</w:t>
      </w:r>
      <w:r w:rsidRPr="00D6631F">
        <w:rPr>
          <w:lang w:val="en-GB"/>
        </w:rPr>
        <w:t xml:space="preserve"> and those aged 18–24 (12 per cent), who had the highest per-person movie average of 6.5 movies a year.</w:t>
      </w:r>
      <w:r w:rsidRPr="00D6631F">
        <w:rPr>
          <w:rStyle w:val="EndnoteReference"/>
          <w:lang w:val="en-GB"/>
        </w:rPr>
        <w:endnoteReference w:id="9"/>
      </w:r>
      <w:r w:rsidRPr="00D6631F">
        <w:rPr>
          <w:lang w:val="en-GB"/>
        </w:rPr>
        <w:t xml:space="preserve"> In what was seen as a positive trend for the business, the report noted that the 40 and </w:t>
      </w:r>
      <w:r w:rsidRPr="00D6631F">
        <w:rPr>
          <w:lang w:val="en-GB"/>
        </w:rPr>
        <w:lastRenderedPageBreak/>
        <w:t xml:space="preserve">older </w:t>
      </w:r>
      <w:r w:rsidR="00E619BB">
        <w:rPr>
          <w:lang w:val="en-GB"/>
        </w:rPr>
        <w:t>age group</w:t>
      </w:r>
      <w:r w:rsidR="00E619BB" w:rsidRPr="00D6631F">
        <w:rPr>
          <w:lang w:val="en-GB"/>
        </w:rPr>
        <w:t xml:space="preserve"> </w:t>
      </w:r>
      <w:r w:rsidRPr="00D6631F">
        <w:rPr>
          <w:lang w:val="en-GB"/>
        </w:rPr>
        <w:t>had the largest disposable income of the various groups and was the least likely to be attracted by technology-based substitutes for watching movies in theatres, such as streaming content via Netflix Inc. (Netflix) and other popular services.</w:t>
      </w:r>
      <w:r w:rsidRPr="00D6631F">
        <w:rPr>
          <w:rStyle w:val="EndnoteReference"/>
          <w:lang w:val="en-GB"/>
        </w:rPr>
        <w:endnoteReference w:id="10"/>
      </w:r>
      <w:r w:rsidRPr="00D6631F">
        <w:rPr>
          <w:lang w:val="en-GB"/>
        </w:rPr>
        <w:t xml:space="preserve"> According to the Motion Picture Association of America, 51</w:t>
      </w:r>
      <w:r w:rsidR="00616DC0" w:rsidRPr="00D6631F">
        <w:rPr>
          <w:lang w:val="en-GB"/>
        </w:rPr>
        <w:t xml:space="preserve"> </w:t>
      </w:r>
      <w:r w:rsidRPr="00D6631F">
        <w:rPr>
          <w:lang w:val="en-GB"/>
        </w:rPr>
        <w:t>per cent of the population identified themselves as “occasional” moviegoers who saw a theatrical movie less than once a month, 29 per cent were non-moviegoers, 11 per cent were “frequent” moviegoers who saw a theatrical movie once a month or more, and 9 per cent were “infrequent” moviegoers—that is, they saw a movie once in 12 months. In terms of tickets sold, the “occasional” category a</w:t>
      </w:r>
      <w:r w:rsidR="00616DC0" w:rsidRPr="00D6631F">
        <w:rPr>
          <w:lang w:val="en-GB"/>
        </w:rPr>
        <w:t xml:space="preserve">ccounted for 50 per </w:t>
      </w:r>
      <w:r w:rsidRPr="00D6631F">
        <w:rPr>
          <w:lang w:val="en-GB"/>
        </w:rPr>
        <w:t xml:space="preserve">cent, the “frequent” category for 48 per cent, and the “infrequent” category, 2 per cent. In 2016, the average number of tickets sold per moviegoer </w:t>
      </w:r>
      <w:r w:rsidR="00EC12AE" w:rsidRPr="00D6631F">
        <w:rPr>
          <w:lang w:val="en-GB"/>
        </w:rPr>
        <w:t>per</w:t>
      </w:r>
      <w:r w:rsidRPr="00D6631F">
        <w:rPr>
          <w:lang w:val="en-GB"/>
        </w:rPr>
        <w:t xml:space="preserve"> year was 5.3, down from 5.6 in 2015.</w:t>
      </w:r>
      <w:r w:rsidRPr="00D6631F">
        <w:rPr>
          <w:rStyle w:val="EndnoteReference"/>
          <w:lang w:val="en-GB"/>
        </w:rPr>
        <w:endnoteReference w:id="11"/>
      </w:r>
      <w:r w:rsidRPr="00D6631F">
        <w:rPr>
          <w:spacing w:val="-4"/>
          <w:lang w:val="en-GB"/>
        </w:rPr>
        <w:t xml:space="preserve"> </w:t>
      </w:r>
    </w:p>
    <w:p w14:paraId="36B6363D" w14:textId="77777777" w:rsidR="00216865" w:rsidRPr="00D6631F" w:rsidRDefault="00216865" w:rsidP="00504D42">
      <w:pPr>
        <w:pStyle w:val="BodyTextMain"/>
        <w:rPr>
          <w:lang w:val="en-GB"/>
        </w:rPr>
      </w:pPr>
    </w:p>
    <w:p w14:paraId="3564CD31" w14:textId="31A147EB" w:rsidR="00216865" w:rsidRPr="00D6631F" w:rsidRDefault="00216865" w:rsidP="00692668">
      <w:pPr>
        <w:pStyle w:val="BodyTextMain"/>
        <w:rPr>
          <w:spacing w:val="-4"/>
          <w:lang w:val="en-GB"/>
        </w:rPr>
      </w:pPr>
      <w:r w:rsidRPr="00D6631F">
        <w:rPr>
          <w:spacing w:val="-4"/>
          <w:lang w:val="en-GB"/>
        </w:rPr>
        <w:t xml:space="preserve">Moviegoers had a wide array of options in terms of their </w:t>
      </w:r>
      <w:r w:rsidR="00E14718">
        <w:rPr>
          <w:spacing w:val="-4"/>
          <w:lang w:val="en-GB"/>
        </w:rPr>
        <w:t xml:space="preserve">viewing </w:t>
      </w:r>
      <w:r w:rsidRPr="00D6631F">
        <w:rPr>
          <w:spacing w:val="-4"/>
          <w:lang w:val="en-GB"/>
        </w:rPr>
        <w:t>experience. They could see movies in a traditional two-dimensional (2</w:t>
      </w:r>
      <w:r w:rsidR="00E14718">
        <w:rPr>
          <w:spacing w:val="-4"/>
          <w:lang w:val="en-GB"/>
        </w:rPr>
        <w:t>-</w:t>
      </w:r>
      <w:r w:rsidRPr="00D6631F">
        <w:rPr>
          <w:spacing w:val="-4"/>
          <w:lang w:val="en-GB"/>
        </w:rPr>
        <w:t xml:space="preserve">D) format that featured a 35-millimetre screen or (when it was offered) on an enhanced 70-millimetre screen. For an additional $3–$5 charge, they could see movies in a </w:t>
      </w:r>
      <w:r w:rsidR="00E14718">
        <w:rPr>
          <w:spacing w:val="-4"/>
          <w:lang w:val="en-GB"/>
        </w:rPr>
        <w:t>three-dimensional (</w:t>
      </w:r>
      <w:r w:rsidRPr="00D6631F">
        <w:rPr>
          <w:spacing w:val="-4"/>
          <w:lang w:val="en-GB"/>
        </w:rPr>
        <w:t>3</w:t>
      </w:r>
      <w:r w:rsidR="00E14718">
        <w:rPr>
          <w:spacing w:val="-4"/>
          <w:lang w:val="en-GB"/>
        </w:rPr>
        <w:t>-</w:t>
      </w:r>
      <w:r w:rsidRPr="00D6631F">
        <w:rPr>
          <w:spacing w:val="-4"/>
          <w:lang w:val="en-GB"/>
        </w:rPr>
        <w:t>D</w:t>
      </w:r>
      <w:r w:rsidR="00E14718">
        <w:rPr>
          <w:spacing w:val="-4"/>
          <w:lang w:val="en-GB"/>
        </w:rPr>
        <w:t>)</w:t>
      </w:r>
      <w:r w:rsidRPr="00D6631F">
        <w:rPr>
          <w:spacing w:val="-4"/>
          <w:lang w:val="en-GB"/>
        </w:rPr>
        <w:t xml:space="preserve"> format (if offered) or on a much larger </w:t>
      </w:r>
      <w:r w:rsidR="00F37EC6" w:rsidRPr="00D6631F">
        <w:rPr>
          <w:spacing w:val="-4"/>
          <w:lang w:val="en-GB"/>
        </w:rPr>
        <w:t>IMAX</w:t>
      </w:r>
      <w:r w:rsidRPr="00D6631F">
        <w:rPr>
          <w:spacing w:val="-4"/>
          <w:lang w:val="en-GB"/>
        </w:rPr>
        <w:t xml:space="preserve"> screen (if offered). In addition to different screen types and sizes, there were various sound and dining options (e.g., Dolby sound and AMC </w:t>
      </w:r>
      <w:r w:rsidR="00E14718" w:rsidRPr="00D6631F">
        <w:rPr>
          <w:spacing w:val="-4"/>
          <w:lang w:val="en-GB"/>
        </w:rPr>
        <w:t>DINE-IN</w:t>
      </w:r>
      <w:r w:rsidRPr="00D6631F">
        <w:rPr>
          <w:spacing w:val="-4"/>
          <w:lang w:val="en-GB"/>
        </w:rPr>
        <w:t xml:space="preserve"> theatres)</w:t>
      </w:r>
      <w:r w:rsidR="00616DC0" w:rsidRPr="00D6631F">
        <w:rPr>
          <w:spacing w:val="-4"/>
          <w:lang w:val="en-GB"/>
        </w:rPr>
        <w:t>.</w:t>
      </w:r>
      <w:r w:rsidR="000A19F5" w:rsidRPr="00D6631F">
        <w:rPr>
          <w:rStyle w:val="EndnoteReference"/>
          <w:spacing w:val="-4"/>
          <w:lang w:val="en-GB"/>
        </w:rPr>
        <w:endnoteReference w:id="12"/>
      </w:r>
    </w:p>
    <w:p w14:paraId="074B9A6E" w14:textId="77777777" w:rsidR="00216865" w:rsidRPr="00D6631F" w:rsidRDefault="00216865" w:rsidP="00504D42">
      <w:pPr>
        <w:pStyle w:val="BodyTextMain"/>
        <w:rPr>
          <w:lang w:val="en-GB"/>
        </w:rPr>
      </w:pPr>
    </w:p>
    <w:p w14:paraId="7720B0EE" w14:textId="69BC7003" w:rsidR="00216865" w:rsidRPr="00D6631F" w:rsidRDefault="00216865" w:rsidP="00692668">
      <w:pPr>
        <w:pStyle w:val="BodyTextMain"/>
        <w:rPr>
          <w:spacing w:val="-4"/>
          <w:lang w:val="en-GB"/>
        </w:rPr>
      </w:pPr>
      <w:r w:rsidRPr="00D6631F">
        <w:rPr>
          <w:spacing w:val="-4"/>
          <w:lang w:val="en-GB"/>
        </w:rPr>
        <w:t>IBISWorld identified two key external drivers for the movie exhibition industry: per-capita disposable income and number of broadband connections.</w:t>
      </w:r>
      <w:r w:rsidRPr="00D6631F">
        <w:rPr>
          <w:rStyle w:val="EndnoteReference"/>
          <w:spacing w:val="-4"/>
          <w:lang w:val="en-GB"/>
        </w:rPr>
        <w:endnoteReference w:id="13"/>
      </w:r>
      <w:r w:rsidRPr="00D6631F">
        <w:rPr>
          <w:spacing w:val="-4"/>
          <w:lang w:val="en-GB"/>
        </w:rPr>
        <w:t xml:space="preserve"> Movie</w:t>
      </w:r>
      <w:r w:rsidR="0018689B">
        <w:rPr>
          <w:spacing w:val="-4"/>
          <w:lang w:val="en-GB"/>
        </w:rPr>
        <w:t>-</w:t>
      </w:r>
      <w:r w:rsidRPr="00D6631F">
        <w:rPr>
          <w:spacing w:val="-4"/>
          <w:lang w:val="en-GB"/>
        </w:rPr>
        <w:t>going was a leisure activity that depended on household disposable income, which in turn depended on employment income, tax rates, and people’s general perception of the economy. IBISWorld noted that per-capita disposable income was expected to increase in 2018, indi</w:t>
      </w:r>
      <w:r w:rsidR="00616DC0" w:rsidRPr="00D6631F">
        <w:rPr>
          <w:spacing w:val="-4"/>
          <w:lang w:val="en-GB"/>
        </w:rPr>
        <w:t xml:space="preserve">cating a positive trend for the </w:t>
      </w:r>
      <w:r w:rsidRPr="00D6631F">
        <w:rPr>
          <w:spacing w:val="-4"/>
          <w:lang w:val="en-GB"/>
        </w:rPr>
        <w:t>industry.</w:t>
      </w:r>
      <w:r w:rsidRPr="00D6631F">
        <w:rPr>
          <w:rStyle w:val="EndnoteReference"/>
          <w:spacing w:val="-4"/>
          <w:lang w:val="en-GB"/>
        </w:rPr>
        <w:endnoteReference w:id="14"/>
      </w:r>
      <w:r w:rsidRPr="00D6631F">
        <w:rPr>
          <w:spacing w:val="-4"/>
          <w:lang w:val="en-GB"/>
        </w:rPr>
        <w:t xml:space="preserve"> A broadband connection enabled access to high-speed Internet that could be used for a wide variety of purposes, including viewing </w:t>
      </w:r>
      <w:r w:rsidR="00E619BB" w:rsidRPr="00D6631F">
        <w:rPr>
          <w:spacing w:val="-4"/>
          <w:lang w:val="en-GB"/>
        </w:rPr>
        <w:t>stream</w:t>
      </w:r>
      <w:r w:rsidR="00E619BB">
        <w:rPr>
          <w:spacing w:val="-4"/>
          <w:lang w:val="en-GB"/>
        </w:rPr>
        <w:t>ed</w:t>
      </w:r>
      <w:r w:rsidR="00E619BB" w:rsidRPr="00D6631F">
        <w:rPr>
          <w:spacing w:val="-4"/>
          <w:lang w:val="en-GB"/>
        </w:rPr>
        <w:t xml:space="preserve"> </w:t>
      </w:r>
      <w:r w:rsidRPr="00D6631F">
        <w:rPr>
          <w:spacing w:val="-4"/>
          <w:lang w:val="en-GB"/>
        </w:rPr>
        <w:t>entertainment content. While there were 7.</w:t>
      </w:r>
      <w:r w:rsidR="00A43C33" w:rsidRPr="00D6631F">
        <w:rPr>
          <w:spacing w:val="-4"/>
          <w:lang w:val="en-GB"/>
        </w:rPr>
        <w:t>07</w:t>
      </w:r>
      <w:r w:rsidR="00616DC0" w:rsidRPr="00D6631F">
        <w:rPr>
          <w:spacing w:val="-4"/>
          <w:lang w:val="en-GB"/>
        </w:rPr>
        <w:t xml:space="preserve"> </w:t>
      </w:r>
      <w:r w:rsidRPr="00D6631F">
        <w:rPr>
          <w:spacing w:val="-4"/>
          <w:lang w:val="en-GB"/>
        </w:rPr>
        <w:t>million broadband subscriptions (</w:t>
      </w:r>
      <w:r w:rsidR="001B43E4">
        <w:rPr>
          <w:spacing w:val="-4"/>
          <w:lang w:val="en-GB"/>
        </w:rPr>
        <w:t xml:space="preserve">out of </w:t>
      </w:r>
      <w:r w:rsidRPr="00D6631F">
        <w:rPr>
          <w:spacing w:val="-4"/>
          <w:lang w:val="en-GB"/>
        </w:rPr>
        <w:t xml:space="preserve">104.71 million total households) in the United States in 2000, this number increased to 109.84 </w:t>
      </w:r>
      <w:r w:rsidR="001B43E4">
        <w:rPr>
          <w:spacing w:val="-4"/>
          <w:lang w:val="en-GB"/>
        </w:rPr>
        <w:t xml:space="preserve">million </w:t>
      </w:r>
      <w:r w:rsidRPr="00D6631F">
        <w:rPr>
          <w:spacing w:val="-4"/>
          <w:lang w:val="en-GB"/>
        </w:rPr>
        <w:t>(</w:t>
      </w:r>
      <w:r w:rsidR="001B43E4">
        <w:rPr>
          <w:spacing w:val="-4"/>
          <w:lang w:val="en-GB"/>
        </w:rPr>
        <w:t xml:space="preserve">out of </w:t>
      </w:r>
      <w:r w:rsidRPr="00D6631F">
        <w:rPr>
          <w:spacing w:val="-4"/>
          <w:lang w:val="en-GB"/>
        </w:rPr>
        <w:t>126.22 million households) in 2017.</w:t>
      </w:r>
      <w:r w:rsidRPr="00D6631F">
        <w:rPr>
          <w:rStyle w:val="EndnoteReference"/>
          <w:spacing w:val="-4"/>
          <w:lang w:val="en-GB"/>
        </w:rPr>
        <w:endnoteReference w:id="15"/>
      </w:r>
      <w:r w:rsidRPr="00D6631F">
        <w:rPr>
          <w:spacing w:val="-4"/>
          <w:lang w:val="en-GB"/>
        </w:rPr>
        <w:t xml:space="preserve"> The rising penetration of broadband posed a threat to the industry. </w:t>
      </w:r>
    </w:p>
    <w:p w14:paraId="7A702062" w14:textId="77777777" w:rsidR="00216865" w:rsidRPr="00D6631F" w:rsidRDefault="00216865" w:rsidP="00504D42">
      <w:pPr>
        <w:pStyle w:val="BodyTextMain"/>
        <w:rPr>
          <w:lang w:val="en-GB"/>
        </w:rPr>
      </w:pPr>
    </w:p>
    <w:p w14:paraId="3C309C63" w14:textId="5CB0475F" w:rsidR="00216865" w:rsidRPr="00D6631F" w:rsidRDefault="00216865" w:rsidP="00692668">
      <w:pPr>
        <w:pStyle w:val="BodyTextMain"/>
        <w:rPr>
          <w:spacing w:val="-4"/>
          <w:lang w:val="en-GB"/>
        </w:rPr>
      </w:pPr>
      <w:r w:rsidRPr="00D6631F">
        <w:rPr>
          <w:spacing w:val="-4"/>
          <w:lang w:val="en-GB"/>
        </w:rPr>
        <w:t>Movie exhibitors were part of an industry value chain consisting of studios, which created and produced content, and distributors, who acted as intermediaries between the studios and the exhibitors</w:t>
      </w:r>
      <w:r w:rsidR="00EC12AE" w:rsidRPr="00D6631F">
        <w:rPr>
          <w:spacing w:val="-4"/>
          <w:lang w:val="en-GB"/>
        </w:rPr>
        <w:t xml:space="preserve"> (see Exhibit 1)</w:t>
      </w:r>
      <w:r w:rsidRPr="00D6631F">
        <w:rPr>
          <w:spacing w:val="-4"/>
          <w:lang w:val="en-GB"/>
        </w:rPr>
        <w:t>. Distributors were responsible for marketing movies and handling the administrative tasks of networking between studios and exhibitors (e.g., supplying movie prints and collecting a share of ticket sales). Six major studios—the Walt Disney Company (Disney)</w:t>
      </w:r>
      <w:r w:rsidR="001B43E4">
        <w:rPr>
          <w:spacing w:val="-4"/>
          <w:lang w:val="en-GB"/>
        </w:rPr>
        <w:t>,</w:t>
      </w:r>
      <w:r w:rsidRPr="00D6631F">
        <w:rPr>
          <w:spacing w:val="-4"/>
          <w:lang w:val="en-GB"/>
        </w:rPr>
        <w:t xml:space="preserve"> Warner Bros. Entertainment Inc. (Warner Brothers)</w:t>
      </w:r>
      <w:r w:rsidR="001B43E4">
        <w:rPr>
          <w:spacing w:val="-4"/>
          <w:lang w:val="en-GB"/>
        </w:rPr>
        <w:t>,</w:t>
      </w:r>
      <w:r w:rsidRPr="00D6631F">
        <w:rPr>
          <w:spacing w:val="-4"/>
          <w:lang w:val="en-GB"/>
        </w:rPr>
        <w:t xml:space="preserve"> Twenty-First Century Fox Inc. (21st Century Fox)</w:t>
      </w:r>
      <w:r w:rsidR="001B43E4">
        <w:rPr>
          <w:spacing w:val="-4"/>
          <w:lang w:val="en-GB"/>
        </w:rPr>
        <w:t>,</w:t>
      </w:r>
      <w:r w:rsidRPr="00D6631F">
        <w:rPr>
          <w:spacing w:val="-4"/>
          <w:lang w:val="en-GB"/>
        </w:rPr>
        <w:t xml:space="preserve"> Universal Pictures</w:t>
      </w:r>
      <w:r w:rsidR="001B43E4">
        <w:rPr>
          <w:spacing w:val="-4"/>
          <w:lang w:val="en-GB"/>
        </w:rPr>
        <w:t>,</w:t>
      </w:r>
      <w:r w:rsidRPr="00D6631F">
        <w:rPr>
          <w:spacing w:val="-4"/>
          <w:lang w:val="en-GB"/>
        </w:rPr>
        <w:t xml:space="preserve"> Sony Pictures Entertainment Inc. (Sony)</w:t>
      </w:r>
      <w:r w:rsidR="001B43E4">
        <w:rPr>
          <w:spacing w:val="-4"/>
          <w:lang w:val="en-GB"/>
        </w:rPr>
        <w:t>,</w:t>
      </w:r>
      <w:r w:rsidRPr="00D6631F">
        <w:rPr>
          <w:spacing w:val="-4"/>
          <w:lang w:val="en-GB"/>
        </w:rPr>
        <w:t xml:space="preserve"> and Paramount Pictures Corporation (Paramount)—dominated the industry in terms of both the number of movies produced (e.g., 88 out of 144 widely released movies in 2018) and the market share in tickets (77.23 per cent of wide releases in 2018).</w:t>
      </w:r>
      <w:r w:rsidRPr="00D6631F">
        <w:rPr>
          <w:rStyle w:val="EndnoteReference"/>
          <w:spacing w:val="-4"/>
          <w:lang w:val="en-GB"/>
        </w:rPr>
        <w:endnoteReference w:id="16"/>
      </w:r>
      <w:r w:rsidRPr="00D6631F">
        <w:rPr>
          <w:spacing w:val="-4"/>
          <w:lang w:val="en-GB"/>
        </w:rPr>
        <w:t xml:space="preserve"> The six major studios were also vertically integrated players—that is, they controlled both the process of movie creation (e.g., Disney owned the Marvel, Pixar, and Disney studios) and distribution (Disney’s distribution arm was Buena Vista Pictures).</w:t>
      </w:r>
      <w:r w:rsidR="002C57C1" w:rsidRPr="0032334D">
        <w:rPr>
          <w:vertAlign w:val="superscript"/>
        </w:rPr>
        <w:endnoteReference w:id="17"/>
      </w:r>
      <w:r w:rsidRPr="00D6631F">
        <w:rPr>
          <w:spacing w:val="-4"/>
          <w:lang w:val="en-GB"/>
        </w:rPr>
        <w:t xml:space="preserve"> </w:t>
      </w:r>
    </w:p>
    <w:p w14:paraId="3A97592C" w14:textId="77777777" w:rsidR="00216865" w:rsidRPr="00D6631F" w:rsidRDefault="00216865" w:rsidP="00504D42">
      <w:pPr>
        <w:pStyle w:val="BodyTextMain"/>
        <w:rPr>
          <w:lang w:val="en-GB"/>
        </w:rPr>
      </w:pPr>
    </w:p>
    <w:p w14:paraId="2FEC5A9B" w14:textId="37E52D91" w:rsidR="00216865" w:rsidRPr="00D6631F" w:rsidRDefault="00216865" w:rsidP="00692668">
      <w:pPr>
        <w:pStyle w:val="BodyTextMain"/>
        <w:rPr>
          <w:lang w:val="en-GB"/>
        </w:rPr>
      </w:pPr>
      <w:r w:rsidRPr="00D6631F">
        <w:rPr>
          <w:lang w:val="en-GB"/>
        </w:rPr>
        <w:t>Ticket price revenue was split roughly 50:50 between exhibitors on the one side and distributors and studios on the other. Exhibitors made about two-thirds of their total revenues (66.8 per cent) from their share of ticket sales, 21.1 per cent from concessions, 10.9 per cent from parking and theatre rentals, and 1.2 per cent from advertising</w:t>
      </w:r>
      <w:r w:rsidR="0005781B" w:rsidRPr="00D6631F">
        <w:rPr>
          <w:lang w:val="en-GB"/>
        </w:rPr>
        <w:t>.</w:t>
      </w:r>
      <w:r w:rsidR="000A19F5" w:rsidRPr="00D6631F">
        <w:rPr>
          <w:rStyle w:val="EndnoteReference"/>
          <w:lang w:val="en-GB"/>
        </w:rPr>
        <w:endnoteReference w:id="18"/>
      </w:r>
      <w:r w:rsidRPr="00D6631F">
        <w:rPr>
          <w:lang w:val="en-GB"/>
        </w:rPr>
        <w:t xml:space="preserve"> </w:t>
      </w:r>
    </w:p>
    <w:p w14:paraId="5B44B357" w14:textId="77777777" w:rsidR="00216865" w:rsidRPr="00D6631F" w:rsidRDefault="00216865" w:rsidP="00504D42">
      <w:pPr>
        <w:pStyle w:val="BodyTextMain"/>
        <w:rPr>
          <w:lang w:val="en-GB"/>
        </w:rPr>
      </w:pPr>
    </w:p>
    <w:p w14:paraId="195CC194" w14:textId="02E82D6E" w:rsidR="00216865" w:rsidRPr="00D6631F" w:rsidRDefault="00216865" w:rsidP="00692668">
      <w:pPr>
        <w:pStyle w:val="BodyTextMain"/>
        <w:rPr>
          <w:spacing w:val="-4"/>
          <w:lang w:val="en-GB"/>
        </w:rPr>
      </w:pPr>
      <w:r w:rsidRPr="00D6631F">
        <w:rPr>
          <w:spacing w:val="-4"/>
          <w:lang w:val="en-GB"/>
        </w:rPr>
        <w:t>Movie exhibitors negotiated with studios for favourable theatrical release windows. Within this window—usually the first three to four months after a movie’s release—theatres were the exclusive channel for exhibiting a movie. Th</w:t>
      </w:r>
      <w:r w:rsidR="0005781B" w:rsidRPr="00D6631F">
        <w:rPr>
          <w:spacing w:val="-4"/>
          <w:lang w:val="en-GB"/>
        </w:rPr>
        <w:t>is time</w:t>
      </w:r>
      <w:r w:rsidRPr="00D6631F">
        <w:rPr>
          <w:spacing w:val="-4"/>
          <w:lang w:val="en-GB"/>
        </w:rPr>
        <w:t xml:space="preserve"> window protected movie theatres from competition from other forms of exhibition such as online streamin</w:t>
      </w:r>
      <w:r w:rsidR="00495C7A">
        <w:rPr>
          <w:spacing w:val="-4"/>
          <w:lang w:val="en-GB"/>
        </w:rPr>
        <w:t>g, premium cable channels, and digital video disc (D</w:t>
      </w:r>
      <w:r w:rsidRPr="00D6631F">
        <w:rPr>
          <w:spacing w:val="-4"/>
          <w:lang w:val="en-GB"/>
        </w:rPr>
        <w:t>VD</w:t>
      </w:r>
      <w:r w:rsidR="00495C7A">
        <w:rPr>
          <w:spacing w:val="-4"/>
          <w:lang w:val="en-GB"/>
        </w:rPr>
        <w:t>)</w:t>
      </w:r>
      <w:r w:rsidRPr="00D6631F">
        <w:rPr>
          <w:spacing w:val="-4"/>
          <w:lang w:val="en-GB"/>
        </w:rPr>
        <w:t xml:space="preserve"> sales or rentals. The theatrical release window was a bone of contention between the studios and the theatres</w:t>
      </w:r>
      <w:r w:rsidR="004C3F10">
        <w:rPr>
          <w:rStyle w:val="EndnoteReference"/>
          <w:spacing w:val="-4"/>
          <w:lang w:val="en-GB"/>
        </w:rPr>
        <w:endnoteReference w:id="19"/>
      </w:r>
      <w:r w:rsidRPr="00D6631F">
        <w:rPr>
          <w:spacing w:val="-4"/>
          <w:lang w:val="en-GB"/>
        </w:rPr>
        <w:t xml:space="preserve">. </w:t>
      </w:r>
    </w:p>
    <w:p w14:paraId="167B195E" w14:textId="4D84A5C1" w:rsidR="00216865" w:rsidRPr="00D6631F" w:rsidRDefault="00216865" w:rsidP="00692668">
      <w:pPr>
        <w:pStyle w:val="BodyTextMain"/>
        <w:rPr>
          <w:lang w:val="en-GB"/>
        </w:rPr>
      </w:pPr>
      <w:r w:rsidRPr="00D6631F">
        <w:rPr>
          <w:lang w:val="en-GB"/>
        </w:rPr>
        <w:lastRenderedPageBreak/>
        <w:t>Three players—AMC, Regal Entertainment Group (Regal), and Cinemark Holdings Inc. (Cinemark)—accounted for over 60 per cent of the market share in the movie exhibition industry.</w:t>
      </w:r>
      <w:r w:rsidRPr="00D6631F">
        <w:rPr>
          <w:rStyle w:val="EndnoteReference"/>
          <w:lang w:val="en-GB"/>
        </w:rPr>
        <w:endnoteReference w:id="20"/>
      </w:r>
      <w:r w:rsidRPr="00D6631F">
        <w:rPr>
          <w:lang w:val="en-GB"/>
        </w:rPr>
        <w:t xml:space="preserve"> With a 29.4 per cent market share, AMC, owned by the Chinese conglomerate Dalian Wanda Group, was the largest player in the world.</w:t>
      </w:r>
      <w:r w:rsidRPr="00D6631F">
        <w:rPr>
          <w:rStyle w:val="EndnoteReference"/>
          <w:lang w:val="en-GB"/>
        </w:rPr>
        <w:endnoteReference w:id="21"/>
      </w:r>
      <w:r w:rsidRPr="00D6631F">
        <w:rPr>
          <w:lang w:val="en-GB"/>
        </w:rPr>
        <w:t xml:space="preserve"> It owned 906 theatres with 10,558 screens (including 196 </w:t>
      </w:r>
      <w:r w:rsidR="00EC12AE" w:rsidRPr="00D6631F">
        <w:rPr>
          <w:lang w:val="en-GB"/>
        </w:rPr>
        <w:t>IMAX</w:t>
      </w:r>
      <w:r w:rsidRPr="00D6631F">
        <w:rPr>
          <w:lang w:val="en-GB"/>
        </w:rPr>
        <w:t xml:space="preserve"> screens) in the United States and Europe and reported operating income of $266.82 million on revenues of $5.137 billion in fiscal </w:t>
      </w:r>
      <w:r w:rsidR="00E619BB">
        <w:rPr>
          <w:lang w:val="en-GB"/>
        </w:rPr>
        <w:t xml:space="preserve">year (FY) </w:t>
      </w:r>
      <w:r w:rsidRPr="00D6631F">
        <w:rPr>
          <w:lang w:val="en-GB"/>
        </w:rPr>
        <w:t>2018.</w:t>
      </w:r>
      <w:r w:rsidRPr="00D6631F">
        <w:rPr>
          <w:rStyle w:val="EndnoteReference"/>
          <w:lang w:val="en-GB"/>
        </w:rPr>
        <w:endnoteReference w:id="22"/>
      </w:r>
      <w:r w:rsidRPr="00D6631F">
        <w:rPr>
          <w:lang w:val="en-GB"/>
        </w:rPr>
        <w:t xml:space="preserve"> However, with 7,267 screens (96 </w:t>
      </w:r>
      <w:r w:rsidR="00EC12AE" w:rsidRPr="00D6631F">
        <w:rPr>
          <w:lang w:val="en-GB"/>
        </w:rPr>
        <w:t>IMAX</w:t>
      </w:r>
      <w:r w:rsidRPr="00D6631F">
        <w:rPr>
          <w:lang w:val="en-GB"/>
        </w:rPr>
        <w:t xml:space="preserve"> screens) across 561 theatres in the United States and a market share of 18.5 per cent, Regal was the largest domestic player. Regal reported operating income of $335.</w:t>
      </w:r>
      <w:r w:rsidR="00EC12AE" w:rsidRPr="00D6631F">
        <w:rPr>
          <w:lang w:val="en-GB"/>
        </w:rPr>
        <w:t>20</w:t>
      </w:r>
      <w:r w:rsidR="0005781B" w:rsidRPr="00D6631F">
        <w:rPr>
          <w:lang w:val="en-GB"/>
        </w:rPr>
        <w:t xml:space="preserve"> </w:t>
      </w:r>
      <w:r w:rsidRPr="00D6631F">
        <w:rPr>
          <w:lang w:val="en-GB"/>
        </w:rPr>
        <w:t xml:space="preserve">million in </w:t>
      </w:r>
      <w:r w:rsidR="00E619BB">
        <w:rPr>
          <w:lang w:val="en-GB"/>
        </w:rPr>
        <w:t>FY</w:t>
      </w:r>
      <w:r w:rsidR="00E619BB" w:rsidRPr="00D6631F">
        <w:rPr>
          <w:lang w:val="en-GB"/>
        </w:rPr>
        <w:t xml:space="preserve"> </w:t>
      </w:r>
      <w:r w:rsidRPr="00D6631F">
        <w:rPr>
          <w:lang w:val="en-GB"/>
        </w:rPr>
        <w:t>2018 on revenues of $3.234 billion.</w:t>
      </w:r>
      <w:r w:rsidRPr="00D6631F">
        <w:rPr>
          <w:rStyle w:val="EndnoteReference"/>
          <w:lang w:val="en-GB"/>
        </w:rPr>
        <w:endnoteReference w:id="23"/>
      </w:r>
      <w:r w:rsidRPr="00D6631F">
        <w:rPr>
          <w:lang w:val="en-GB"/>
        </w:rPr>
        <w:t xml:space="preserve"> Cinemark, with a market share of 13.</w:t>
      </w:r>
      <w:r w:rsidR="00EC12AE" w:rsidRPr="00D6631F">
        <w:rPr>
          <w:lang w:val="en-GB"/>
        </w:rPr>
        <w:t>6</w:t>
      </w:r>
      <w:r w:rsidR="0005781B" w:rsidRPr="00D6631F">
        <w:rPr>
          <w:lang w:val="en-GB"/>
        </w:rPr>
        <w:t xml:space="preserve"> </w:t>
      </w:r>
      <w:r w:rsidRPr="00D6631F">
        <w:rPr>
          <w:lang w:val="en-GB"/>
        </w:rPr>
        <w:t>per</w:t>
      </w:r>
      <w:r w:rsidR="0005781B" w:rsidRPr="00D6631F">
        <w:rPr>
          <w:lang w:val="en-GB"/>
        </w:rPr>
        <w:t xml:space="preserve"> </w:t>
      </w:r>
      <w:r w:rsidRPr="00D6631F">
        <w:rPr>
          <w:lang w:val="en-GB"/>
        </w:rPr>
        <w:t xml:space="preserve">cent, operated 539 theatres with 5,998 screens (15 </w:t>
      </w:r>
      <w:r w:rsidR="00EC12AE" w:rsidRPr="00D6631F">
        <w:rPr>
          <w:lang w:val="en-GB"/>
        </w:rPr>
        <w:t>IMAX</w:t>
      </w:r>
      <w:r w:rsidRPr="00D6631F">
        <w:rPr>
          <w:lang w:val="en-GB"/>
        </w:rPr>
        <w:t xml:space="preserve"> screens)</w:t>
      </w:r>
      <w:r w:rsidRPr="00D6631F">
        <w:rPr>
          <w:rStyle w:val="EndnoteReference"/>
          <w:lang w:val="en-GB"/>
        </w:rPr>
        <w:endnoteReference w:id="24"/>
      </w:r>
      <w:r w:rsidRPr="00D6631F">
        <w:rPr>
          <w:lang w:val="en-GB"/>
        </w:rPr>
        <w:t xml:space="preserve"> and reported operating profits of $341.08 million on revenues of $2.37 billion in 2018</w:t>
      </w:r>
      <w:r w:rsidR="00EC12AE" w:rsidRPr="00D6631F">
        <w:rPr>
          <w:lang w:val="en-GB"/>
        </w:rPr>
        <w:t>.</w:t>
      </w:r>
      <w:r w:rsidRPr="00D6631F">
        <w:rPr>
          <w:rStyle w:val="EndnoteReference"/>
          <w:lang w:val="en-GB"/>
        </w:rPr>
        <w:endnoteReference w:id="25"/>
      </w:r>
      <w:r w:rsidRPr="00D6631F">
        <w:rPr>
          <w:lang w:val="en-GB"/>
        </w:rPr>
        <w:t xml:space="preserve"> </w:t>
      </w:r>
    </w:p>
    <w:p w14:paraId="3C87E3F8" w14:textId="77777777" w:rsidR="00216865" w:rsidRPr="00C63E85" w:rsidRDefault="00216865" w:rsidP="00504D42">
      <w:pPr>
        <w:pStyle w:val="BodyTextMain"/>
        <w:rPr>
          <w:sz w:val="16"/>
          <w:lang w:val="en-GB"/>
        </w:rPr>
      </w:pPr>
    </w:p>
    <w:p w14:paraId="44418114" w14:textId="77777777" w:rsidR="00216865" w:rsidRPr="00C63E85" w:rsidRDefault="00216865" w:rsidP="00504D42">
      <w:pPr>
        <w:pStyle w:val="BodyTextMain"/>
        <w:rPr>
          <w:sz w:val="16"/>
          <w:lang w:val="en-GB"/>
        </w:rPr>
      </w:pPr>
    </w:p>
    <w:p w14:paraId="0B88F362" w14:textId="77777777" w:rsidR="00216865" w:rsidRPr="00D6631F" w:rsidRDefault="00216865" w:rsidP="00692668">
      <w:pPr>
        <w:pStyle w:val="Casehead1"/>
        <w:rPr>
          <w:lang w:val="en-GB"/>
        </w:rPr>
      </w:pPr>
      <w:r w:rsidRPr="00D6631F">
        <w:rPr>
          <w:lang w:val="en-GB"/>
        </w:rPr>
        <w:t>THE SUBSCRIPTION ECONOMY</w:t>
      </w:r>
    </w:p>
    <w:p w14:paraId="7ADF708F" w14:textId="77777777" w:rsidR="00216865" w:rsidRPr="00C63E85" w:rsidRDefault="00216865" w:rsidP="00504D42">
      <w:pPr>
        <w:pStyle w:val="BodyTextMain"/>
        <w:rPr>
          <w:sz w:val="16"/>
          <w:lang w:val="en-GB"/>
        </w:rPr>
      </w:pPr>
    </w:p>
    <w:p w14:paraId="1FEDADFA" w14:textId="6CAE02BD" w:rsidR="00216865" w:rsidRPr="008A2A26" w:rsidRDefault="00216865" w:rsidP="00692668">
      <w:pPr>
        <w:pStyle w:val="BodyTextMain"/>
        <w:rPr>
          <w:spacing w:val="-2"/>
          <w:lang w:val="en-GB"/>
        </w:rPr>
      </w:pPr>
      <w:r w:rsidRPr="0070183D">
        <w:rPr>
          <w:spacing w:val="-2"/>
          <w:lang w:val="en-GB"/>
        </w:rPr>
        <w:t>Following the Great Recession of 2008–09, a few pioneering companies in the industry attempted to overcome growth roadblocks by persuading customers to join subscription plans.</w:t>
      </w:r>
      <w:r w:rsidR="004C3F10">
        <w:rPr>
          <w:rStyle w:val="EndnoteReference"/>
          <w:spacing w:val="-2"/>
          <w:lang w:val="en-GB"/>
        </w:rPr>
        <w:endnoteReference w:id="26"/>
      </w:r>
      <w:r w:rsidRPr="0070183D">
        <w:rPr>
          <w:spacing w:val="-2"/>
          <w:lang w:val="en-GB"/>
        </w:rPr>
        <w:t xml:space="preserve"> While leasing cars and renting homes had been common practices since long before the economic downturn, these companies sought to convince customers to subscribe to products and services that they had not previously thought of as </w:t>
      </w:r>
      <w:r w:rsidR="00E619BB" w:rsidRPr="0070183D">
        <w:rPr>
          <w:spacing w:val="-2"/>
          <w:lang w:val="en-GB"/>
        </w:rPr>
        <w:t xml:space="preserve">being </w:t>
      </w:r>
      <w:r w:rsidRPr="0070183D">
        <w:rPr>
          <w:spacing w:val="-2"/>
          <w:lang w:val="en-GB"/>
        </w:rPr>
        <w:t>subscription</w:t>
      </w:r>
      <w:r w:rsidR="001B43E4" w:rsidRPr="0070183D">
        <w:rPr>
          <w:spacing w:val="-2"/>
          <w:lang w:val="en-GB"/>
        </w:rPr>
        <w:t>-</w:t>
      </w:r>
      <w:r w:rsidRPr="0070183D">
        <w:rPr>
          <w:spacing w:val="-2"/>
          <w:lang w:val="en-GB"/>
        </w:rPr>
        <w:t>based. Two basic tenets drove the popularity of the subscription economy</w:t>
      </w:r>
      <w:r w:rsidR="004C3F10">
        <w:rPr>
          <w:rStyle w:val="EndnoteReference"/>
          <w:spacing w:val="-2"/>
          <w:lang w:val="en-GB"/>
        </w:rPr>
        <w:endnoteReference w:id="27"/>
      </w:r>
      <w:r w:rsidRPr="0070183D">
        <w:rPr>
          <w:spacing w:val="-2"/>
          <w:lang w:val="en-GB"/>
        </w:rPr>
        <w:t xml:space="preserve">. First, the subscription model had the advantage of overcoming consumers’ reluctance to make a big investment upfront. For a small monthly payment, subscribers </w:t>
      </w:r>
      <w:r w:rsidR="001B43E4" w:rsidRPr="0070183D">
        <w:rPr>
          <w:spacing w:val="-2"/>
          <w:lang w:val="en-GB"/>
        </w:rPr>
        <w:t>could</w:t>
      </w:r>
      <w:r w:rsidRPr="0070183D">
        <w:rPr>
          <w:spacing w:val="-2"/>
          <w:lang w:val="en-GB"/>
        </w:rPr>
        <w:t xml:space="preserve"> use the product or the service, which they would not have had access to in the absence of such a model. Second, subscriptions enabled consumers to access state-of-</w:t>
      </w:r>
      <w:r w:rsidR="00B91480" w:rsidRPr="0070183D">
        <w:rPr>
          <w:spacing w:val="-2"/>
          <w:lang w:val="en-GB"/>
        </w:rPr>
        <w:t>the-</w:t>
      </w:r>
      <w:r w:rsidRPr="0070183D">
        <w:rPr>
          <w:spacing w:val="-2"/>
          <w:lang w:val="en-GB"/>
        </w:rPr>
        <w:t xml:space="preserve">art products and services as and when they became available. For example, software clients could </w:t>
      </w:r>
      <w:r w:rsidR="00654850" w:rsidRPr="0070183D">
        <w:rPr>
          <w:spacing w:val="-2"/>
          <w:lang w:val="en-GB"/>
        </w:rPr>
        <w:t>afford the</w:t>
      </w:r>
      <w:r w:rsidRPr="0070183D">
        <w:rPr>
          <w:spacing w:val="-2"/>
          <w:lang w:val="en-GB"/>
        </w:rPr>
        <w:t xml:space="preserve"> latest version of software because they had no legacy costs with respect to outdated products.</w:t>
      </w:r>
      <w:r w:rsidRPr="008A2A26">
        <w:rPr>
          <w:spacing w:val="-2"/>
          <w:lang w:val="en-GB"/>
        </w:rPr>
        <w:t xml:space="preserve"> </w:t>
      </w:r>
    </w:p>
    <w:p w14:paraId="68EE0AE5" w14:textId="77777777" w:rsidR="00216865" w:rsidRPr="00C63E85" w:rsidRDefault="00216865" w:rsidP="00504D42">
      <w:pPr>
        <w:pStyle w:val="BodyTextMain"/>
        <w:rPr>
          <w:sz w:val="16"/>
          <w:lang w:val="en-GB"/>
        </w:rPr>
      </w:pPr>
    </w:p>
    <w:p w14:paraId="7C380C36" w14:textId="5FF4A061" w:rsidR="00216865" w:rsidRPr="00D6631F" w:rsidRDefault="009A4F92" w:rsidP="00692668">
      <w:pPr>
        <w:pStyle w:val="BodyTextMain"/>
        <w:rPr>
          <w:lang w:val="en-GB"/>
        </w:rPr>
      </w:pPr>
      <w:r w:rsidRPr="00D6631F">
        <w:rPr>
          <w:lang w:val="en-GB"/>
        </w:rPr>
        <w:t>Citing the U</w:t>
      </w:r>
      <w:r w:rsidR="00216865" w:rsidRPr="00D6631F">
        <w:rPr>
          <w:lang w:val="en-GB"/>
        </w:rPr>
        <w:t>S market research company Forrester Research Inc., author Tien Tzuo provided a strong rationale for the growth of the subscription economy:</w:t>
      </w:r>
    </w:p>
    <w:p w14:paraId="5EB6768C" w14:textId="77777777" w:rsidR="00216865" w:rsidRPr="00C63E85" w:rsidRDefault="00216865" w:rsidP="00504D42">
      <w:pPr>
        <w:pStyle w:val="BodyTextMain"/>
        <w:rPr>
          <w:sz w:val="16"/>
          <w:lang w:val="en-GB"/>
        </w:rPr>
      </w:pPr>
    </w:p>
    <w:p w14:paraId="34203C6F" w14:textId="1ECA3BCF" w:rsidR="00216865" w:rsidRPr="00D6631F" w:rsidRDefault="00216865" w:rsidP="005F417F">
      <w:pPr>
        <w:pStyle w:val="BodyTextMain"/>
        <w:ind w:left="720"/>
        <w:rPr>
          <w:lang w:val="en-GB"/>
        </w:rPr>
      </w:pPr>
      <w:r w:rsidRPr="00D6631F">
        <w:rPr>
          <w:lang w:val="en-GB"/>
        </w:rPr>
        <w:t>Forrester sees a broad, systemic shift in capital models pivoting toward serving a newly empowered generation of customers who have the ability to price, critique, and purchase anytime, anywhere. . . . Customers have new expectations. . . . They want the ride, not the car. The milk, not the cow. The new Kanye music, not the new Kanye record.</w:t>
      </w:r>
      <w:r w:rsidRPr="00D6631F">
        <w:rPr>
          <w:rStyle w:val="EndnoteReference"/>
          <w:lang w:val="en-GB"/>
        </w:rPr>
        <w:endnoteReference w:id="28"/>
      </w:r>
    </w:p>
    <w:p w14:paraId="22CE4840" w14:textId="77777777" w:rsidR="00216865" w:rsidRPr="00C63E85" w:rsidRDefault="00216865" w:rsidP="00504D42">
      <w:pPr>
        <w:pStyle w:val="BodyTextMain"/>
        <w:rPr>
          <w:sz w:val="16"/>
          <w:lang w:val="en-GB"/>
        </w:rPr>
      </w:pPr>
    </w:p>
    <w:p w14:paraId="523C8B65" w14:textId="12E0031E" w:rsidR="00216865" w:rsidRPr="00D6631F" w:rsidRDefault="00216865" w:rsidP="00692668">
      <w:pPr>
        <w:pStyle w:val="BodyTextMain"/>
        <w:rPr>
          <w:lang w:val="en-GB"/>
        </w:rPr>
      </w:pPr>
      <w:r w:rsidRPr="00D6631F">
        <w:rPr>
          <w:lang w:val="en-GB"/>
        </w:rPr>
        <w:t>A McKinsey report identified three types of subscription models: replenishment, curation, and access. Replenishment subscriptions such as Dollar Shave Club and Amazon Subscribe &amp; Save enabled customers to automate the purchase of regular items such as razors or packaged goods. A curation subscription such as Birchbox (cosmetics) or Blue Apron (meal kits) gave customers a regular selection of carefully selected items. Access subscribers obtained lower-priced or members-only goods from services such as NatureBox, which offered cookies and dried fruits (see Exhibit 2). The subscription economy generated more than $2.6 billion in revenues in 2016, a growth of more than 100</w:t>
      </w:r>
      <w:r w:rsidR="00B91480" w:rsidRPr="00D6631F">
        <w:rPr>
          <w:lang w:val="en-GB"/>
        </w:rPr>
        <w:t xml:space="preserve"> </w:t>
      </w:r>
      <w:r w:rsidRPr="00D6631F">
        <w:rPr>
          <w:lang w:val="en-GB"/>
        </w:rPr>
        <w:t>per cent a year since 2011. The typical subscription customer was 25–44 years old and had an annual income of $50,000</w:t>
      </w:r>
      <w:r w:rsidR="00A756E2">
        <w:rPr>
          <w:lang w:val="en-GB"/>
        </w:rPr>
        <w:t>–</w:t>
      </w:r>
      <w:r w:rsidRPr="00D6631F">
        <w:rPr>
          <w:lang w:val="en-GB"/>
        </w:rPr>
        <w:t>$100,000.</w:t>
      </w:r>
      <w:r w:rsidR="00BD2702" w:rsidRPr="00BD2702">
        <w:rPr>
          <w:rStyle w:val="EndnoteReference"/>
          <w:lang w:val="en-GB"/>
        </w:rPr>
        <w:t xml:space="preserve"> </w:t>
      </w:r>
      <w:r w:rsidR="00BD2702" w:rsidRPr="00D6631F">
        <w:rPr>
          <w:rStyle w:val="EndnoteReference"/>
          <w:lang w:val="en-GB"/>
        </w:rPr>
        <w:endnoteReference w:id="29"/>
      </w:r>
      <w:r w:rsidRPr="00D6631F">
        <w:rPr>
          <w:lang w:val="en-GB"/>
        </w:rPr>
        <w:t xml:space="preserve"> </w:t>
      </w:r>
    </w:p>
    <w:p w14:paraId="18950B57" w14:textId="77777777" w:rsidR="00216865" w:rsidRPr="00C63E85" w:rsidRDefault="00216865" w:rsidP="00504D42">
      <w:pPr>
        <w:pStyle w:val="BodyTextMain"/>
        <w:rPr>
          <w:sz w:val="16"/>
          <w:lang w:val="en-GB"/>
        </w:rPr>
      </w:pPr>
    </w:p>
    <w:p w14:paraId="77BC8950" w14:textId="0867D68C" w:rsidR="00216865" w:rsidRPr="00D6631F" w:rsidRDefault="00216865" w:rsidP="00692668">
      <w:pPr>
        <w:pStyle w:val="BodyTextMain"/>
        <w:rPr>
          <w:lang w:val="en-GB"/>
        </w:rPr>
      </w:pPr>
      <w:r w:rsidRPr="00D6631F">
        <w:rPr>
          <w:lang w:val="en-GB"/>
        </w:rPr>
        <w:t>The subscription model offered a number of benefits for supplying firms. It allowed them to build deeper relationships with customers by analyzing their buying preferences. As Tzuo pointed out, the interaction between traditional businesses and their customers ended the moment the transaction took place:</w:t>
      </w:r>
    </w:p>
    <w:p w14:paraId="09065AD7" w14:textId="77777777" w:rsidR="00216865" w:rsidRPr="00C63E85" w:rsidRDefault="00216865" w:rsidP="00504D42">
      <w:pPr>
        <w:pStyle w:val="BodyTextMain"/>
        <w:rPr>
          <w:sz w:val="16"/>
          <w:lang w:val="en-GB"/>
        </w:rPr>
      </w:pPr>
    </w:p>
    <w:p w14:paraId="54DC811E" w14:textId="688F5244" w:rsidR="00216865" w:rsidRPr="00D6631F" w:rsidRDefault="00216865" w:rsidP="00692668">
      <w:pPr>
        <w:pStyle w:val="BodyTextMain"/>
        <w:ind w:left="720"/>
        <w:rPr>
          <w:lang w:val="en-GB"/>
        </w:rPr>
      </w:pPr>
      <w:r w:rsidRPr="00D6631F">
        <w:rPr>
          <w:lang w:val="en-GB"/>
        </w:rPr>
        <w:t>Ninety percent of all Americans live within twenty minutes of a Walmart store. Walmart . . . serves more than 140 million shoppers a week. . . . This is a company with decades of institutional experience with supply chains, transport logistics, inventory management. It knows how to buy and sell products. . . . But what was the last thing you bought at Walmart? They certainly couldn’t tell you. To Walmart, you’re basically just a vehicle for dispensing inventory. Once you pass the cash register, you vanish off the map.</w:t>
      </w:r>
      <w:r w:rsidRPr="00D6631F">
        <w:rPr>
          <w:rStyle w:val="EndnoteReference"/>
          <w:lang w:val="en-GB"/>
        </w:rPr>
        <w:endnoteReference w:id="30"/>
      </w:r>
    </w:p>
    <w:p w14:paraId="2A523045" w14:textId="62F73ED7" w:rsidR="00216865" w:rsidRPr="00D6631F" w:rsidRDefault="00216865" w:rsidP="00692668">
      <w:pPr>
        <w:pStyle w:val="BodyTextMain"/>
        <w:rPr>
          <w:spacing w:val="-4"/>
          <w:lang w:val="en-GB"/>
        </w:rPr>
      </w:pPr>
      <w:r w:rsidRPr="00D6631F">
        <w:rPr>
          <w:spacing w:val="-4"/>
          <w:lang w:val="en-GB"/>
        </w:rPr>
        <w:lastRenderedPageBreak/>
        <w:t xml:space="preserve">In contrast, subscription companies maintained ongoing relationships with their customers, </w:t>
      </w:r>
      <w:r w:rsidR="00A756E2">
        <w:rPr>
          <w:spacing w:val="-4"/>
          <w:lang w:val="en-GB"/>
        </w:rPr>
        <w:t>which</w:t>
      </w:r>
      <w:r w:rsidRPr="00D6631F">
        <w:rPr>
          <w:spacing w:val="-4"/>
          <w:lang w:val="en-GB"/>
        </w:rPr>
        <w:t xml:space="preserve"> enabled them to catalogue customers’ preferences using data analytics and to offer customized marketing messages in addition to products and services. In addition, unlike inventory for sale companies, which essentially started each fiscal year with zero sales, subscription companies carried over revenue from continuing subscribers from year to year.</w:t>
      </w:r>
    </w:p>
    <w:p w14:paraId="09DEC969" w14:textId="77777777" w:rsidR="00216865" w:rsidRPr="00C63E85" w:rsidRDefault="00216865" w:rsidP="00783966">
      <w:pPr>
        <w:pStyle w:val="BodyTextMain"/>
        <w:rPr>
          <w:sz w:val="20"/>
          <w:lang w:val="en-GB"/>
        </w:rPr>
      </w:pPr>
    </w:p>
    <w:p w14:paraId="42E16423" w14:textId="77777777" w:rsidR="00216865" w:rsidRPr="00C63E85" w:rsidRDefault="00216865" w:rsidP="00783966">
      <w:pPr>
        <w:pStyle w:val="BodyTextMain"/>
        <w:rPr>
          <w:sz w:val="20"/>
          <w:lang w:val="en-GB"/>
        </w:rPr>
      </w:pPr>
    </w:p>
    <w:p w14:paraId="2E128EC6" w14:textId="77777777" w:rsidR="00216865" w:rsidRPr="00D6631F" w:rsidRDefault="00216865" w:rsidP="00692668">
      <w:pPr>
        <w:pStyle w:val="Casehead1"/>
        <w:rPr>
          <w:spacing w:val="-4"/>
          <w:lang w:val="en-GB"/>
        </w:rPr>
      </w:pPr>
      <w:r w:rsidRPr="00D6631F">
        <w:rPr>
          <w:spacing w:val="-4"/>
          <w:lang w:val="en-GB"/>
        </w:rPr>
        <w:t>MOVIEPASS’S BACKGROUND</w:t>
      </w:r>
    </w:p>
    <w:p w14:paraId="09776855" w14:textId="77777777" w:rsidR="00216865" w:rsidRPr="00C63E85" w:rsidRDefault="00216865" w:rsidP="00783966">
      <w:pPr>
        <w:pStyle w:val="BodyTextMain"/>
        <w:rPr>
          <w:sz w:val="20"/>
          <w:lang w:val="en-GB"/>
        </w:rPr>
      </w:pPr>
    </w:p>
    <w:p w14:paraId="18FC1541" w14:textId="376C5726" w:rsidR="00216865" w:rsidRPr="00D6631F" w:rsidRDefault="00216865" w:rsidP="00692668">
      <w:pPr>
        <w:pStyle w:val="BodyTextMain"/>
        <w:rPr>
          <w:lang w:val="en-GB"/>
        </w:rPr>
      </w:pPr>
      <w:r w:rsidRPr="00D6631F">
        <w:rPr>
          <w:lang w:val="en-GB"/>
        </w:rPr>
        <w:t>In 2011, Stacy Spikes, a movie marketing executive, had the idea for a subscription model for movie</w:t>
      </w:r>
      <w:r w:rsidR="0018689B">
        <w:rPr>
          <w:lang w:val="en-GB"/>
        </w:rPr>
        <w:t>-</w:t>
      </w:r>
      <w:r w:rsidRPr="00D6631F">
        <w:rPr>
          <w:lang w:val="en-GB"/>
        </w:rPr>
        <w:t>going—a Netflix of movie theatres—and started a company called MoviePass with his partner, Hamet Watt. The fledgling entrepreneurs’ first two attempts were not successful. In their first attempt, 19,000 people in San Francisco signed up for their offer of one 2</w:t>
      </w:r>
      <w:r w:rsidR="00A756E2">
        <w:rPr>
          <w:lang w:val="en-GB"/>
        </w:rPr>
        <w:t>-</w:t>
      </w:r>
      <w:r w:rsidRPr="00D6631F">
        <w:rPr>
          <w:lang w:val="en-GB"/>
        </w:rPr>
        <w:t>D movie a day for a flat monthly fee, but theatre owners pushed back and refused to honour the tickets</w:t>
      </w:r>
      <w:r w:rsidR="00783966" w:rsidRPr="00D6631F">
        <w:rPr>
          <w:lang w:val="en-GB"/>
        </w:rPr>
        <w:t>.</w:t>
      </w:r>
      <w:r w:rsidRPr="00D6631F">
        <w:rPr>
          <w:lang w:val="en-GB"/>
        </w:rPr>
        <w:t xml:space="preserve"> MoviePass had purchased</w:t>
      </w:r>
      <w:r w:rsidR="00783966" w:rsidRPr="00D6631F">
        <w:rPr>
          <w:lang w:val="en-GB"/>
        </w:rPr>
        <w:t xml:space="preserve"> the tickets</w:t>
      </w:r>
      <w:r w:rsidRPr="00D6631F">
        <w:rPr>
          <w:lang w:val="en-GB"/>
        </w:rPr>
        <w:t xml:space="preserve"> in bulk from a third-party supplier, and they were unable to implement their plan. Their second attempt also failed when both moviegoers and theatre box office operators balked at the cumbersome process</w:t>
      </w:r>
      <w:r w:rsidR="00A43C33" w:rsidRPr="00D6631F">
        <w:rPr>
          <w:lang w:val="en-GB"/>
        </w:rPr>
        <w:t>es</w:t>
      </w:r>
      <w:r w:rsidRPr="00D6631F">
        <w:rPr>
          <w:lang w:val="en-GB"/>
        </w:rPr>
        <w:t xml:space="preserve"> that required moviegoers to print out individual tickets and box office operators</w:t>
      </w:r>
      <w:r w:rsidRPr="00D6631F" w:rsidDel="000F4F1C">
        <w:rPr>
          <w:lang w:val="en-GB"/>
        </w:rPr>
        <w:t xml:space="preserve"> </w:t>
      </w:r>
      <w:r w:rsidRPr="00D6631F">
        <w:rPr>
          <w:lang w:val="en-GB"/>
        </w:rPr>
        <w:t xml:space="preserve">to manually key in long lists of numbers. Their third iteration involved a smartphone </w:t>
      </w:r>
      <w:r w:rsidR="00A756E2">
        <w:rPr>
          <w:lang w:val="en-GB"/>
        </w:rPr>
        <w:t>application (</w:t>
      </w:r>
      <w:r w:rsidRPr="00D6631F">
        <w:rPr>
          <w:lang w:val="en-GB"/>
        </w:rPr>
        <w:t>app</w:t>
      </w:r>
      <w:r w:rsidR="00A756E2">
        <w:rPr>
          <w:lang w:val="en-GB"/>
        </w:rPr>
        <w:t>)</w:t>
      </w:r>
      <w:r w:rsidRPr="00D6631F">
        <w:rPr>
          <w:lang w:val="en-GB"/>
        </w:rPr>
        <w:t xml:space="preserve"> and a debit card. For $29–$34 a month, each moviegoer downloaded the MoviePass app, input their details, and </w:t>
      </w:r>
      <w:r w:rsidR="00A756E2">
        <w:rPr>
          <w:lang w:val="en-GB"/>
        </w:rPr>
        <w:t>received</w:t>
      </w:r>
      <w:r w:rsidR="00A756E2" w:rsidRPr="00D6631F">
        <w:rPr>
          <w:lang w:val="en-GB"/>
        </w:rPr>
        <w:t xml:space="preserve"> </w:t>
      </w:r>
      <w:r w:rsidRPr="00D6631F">
        <w:rPr>
          <w:lang w:val="en-GB"/>
        </w:rPr>
        <w:t xml:space="preserve">a debit card to use at the theatre. When a patron was </w:t>
      </w:r>
      <w:r w:rsidR="00A756E2">
        <w:rPr>
          <w:lang w:val="en-GB"/>
        </w:rPr>
        <w:t>in the vicinity of</w:t>
      </w:r>
      <w:r w:rsidRPr="00D6631F">
        <w:rPr>
          <w:lang w:val="en-GB"/>
        </w:rPr>
        <w:t xml:space="preserve"> a movie theatre, the </w:t>
      </w:r>
      <w:r w:rsidR="00A756E2">
        <w:rPr>
          <w:lang w:val="en-GB"/>
        </w:rPr>
        <w:t>Global Positioning System (</w:t>
      </w:r>
      <w:r w:rsidRPr="00D6631F">
        <w:rPr>
          <w:lang w:val="en-GB"/>
        </w:rPr>
        <w:t>GPS</w:t>
      </w:r>
      <w:r w:rsidR="00A756E2">
        <w:rPr>
          <w:lang w:val="en-GB"/>
        </w:rPr>
        <w:t>)</w:t>
      </w:r>
      <w:r w:rsidRPr="00D6631F">
        <w:rPr>
          <w:lang w:val="en-GB"/>
        </w:rPr>
        <w:t xml:space="preserve">-enabled MoviePass app displayed the choice of </w:t>
      </w:r>
      <w:r w:rsidR="00A756E2">
        <w:rPr>
          <w:lang w:val="en-GB"/>
        </w:rPr>
        <w:t xml:space="preserve">nearby </w:t>
      </w:r>
      <w:r w:rsidRPr="00D6631F">
        <w:rPr>
          <w:lang w:val="en-GB"/>
        </w:rPr>
        <w:t xml:space="preserve">movie theatres and movies and unlocked the debit card for 30 minutes to enable </w:t>
      </w:r>
      <w:r w:rsidR="00A756E2">
        <w:rPr>
          <w:lang w:val="en-GB"/>
        </w:rPr>
        <w:t>the purchase of</w:t>
      </w:r>
      <w:r w:rsidRPr="00D6631F">
        <w:rPr>
          <w:lang w:val="en-GB"/>
        </w:rPr>
        <w:t xml:space="preserve"> a ticket. Within this 30-minute time frame, MoviePass loaded the patron’s debit card with enough funds to buy a regular-priced ticket.</w:t>
      </w:r>
      <w:r w:rsidR="00783966" w:rsidRPr="00D6631F">
        <w:rPr>
          <w:rStyle w:val="EndnoteReference"/>
          <w:lang w:val="en-GB"/>
        </w:rPr>
        <w:endnoteReference w:id="31"/>
      </w:r>
      <w:r w:rsidRPr="00D6631F">
        <w:rPr>
          <w:lang w:val="en-GB"/>
        </w:rPr>
        <w:t xml:space="preserve"> </w:t>
      </w:r>
      <w:r w:rsidRPr="00AD4F47">
        <w:rPr>
          <w:lang w:val="en-GB"/>
        </w:rPr>
        <w:t>Since an average ticket price in 2011 was around $8, MoviePass would start losing money from the patron’s fifth movie ticket</w:t>
      </w:r>
      <w:r w:rsidR="00AD4F47" w:rsidRPr="00AD4F47">
        <w:rPr>
          <w:rStyle w:val="EndnoteReference"/>
          <w:lang w:val="en-GB"/>
        </w:rPr>
        <w:endnoteReference w:id="32"/>
      </w:r>
      <w:r w:rsidRPr="00AD4F47">
        <w:rPr>
          <w:lang w:val="en-GB"/>
        </w:rPr>
        <w:t>; Spikes and Watt convinced early investors of the validity of their business model:</w:t>
      </w:r>
    </w:p>
    <w:p w14:paraId="64E15426" w14:textId="77777777" w:rsidR="00216865" w:rsidRPr="00C63E85" w:rsidRDefault="00216865" w:rsidP="00504D42">
      <w:pPr>
        <w:pStyle w:val="BodyTextMain"/>
        <w:rPr>
          <w:sz w:val="20"/>
          <w:lang w:val="en-GB"/>
        </w:rPr>
      </w:pPr>
    </w:p>
    <w:p w14:paraId="205C7B68" w14:textId="1FB64C85" w:rsidR="00216865" w:rsidRPr="00D6631F" w:rsidRDefault="00216865" w:rsidP="00692668">
      <w:pPr>
        <w:pStyle w:val="BodyTextMain"/>
        <w:ind w:left="720"/>
        <w:rPr>
          <w:i/>
          <w:spacing w:val="-4"/>
          <w:lang w:val="en-GB"/>
        </w:rPr>
      </w:pPr>
      <w:r w:rsidRPr="00D6631F">
        <w:rPr>
          <w:spacing w:val="-4"/>
          <w:lang w:val="en-GB"/>
        </w:rPr>
        <w:t>We’ve studied this and similar subscription businesses for a while and have conclusive data that reinforces our strong subscription model that includes incremental revenue streams. . . . We believe the best way to have a successful business model is to have multiple revenue streams. This model is very similar to that of a studio that is focused on more than just box office ticket sales. . . . Apart from the subscription service, we have three planned revenue streams: advertising, sell-through and data. It’s definitely not a one-trick pony.</w:t>
      </w:r>
      <w:r w:rsidRPr="00D6631F">
        <w:rPr>
          <w:rStyle w:val="EndnoteReference"/>
          <w:spacing w:val="-4"/>
          <w:lang w:val="en-GB"/>
        </w:rPr>
        <w:endnoteReference w:id="33"/>
      </w:r>
    </w:p>
    <w:p w14:paraId="6BDBA8A3" w14:textId="77777777" w:rsidR="00216865" w:rsidRPr="00C63E85" w:rsidRDefault="00216865" w:rsidP="00504D42">
      <w:pPr>
        <w:pStyle w:val="BodyTextMain"/>
        <w:rPr>
          <w:sz w:val="20"/>
          <w:lang w:val="en-GB"/>
        </w:rPr>
      </w:pPr>
    </w:p>
    <w:p w14:paraId="16F71AA7" w14:textId="64E88A15" w:rsidR="00216865" w:rsidRPr="00D6631F" w:rsidRDefault="00216865" w:rsidP="00692668">
      <w:pPr>
        <w:pStyle w:val="BodyTextMain"/>
        <w:rPr>
          <w:spacing w:val="-4"/>
          <w:lang w:val="en-GB"/>
        </w:rPr>
      </w:pPr>
      <w:r w:rsidRPr="00D6631F">
        <w:rPr>
          <w:spacing w:val="-4"/>
          <w:lang w:val="en-GB"/>
        </w:rPr>
        <w:t>The founders reiterated the importance of data and revenue from data analytics as key components of their business model:</w:t>
      </w:r>
    </w:p>
    <w:p w14:paraId="6E41F54D" w14:textId="77777777" w:rsidR="00216865" w:rsidRPr="00C63E85" w:rsidRDefault="00216865" w:rsidP="00504D42">
      <w:pPr>
        <w:pStyle w:val="BodyTextMain"/>
        <w:rPr>
          <w:sz w:val="20"/>
          <w:lang w:val="en-GB"/>
        </w:rPr>
      </w:pPr>
    </w:p>
    <w:p w14:paraId="2015D2C0" w14:textId="62957E39" w:rsidR="00216865" w:rsidRPr="008A2A26" w:rsidRDefault="00216865" w:rsidP="00692668">
      <w:pPr>
        <w:pStyle w:val="BodyTextMain"/>
        <w:ind w:left="720"/>
        <w:rPr>
          <w:lang w:val="en-GB"/>
        </w:rPr>
      </w:pPr>
      <w:r w:rsidRPr="008A2A26">
        <w:rPr>
          <w:lang w:val="en-GB"/>
        </w:rPr>
        <w:t xml:space="preserve">But what’s really the beauty of this is the data. Just like Google can measure analytics online, we can do that for movie theatres. Ninety-six percent of movie ticket transactions are walk-ups; they’re the equivalent of cash transactions that don’t leave data trails. Our technology lets us say, “This is the type of people who are going, this is when they went, this is what time of day it was.” We can break it up by age, by race, by sex. The only thing we can’t tell you is what they ate for lunch and what their blood type is. </w:t>
      </w:r>
    </w:p>
    <w:p w14:paraId="1C18405A" w14:textId="77777777" w:rsidR="00A756E2" w:rsidRPr="00C63E85" w:rsidRDefault="00A756E2" w:rsidP="00692668">
      <w:pPr>
        <w:pStyle w:val="BodyTextMain"/>
        <w:ind w:left="720"/>
        <w:rPr>
          <w:spacing w:val="-4"/>
          <w:sz w:val="20"/>
          <w:lang w:val="en-GB"/>
        </w:rPr>
      </w:pPr>
    </w:p>
    <w:p w14:paraId="1C2CC89F" w14:textId="0042D55D" w:rsidR="00216865" w:rsidRPr="00D6631F" w:rsidRDefault="00216865" w:rsidP="00692668">
      <w:pPr>
        <w:pStyle w:val="BodyTextMain"/>
        <w:ind w:left="720"/>
        <w:rPr>
          <w:spacing w:val="-4"/>
          <w:lang w:val="en-GB"/>
        </w:rPr>
      </w:pPr>
      <w:r w:rsidRPr="00D6631F">
        <w:rPr>
          <w:spacing w:val="-4"/>
          <w:lang w:val="en-GB"/>
        </w:rPr>
        <w:t>We’ve met with some of the studios and the chains. Right now, they know what their gross numbers are and some generalities about their demographics, based on which theatres customers visit and how many tickets were sold. They don’t really know more than that. But we do.</w:t>
      </w:r>
      <w:r w:rsidRPr="00D6631F">
        <w:rPr>
          <w:rStyle w:val="EndnoteReference"/>
          <w:spacing w:val="-4"/>
          <w:lang w:val="en-GB"/>
        </w:rPr>
        <w:endnoteReference w:id="34"/>
      </w:r>
    </w:p>
    <w:p w14:paraId="17B167BC" w14:textId="77777777" w:rsidR="00216865" w:rsidRPr="00C63E85" w:rsidRDefault="00216865" w:rsidP="00504D42">
      <w:pPr>
        <w:pStyle w:val="BodyTextMain"/>
        <w:rPr>
          <w:sz w:val="20"/>
          <w:lang w:val="en-GB"/>
        </w:rPr>
      </w:pPr>
    </w:p>
    <w:p w14:paraId="7D193A40" w14:textId="696988E5" w:rsidR="00216865" w:rsidRPr="00D6631F" w:rsidRDefault="00216865" w:rsidP="00692668">
      <w:pPr>
        <w:pStyle w:val="BodyTextMain"/>
        <w:rPr>
          <w:spacing w:val="-2"/>
          <w:lang w:val="en-GB"/>
        </w:rPr>
      </w:pPr>
      <w:r w:rsidRPr="00D6631F">
        <w:rPr>
          <w:spacing w:val="-2"/>
          <w:lang w:val="en-GB"/>
        </w:rPr>
        <w:t>MoviePass’s traction was adversely affected by a lack of co-operation from the theatre chains. However, in late 2014, AMC, the number-two chain in the United States, behind Regal, reacted to the 5 per cent drop in movie attendance by agreeing to co-operate with MoviePass. The agreement enabled a patron, for $45 a month, to see any number of movies, including 3</w:t>
      </w:r>
      <w:r w:rsidR="00A756E2">
        <w:rPr>
          <w:spacing w:val="-2"/>
          <w:lang w:val="en-GB"/>
        </w:rPr>
        <w:t>-</w:t>
      </w:r>
      <w:r w:rsidRPr="00D6631F">
        <w:rPr>
          <w:spacing w:val="-2"/>
          <w:lang w:val="en-GB"/>
        </w:rPr>
        <w:t xml:space="preserve">D and </w:t>
      </w:r>
      <w:r w:rsidR="00EC12AE" w:rsidRPr="00D6631F">
        <w:rPr>
          <w:spacing w:val="-2"/>
          <w:lang w:val="en-GB"/>
        </w:rPr>
        <w:t>IMAX</w:t>
      </w:r>
      <w:r w:rsidRPr="00D6631F">
        <w:rPr>
          <w:spacing w:val="-2"/>
          <w:lang w:val="en-GB"/>
        </w:rPr>
        <w:t xml:space="preserve"> films.</w:t>
      </w:r>
      <w:r w:rsidRPr="00D6631F">
        <w:rPr>
          <w:rStyle w:val="EndnoteReference"/>
          <w:spacing w:val="-2"/>
          <w:lang w:val="en-GB"/>
        </w:rPr>
        <w:endnoteReference w:id="35"/>
      </w:r>
      <w:r w:rsidRPr="00D6631F">
        <w:rPr>
          <w:spacing w:val="-2"/>
          <w:lang w:val="en-GB"/>
        </w:rPr>
        <w:t xml:space="preserve"> </w:t>
      </w:r>
    </w:p>
    <w:p w14:paraId="4BDC95D2" w14:textId="536F41F2" w:rsidR="00216865" w:rsidRPr="00D6631F" w:rsidRDefault="00216865" w:rsidP="00692668">
      <w:pPr>
        <w:pStyle w:val="BodyTextMain"/>
        <w:rPr>
          <w:i/>
          <w:spacing w:val="-2"/>
          <w:lang w:val="en-GB"/>
        </w:rPr>
      </w:pPr>
      <w:r w:rsidRPr="00D6631F">
        <w:rPr>
          <w:spacing w:val="-2"/>
          <w:lang w:val="en-GB"/>
        </w:rPr>
        <w:lastRenderedPageBreak/>
        <w:t xml:space="preserve">Even with a first-mover advantage and the agreement with AMC, MoviePass’s subscriber growth was slow. In June 2016, with </w:t>
      </w:r>
      <w:r w:rsidR="00A756E2">
        <w:rPr>
          <w:spacing w:val="-2"/>
          <w:lang w:val="en-GB"/>
        </w:rPr>
        <w:t>fewer</w:t>
      </w:r>
      <w:r w:rsidR="00A756E2" w:rsidRPr="00D6631F">
        <w:rPr>
          <w:spacing w:val="-2"/>
          <w:lang w:val="en-GB"/>
        </w:rPr>
        <w:t xml:space="preserve"> </w:t>
      </w:r>
      <w:r w:rsidRPr="00D6631F">
        <w:rPr>
          <w:spacing w:val="-2"/>
          <w:lang w:val="en-GB"/>
        </w:rPr>
        <w:t>than 20,000 subscribers, founders Spikes and Watt sought help and recruited Lowe to be the company’s CEO</w:t>
      </w:r>
      <w:r w:rsidR="00CF5441" w:rsidRPr="00D6631F">
        <w:rPr>
          <w:spacing w:val="-2"/>
          <w:lang w:val="en-GB"/>
        </w:rPr>
        <w:t>.</w:t>
      </w:r>
      <w:r w:rsidR="000F2092" w:rsidRPr="00D6631F">
        <w:rPr>
          <w:rStyle w:val="EndnoteReference"/>
          <w:spacing w:val="-2"/>
          <w:lang w:val="en-GB"/>
        </w:rPr>
        <w:endnoteReference w:id="36"/>
      </w:r>
      <w:r w:rsidR="00CF5441" w:rsidRPr="00D6631F">
        <w:rPr>
          <w:spacing w:val="-2"/>
          <w:lang w:val="en-GB"/>
        </w:rPr>
        <w:t xml:space="preserve"> </w:t>
      </w:r>
      <w:r w:rsidRPr="00D6631F">
        <w:rPr>
          <w:spacing w:val="-2"/>
          <w:lang w:val="en-GB"/>
        </w:rPr>
        <w:t>Lowe had been a co-founding executive at Netflix and president of Redbox Automated Retail LLC prior to becoming first an adviser and later the CEO of MoviePass</w:t>
      </w:r>
      <w:r w:rsidR="00CF5441" w:rsidRPr="00D6631F">
        <w:rPr>
          <w:spacing w:val="-2"/>
          <w:lang w:val="en-GB"/>
        </w:rPr>
        <w:t>.</w:t>
      </w:r>
      <w:r w:rsidR="000F2092" w:rsidRPr="00D6631F">
        <w:rPr>
          <w:rStyle w:val="EndnoteReference"/>
          <w:spacing w:val="-2"/>
          <w:lang w:val="en-GB"/>
        </w:rPr>
        <w:endnoteReference w:id="37"/>
      </w:r>
      <w:r w:rsidRPr="00D6631F">
        <w:rPr>
          <w:spacing w:val="-2"/>
          <w:lang w:val="en-GB"/>
        </w:rPr>
        <w:t xml:space="preserve"> </w:t>
      </w:r>
    </w:p>
    <w:p w14:paraId="6B8CC464" w14:textId="77777777" w:rsidR="00216865" w:rsidRPr="00D6631F" w:rsidRDefault="00216865" w:rsidP="00504D42">
      <w:pPr>
        <w:pStyle w:val="BodyTextMain"/>
        <w:rPr>
          <w:lang w:val="en-GB"/>
        </w:rPr>
      </w:pPr>
    </w:p>
    <w:p w14:paraId="686C7AC5" w14:textId="295E20C8" w:rsidR="00216865" w:rsidRPr="00D6631F" w:rsidRDefault="00216865" w:rsidP="00692668">
      <w:pPr>
        <w:pStyle w:val="BodyTextMain"/>
        <w:rPr>
          <w:i/>
          <w:spacing w:val="-2"/>
          <w:lang w:val="en-GB"/>
        </w:rPr>
      </w:pPr>
      <w:r w:rsidRPr="00D6631F">
        <w:rPr>
          <w:spacing w:val="-2"/>
          <w:lang w:val="en-GB"/>
        </w:rPr>
        <w:t>Lowe and the MoviePass team spent much of 2016 and the first half of 2017 experimenting with various pricing models. Meanwhile, on August 15, 2017, the company announced that Helios and Matheson Analytics Inc. (HMNY) had bought a majority stake. On the same day, MoviePass launched its $9.95 per month price.</w:t>
      </w:r>
      <w:r w:rsidRPr="00D6631F">
        <w:rPr>
          <w:rStyle w:val="EndnoteReference"/>
          <w:spacing w:val="-2"/>
          <w:lang w:val="en-GB"/>
        </w:rPr>
        <w:endnoteReference w:id="38"/>
      </w:r>
      <w:r w:rsidRPr="00D6631F">
        <w:rPr>
          <w:spacing w:val="-2"/>
          <w:lang w:val="en-GB"/>
        </w:rPr>
        <w:t xml:space="preserve"> </w:t>
      </w:r>
    </w:p>
    <w:p w14:paraId="12573122" w14:textId="77777777" w:rsidR="00216865" w:rsidRPr="00D6631F" w:rsidRDefault="00216865" w:rsidP="00504D42">
      <w:pPr>
        <w:pStyle w:val="BodyTextMain"/>
        <w:rPr>
          <w:lang w:val="en-GB"/>
        </w:rPr>
      </w:pPr>
    </w:p>
    <w:p w14:paraId="24AEBD79" w14:textId="0749AA51" w:rsidR="00216865" w:rsidRPr="00D6631F" w:rsidRDefault="00216865" w:rsidP="00692668">
      <w:pPr>
        <w:pStyle w:val="BodyTextMain"/>
        <w:rPr>
          <w:spacing w:val="-2"/>
          <w:lang w:val="en-GB"/>
        </w:rPr>
      </w:pPr>
      <w:r w:rsidRPr="00D6631F">
        <w:rPr>
          <w:spacing w:val="-2"/>
          <w:lang w:val="en-GB"/>
        </w:rPr>
        <w:t>HMNY was a big data firm headquartered in New York City. It had undergone a number of ownership and name changes (e.g., it was known as A Consulting Team in the early 1980s) and had grown via acquisitions. A key acquisition, in November 2016, was Zone Technologies, a GPS-driven, real-time crime and navigation map app. Following this acquisition, Zone Technologies’</w:t>
      </w:r>
      <w:r w:rsidR="00A756E2">
        <w:rPr>
          <w:spacing w:val="-2"/>
          <w:lang w:val="en-GB"/>
        </w:rPr>
        <w:t>s</w:t>
      </w:r>
      <w:r w:rsidRPr="00D6631F">
        <w:rPr>
          <w:spacing w:val="-2"/>
          <w:lang w:val="en-GB"/>
        </w:rPr>
        <w:t xml:space="preserve"> CEO, Ted Farnsworth, became HMNY’s CEO and chair of its board. To fund the MoviePass acquisition and help finance its growth, HMNY sold $150 million of stock at a discounted price of $2.75 a share (</w:t>
      </w:r>
      <w:r w:rsidR="00617B39">
        <w:rPr>
          <w:spacing w:val="-2"/>
          <w:lang w:val="en-GB"/>
        </w:rPr>
        <w:t>reduced from</w:t>
      </w:r>
      <w:r w:rsidRPr="00D6631F">
        <w:rPr>
          <w:spacing w:val="-2"/>
          <w:lang w:val="en-GB"/>
        </w:rPr>
        <w:t xml:space="preserve"> its previous market closing price of $3.83).</w:t>
      </w:r>
      <w:r w:rsidRPr="00D6631F">
        <w:rPr>
          <w:rStyle w:val="EndnoteReference"/>
          <w:spacing w:val="-2"/>
          <w:lang w:val="en-GB"/>
        </w:rPr>
        <w:endnoteReference w:id="39"/>
      </w:r>
      <w:r w:rsidRPr="00D6631F">
        <w:rPr>
          <w:spacing w:val="-2"/>
          <w:lang w:val="en-GB"/>
        </w:rPr>
        <w:t xml:space="preserve"> </w:t>
      </w:r>
    </w:p>
    <w:p w14:paraId="3604A21F" w14:textId="77777777" w:rsidR="00216865" w:rsidRPr="00D6631F" w:rsidRDefault="00216865" w:rsidP="00504D42">
      <w:pPr>
        <w:pStyle w:val="BodyTextMain"/>
        <w:rPr>
          <w:lang w:val="en-GB"/>
        </w:rPr>
      </w:pPr>
    </w:p>
    <w:p w14:paraId="6ACC3EA6" w14:textId="77777777" w:rsidR="00216865" w:rsidRPr="00D6631F" w:rsidRDefault="00216865" w:rsidP="00504D42">
      <w:pPr>
        <w:pStyle w:val="BodyTextMain"/>
        <w:rPr>
          <w:lang w:val="en-GB"/>
        </w:rPr>
      </w:pPr>
    </w:p>
    <w:p w14:paraId="5EA77FA1" w14:textId="1CFDEF07" w:rsidR="00216865" w:rsidRPr="00D6631F" w:rsidRDefault="00216865" w:rsidP="00692668">
      <w:pPr>
        <w:pStyle w:val="Casehead1"/>
        <w:rPr>
          <w:spacing w:val="-2"/>
          <w:lang w:val="en-GB"/>
        </w:rPr>
      </w:pPr>
      <w:r w:rsidRPr="00D6631F">
        <w:rPr>
          <w:spacing w:val="-2"/>
          <w:lang w:val="en-GB"/>
        </w:rPr>
        <w:t>MOVIEPASS’S BUSINESS MODEL</w:t>
      </w:r>
    </w:p>
    <w:p w14:paraId="2DFD9167" w14:textId="77777777" w:rsidR="00216865" w:rsidRPr="00D6631F" w:rsidRDefault="00216865" w:rsidP="00504D42">
      <w:pPr>
        <w:pStyle w:val="BodyTextMain"/>
        <w:rPr>
          <w:lang w:val="en-GB"/>
        </w:rPr>
      </w:pPr>
    </w:p>
    <w:p w14:paraId="6EEC3DD3" w14:textId="25870125" w:rsidR="00216865" w:rsidRPr="00D6631F" w:rsidRDefault="00216865" w:rsidP="00692668">
      <w:pPr>
        <w:pStyle w:val="BodyTextMain"/>
        <w:rPr>
          <w:spacing w:val="-2"/>
          <w:lang w:val="en-GB"/>
        </w:rPr>
      </w:pPr>
      <w:r w:rsidRPr="00D6631F">
        <w:rPr>
          <w:spacing w:val="-2"/>
          <w:lang w:val="en-GB"/>
        </w:rPr>
        <w:t xml:space="preserve">Customers went through a series of steps to use MoviePass to watch movies. The first step involved signing up for the service, either the monthly “pay as you go” plan or an annual plan. The customer was then mailed a zero-value MasterCard debit card </w:t>
      </w:r>
      <w:r w:rsidR="00617B39">
        <w:rPr>
          <w:spacing w:val="-2"/>
          <w:lang w:val="en-GB"/>
        </w:rPr>
        <w:t>that needed</w:t>
      </w:r>
      <w:r w:rsidR="00617B39" w:rsidRPr="00D6631F">
        <w:rPr>
          <w:spacing w:val="-2"/>
          <w:lang w:val="en-GB"/>
        </w:rPr>
        <w:t xml:space="preserve"> </w:t>
      </w:r>
      <w:r w:rsidRPr="00D6631F">
        <w:rPr>
          <w:spacing w:val="-2"/>
          <w:lang w:val="en-GB"/>
        </w:rPr>
        <w:t>to be activated prior to its use.</w:t>
      </w:r>
      <w:r w:rsidR="00B45533" w:rsidRPr="00D6631F">
        <w:rPr>
          <w:rStyle w:val="EndnoteReference"/>
          <w:spacing w:val="-2"/>
          <w:lang w:val="en-GB"/>
        </w:rPr>
        <w:endnoteReference w:id="40"/>
      </w:r>
      <w:r w:rsidRPr="00D6631F">
        <w:rPr>
          <w:spacing w:val="-2"/>
          <w:lang w:val="en-GB"/>
        </w:rPr>
        <w:t xml:space="preserve"> </w:t>
      </w:r>
    </w:p>
    <w:p w14:paraId="4C247354" w14:textId="77777777" w:rsidR="00D3639D" w:rsidRPr="00D6631F" w:rsidRDefault="00D3639D" w:rsidP="00692668">
      <w:pPr>
        <w:pStyle w:val="BodyTextMain"/>
        <w:rPr>
          <w:spacing w:val="-2"/>
          <w:lang w:val="en-GB"/>
        </w:rPr>
      </w:pPr>
    </w:p>
    <w:p w14:paraId="2B93BE3E" w14:textId="77777777" w:rsidR="00D3639D" w:rsidRPr="00D6631F" w:rsidRDefault="00D3639D" w:rsidP="00692668">
      <w:pPr>
        <w:pStyle w:val="BodyTextMain"/>
        <w:rPr>
          <w:spacing w:val="-2"/>
          <w:lang w:val="en-GB"/>
        </w:rPr>
      </w:pPr>
    </w:p>
    <w:p w14:paraId="276811B7" w14:textId="1B974470" w:rsidR="00216865" w:rsidRPr="00D6631F" w:rsidRDefault="00216865" w:rsidP="00F857A7">
      <w:pPr>
        <w:pStyle w:val="Casehead2"/>
        <w:rPr>
          <w:spacing w:val="-2"/>
          <w:lang w:val="en-GB"/>
        </w:rPr>
      </w:pPr>
      <w:r w:rsidRPr="00D6631F">
        <w:rPr>
          <w:spacing w:val="-2"/>
          <w:lang w:val="en-GB"/>
        </w:rPr>
        <w:t>Using the Card</w:t>
      </w:r>
    </w:p>
    <w:p w14:paraId="5E7C5CD7" w14:textId="77777777" w:rsidR="00216865" w:rsidRPr="00D6631F" w:rsidRDefault="00216865" w:rsidP="00504D42">
      <w:pPr>
        <w:pStyle w:val="BodyTextMain"/>
        <w:rPr>
          <w:lang w:val="en-GB"/>
        </w:rPr>
      </w:pPr>
    </w:p>
    <w:p w14:paraId="33E66347" w14:textId="03D752A6" w:rsidR="00216865" w:rsidRPr="00D6631F" w:rsidRDefault="00216865" w:rsidP="00692668">
      <w:pPr>
        <w:pStyle w:val="BodyTextMain"/>
        <w:rPr>
          <w:spacing w:val="-2"/>
          <w:lang w:val="en-GB"/>
        </w:rPr>
      </w:pPr>
      <w:r w:rsidRPr="00D6631F">
        <w:rPr>
          <w:spacing w:val="-2"/>
          <w:lang w:val="en-GB"/>
        </w:rPr>
        <w:t>The customer used the MoviePass app, available on both Android and iOS interfaces, to search for movies and theatres. Once customers were within 90 metres (100 yards) of a theatre, they could use the app to activate their debit card. When activated, MoviePass loaded the debit card with the exact value of a single full-price ticket, and the debit card could then be used to purchase a ticket at the theatre box office.</w:t>
      </w:r>
      <w:r w:rsidR="00B45533" w:rsidRPr="00D6631F">
        <w:rPr>
          <w:rStyle w:val="EndnoteReference"/>
          <w:spacing w:val="-2"/>
          <w:lang w:val="en-GB"/>
        </w:rPr>
        <w:endnoteReference w:id="41"/>
      </w:r>
      <w:r w:rsidRPr="00D6631F">
        <w:rPr>
          <w:spacing w:val="-2"/>
          <w:lang w:val="en-GB"/>
        </w:rPr>
        <w:t xml:space="preserve"> </w:t>
      </w:r>
    </w:p>
    <w:p w14:paraId="6FDB8F5F" w14:textId="77777777" w:rsidR="00216865" w:rsidRPr="00D6631F" w:rsidRDefault="00216865" w:rsidP="00504D42">
      <w:pPr>
        <w:pStyle w:val="BodyTextMain"/>
        <w:rPr>
          <w:lang w:val="en-GB"/>
        </w:rPr>
      </w:pPr>
    </w:p>
    <w:p w14:paraId="287B6F04" w14:textId="6018CBCA" w:rsidR="00216865" w:rsidRPr="00D6631F" w:rsidRDefault="00216865" w:rsidP="00692668">
      <w:pPr>
        <w:pStyle w:val="BodyTextMain"/>
        <w:rPr>
          <w:lang w:val="en-GB"/>
        </w:rPr>
      </w:pPr>
      <w:r w:rsidRPr="00D6631F">
        <w:rPr>
          <w:lang w:val="en-GB"/>
        </w:rPr>
        <w:t xml:space="preserve">MoviePass customers had </w:t>
      </w:r>
      <w:r w:rsidR="00783B24">
        <w:rPr>
          <w:lang w:val="en-GB"/>
        </w:rPr>
        <w:t xml:space="preserve">some </w:t>
      </w:r>
      <w:r w:rsidR="00617B39" w:rsidRPr="00D6631F">
        <w:rPr>
          <w:lang w:val="en-GB"/>
        </w:rPr>
        <w:t>restrictions</w:t>
      </w:r>
      <w:r w:rsidRPr="00D6631F">
        <w:rPr>
          <w:lang w:val="en-GB"/>
        </w:rPr>
        <w:t xml:space="preserve">: </w:t>
      </w:r>
      <w:r w:rsidR="00617B39">
        <w:rPr>
          <w:lang w:val="en-GB"/>
        </w:rPr>
        <w:t>e</w:t>
      </w:r>
      <w:r w:rsidRPr="00D6631F">
        <w:rPr>
          <w:lang w:val="en-GB"/>
        </w:rPr>
        <w:t>ach customer could use the debit card only to buy a single ticket for a 2</w:t>
      </w:r>
      <w:r w:rsidR="00617B39">
        <w:rPr>
          <w:lang w:val="en-GB"/>
        </w:rPr>
        <w:t>-</w:t>
      </w:r>
      <w:r w:rsidRPr="00D6631F">
        <w:rPr>
          <w:lang w:val="en-GB"/>
        </w:rPr>
        <w:t>D movie; 3</w:t>
      </w:r>
      <w:r w:rsidR="00617B39">
        <w:rPr>
          <w:lang w:val="en-GB"/>
        </w:rPr>
        <w:t>-</w:t>
      </w:r>
      <w:r w:rsidRPr="00D6631F">
        <w:rPr>
          <w:lang w:val="en-GB"/>
        </w:rPr>
        <w:t xml:space="preserve">D and </w:t>
      </w:r>
      <w:r w:rsidR="00EC12AE" w:rsidRPr="00D6631F">
        <w:rPr>
          <w:lang w:val="en-GB"/>
        </w:rPr>
        <w:t>IMAX</w:t>
      </w:r>
      <w:r w:rsidRPr="00D6631F">
        <w:rPr>
          <w:lang w:val="en-GB"/>
        </w:rPr>
        <w:t xml:space="preserve"> movies were not </w:t>
      </w:r>
      <w:r w:rsidR="00783B24">
        <w:rPr>
          <w:lang w:val="en-GB"/>
        </w:rPr>
        <w:t>includ</w:t>
      </w:r>
      <w:r w:rsidR="00783B24" w:rsidRPr="00D6631F">
        <w:rPr>
          <w:lang w:val="en-GB"/>
        </w:rPr>
        <w:t>ed</w:t>
      </w:r>
      <w:r w:rsidRPr="00D6631F">
        <w:rPr>
          <w:lang w:val="en-GB"/>
        </w:rPr>
        <w:t xml:space="preserve">. While customers could see multiple movies or the same movie multiple times, they could see </w:t>
      </w:r>
      <w:r w:rsidR="00617B39">
        <w:rPr>
          <w:lang w:val="en-GB"/>
        </w:rPr>
        <w:t xml:space="preserve">only </w:t>
      </w:r>
      <w:r w:rsidRPr="00D6631F">
        <w:rPr>
          <w:lang w:val="en-GB"/>
        </w:rPr>
        <w:t>one movie a day. The card was not transferable and could not be used for concession</w:t>
      </w:r>
      <w:r w:rsidR="00617B39">
        <w:rPr>
          <w:lang w:val="en-GB"/>
        </w:rPr>
        <w:t xml:space="preserve"> purchases,</w:t>
      </w:r>
      <w:r w:rsidRPr="00D6631F">
        <w:rPr>
          <w:lang w:val="en-GB"/>
        </w:rPr>
        <w:t xml:space="preserve"> parking</w:t>
      </w:r>
      <w:r w:rsidR="00617B39">
        <w:rPr>
          <w:lang w:val="en-GB"/>
        </w:rPr>
        <w:t>,</w:t>
      </w:r>
      <w:r w:rsidRPr="00D6631F">
        <w:rPr>
          <w:lang w:val="en-GB"/>
        </w:rPr>
        <w:t xml:space="preserve"> or for any other activity. Customers were not allowed to use the cards to make advance reservations. However, there were no blackout dates.</w:t>
      </w:r>
      <w:r w:rsidRPr="00D6631F">
        <w:rPr>
          <w:rStyle w:val="EndnoteReference"/>
          <w:lang w:val="en-GB"/>
        </w:rPr>
        <w:endnoteReference w:id="42"/>
      </w:r>
      <w:r w:rsidRPr="00D6631F">
        <w:rPr>
          <w:lang w:val="en-GB"/>
        </w:rPr>
        <w:t xml:space="preserve"> </w:t>
      </w:r>
    </w:p>
    <w:p w14:paraId="6441F30E" w14:textId="77777777" w:rsidR="00216865" w:rsidRPr="00D6631F" w:rsidRDefault="00216865" w:rsidP="00504D42">
      <w:pPr>
        <w:pStyle w:val="BodyTextMain"/>
        <w:rPr>
          <w:lang w:val="en-GB"/>
        </w:rPr>
      </w:pPr>
    </w:p>
    <w:p w14:paraId="0091DCE4" w14:textId="77777777" w:rsidR="00216865" w:rsidRPr="00D6631F" w:rsidRDefault="00216865" w:rsidP="00504D42">
      <w:pPr>
        <w:pStyle w:val="BodyTextMain"/>
        <w:rPr>
          <w:lang w:val="en-GB"/>
        </w:rPr>
      </w:pPr>
    </w:p>
    <w:p w14:paraId="225EA63A" w14:textId="77777777" w:rsidR="00216865" w:rsidRPr="00D6631F" w:rsidRDefault="00216865" w:rsidP="00504D42">
      <w:pPr>
        <w:pStyle w:val="Casehead2"/>
        <w:keepNext/>
        <w:rPr>
          <w:spacing w:val="-2"/>
          <w:lang w:val="en-GB"/>
        </w:rPr>
      </w:pPr>
      <w:r w:rsidRPr="00D6631F">
        <w:rPr>
          <w:spacing w:val="-2"/>
          <w:lang w:val="en-GB"/>
        </w:rPr>
        <w:t>Pricing</w:t>
      </w:r>
    </w:p>
    <w:p w14:paraId="5F3CEDCD" w14:textId="77777777" w:rsidR="00216865" w:rsidRPr="00D6631F" w:rsidRDefault="00216865" w:rsidP="00504D42">
      <w:pPr>
        <w:pStyle w:val="BodyTextMain"/>
        <w:keepNext/>
        <w:rPr>
          <w:lang w:val="en-GB"/>
        </w:rPr>
      </w:pPr>
    </w:p>
    <w:p w14:paraId="55DF938E" w14:textId="324EFED1" w:rsidR="00216865" w:rsidRPr="00D6631F" w:rsidRDefault="00216865" w:rsidP="00504D42">
      <w:pPr>
        <w:pStyle w:val="BodyTextMain"/>
        <w:keepNext/>
        <w:rPr>
          <w:lang w:val="en-GB"/>
        </w:rPr>
      </w:pPr>
      <w:r w:rsidRPr="00D6631F">
        <w:rPr>
          <w:spacing w:val="-2"/>
          <w:lang w:val="en-GB"/>
        </w:rPr>
        <w:t xml:space="preserve">For the first five years of its existence, MoviePass offered subscribers a monthly price of $29–$34 (depending on the subscriber’s location). In August 2017, the price was dropped to $9.95 a month—$7.95 a month plus a $19.95 processing fee for an annual subscription. This move resulted in the breakup of the alliance with AMC: the theatre chain </w:t>
      </w:r>
      <w:r w:rsidR="00617B39">
        <w:rPr>
          <w:spacing w:val="-2"/>
          <w:lang w:val="en-GB"/>
        </w:rPr>
        <w:t>posted</w:t>
      </w:r>
      <w:r w:rsidRPr="00D6631F">
        <w:rPr>
          <w:spacing w:val="-2"/>
          <w:lang w:val="en-GB"/>
        </w:rPr>
        <w:t xml:space="preserve"> signs in its theatres saying that MoviePass users were “not welcome here.”</w:t>
      </w:r>
      <w:r w:rsidRPr="00D6631F">
        <w:rPr>
          <w:rStyle w:val="EndnoteReference"/>
          <w:spacing w:val="-2"/>
          <w:lang w:val="en-GB"/>
        </w:rPr>
        <w:endnoteReference w:id="43"/>
      </w:r>
      <w:r w:rsidRPr="00D6631F">
        <w:rPr>
          <w:spacing w:val="-2"/>
          <w:lang w:val="en-GB"/>
        </w:rPr>
        <w:t xml:space="preserve"> However, </w:t>
      </w:r>
      <w:r w:rsidRPr="00D6631F">
        <w:rPr>
          <w:lang w:val="en-GB"/>
        </w:rPr>
        <w:t>the pricing move was quite popular and prompted 150,000 subscribers to sign up in the first two days and a million in the first four months. The company indicated that millennials made up 75 per cent of its subscriber base.</w:t>
      </w:r>
      <w:r w:rsidRPr="00D6631F">
        <w:rPr>
          <w:rStyle w:val="EndnoteReference"/>
          <w:lang w:val="en-GB"/>
        </w:rPr>
        <w:endnoteReference w:id="44"/>
      </w:r>
      <w:r w:rsidRPr="00D6631F">
        <w:rPr>
          <w:lang w:val="en-GB"/>
        </w:rPr>
        <w:t xml:space="preserve"> </w:t>
      </w:r>
    </w:p>
    <w:p w14:paraId="05FAB2A7" w14:textId="40D328C3" w:rsidR="00216865" w:rsidRDefault="00216865" w:rsidP="00504D42">
      <w:pPr>
        <w:pStyle w:val="BodyTextMain"/>
        <w:rPr>
          <w:lang w:val="en-GB"/>
        </w:rPr>
      </w:pPr>
    </w:p>
    <w:p w14:paraId="7FCF9415" w14:textId="77777777" w:rsidR="00C63E85" w:rsidRPr="00D6631F" w:rsidRDefault="00C63E85" w:rsidP="00504D42">
      <w:pPr>
        <w:pStyle w:val="BodyTextMain"/>
        <w:rPr>
          <w:lang w:val="en-GB"/>
        </w:rPr>
      </w:pPr>
    </w:p>
    <w:p w14:paraId="7D2C9C47" w14:textId="65133C13" w:rsidR="00216865" w:rsidRPr="00D6631F" w:rsidRDefault="00216865" w:rsidP="00C63E85">
      <w:pPr>
        <w:pStyle w:val="BodyTextMain"/>
        <w:keepNext/>
        <w:rPr>
          <w:lang w:val="en-GB"/>
        </w:rPr>
      </w:pPr>
      <w:r w:rsidRPr="00D6631F">
        <w:rPr>
          <w:lang w:val="en-GB"/>
        </w:rPr>
        <w:lastRenderedPageBreak/>
        <w:t>By April 2018, MoviePass’s subscriber base was around 3 million. However, customers were complaining about significant delays in the delivery of membership cards and other service issues, and the parent company’s auditors expressed “substantial doubts about its ability to continue as a going concern.”</w:t>
      </w:r>
      <w:r w:rsidRPr="00D6631F">
        <w:rPr>
          <w:rStyle w:val="EndnoteReference"/>
          <w:lang w:val="en-GB"/>
        </w:rPr>
        <w:endnoteReference w:id="45"/>
      </w:r>
      <w:r w:rsidRPr="00D6631F">
        <w:rPr>
          <w:lang w:val="en-GB"/>
        </w:rPr>
        <w:t xml:space="preserve"> In an effort to control the significant net cash outflows, the company changed its pricing plan in July to $14.95 a month and limited </w:t>
      </w:r>
      <w:r w:rsidR="00316772">
        <w:rPr>
          <w:lang w:val="en-GB"/>
        </w:rPr>
        <w:t xml:space="preserve">subscribers’ </w:t>
      </w:r>
      <w:r w:rsidRPr="00D6631F">
        <w:rPr>
          <w:lang w:val="en-GB"/>
        </w:rPr>
        <w:t>access to blockbuster movies (i.e., those that opened on 1,000 or more screens). The company started by introducing “surge pricing”—adding a surcharge above the subscription price for blockbuster movies—and then it revealed a plan to block subscriber</w:t>
      </w:r>
      <w:r w:rsidR="003B7999">
        <w:rPr>
          <w:lang w:val="en-GB"/>
        </w:rPr>
        <w:t>s’</w:t>
      </w:r>
      <w:r w:rsidRPr="00D6631F">
        <w:rPr>
          <w:lang w:val="en-GB"/>
        </w:rPr>
        <w:t xml:space="preserve"> access to blockbuster movies during their first two weeks, starting with Paramount Pictures’ </w:t>
      </w:r>
      <w:r w:rsidRPr="00D6631F">
        <w:rPr>
          <w:i/>
          <w:lang w:val="en-GB"/>
        </w:rPr>
        <w:t>Mission: Impossible—Fallout</w:t>
      </w:r>
      <w:r w:rsidRPr="00D6631F">
        <w:rPr>
          <w:lang w:val="en-GB"/>
        </w:rPr>
        <w:t xml:space="preserve">. As the surcharge rose to $8 a ticket in cities such as New York and Los Angeles, the company’s daily subscription cancellation rate doubled. After studying customer responses to the pricing change and analyzing the cancellation rates, MoviePass announced in early August that its subscription price would </w:t>
      </w:r>
      <w:r w:rsidR="003B7999">
        <w:rPr>
          <w:lang w:val="en-GB"/>
        </w:rPr>
        <w:t>return</w:t>
      </w:r>
      <w:r w:rsidRPr="00D6631F">
        <w:rPr>
          <w:lang w:val="en-GB"/>
        </w:rPr>
        <w:t xml:space="preserve"> to $9.95 a month and that </w:t>
      </w:r>
      <w:r w:rsidR="003B7999">
        <w:rPr>
          <w:lang w:val="en-GB"/>
        </w:rPr>
        <w:t>blockbuster movies would no longer be subject to</w:t>
      </w:r>
      <w:r w:rsidRPr="00D6631F">
        <w:rPr>
          <w:lang w:val="en-GB"/>
        </w:rPr>
        <w:t xml:space="preserve"> surge pricing. However, the new plan would restrict subscribers to three movies a month. The company announced that subscribers would </w:t>
      </w:r>
      <w:r w:rsidR="003B7999">
        <w:rPr>
          <w:lang w:val="en-GB"/>
        </w:rPr>
        <w:t>receive</w:t>
      </w:r>
      <w:r w:rsidR="003B7999" w:rsidRPr="00D6631F">
        <w:rPr>
          <w:lang w:val="en-GB"/>
        </w:rPr>
        <w:t xml:space="preserve"> </w:t>
      </w:r>
      <w:r w:rsidRPr="00D6631F">
        <w:rPr>
          <w:lang w:val="en-GB"/>
        </w:rPr>
        <w:t>discounts of $2–$5 for any tickets purchased through the MoviePass app after their three films each month</w:t>
      </w:r>
      <w:r w:rsidRPr="00D6631F">
        <w:rPr>
          <w:rStyle w:val="EndnoteReference"/>
          <w:lang w:val="en-GB"/>
        </w:rPr>
        <w:endnoteReference w:id="46"/>
      </w:r>
      <w:r w:rsidRPr="00D6631F">
        <w:rPr>
          <w:lang w:val="en-GB"/>
        </w:rPr>
        <w:t xml:space="preserve"> (see Exhibit </w:t>
      </w:r>
      <w:r w:rsidR="00452AA9" w:rsidRPr="00D6631F">
        <w:rPr>
          <w:lang w:val="en-GB"/>
        </w:rPr>
        <w:t>3</w:t>
      </w:r>
      <w:r w:rsidRPr="00D6631F">
        <w:rPr>
          <w:lang w:val="en-GB"/>
        </w:rPr>
        <w:t>).</w:t>
      </w:r>
    </w:p>
    <w:p w14:paraId="7DA466D6" w14:textId="77777777" w:rsidR="00216865" w:rsidRPr="00C63E85" w:rsidRDefault="00216865" w:rsidP="00504D42">
      <w:pPr>
        <w:pStyle w:val="BodyTextMain"/>
        <w:rPr>
          <w:sz w:val="20"/>
          <w:lang w:val="en-GB"/>
        </w:rPr>
      </w:pPr>
    </w:p>
    <w:p w14:paraId="270A2C76" w14:textId="77777777" w:rsidR="00216865" w:rsidRPr="00C63E85" w:rsidRDefault="00216865" w:rsidP="00504D42">
      <w:pPr>
        <w:pStyle w:val="BodyTextMain"/>
        <w:rPr>
          <w:sz w:val="20"/>
          <w:lang w:val="en-GB"/>
        </w:rPr>
      </w:pPr>
    </w:p>
    <w:p w14:paraId="33744D00" w14:textId="77777777" w:rsidR="00216865" w:rsidRPr="00D6631F" w:rsidRDefault="00216865" w:rsidP="00917F50">
      <w:pPr>
        <w:pStyle w:val="Casehead2"/>
        <w:rPr>
          <w:lang w:val="en-GB"/>
        </w:rPr>
      </w:pPr>
      <w:r w:rsidRPr="00D6631F">
        <w:rPr>
          <w:lang w:val="en-GB"/>
        </w:rPr>
        <w:t>Finances</w:t>
      </w:r>
    </w:p>
    <w:p w14:paraId="75E01F5C" w14:textId="77777777" w:rsidR="00216865" w:rsidRPr="00C63E85" w:rsidRDefault="00216865" w:rsidP="00504D42">
      <w:pPr>
        <w:pStyle w:val="BodyTextMain"/>
        <w:rPr>
          <w:sz w:val="20"/>
          <w:lang w:val="en-GB"/>
        </w:rPr>
      </w:pPr>
    </w:p>
    <w:p w14:paraId="0FBAC08F" w14:textId="0196E28E" w:rsidR="00216865" w:rsidRPr="00D6631F" w:rsidRDefault="00216865" w:rsidP="00692668">
      <w:pPr>
        <w:pStyle w:val="BodyTextMain"/>
        <w:rPr>
          <w:spacing w:val="-2"/>
          <w:kern w:val="22"/>
          <w:lang w:val="en-GB"/>
        </w:rPr>
      </w:pPr>
      <w:r w:rsidRPr="00D6631F">
        <w:rPr>
          <w:spacing w:val="-2"/>
          <w:kern w:val="22"/>
          <w:lang w:val="en-GB"/>
        </w:rPr>
        <w:t>Soon after HMNY, bought a 53.71 per cent stake in MoviePass for $28.5 million in August 2017, MoviePass increased its valuation to $210 million. From August 2017 to February 2018, HMNY loaned the company a total of $90.5 million and subsequently converted the loans to equity. Since MoviePass’s valuation had decreased during this time, HMNY was in the end able to acquire 91.8 per cent of the company for a total of $119 million. The remaining stake in MoviePass was purchased by telecommunications company Verizon Communications, which had telephone, wireless, Internet, and cable television businesses</w:t>
      </w:r>
      <w:r w:rsidR="003B7999">
        <w:rPr>
          <w:spacing w:val="-2"/>
          <w:kern w:val="22"/>
          <w:lang w:val="en-GB"/>
        </w:rPr>
        <w:t>,</w:t>
      </w:r>
      <w:r w:rsidRPr="00D6631F">
        <w:rPr>
          <w:spacing w:val="-2"/>
          <w:kern w:val="22"/>
          <w:lang w:val="en-GB"/>
        </w:rPr>
        <w:t xml:space="preserve"> and used a secondary stock offering to fund the MoviePass purchase.</w:t>
      </w:r>
      <w:r w:rsidRPr="00D6631F">
        <w:rPr>
          <w:rStyle w:val="EndnoteReference"/>
          <w:spacing w:val="-2"/>
          <w:kern w:val="22"/>
          <w:lang w:val="en-GB"/>
        </w:rPr>
        <w:endnoteReference w:id="47"/>
      </w:r>
      <w:r w:rsidRPr="00D6631F">
        <w:rPr>
          <w:spacing w:val="-2"/>
          <w:kern w:val="22"/>
          <w:lang w:val="en-GB"/>
        </w:rPr>
        <w:t xml:space="preserve"> </w:t>
      </w:r>
    </w:p>
    <w:p w14:paraId="322010F9" w14:textId="77777777" w:rsidR="00216865" w:rsidRPr="00C63E85" w:rsidRDefault="00216865" w:rsidP="00504D42">
      <w:pPr>
        <w:pStyle w:val="BodyTextMain"/>
        <w:rPr>
          <w:sz w:val="20"/>
          <w:lang w:val="en-GB"/>
        </w:rPr>
      </w:pPr>
    </w:p>
    <w:p w14:paraId="0A79F356" w14:textId="2DF48F14" w:rsidR="00216865" w:rsidRPr="00D6631F" w:rsidRDefault="00216865" w:rsidP="00692668">
      <w:pPr>
        <w:pStyle w:val="BodyTextMain"/>
        <w:rPr>
          <w:lang w:val="en-GB"/>
        </w:rPr>
      </w:pPr>
      <w:r w:rsidRPr="00D6631F">
        <w:rPr>
          <w:lang w:val="en-GB"/>
        </w:rPr>
        <w:t>On August 1, 2017, HMNY’s closing stock price was $2.80.</w:t>
      </w:r>
      <w:r w:rsidRPr="00D6631F">
        <w:rPr>
          <w:rStyle w:val="EndnoteReference"/>
          <w:lang w:val="en-GB"/>
        </w:rPr>
        <w:endnoteReference w:id="48"/>
      </w:r>
      <w:r w:rsidRPr="00D6631F">
        <w:rPr>
          <w:lang w:val="en-GB"/>
        </w:rPr>
        <w:t xml:space="preserve"> As its stock price continued to fall, HMNY was in danger of being delisted from the NASDAQ stock exchange.</w:t>
      </w:r>
      <w:r w:rsidRPr="00D6631F">
        <w:rPr>
          <w:rStyle w:val="EndnoteReference"/>
          <w:lang w:val="en-GB"/>
        </w:rPr>
        <w:endnoteReference w:id="49"/>
      </w:r>
      <w:r w:rsidRPr="00D6631F">
        <w:rPr>
          <w:lang w:val="en-GB"/>
        </w:rPr>
        <w:t xml:space="preserve"> To prevent </w:t>
      </w:r>
      <w:r w:rsidR="003B7999">
        <w:rPr>
          <w:lang w:val="en-GB"/>
        </w:rPr>
        <w:t>a delisting</w:t>
      </w:r>
      <w:r w:rsidRPr="00D6631F">
        <w:rPr>
          <w:lang w:val="en-GB"/>
        </w:rPr>
        <w:t xml:space="preserve">, on July 25, 2018, HMNY announced a reverse stock split of one share for every 250 shares previously held. NASDAQ had given HMNY until December 18, 2018, to meet the two mandatory minimum requirements for </w:t>
      </w:r>
      <w:r w:rsidR="003B7999">
        <w:rPr>
          <w:lang w:val="en-GB"/>
        </w:rPr>
        <w:t xml:space="preserve">a </w:t>
      </w:r>
      <w:r w:rsidRPr="00D6631F">
        <w:rPr>
          <w:lang w:val="en-GB"/>
        </w:rPr>
        <w:t>stock listing: a market capitalization of $10 million (HMNY was above this threshold on August 7, 2018) and a stock price of $1.</w:t>
      </w:r>
      <w:r w:rsidRPr="00D6631F">
        <w:rPr>
          <w:rStyle w:val="EndnoteReference"/>
          <w:lang w:val="en-GB"/>
        </w:rPr>
        <w:endnoteReference w:id="50"/>
      </w:r>
    </w:p>
    <w:p w14:paraId="1337E060" w14:textId="77777777" w:rsidR="00216865" w:rsidRPr="00C63E85" w:rsidRDefault="00216865" w:rsidP="00504D42">
      <w:pPr>
        <w:pStyle w:val="BodyTextMain"/>
        <w:rPr>
          <w:sz w:val="20"/>
          <w:lang w:val="en-GB"/>
        </w:rPr>
      </w:pPr>
    </w:p>
    <w:p w14:paraId="0378E55D" w14:textId="7BADA602" w:rsidR="00216865" w:rsidRPr="00D6631F" w:rsidRDefault="00216865" w:rsidP="00692668">
      <w:pPr>
        <w:pStyle w:val="BodyTextMain"/>
        <w:rPr>
          <w:lang w:val="en-GB"/>
        </w:rPr>
      </w:pPr>
      <w:r w:rsidRPr="00D6631F">
        <w:rPr>
          <w:lang w:val="en-GB"/>
        </w:rPr>
        <w:t>On May 8, 2018, the company announced that MoviePass was running a</w:t>
      </w:r>
      <w:r w:rsidR="00BE1EC2" w:rsidRPr="00D6631F">
        <w:rPr>
          <w:lang w:val="en-GB"/>
        </w:rPr>
        <w:t xml:space="preserve"> cash deficit of $20</w:t>
      </w:r>
      <w:r w:rsidR="003B7999">
        <w:rPr>
          <w:lang w:val="en-GB"/>
        </w:rPr>
        <w:t xml:space="preserve"> million</w:t>
      </w:r>
      <w:r w:rsidR="00BE1EC2" w:rsidRPr="00D6631F">
        <w:rPr>
          <w:lang w:val="en-GB"/>
        </w:rPr>
        <w:t xml:space="preserve">–$21 </w:t>
      </w:r>
      <w:r w:rsidRPr="00D6631F">
        <w:rPr>
          <w:lang w:val="en-GB"/>
        </w:rPr>
        <w:t>million per month and had a cash balance of $43.4 million. The company also announced that it expected its cash burn to decrease by at least 35 per cent due to a series of measures it had planned, including restrictions on sharing MoviePass subscriptions and changes to the pricing plan.</w:t>
      </w:r>
      <w:r w:rsidRPr="00D6631F">
        <w:rPr>
          <w:rStyle w:val="EndnoteReference"/>
          <w:lang w:val="en-GB"/>
        </w:rPr>
        <w:endnoteReference w:id="51"/>
      </w:r>
      <w:r w:rsidRPr="00D6631F">
        <w:rPr>
          <w:lang w:val="en-GB"/>
        </w:rPr>
        <w:t xml:space="preserve"> The subsequent pricing change, in August 2018, was expected to decrease the burn rate even more. MoviePass bought tickets at full price from theatre chains and sought to minimize its overhead by </w:t>
      </w:r>
      <w:r w:rsidR="00783B24">
        <w:rPr>
          <w:lang w:val="en-GB"/>
        </w:rPr>
        <w:t>employ</w:t>
      </w:r>
      <w:r w:rsidR="00783B24" w:rsidRPr="00D6631F">
        <w:rPr>
          <w:lang w:val="en-GB"/>
        </w:rPr>
        <w:t xml:space="preserve">ing </w:t>
      </w:r>
      <w:r w:rsidRPr="00D6631F">
        <w:rPr>
          <w:lang w:val="en-GB"/>
        </w:rPr>
        <w:t>a small staff and spending very little on marketing and related expenses</w:t>
      </w:r>
      <w:r w:rsidR="003B7999">
        <w:rPr>
          <w:lang w:val="en-GB"/>
        </w:rPr>
        <w:t>.</w:t>
      </w:r>
      <w:r w:rsidR="007B17C0" w:rsidRPr="00D6631F">
        <w:rPr>
          <w:rStyle w:val="EndnoteReference"/>
          <w:lang w:val="en-GB"/>
        </w:rPr>
        <w:endnoteReference w:id="52"/>
      </w:r>
      <w:r w:rsidRPr="00D6631F">
        <w:rPr>
          <w:lang w:val="en-GB"/>
        </w:rPr>
        <w:t xml:space="preserve"> The company delayed filing its mandatory financial disclosure forms (e.g., Form 8-K and a quarterly financial report) with the US Securities and Exchange Commission (SEC)</w:t>
      </w:r>
      <w:r w:rsidR="007B17C0" w:rsidRPr="00D6631F">
        <w:rPr>
          <w:rStyle w:val="EndnoteReference"/>
          <w:lang w:val="en-GB"/>
        </w:rPr>
        <w:endnoteReference w:id="53"/>
      </w:r>
      <w:r w:rsidRPr="00D6631F">
        <w:rPr>
          <w:lang w:val="en-GB"/>
        </w:rPr>
        <w:t xml:space="preserve"> (see Exhibit </w:t>
      </w:r>
      <w:r w:rsidR="00452AA9" w:rsidRPr="00D6631F">
        <w:rPr>
          <w:lang w:val="en-GB"/>
        </w:rPr>
        <w:t>4</w:t>
      </w:r>
      <w:r w:rsidRPr="00D6631F">
        <w:rPr>
          <w:lang w:val="en-GB"/>
        </w:rPr>
        <w:t xml:space="preserve">). </w:t>
      </w:r>
    </w:p>
    <w:p w14:paraId="61A77407" w14:textId="77777777" w:rsidR="00216865" w:rsidRPr="00C63E85" w:rsidRDefault="00216865" w:rsidP="00504D42">
      <w:pPr>
        <w:pStyle w:val="BodyTextMain"/>
        <w:rPr>
          <w:sz w:val="20"/>
          <w:lang w:val="en-GB"/>
        </w:rPr>
      </w:pPr>
    </w:p>
    <w:p w14:paraId="2C183161" w14:textId="380C34EF" w:rsidR="00917F50" w:rsidRPr="00D6631F" w:rsidRDefault="00BE1EC2" w:rsidP="006F395F">
      <w:pPr>
        <w:pStyle w:val="BodyTextMain"/>
        <w:rPr>
          <w:shd w:val="clear" w:color="auto" w:fill="FFFFFF"/>
          <w:lang w:val="en-GB"/>
        </w:rPr>
      </w:pPr>
      <w:r w:rsidRPr="00D6631F">
        <w:rPr>
          <w:shd w:val="clear" w:color="auto" w:fill="FFFFFF"/>
          <w:lang w:val="en-GB"/>
        </w:rPr>
        <w:t>In contrast to MoviePass, a</w:t>
      </w:r>
      <w:r w:rsidR="00216865" w:rsidRPr="00D6631F">
        <w:rPr>
          <w:shd w:val="clear" w:color="auto" w:fill="FFFFFF"/>
          <w:lang w:val="en-GB"/>
        </w:rPr>
        <w:t xml:space="preserve"> theatre-based competitor such as AMC would have inherent cost advantages because it would not pay the retail price for tickets whenever subscribers cashed in. In addition, AMC could advertise its subscription in its theatres and offer concession discounts to its subscribers.</w:t>
      </w:r>
      <w:r w:rsidR="00216865" w:rsidRPr="00D6631F">
        <w:rPr>
          <w:rStyle w:val="EndnoteReference"/>
          <w:shd w:val="clear" w:color="auto" w:fill="FFFFFF"/>
          <w:lang w:val="en-GB"/>
        </w:rPr>
        <w:endnoteReference w:id="54"/>
      </w:r>
      <w:r w:rsidR="00107531" w:rsidRPr="00D6631F">
        <w:rPr>
          <w:shd w:val="clear" w:color="auto" w:fill="FFFFFF"/>
          <w:lang w:val="en-GB"/>
        </w:rPr>
        <w:t xml:space="preserve"> The advantage for a stand-alone subscription company such as MoviePass was that </w:t>
      </w:r>
      <w:r w:rsidR="00350F72" w:rsidRPr="00D6631F">
        <w:rPr>
          <w:shd w:val="clear" w:color="auto" w:fill="FFFFFF"/>
          <w:lang w:val="en-GB"/>
        </w:rPr>
        <w:t xml:space="preserve">its </w:t>
      </w:r>
      <w:r w:rsidR="00107531" w:rsidRPr="00D6631F">
        <w:rPr>
          <w:shd w:val="clear" w:color="auto" w:fill="FFFFFF"/>
          <w:lang w:val="en-GB"/>
        </w:rPr>
        <w:t xml:space="preserve">subscribers had more theatres to choose </w:t>
      </w:r>
      <w:r w:rsidR="00D3639D" w:rsidRPr="00D6631F">
        <w:rPr>
          <w:shd w:val="clear" w:color="auto" w:fill="FFFFFF"/>
          <w:lang w:val="en-GB"/>
        </w:rPr>
        <w:t xml:space="preserve">from </w:t>
      </w:r>
      <w:r w:rsidR="00B018A5" w:rsidRPr="00D6631F">
        <w:rPr>
          <w:shd w:val="clear" w:color="auto" w:fill="FFFFFF"/>
          <w:lang w:val="en-GB"/>
        </w:rPr>
        <w:t>and</w:t>
      </w:r>
      <w:r w:rsidR="00107531" w:rsidRPr="00D6631F">
        <w:rPr>
          <w:shd w:val="clear" w:color="auto" w:fill="FFFFFF"/>
          <w:lang w:val="en-GB"/>
        </w:rPr>
        <w:t xml:space="preserve"> were not restricted to the issuer’s theatre network. </w:t>
      </w:r>
      <w:r w:rsidR="008C3CAD">
        <w:rPr>
          <w:shd w:val="clear" w:color="auto" w:fill="FFFFFF"/>
          <w:lang w:val="en-GB"/>
        </w:rPr>
        <w:t xml:space="preserve">But how could </w:t>
      </w:r>
      <w:r w:rsidR="00107531" w:rsidRPr="00D6631F">
        <w:rPr>
          <w:shd w:val="clear" w:color="auto" w:fill="FFFFFF"/>
          <w:lang w:val="en-GB"/>
        </w:rPr>
        <w:t xml:space="preserve">Lowe and his team parlay the </w:t>
      </w:r>
      <w:r w:rsidR="008C3CAD">
        <w:rPr>
          <w:shd w:val="clear" w:color="auto" w:fill="FFFFFF"/>
          <w:lang w:val="en-GB"/>
        </w:rPr>
        <w:t xml:space="preserve">company’s </w:t>
      </w:r>
      <w:r w:rsidR="00156300" w:rsidRPr="00D6631F">
        <w:rPr>
          <w:shd w:val="clear" w:color="auto" w:fill="FFFFFF"/>
          <w:lang w:val="en-GB"/>
        </w:rPr>
        <w:t>first-</w:t>
      </w:r>
      <w:r w:rsidR="00107531" w:rsidRPr="00D6631F">
        <w:rPr>
          <w:shd w:val="clear" w:color="auto" w:fill="FFFFFF"/>
          <w:lang w:val="en-GB"/>
        </w:rPr>
        <w:t>mover and wider network advantage</w:t>
      </w:r>
      <w:r w:rsidR="008C3CAD">
        <w:rPr>
          <w:shd w:val="clear" w:color="auto" w:fill="FFFFFF"/>
          <w:lang w:val="en-GB"/>
        </w:rPr>
        <w:t>s</w:t>
      </w:r>
      <w:r w:rsidR="00107531" w:rsidRPr="00D6631F">
        <w:rPr>
          <w:shd w:val="clear" w:color="auto" w:fill="FFFFFF"/>
          <w:lang w:val="en-GB"/>
        </w:rPr>
        <w:t xml:space="preserve"> to profitability</w:t>
      </w:r>
      <w:r w:rsidR="008C3CAD">
        <w:rPr>
          <w:shd w:val="clear" w:color="auto" w:fill="FFFFFF"/>
          <w:lang w:val="en-GB"/>
        </w:rPr>
        <w:t>?</w:t>
      </w:r>
      <w:r w:rsidR="00107531" w:rsidRPr="00D6631F">
        <w:rPr>
          <w:shd w:val="clear" w:color="auto" w:fill="FFFFFF"/>
          <w:lang w:val="en-GB"/>
        </w:rPr>
        <w:t xml:space="preserve"> </w:t>
      </w:r>
      <w:r w:rsidR="00917F50" w:rsidRPr="00D6631F">
        <w:rPr>
          <w:lang w:val="en-GB"/>
        </w:rPr>
        <w:br w:type="page"/>
      </w:r>
    </w:p>
    <w:p w14:paraId="14B7B219" w14:textId="638463D8" w:rsidR="0089065E" w:rsidRPr="00D6631F" w:rsidRDefault="0089065E" w:rsidP="0089065E">
      <w:pPr>
        <w:pStyle w:val="ExhibitHeading"/>
        <w:rPr>
          <w:lang w:val="en-GB"/>
        </w:rPr>
      </w:pPr>
      <w:r w:rsidRPr="00D6631F">
        <w:rPr>
          <w:lang w:val="en-GB"/>
        </w:rPr>
        <w:lastRenderedPageBreak/>
        <w:t>EXHIBIT 1</w:t>
      </w:r>
      <w:r w:rsidR="00A7371A" w:rsidRPr="00D6631F">
        <w:rPr>
          <w:lang w:val="en-GB"/>
        </w:rPr>
        <w:t xml:space="preserve">: </w:t>
      </w:r>
      <w:r w:rsidR="008C3CAD">
        <w:rPr>
          <w:lang w:val="en-GB"/>
        </w:rPr>
        <w:t xml:space="preserve">THE </w:t>
      </w:r>
      <w:r w:rsidR="00A7371A" w:rsidRPr="00D6631F">
        <w:rPr>
          <w:lang w:val="en-GB"/>
        </w:rPr>
        <w:t>Motion Picture industry ecosystem</w:t>
      </w:r>
    </w:p>
    <w:p w14:paraId="4C28D22F" w14:textId="1D03407C" w:rsidR="0089065E" w:rsidRPr="00D6631F" w:rsidRDefault="0089065E" w:rsidP="009E721D">
      <w:pPr>
        <w:pStyle w:val="ExhibitText"/>
        <w:rPr>
          <w:lang w:val="en-GB"/>
        </w:rPr>
      </w:pPr>
    </w:p>
    <w:p w14:paraId="5FA45C0E" w14:textId="361B9F10" w:rsidR="00503105" w:rsidRPr="00D6631F" w:rsidRDefault="00165DE6" w:rsidP="00B64B10">
      <w:pPr>
        <w:pStyle w:val="ExhibitText"/>
        <w:jc w:val="center"/>
        <w:rPr>
          <w:lang w:val="en-GB"/>
        </w:rPr>
      </w:pPr>
      <w:r>
        <w:rPr>
          <w:noProof/>
          <w:lang w:eastAsia="en-CA"/>
        </w:rPr>
        <w:drawing>
          <wp:inline distT="0" distB="0" distL="0" distR="0" wp14:anchorId="68866AFC" wp14:editId="3899BACC">
            <wp:extent cx="5963285" cy="298938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6918" cy="2996219"/>
                    </a:xfrm>
                    <a:prstGeom prst="rect">
                      <a:avLst/>
                    </a:prstGeom>
                    <a:noFill/>
                  </pic:spPr>
                </pic:pic>
              </a:graphicData>
            </a:graphic>
          </wp:inline>
        </w:drawing>
      </w:r>
    </w:p>
    <w:p w14:paraId="3BD53400" w14:textId="77777777" w:rsidR="00503105" w:rsidRPr="00D6631F" w:rsidRDefault="00503105" w:rsidP="00503105">
      <w:pPr>
        <w:pStyle w:val="ExhibitText"/>
        <w:rPr>
          <w:lang w:val="en-GB"/>
        </w:rPr>
      </w:pPr>
    </w:p>
    <w:p w14:paraId="6E631527" w14:textId="3472CC11" w:rsidR="00EB6503" w:rsidRPr="00B64B10" w:rsidRDefault="00EB6503" w:rsidP="00503105">
      <w:pPr>
        <w:pStyle w:val="Footnote"/>
        <w:rPr>
          <w:lang w:val="en-GB"/>
        </w:rPr>
      </w:pPr>
      <w:r w:rsidRPr="00B64B10">
        <w:rPr>
          <w:lang w:val="en-GB"/>
        </w:rPr>
        <w:t>Note: The Major Studios are comprised of the Walt Disney Company, Warner Bros. Entertainment Inc., Twenty-First Century Fox Inc., Universal Pictures, Sony Pictures Entertainment Inc., and Paramount Pictures Corporation (Paramount).</w:t>
      </w:r>
      <w:r w:rsidR="00B07738" w:rsidRPr="00B64B10">
        <w:rPr>
          <w:lang w:val="en-GB"/>
        </w:rPr>
        <w:t>; DVD = digital video disc.</w:t>
      </w:r>
    </w:p>
    <w:p w14:paraId="67337325" w14:textId="03A60CAA" w:rsidR="00503105" w:rsidRPr="00D6631F" w:rsidRDefault="00503105" w:rsidP="00503105">
      <w:pPr>
        <w:pStyle w:val="Footnote"/>
        <w:rPr>
          <w:lang w:val="en-GB"/>
        </w:rPr>
      </w:pPr>
      <w:r w:rsidRPr="00F4430F">
        <w:rPr>
          <w:lang w:val="en-GB"/>
        </w:rPr>
        <w:t>Source: C</w:t>
      </w:r>
      <w:r w:rsidR="0069720D" w:rsidRPr="00F4430F">
        <w:rPr>
          <w:lang w:val="en-GB"/>
        </w:rPr>
        <w:t xml:space="preserve">reated by </w:t>
      </w:r>
      <w:r w:rsidR="008C3CAD" w:rsidRPr="00F4430F">
        <w:rPr>
          <w:lang w:val="en-GB"/>
        </w:rPr>
        <w:t xml:space="preserve">the </w:t>
      </w:r>
      <w:r w:rsidR="0069720D" w:rsidRPr="00F4430F">
        <w:rPr>
          <w:lang w:val="en-GB"/>
        </w:rPr>
        <w:t>c</w:t>
      </w:r>
      <w:r w:rsidRPr="00F4430F">
        <w:rPr>
          <w:lang w:val="en-GB"/>
        </w:rPr>
        <w:t>ase</w:t>
      </w:r>
      <w:r w:rsidR="0069720D" w:rsidRPr="00F4430F">
        <w:rPr>
          <w:lang w:val="en-GB"/>
        </w:rPr>
        <w:t xml:space="preserve"> </w:t>
      </w:r>
      <w:r w:rsidR="008C3CAD" w:rsidRPr="00F4430F">
        <w:rPr>
          <w:lang w:val="en-GB"/>
        </w:rPr>
        <w:t>author</w:t>
      </w:r>
      <w:r w:rsidR="00AE0CCB">
        <w:rPr>
          <w:lang w:val="en-GB"/>
        </w:rPr>
        <w:t xml:space="preserve"> with information </w:t>
      </w:r>
      <w:r w:rsidR="00B1797B">
        <w:rPr>
          <w:lang w:val="en-GB"/>
        </w:rPr>
        <w:t xml:space="preserve">from </w:t>
      </w:r>
      <w:r w:rsidR="00B1797B" w:rsidRPr="00093FF5">
        <w:t xml:space="preserve">Anna Miller, </w:t>
      </w:r>
      <w:r w:rsidR="00B1797B" w:rsidRPr="00093FF5">
        <w:rPr>
          <w:i/>
        </w:rPr>
        <w:t>IBISWorld Industry Report 51213, Movie Theat</w:t>
      </w:r>
      <w:r w:rsidR="00B1797B">
        <w:rPr>
          <w:i/>
        </w:rPr>
        <w:t>er</w:t>
      </w:r>
      <w:r w:rsidR="00B1797B" w:rsidRPr="00093FF5">
        <w:rPr>
          <w:i/>
        </w:rPr>
        <w:t>s in the U.S</w:t>
      </w:r>
      <w:r w:rsidR="00B1797B" w:rsidRPr="00093FF5">
        <w:t xml:space="preserve">., </w:t>
      </w:r>
      <w:r w:rsidR="00B1797B">
        <w:t xml:space="preserve">3, 7, </w:t>
      </w:r>
      <w:r w:rsidR="00B1797B" w:rsidRPr="00093FF5">
        <w:t>April 2018</w:t>
      </w:r>
      <w:r w:rsidR="00B1797B">
        <w:t>, accessed August 23, 2018</w:t>
      </w:r>
      <w:r w:rsidRPr="00D6631F">
        <w:rPr>
          <w:lang w:val="en-GB"/>
        </w:rPr>
        <w:t xml:space="preserve"> </w:t>
      </w:r>
    </w:p>
    <w:p w14:paraId="63F5C9A3" w14:textId="77777777" w:rsidR="00503105" w:rsidRPr="00D6631F" w:rsidRDefault="00503105" w:rsidP="003F2F59">
      <w:pPr>
        <w:pStyle w:val="ExhibitText"/>
        <w:rPr>
          <w:lang w:val="en-GB"/>
        </w:rPr>
      </w:pPr>
    </w:p>
    <w:p w14:paraId="77FBF88E" w14:textId="7D38AA81" w:rsidR="00503105" w:rsidRPr="00D6631F" w:rsidRDefault="00503105">
      <w:pPr>
        <w:spacing w:after="200" w:line="276" w:lineRule="auto"/>
        <w:rPr>
          <w:rFonts w:ascii="Arial" w:hAnsi="Arial" w:cs="Arial"/>
          <w:lang w:val="en-GB"/>
        </w:rPr>
      </w:pPr>
      <w:r w:rsidRPr="00D6631F">
        <w:rPr>
          <w:lang w:val="en-GB"/>
        </w:rPr>
        <w:br w:type="page"/>
      </w:r>
    </w:p>
    <w:p w14:paraId="79F77BDF" w14:textId="055BCBB9" w:rsidR="00503105" w:rsidRPr="00D6631F" w:rsidRDefault="00503105" w:rsidP="00503105">
      <w:pPr>
        <w:pStyle w:val="ExhibitHeading"/>
        <w:rPr>
          <w:lang w:val="en-GB"/>
        </w:rPr>
      </w:pPr>
      <w:r w:rsidRPr="00D6631F">
        <w:rPr>
          <w:lang w:val="en-GB"/>
        </w:rPr>
        <w:lastRenderedPageBreak/>
        <w:t xml:space="preserve">EXHIBIT 2: </w:t>
      </w:r>
      <w:r w:rsidR="008C3CAD">
        <w:rPr>
          <w:lang w:val="en-GB"/>
        </w:rPr>
        <w:t xml:space="preserve">THE </w:t>
      </w:r>
      <w:r w:rsidRPr="00D6631F">
        <w:rPr>
          <w:lang w:val="en-GB"/>
        </w:rPr>
        <w:t>SUBSCRIPTION ECONOMY MODELS</w:t>
      </w:r>
    </w:p>
    <w:p w14:paraId="49648A1E" w14:textId="77777777" w:rsidR="00503105" w:rsidRPr="00D6631F" w:rsidRDefault="00503105" w:rsidP="00503105">
      <w:pPr>
        <w:pStyle w:val="ExhibitText"/>
        <w:rPr>
          <w:lang w:val="en-GB"/>
        </w:rPr>
      </w:pPr>
    </w:p>
    <w:tbl>
      <w:tblPr>
        <w:tblStyle w:val="TableGrid"/>
        <w:tblW w:w="9360" w:type="dxa"/>
        <w:tblInd w:w="-5" w:type="dxa"/>
        <w:tblLayout w:type="fixed"/>
        <w:tblLook w:val="04A0" w:firstRow="1" w:lastRow="0" w:firstColumn="1" w:lastColumn="0" w:noHBand="0" w:noVBand="1"/>
      </w:tblPr>
      <w:tblGrid>
        <w:gridCol w:w="1350"/>
        <w:gridCol w:w="1530"/>
        <w:gridCol w:w="1440"/>
        <w:gridCol w:w="1350"/>
        <w:gridCol w:w="1980"/>
        <w:gridCol w:w="1710"/>
      </w:tblGrid>
      <w:tr w:rsidR="00B14F7F" w:rsidRPr="00D6631F" w14:paraId="3262640B" w14:textId="77777777" w:rsidTr="0077443A">
        <w:trPr>
          <w:trHeight w:val="620"/>
        </w:trPr>
        <w:tc>
          <w:tcPr>
            <w:tcW w:w="1350" w:type="dxa"/>
            <w:shd w:val="clear" w:color="auto" w:fill="FFFFFF" w:themeFill="background1"/>
            <w:vAlign w:val="center"/>
          </w:tcPr>
          <w:p w14:paraId="26581246" w14:textId="77777777" w:rsidR="00503105" w:rsidRPr="00D6631F" w:rsidRDefault="00503105" w:rsidP="0077443A">
            <w:pPr>
              <w:pStyle w:val="ExhibitText"/>
              <w:jc w:val="center"/>
              <w:rPr>
                <w:b/>
                <w:sz w:val="17"/>
                <w:szCs w:val="17"/>
                <w:lang w:val="en-GB"/>
              </w:rPr>
            </w:pPr>
            <w:r w:rsidRPr="00D6631F">
              <w:rPr>
                <w:b/>
                <w:sz w:val="17"/>
                <w:szCs w:val="17"/>
                <w:lang w:val="en-GB"/>
              </w:rPr>
              <w:t>Type of Model</w:t>
            </w:r>
          </w:p>
        </w:tc>
        <w:tc>
          <w:tcPr>
            <w:tcW w:w="1530" w:type="dxa"/>
            <w:shd w:val="clear" w:color="auto" w:fill="FFFFFF" w:themeFill="background1"/>
            <w:vAlign w:val="center"/>
          </w:tcPr>
          <w:p w14:paraId="1BC1CF70" w14:textId="77777777" w:rsidR="00503105" w:rsidRPr="00D6631F" w:rsidRDefault="00503105" w:rsidP="0077443A">
            <w:pPr>
              <w:pStyle w:val="ExhibitText"/>
              <w:jc w:val="center"/>
              <w:rPr>
                <w:b/>
                <w:sz w:val="17"/>
                <w:szCs w:val="17"/>
                <w:lang w:val="en-GB"/>
              </w:rPr>
            </w:pPr>
            <w:r w:rsidRPr="00D6631F">
              <w:rPr>
                <w:b/>
                <w:sz w:val="17"/>
                <w:szCs w:val="17"/>
                <w:lang w:val="en-GB"/>
              </w:rPr>
              <w:t>Description</w:t>
            </w:r>
          </w:p>
        </w:tc>
        <w:tc>
          <w:tcPr>
            <w:tcW w:w="1440" w:type="dxa"/>
            <w:shd w:val="clear" w:color="auto" w:fill="FFFFFF" w:themeFill="background1"/>
            <w:vAlign w:val="center"/>
          </w:tcPr>
          <w:p w14:paraId="753FC484" w14:textId="77777777" w:rsidR="00503105" w:rsidRPr="00D6631F" w:rsidRDefault="00503105" w:rsidP="0077443A">
            <w:pPr>
              <w:pStyle w:val="ExhibitText"/>
              <w:jc w:val="center"/>
              <w:rPr>
                <w:b/>
                <w:sz w:val="17"/>
                <w:szCs w:val="17"/>
                <w:lang w:val="en-GB"/>
              </w:rPr>
            </w:pPr>
            <w:r w:rsidRPr="00D6631F">
              <w:rPr>
                <w:b/>
                <w:sz w:val="17"/>
                <w:szCs w:val="17"/>
                <w:lang w:val="en-GB"/>
              </w:rPr>
              <w:t>Key Value Proposition</w:t>
            </w:r>
          </w:p>
        </w:tc>
        <w:tc>
          <w:tcPr>
            <w:tcW w:w="1350" w:type="dxa"/>
            <w:shd w:val="clear" w:color="auto" w:fill="FFFFFF" w:themeFill="background1"/>
            <w:vAlign w:val="center"/>
          </w:tcPr>
          <w:p w14:paraId="2A62EB13" w14:textId="77777777" w:rsidR="00503105" w:rsidRPr="00D6631F" w:rsidRDefault="00503105" w:rsidP="0077443A">
            <w:pPr>
              <w:pStyle w:val="ExhibitText"/>
              <w:jc w:val="center"/>
              <w:rPr>
                <w:b/>
                <w:sz w:val="17"/>
                <w:szCs w:val="17"/>
                <w:lang w:val="en-GB"/>
              </w:rPr>
            </w:pPr>
            <w:r w:rsidRPr="00D6631F">
              <w:rPr>
                <w:b/>
                <w:sz w:val="17"/>
                <w:szCs w:val="17"/>
                <w:lang w:val="en-GB"/>
              </w:rPr>
              <w:t>Share of Total Subscriptions (%)</w:t>
            </w:r>
          </w:p>
        </w:tc>
        <w:tc>
          <w:tcPr>
            <w:tcW w:w="1980" w:type="dxa"/>
            <w:shd w:val="clear" w:color="auto" w:fill="FFFFFF" w:themeFill="background1"/>
            <w:vAlign w:val="center"/>
          </w:tcPr>
          <w:p w14:paraId="5198BB0C" w14:textId="77777777" w:rsidR="00B14F7F" w:rsidRPr="00D6631F" w:rsidRDefault="00503105" w:rsidP="0077443A">
            <w:pPr>
              <w:pStyle w:val="ExhibitText"/>
              <w:jc w:val="center"/>
              <w:rPr>
                <w:b/>
                <w:sz w:val="17"/>
                <w:szCs w:val="17"/>
                <w:lang w:val="en-GB"/>
              </w:rPr>
            </w:pPr>
            <w:r w:rsidRPr="00D6631F">
              <w:rPr>
                <w:b/>
                <w:sz w:val="17"/>
                <w:szCs w:val="17"/>
                <w:lang w:val="en-GB"/>
              </w:rPr>
              <w:t>Key Acquisition/</w:t>
            </w:r>
          </w:p>
          <w:p w14:paraId="2FE0F9C4" w14:textId="56414620" w:rsidR="00503105" w:rsidRPr="00D6631F" w:rsidRDefault="0069720D" w:rsidP="0077443A">
            <w:pPr>
              <w:pStyle w:val="ExhibitText"/>
              <w:jc w:val="center"/>
              <w:rPr>
                <w:b/>
                <w:sz w:val="17"/>
                <w:szCs w:val="17"/>
                <w:lang w:val="en-GB"/>
              </w:rPr>
            </w:pPr>
            <w:r w:rsidRPr="00D6631F">
              <w:rPr>
                <w:b/>
                <w:sz w:val="17"/>
                <w:szCs w:val="17"/>
                <w:lang w:val="en-GB"/>
              </w:rPr>
              <w:t xml:space="preserve">Continuation </w:t>
            </w:r>
            <w:r w:rsidR="00503105" w:rsidRPr="00D6631F">
              <w:rPr>
                <w:b/>
                <w:sz w:val="17"/>
                <w:szCs w:val="17"/>
                <w:lang w:val="en-GB"/>
              </w:rPr>
              <w:t>Triggers</w:t>
            </w:r>
          </w:p>
        </w:tc>
        <w:tc>
          <w:tcPr>
            <w:tcW w:w="1710" w:type="dxa"/>
            <w:shd w:val="clear" w:color="auto" w:fill="FFFFFF" w:themeFill="background1"/>
            <w:vAlign w:val="center"/>
          </w:tcPr>
          <w:p w14:paraId="64DAA114" w14:textId="77777777" w:rsidR="00503105" w:rsidRPr="00D6631F" w:rsidRDefault="00503105" w:rsidP="0077443A">
            <w:pPr>
              <w:pStyle w:val="ExhibitText"/>
              <w:jc w:val="center"/>
              <w:rPr>
                <w:b/>
                <w:sz w:val="17"/>
                <w:szCs w:val="17"/>
                <w:lang w:val="en-GB"/>
              </w:rPr>
            </w:pPr>
            <w:r w:rsidRPr="00D6631F">
              <w:rPr>
                <w:b/>
                <w:sz w:val="17"/>
                <w:szCs w:val="17"/>
                <w:lang w:val="en-GB"/>
              </w:rPr>
              <w:t>Key Churn Triggers</w:t>
            </w:r>
          </w:p>
        </w:tc>
      </w:tr>
      <w:tr w:rsidR="00184FBB" w:rsidRPr="00D6631F" w14:paraId="67C2EEF7" w14:textId="77777777" w:rsidTr="005248F9">
        <w:trPr>
          <w:trHeight w:val="2609"/>
        </w:trPr>
        <w:tc>
          <w:tcPr>
            <w:tcW w:w="1350" w:type="dxa"/>
          </w:tcPr>
          <w:p w14:paraId="03A4C36E" w14:textId="77777777" w:rsidR="00503105" w:rsidRPr="00D6631F" w:rsidRDefault="00503105" w:rsidP="00B14F7F">
            <w:pPr>
              <w:pStyle w:val="ExhibitText"/>
              <w:jc w:val="left"/>
              <w:rPr>
                <w:sz w:val="17"/>
                <w:szCs w:val="17"/>
                <w:lang w:val="en-GB"/>
              </w:rPr>
            </w:pPr>
            <w:r w:rsidRPr="00D6631F">
              <w:rPr>
                <w:sz w:val="17"/>
                <w:szCs w:val="17"/>
                <w:lang w:val="en-GB"/>
              </w:rPr>
              <w:t>Replenishment</w:t>
            </w:r>
          </w:p>
        </w:tc>
        <w:tc>
          <w:tcPr>
            <w:tcW w:w="1530" w:type="dxa"/>
          </w:tcPr>
          <w:p w14:paraId="471147D8" w14:textId="05004871" w:rsidR="00503105" w:rsidRPr="00D6631F" w:rsidRDefault="001E55E9" w:rsidP="005248F9">
            <w:pPr>
              <w:pStyle w:val="ExhibitText"/>
              <w:numPr>
                <w:ilvl w:val="0"/>
                <w:numId w:val="26"/>
              </w:numPr>
              <w:ind w:left="162" w:hanging="180"/>
              <w:jc w:val="left"/>
              <w:rPr>
                <w:sz w:val="17"/>
                <w:szCs w:val="17"/>
                <w:lang w:val="en-GB"/>
              </w:rPr>
            </w:pPr>
            <w:r w:rsidRPr="00D6631F">
              <w:rPr>
                <w:sz w:val="17"/>
                <w:szCs w:val="17"/>
                <w:lang w:val="en-GB"/>
              </w:rPr>
              <w:t xml:space="preserve">regular </w:t>
            </w:r>
            <w:r w:rsidR="00503105" w:rsidRPr="00D6631F">
              <w:rPr>
                <w:sz w:val="17"/>
                <w:szCs w:val="17"/>
                <w:lang w:val="en-GB"/>
              </w:rPr>
              <w:t xml:space="preserve">replenishment of </w:t>
            </w:r>
            <w:r w:rsidR="005946E7" w:rsidRPr="00D6631F">
              <w:rPr>
                <w:sz w:val="17"/>
                <w:szCs w:val="17"/>
                <w:lang w:val="en-GB"/>
              </w:rPr>
              <w:t xml:space="preserve">the </w:t>
            </w:r>
            <w:r w:rsidR="00503105" w:rsidRPr="00D6631F">
              <w:rPr>
                <w:sz w:val="17"/>
                <w:szCs w:val="17"/>
                <w:lang w:val="en-GB"/>
              </w:rPr>
              <w:t>same or similar item</w:t>
            </w:r>
            <w:r w:rsidR="005946E7" w:rsidRPr="00D6631F">
              <w:rPr>
                <w:sz w:val="17"/>
                <w:szCs w:val="17"/>
                <w:lang w:val="en-GB"/>
              </w:rPr>
              <w:t>s</w:t>
            </w:r>
            <w:r w:rsidRPr="00D6631F">
              <w:rPr>
                <w:sz w:val="17"/>
                <w:szCs w:val="17"/>
                <w:lang w:val="en-GB"/>
              </w:rPr>
              <w:t xml:space="preserve"> </w:t>
            </w:r>
            <w:r w:rsidR="00184FBB" w:rsidRPr="00D6631F">
              <w:rPr>
                <w:sz w:val="17"/>
                <w:szCs w:val="17"/>
                <w:lang w:val="en-GB"/>
              </w:rPr>
              <w:t>(e.g.</w:t>
            </w:r>
            <w:r w:rsidR="005946E7" w:rsidRPr="00D6631F">
              <w:rPr>
                <w:sz w:val="17"/>
                <w:szCs w:val="17"/>
                <w:lang w:val="en-GB"/>
              </w:rPr>
              <w:t>,</w:t>
            </w:r>
            <w:r w:rsidR="005946E7" w:rsidRPr="00D6631F" w:rsidDel="005946E7">
              <w:rPr>
                <w:sz w:val="17"/>
                <w:szCs w:val="17"/>
                <w:lang w:val="en-GB"/>
              </w:rPr>
              <w:t xml:space="preserve"> </w:t>
            </w:r>
            <w:r w:rsidR="00503105" w:rsidRPr="00D6631F">
              <w:rPr>
                <w:sz w:val="17"/>
                <w:szCs w:val="17"/>
                <w:lang w:val="en-GB"/>
              </w:rPr>
              <w:t>Dollar Shave Club)</w:t>
            </w:r>
          </w:p>
          <w:p w14:paraId="5F1B6530" w14:textId="77777777" w:rsidR="00503105" w:rsidRPr="00D6631F" w:rsidRDefault="00503105" w:rsidP="00B14F7F">
            <w:pPr>
              <w:pStyle w:val="ExhibitText"/>
              <w:jc w:val="left"/>
              <w:rPr>
                <w:sz w:val="17"/>
                <w:szCs w:val="17"/>
                <w:lang w:val="en-GB"/>
              </w:rPr>
            </w:pPr>
          </w:p>
          <w:p w14:paraId="1889D898" w14:textId="4ABA0E46" w:rsidR="001E55E9" w:rsidRPr="00D6631F" w:rsidRDefault="00503105" w:rsidP="00452AA9">
            <w:pPr>
              <w:pStyle w:val="ExhibitText"/>
              <w:jc w:val="left"/>
              <w:rPr>
                <w:sz w:val="17"/>
                <w:szCs w:val="17"/>
                <w:lang w:val="en-GB"/>
              </w:rPr>
            </w:pPr>
            <w:r w:rsidRPr="00D6631F">
              <w:rPr>
                <w:i/>
                <w:sz w:val="17"/>
                <w:szCs w:val="17"/>
                <w:lang w:val="en-GB"/>
              </w:rPr>
              <w:t>Primary Categories</w:t>
            </w:r>
            <w:r w:rsidR="001E55E9" w:rsidRPr="00D6631F">
              <w:rPr>
                <w:i/>
                <w:sz w:val="17"/>
                <w:szCs w:val="17"/>
                <w:lang w:val="en-GB"/>
              </w:rPr>
              <w:t>:</w:t>
            </w:r>
          </w:p>
          <w:p w14:paraId="7CFDF25F" w14:textId="7B46F3AA" w:rsidR="00503105" w:rsidRPr="00D6631F" w:rsidRDefault="00503105" w:rsidP="005248F9">
            <w:pPr>
              <w:pStyle w:val="ExhibitText"/>
              <w:numPr>
                <w:ilvl w:val="0"/>
                <w:numId w:val="27"/>
              </w:numPr>
              <w:ind w:left="162" w:hanging="180"/>
              <w:jc w:val="left"/>
              <w:rPr>
                <w:sz w:val="17"/>
                <w:szCs w:val="17"/>
                <w:lang w:val="en-GB"/>
              </w:rPr>
            </w:pPr>
            <w:r w:rsidRPr="00D6631F">
              <w:rPr>
                <w:sz w:val="17"/>
                <w:szCs w:val="17"/>
                <w:lang w:val="en-GB"/>
              </w:rPr>
              <w:t>razors, food ingredients, vitamins</w:t>
            </w:r>
          </w:p>
        </w:tc>
        <w:tc>
          <w:tcPr>
            <w:tcW w:w="1440" w:type="dxa"/>
          </w:tcPr>
          <w:p w14:paraId="6DC74D8D" w14:textId="00C8599F" w:rsidR="001E55E9" w:rsidRPr="00D6631F" w:rsidRDefault="001E55E9" w:rsidP="005248F9">
            <w:pPr>
              <w:pStyle w:val="ExhibitText"/>
              <w:numPr>
                <w:ilvl w:val="0"/>
                <w:numId w:val="23"/>
              </w:numPr>
              <w:ind w:left="162" w:hanging="180"/>
              <w:jc w:val="left"/>
              <w:rPr>
                <w:sz w:val="17"/>
                <w:szCs w:val="17"/>
                <w:lang w:val="en-GB"/>
              </w:rPr>
            </w:pPr>
            <w:r w:rsidRPr="00D6631F">
              <w:rPr>
                <w:sz w:val="17"/>
                <w:szCs w:val="17"/>
                <w:lang w:val="en-GB"/>
              </w:rPr>
              <w:t>s</w:t>
            </w:r>
            <w:r w:rsidR="005946E7" w:rsidRPr="00D6631F">
              <w:rPr>
                <w:sz w:val="17"/>
                <w:szCs w:val="17"/>
                <w:lang w:val="en-GB"/>
              </w:rPr>
              <w:t>aving</w:t>
            </w:r>
            <w:r w:rsidRPr="00D6631F">
              <w:rPr>
                <w:sz w:val="17"/>
                <w:szCs w:val="17"/>
                <w:lang w:val="en-GB"/>
              </w:rPr>
              <w:t>s</w:t>
            </w:r>
            <w:r w:rsidR="005946E7" w:rsidRPr="00D6631F">
              <w:rPr>
                <w:sz w:val="17"/>
                <w:szCs w:val="17"/>
                <w:lang w:val="en-GB"/>
              </w:rPr>
              <w:t xml:space="preserve"> of time </w:t>
            </w:r>
            <w:r w:rsidR="003F2F59" w:rsidRPr="00D6631F">
              <w:rPr>
                <w:sz w:val="17"/>
                <w:szCs w:val="17"/>
                <w:lang w:val="en-GB"/>
              </w:rPr>
              <w:t>and money</w:t>
            </w:r>
          </w:p>
          <w:p w14:paraId="2A7DFD9D" w14:textId="033F01CD" w:rsidR="00503105" w:rsidRPr="00D6631F" w:rsidRDefault="003F2F59" w:rsidP="005248F9">
            <w:pPr>
              <w:pStyle w:val="ExhibitText"/>
              <w:numPr>
                <w:ilvl w:val="0"/>
                <w:numId w:val="23"/>
              </w:numPr>
              <w:ind w:left="162" w:hanging="180"/>
              <w:jc w:val="left"/>
              <w:rPr>
                <w:sz w:val="17"/>
                <w:szCs w:val="17"/>
                <w:lang w:val="en-GB"/>
              </w:rPr>
            </w:pPr>
            <w:r w:rsidRPr="00D6631F">
              <w:rPr>
                <w:sz w:val="17"/>
                <w:szCs w:val="17"/>
                <w:lang w:val="en-GB"/>
              </w:rPr>
              <w:t xml:space="preserve">convenience </w:t>
            </w:r>
            <w:r w:rsidR="00503105" w:rsidRPr="00D6631F">
              <w:rPr>
                <w:sz w:val="17"/>
                <w:szCs w:val="17"/>
                <w:lang w:val="en-GB"/>
              </w:rPr>
              <w:t>(not having to remember to keep stock)</w:t>
            </w:r>
          </w:p>
        </w:tc>
        <w:tc>
          <w:tcPr>
            <w:tcW w:w="1350" w:type="dxa"/>
          </w:tcPr>
          <w:p w14:paraId="3E773651" w14:textId="77777777" w:rsidR="00503105" w:rsidRPr="00D6631F" w:rsidRDefault="00503105" w:rsidP="00B14F7F">
            <w:pPr>
              <w:pStyle w:val="ExhibitText"/>
              <w:jc w:val="center"/>
              <w:rPr>
                <w:sz w:val="17"/>
                <w:szCs w:val="17"/>
                <w:lang w:val="en-GB"/>
              </w:rPr>
            </w:pPr>
            <w:r w:rsidRPr="00D6631F">
              <w:rPr>
                <w:sz w:val="17"/>
                <w:szCs w:val="17"/>
                <w:lang w:val="en-GB"/>
              </w:rPr>
              <w:t>32</w:t>
            </w:r>
          </w:p>
        </w:tc>
        <w:tc>
          <w:tcPr>
            <w:tcW w:w="1980" w:type="dxa"/>
          </w:tcPr>
          <w:p w14:paraId="7E6BA9CC" w14:textId="77777777" w:rsidR="00503105" w:rsidRPr="00D6631F" w:rsidRDefault="00503105" w:rsidP="00B14F7F">
            <w:pPr>
              <w:pStyle w:val="ExhibitText"/>
              <w:jc w:val="left"/>
              <w:rPr>
                <w:i/>
                <w:sz w:val="17"/>
                <w:szCs w:val="17"/>
                <w:lang w:val="en-GB"/>
              </w:rPr>
            </w:pPr>
            <w:r w:rsidRPr="00D6631F">
              <w:rPr>
                <w:i/>
                <w:sz w:val="17"/>
                <w:szCs w:val="17"/>
                <w:lang w:val="en-GB"/>
              </w:rPr>
              <w:t>Acquisition</w:t>
            </w:r>
          </w:p>
          <w:p w14:paraId="2BC537B9" w14:textId="77777777" w:rsidR="00503105" w:rsidRPr="00D6631F" w:rsidRDefault="00503105" w:rsidP="00B14F7F">
            <w:pPr>
              <w:pStyle w:val="ExhibitText"/>
              <w:jc w:val="left"/>
              <w:rPr>
                <w:i/>
                <w:sz w:val="17"/>
                <w:szCs w:val="17"/>
                <w:lang w:val="en-GB"/>
              </w:rPr>
            </w:pPr>
          </w:p>
          <w:p w14:paraId="035DF84A" w14:textId="77777777" w:rsidR="00503105" w:rsidRPr="00D6631F" w:rsidRDefault="00503105" w:rsidP="001E55E9">
            <w:pPr>
              <w:pStyle w:val="ExhibitText"/>
              <w:numPr>
                <w:ilvl w:val="0"/>
                <w:numId w:val="15"/>
              </w:numPr>
              <w:ind w:left="252" w:hanging="198"/>
              <w:jc w:val="left"/>
              <w:rPr>
                <w:sz w:val="17"/>
                <w:szCs w:val="17"/>
                <w:lang w:val="en-GB"/>
              </w:rPr>
            </w:pPr>
            <w:r w:rsidRPr="00D6631F">
              <w:rPr>
                <w:sz w:val="17"/>
                <w:szCs w:val="17"/>
                <w:lang w:val="en-GB"/>
              </w:rPr>
              <w:t>financial incentive</w:t>
            </w:r>
          </w:p>
          <w:p w14:paraId="470AE80E" w14:textId="2D2C6B93" w:rsidR="00503105" w:rsidRPr="00D6631F" w:rsidRDefault="001E55E9" w:rsidP="001E55E9">
            <w:pPr>
              <w:pStyle w:val="ExhibitText"/>
              <w:numPr>
                <w:ilvl w:val="0"/>
                <w:numId w:val="15"/>
              </w:numPr>
              <w:ind w:left="252" w:hanging="198"/>
              <w:jc w:val="left"/>
              <w:rPr>
                <w:sz w:val="17"/>
                <w:szCs w:val="17"/>
                <w:lang w:val="en-GB"/>
              </w:rPr>
            </w:pPr>
            <w:r w:rsidRPr="00D6631F">
              <w:rPr>
                <w:sz w:val="17"/>
                <w:szCs w:val="17"/>
                <w:lang w:val="en-GB"/>
              </w:rPr>
              <w:t>recommendation</w:t>
            </w:r>
          </w:p>
          <w:p w14:paraId="49BC0DDA" w14:textId="77777777" w:rsidR="00503105" w:rsidRPr="00D6631F" w:rsidRDefault="00503105" w:rsidP="00B14F7F">
            <w:pPr>
              <w:pStyle w:val="ExhibitText"/>
              <w:jc w:val="left"/>
              <w:rPr>
                <w:sz w:val="17"/>
                <w:szCs w:val="17"/>
                <w:lang w:val="en-GB"/>
              </w:rPr>
            </w:pPr>
          </w:p>
          <w:p w14:paraId="08752B45" w14:textId="77777777" w:rsidR="00503105" w:rsidRPr="00D6631F" w:rsidRDefault="00503105" w:rsidP="00B14F7F">
            <w:pPr>
              <w:pStyle w:val="ExhibitText"/>
              <w:jc w:val="left"/>
              <w:rPr>
                <w:i/>
                <w:sz w:val="17"/>
                <w:szCs w:val="17"/>
                <w:lang w:val="en-GB"/>
              </w:rPr>
            </w:pPr>
            <w:r w:rsidRPr="00D6631F">
              <w:rPr>
                <w:i/>
                <w:sz w:val="17"/>
                <w:szCs w:val="17"/>
                <w:lang w:val="en-GB"/>
              </w:rPr>
              <w:t>Continuation</w:t>
            </w:r>
          </w:p>
          <w:p w14:paraId="637680A2" w14:textId="77777777" w:rsidR="00503105" w:rsidRPr="00D6631F" w:rsidRDefault="00503105" w:rsidP="00B14F7F">
            <w:pPr>
              <w:pStyle w:val="ExhibitText"/>
              <w:jc w:val="left"/>
              <w:rPr>
                <w:i/>
                <w:sz w:val="17"/>
                <w:szCs w:val="17"/>
                <w:lang w:val="en-GB"/>
              </w:rPr>
            </w:pPr>
          </w:p>
          <w:p w14:paraId="1209A2CD" w14:textId="54BADA36" w:rsidR="00503105" w:rsidRPr="00D6631F" w:rsidRDefault="001E55E9" w:rsidP="001E55E9">
            <w:pPr>
              <w:pStyle w:val="ExhibitText"/>
              <w:numPr>
                <w:ilvl w:val="0"/>
                <w:numId w:val="16"/>
              </w:numPr>
              <w:ind w:left="252" w:hanging="180"/>
              <w:jc w:val="left"/>
              <w:rPr>
                <w:sz w:val="17"/>
                <w:szCs w:val="17"/>
                <w:lang w:val="en-GB"/>
              </w:rPr>
            </w:pPr>
            <w:r w:rsidRPr="00D6631F">
              <w:rPr>
                <w:sz w:val="17"/>
                <w:szCs w:val="17"/>
                <w:lang w:val="en-GB"/>
              </w:rPr>
              <w:t>convenience</w:t>
            </w:r>
          </w:p>
          <w:p w14:paraId="16B756CF" w14:textId="2CDE73DC" w:rsidR="00503105" w:rsidRPr="00D6631F" w:rsidRDefault="001E55E9" w:rsidP="001E55E9">
            <w:pPr>
              <w:pStyle w:val="ExhibitText"/>
              <w:numPr>
                <w:ilvl w:val="0"/>
                <w:numId w:val="16"/>
              </w:numPr>
              <w:ind w:left="252" w:hanging="180"/>
              <w:jc w:val="left"/>
              <w:rPr>
                <w:sz w:val="17"/>
                <w:szCs w:val="17"/>
                <w:lang w:val="en-GB"/>
              </w:rPr>
            </w:pPr>
            <w:r w:rsidRPr="00D6631F">
              <w:rPr>
                <w:sz w:val="17"/>
                <w:szCs w:val="17"/>
                <w:lang w:val="en-GB"/>
              </w:rPr>
              <w:t xml:space="preserve">value </w:t>
            </w:r>
            <w:r w:rsidR="00503105" w:rsidRPr="00D6631F">
              <w:rPr>
                <w:sz w:val="17"/>
                <w:szCs w:val="17"/>
                <w:lang w:val="en-GB"/>
              </w:rPr>
              <w:t>for money</w:t>
            </w:r>
          </w:p>
        </w:tc>
        <w:tc>
          <w:tcPr>
            <w:tcW w:w="1710" w:type="dxa"/>
          </w:tcPr>
          <w:p w14:paraId="128A0FDB" w14:textId="73A7955C" w:rsidR="00503105" w:rsidRPr="00D6631F" w:rsidRDefault="001E55E9" w:rsidP="005248F9">
            <w:pPr>
              <w:pStyle w:val="ExhibitText"/>
              <w:numPr>
                <w:ilvl w:val="0"/>
                <w:numId w:val="16"/>
              </w:numPr>
              <w:ind w:left="252" w:hanging="252"/>
              <w:jc w:val="left"/>
              <w:rPr>
                <w:sz w:val="17"/>
                <w:szCs w:val="17"/>
                <w:lang w:val="en-GB"/>
              </w:rPr>
            </w:pPr>
            <w:r w:rsidRPr="00D6631F">
              <w:rPr>
                <w:sz w:val="17"/>
                <w:szCs w:val="17"/>
                <w:lang w:val="en-GB"/>
              </w:rPr>
              <w:t>dissatisfaction</w:t>
            </w:r>
          </w:p>
          <w:p w14:paraId="558EF111" w14:textId="1807EDA7" w:rsidR="00503105" w:rsidRPr="00D6631F" w:rsidRDefault="001E55E9" w:rsidP="005248F9">
            <w:pPr>
              <w:pStyle w:val="ExhibitText"/>
              <w:numPr>
                <w:ilvl w:val="0"/>
                <w:numId w:val="16"/>
              </w:numPr>
              <w:ind w:left="252" w:hanging="252"/>
              <w:jc w:val="left"/>
              <w:rPr>
                <w:sz w:val="17"/>
                <w:szCs w:val="17"/>
                <w:lang w:val="en-GB"/>
              </w:rPr>
            </w:pPr>
            <w:r w:rsidRPr="00D6631F">
              <w:rPr>
                <w:sz w:val="17"/>
                <w:szCs w:val="17"/>
                <w:lang w:val="en-GB"/>
              </w:rPr>
              <w:t xml:space="preserve">preference for </w:t>
            </w:r>
            <w:r w:rsidR="00503105" w:rsidRPr="00D6631F">
              <w:rPr>
                <w:sz w:val="17"/>
                <w:szCs w:val="17"/>
                <w:lang w:val="en-GB"/>
              </w:rPr>
              <w:t>buy</w:t>
            </w:r>
            <w:r w:rsidRPr="00D6631F">
              <w:rPr>
                <w:sz w:val="17"/>
                <w:szCs w:val="17"/>
                <w:lang w:val="en-GB"/>
              </w:rPr>
              <w:t>ing</w:t>
            </w:r>
            <w:r w:rsidR="00503105" w:rsidRPr="00D6631F">
              <w:rPr>
                <w:sz w:val="17"/>
                <w:szCs w:val="17"/>
                <w:lang w:val="en-GB"/>
              </w:rPr>
              <w:t xml:space="preserve"> when needed</w:t>
            </w:r>
          </w:p>
        </w:tc>
      </w:tr>
      <w:tr w:rsidR="00184FBB" w:rsidRPr="00D6631F" w14:paraId="010508A8" w14:textId="77777777" w:rsidTr="005248F9">
        <w:trPr>
          <w:trHeight w:val="2249"/>
        </w:trPr>
        <w:tc>
          <w:tcPr>
            <w:tcW w:w="1350" w:type="dxa"/>
          </w:tcPr>
          <w:p w14:paraId="3C56791C" w14:textId="77777777" w:rsidR="00503105" w:rsidRPr="00D6631F" w:rsidRDefault="00503105" w:rsidP="00B14F7F">
            <w:pPr>
              <w:pStyle w:val="ExhibitText"/>
              <w:jc w:val="left"/>
              <w:rPr>
                <w:sz w:val="17"/>
                <w:szCs w:val="17"/>
                <w:lang w:val="en-GB"/>
              </w:rPr>
            </w:pPr>
            <w:r w:rsidRPr="00D6631F">
              <w:rPr>
                <w:sz w:val="17"/>
                <w:szCs w:val="17"/>
                <w:lang w:val="en-GB"/>
              </w:rPr>
              <w:t>Curation</w:t>
            </w:r>
          </w:p>
        </w:tc>
        <w:tc>
          <w:tcPr>
            <w:tcW w:w="1530" w:type="dxa"/>
          </w:tcPr>
          <w:p w14:paraId="5C70F8EB" w14:textId="76F1D1F6" w:rsidR="00503105" w:rsidRPr="00D6631F" w:rsidRDefault="001E55E9" w:rsidP="005248F9">
            <w:pPr>
              <w:pStyle w:val="ExhibitText"/>
              <w:numPr>
                <w:ilvl w:val="0"/>
                <w:numId w:val="28"/>
              </w:numPr>
              <w:ind w:left="162" w:hanging="180"/>
              <w:jc w:val="left"/>
              <w:rPr>
                <w:sz w:val="17"/>
                <w:szCs w:val="17"/>
                <w:lang w:val="en-GB"/>
              </w:rPr>
            </w:pPr>
            <w:r w:rsidRPr="00D6631F">
              <w:rPr>
                <w:sz w:val="17"/>
                <w:szCs w:val="17"/>
                <w:lang w:val="en-GB"/>
              </w:rPr>
              <w:t xml:space="preserve">carefully </w:t>
            </w:r>
            <w:r w:rsidR="00503105" w:rsidRPr="00D6631F">
              <w:rPr>
                <w:sz w:val="17"/>
                <w:szCs w:val="17"/>
                <w:lang w:val="en-GB"/>
              </w:rPr>
              <w:t>selected items with a wide array of levels of consumer involvement and decision making (e.g., Birchbox, HelloFresh, Blue Apron)</w:t>
            </w:r>
          </w:p>
          <w:p w14:paraId="2B42D2BB" w14:textId="77777777" w:rsidR="00C74434" w:rsidRPr="00D6631F" w:rsidRDefault="00C74434" w:rsidP="00B14F7F">
            <w:pPr>
              <w:pStyle w:val="ExhibitText"/>
              <w:jc w:val="left"/>
              <w:rPr>
                <w:sz w:val="17"/>
                <w:szCs w:val="17"/>
                <w:lang w:val="en-GB"/>
              </w:rPr>
            </w:pPr>
          </w:p>
          <w:p w14:paraId="4CDF350A" w14:textId="2310342D" w:rsidR="001E55E9" w:rsidRPr="00D6631F" w:rsidRDefault="00503105" w:rsidP="00452AA9">
            <w:pPr>
              <w:pStyle w:val="ExhibitText"/>
              <w:jc w:val="left"/>
              <w:rPr>
                <w:sz w:val="17"/>
                <w:szCs w:val="17"/>
                <w:lang w:val="en-GB"/>
              </w:rPr>
            </w:pPr>
            <w:r w:rsidRPr="00D6631F">
              <w:rPr>
                <w:i/>
                <w:sz w:val="17"/>
                <w:szCs w:val="17"/>
                <w:lang w:val="en-GB"/>
              </w:rPr>
              <w:t>Primary Categories</w:t>
            </w:r>
            <w:r w:rsidR="001E55E9" w:rsidRPr="00D6631F">
              <w:rPr>
                <w:sz w:val="17"/>
                <w:szCs w:val="17"/>
                <w:lang w:val="en-GB"/>
              </w:rPr>
              <w:t>:</w:t>
            </w:r>
          </w:p>
          <w:p w14:paraId="750A2FBA" w14:textId="2A02A843" w:rsidR="00503105" w:rsidRPr="00D6631F" w:rsidRDefault="00503105" w:rsidP="005248F9">
            <w:pPr>
              <w:pStyle w:val="ExhibitText"/>
              <w:numPr>
                <w:ilvl w:val="0"/>
                <w:numId w:val="29"/>
              </w:numPr>
              <w:ind w:left="162" w:hanging="162"/>
              <w:jc w:val="left"/>
              <w:rPr>
                <w:sz w:val="17"/>
                <w:szCs w:val="17"/>
                <w:lang w:val="en-GB"/>
              </w:rPr>
            </w:pPr>
            <w:r w:rsidRPr="00D6631F">
              <w:rPr>
                <w:sz w:val="17"/>
                <w:szCs w:val="17"/>
                <w:lang w:val="en-GB"/>
              </w:rPr>
              <w:t>apparel, food, beauty products</w:t>
            </w:r>
          </w:p>
        </w:tc>
        <w:tc>
          <w:tcPr>
            <w:tcW w:w="1440" w:type="dxa"/>
          </w:tcPr>
          <w:p w14:paraId="68E80DD4" w14:textId="247D5545" w:rsidR="001E55E9" w:rsidRPr="00D6631F" w:rsidRDefault="001E55E9" w:rsidP="005248F9">
            <w:pPr>
              <w:pStyle w:val="ExhibitText"/>
              <w:numPr>
                <w:ilvl w:val="0"/>
                <w:numId w:val="24"/>
              </w:numPr>
              <w:ind w:left="162" w:hanging="180"/>
              <w:jc w:val="left"/>
              <w:rPr>
                <w:sz w:val="17"/>
                <w:szCs w:val="17"/>
                <w:lang w:val="en-GB"/>
              </w:rPr>
            </w:pPr>
            <w:r w:rsidRPr="00D6631F">
              <w:rPr>
                <w:sz w:val="17"/>
                <w:szCs w:val="17"/>
                <w:lang w:val="en-GB"/>
              </w:rPr>
              <w:t xml:space="preserve">outsourcing </w:t>
            </w:r>
            <w:r w:rsidR="00503105" w:rsidRPr="00D6631F">
              <w:rPr>
                <w:sz w:val="17"/>
                <w:szCs w:val="17"/>
                <w:lang w:val="en-GB"/>
              </w:rPr>
              <w:t>the selection process to experts in the field</w:t>
            </w:r>
          </w:p>
          <w:p w14:paraId="22D5E30A" w14:textId="296768F1" w:rsidR="00503105" w:rsidRPr="00D6631F" w:rsidRDefault="00503105" w:rsidP="005248F9">
            <w:pPr>
              <w:pStyle w:val="ExhibitText"/>
              <w:numPr>
                <w:ilvl w:val="0"/>
                <w:numId w:val="24"/>
              </w:numPr>
              <w:ind w:left="162" w:hanging="180"/>
              <w:jc w:val="left"/>
              <w:rPr>
                <w:sz w:val="17"/>
                <w:szCs w:val="17"/>
                <w:lang w:val="en-GB"/>
              </w:rPr>
            </w:pPr>
            <w:r w:rsidRPr="00D6631F">
              <w:rPr>
                <w:sz w:val="17"/>
                <w:szCs w:val="17"/>
                <w:lang w:val="en-GB"/>
              </w:rPr>
              <w:t>exposure to products one may not have heard of</w:t>
            </w:r>
          </w:p>
        </w:tc>
        <w:tc>
          <w:tcPr>
            <w:tcW w:w="1350" w:type="dxa"/>
          </w:tcPr>
          <w:p w14:paraId="0273C2D7" w14:textId="77777777" w:rsidR="00503105" w:rsidRPr="00D6631F" w:rsidRDefault="00503105" w:rsidP="00B14F7F">
            <w:pPr>
              <w:pStyle w:val="ExhibitText"/>
              <w:jc w:val="center"/>
              <w:rPr>
                <w:sz w:val="17"/>
                <w:szCs w:val="17"/>
                <w:lang w:val="en-GB"/>
              </w:rPr>
            </w:pPr>
            <w:r w:rsidRPr="00D6631F">
              <w:rPr>
                <w:sz w:val="17"/>
                <w:szCs w:val="17"/>
                <w:lang w:val="en-GB"/>
              </w:rPr>
              <w:t>55</w:t>
            </w:r>
          </w:p>
        </w:tc>
        <w:tc>
          <w:tcPr>
            <w:tcW w:w="1980" w:type="dxa"/>
          </w:tcPr>
          <w:p w14:paraId="2E065B2B" w14:textId="77777777" w:rsidR="00503105" w:rsidRPr="00D6631F" w:rsidRDefault="00503105" w:rsidP="00B14F7F">
            <w:pPr>
              <w:pStyle w:val="ExhibitText"/>
              <w:jc w:val="left"/>
              <w:rPr>
                <w:i/>
                <w:sz w:val="17"/>
                <w:szCs w:val="17"/>
                <w:lang w:val="en-GB"/>
              </w:rPr>
            </w:pPr>
            <w:r w:rsidRPr="00D6631F">
              <w:rPr>
                <w:i/>
                <w:sz w:val="17"/>
                <w:szCs w:val="17"/>
                <w:lang w:val="en-GB"/>
              </w:rPr>
              <w:t>Acquisition</w:t>
            </w:r>
          </w:p>
          <w:p w14:paraId="2779FE78" w14:textId="77777777" w:rsidR="00503105" w:rsidRPr="00D6631F" w:rsidRDefault="00503105" w:rsidP="00B14F7F">
            <w:pPr>
              <w:pStyle w:val="ExhibitText"/>
              <w:jc w:val="left"/>
              <w:rPr>
                <w:i/>
                <w:sz w:val="17"/>
                <w:szCs w:val="17"/>
                <w:lang w:val="en-GB"/>
              </w:rPr>
            </w:pPr>
          </w:p>
          <w:p w14:paraId="44E448C8" w14:textId="0BEF1F86" w:rsidR="00503105" w:rsidRPr="00D6631F" w:rsidRDefault="001E55E9" w:rsidP="001E55E9">
            <w:pPr>
              <w:pStyle w:val="ExhibitText"/>
              <w:numPr>
                <w:ilvl w:val="0"/>
                <w:numId w:val="18"/>
              </w:numPr>
              <w:ind w:left="252" w:hanging="180"/>
              <w:jc w:val="left"/>
              <w:rPr>
                <w:sz w:val="17"/>
                <w:szCs w:val="17"/>
                <w:lang w:val="en-GB"/>
              </w:rPr>
            </w:pPr>
            <w:r w:rsidRPr="00D6631F">
              <w:rPr>
                <w:sz w:val="17"/>
                <w:szCs w:val="17"/>
                <w:lang w:val="en-GB"/>
              </w:rPr>
              <w:t xml:space="preserve">chance </w:t>
            </w:r>
            <w:r w:rsidR="00503105" w:rsidRPr="00D6631F">
              <w:rPr>
                <w:sz w:val="17"/>
                <w:szCs w:val="17"/>
                <w:lang w:val="en-GB"/>
              </w:rPr>
              <w:t>to try something new</w:t>
            </w:r>
          </w:p>
          <w:p w14:paraId="04C8E811" w14:textId="6098A48E" w:rsidR="00503105" w:rsidRPr="00D6631F" w:rsidRDefault="001E55E9" w:rsidP="001E55E9">
            <w:pPr>
              <w:pStyle w:val="ExhibitText"/>
              <w:numPr>
                <w:ilvl w:val="0"/>
                <w:numId w:val="18"/>
              </w:numPr>
              <w:ind w:left="252" w:hanging="180"/>
              <w:jc w:val="left"/>
              <w:rPr>
                <w:sz w:val="17"/>
                <w:szCs w:val="17"/>
                <w:lang w:val="en-GB"/>
              </w:rPr>
            </w:pPr>
            <w:r w:rsidRPr="00D6631F">
              <w:rPr>
                <w:sz w:val="17"/>
                <w:szCs w:val="17"/>
                <w:lang w:val="en-GB"/>
              </w:rPr>
              <w:t>recommendation</w:t>
            </w:r>
          </w:p>
          <w:p w14:paraId="15B6D71E" w14:textId="77777777" w:rsidR="00503105" w:rsidRPr="00D6631F" w:rsidRDefault="00503105" w:rsidP="00B14F7F">
            <w:pPr>
              <w:pStyle w:val="ExhibitText"/>
              <w:jc w:val="left"/>
              <w:rPr>
                <w:sz w:val="17"/>
                <w:szCs w:val="17"/>
                <w:lang w:val="en-GB"/>
              </w:rPr>
            </w:pPr>
          </w:p>
          <w:p w14:paraId="2A7B8BA0" w14:textId="77777777" w:rsidR="00503105" w:rsidRPr="00D6631F" w:rsidRDefault="00503105" w:rsidP="00B14F7F">
            <w:pPr>
              <w:pStyle w:val="ExhibitText"/>
              <w:jc w:val="left"/>
              <w:rPr>
                <w:i/>
                <w:sz w:val="17"/>
                <w:szCs w:val="17"/>
                <w:lang w:val="en-GB"/>
              </w:rPr>
            </w:pPr>
            <w:r w:rsidRPr="00D6631F">
              <w:rPr>
                <w:i/>
                <w:sz w:val="17"/>
                <w:szCs w:val="17"/>
                <w:lang w:val="en-GB"/>
              </w:rPr>
              <w:t>Continuation</w:t>
            </w:r>
          </w:p>
          <w:p w14:paraId="74D32670" w14:textId="77777777" w:rsidR="00503105" w:rsidRPr="00D6631F" w:rsidRDefault="00503105" w:rsidP="00B14F7F">
            <w:pPr>
              <w:pStyle w:val="ExhibitText"/>
              <w:jc w:val="left"/>
              <w:rPr>
                <w:i/>
                <w:sz w:val="17"/>
                <w:szCs w:val="17"/>
                <w:lang w:val="en-GB"/>
              </w:rPr>
            </w:pPr>
          </w:p>
          <w:p w14:paraId="60A83C7C" w14:textId="303BE9E4" w:rsidR="00503105" w:rsidRPr="00D6631F" w:rsidRDefault="001E55E9" w:rsidP="001E55E9">
            <w:pPr>
              <w:pStyle w:val="ExhibitText"/>
              <w:numPr>
                <w:ilvl w:val="0"/>
                <w:numId w:val="19"/>
              </w:numPr>
              <w:ind w:left="252" w:hanging="180"/>
              <w:jc w:val="left"/>
              <w:rPr>
                <w:sz w:val="17"/>
                <w:szCs w:val="17"/>
                <w:lang w:val="en-GB"/>
              </w:rPr>
            </w:pPr>
            <w:r w:rsidRPr="00D6631F">
              <w:rPr>
                <w:sz w:val="17"/>
                <w:szCs w:val="17"/>
                <w:lang w:val="en-GB"/>
              </w:rPr>
              <w:t xml:space="preserve">personalized </w:t>
            </w:r>
            <w:r w:rsidR="00503105" w:rsidRPr="00D6631F">
              <w:rPr>
                <w:sz w:val="17"/>
                <w:szCs w:val="17"/>
                <w:lang w:val="en-GB"/>
              </w:rPr>
              <w:t>experience</w:t>
            </w:r>
          </w:p>
          <w:p w14:paraId="31254634" w14:textId="627D3135" w:rsidR="00503105" w:rsidRPr="00D6631F" w:rsidRDefault="001E55E9" w:rsidP="001E55E9">
            <w:pPr>
              <w:pStyle w:val="ExhibitText"/>
              <w:numPr>
                <w:ilvl w:val="0"/>
                <w:numId w:val="19"/>
              </w:numPr>
              <w:ind w:left="252" w:hanging="180"/>
              <w:jc w:val="left"/>
              <w:rPr>
                <w:sz w:val="17"/>
                <w:szCs w:val="17"/>
                <w:lang w:val="en-GB"/>
              </w:rPr>
            </w:pPr>
            <w:r w:rsidRPr="00D6631F">
              <w:rPr>
                <w:sz w:val="17"/>
                <w:szCs w:val="17"/>
                <w:lang w:val="en-GB"/>
              </w:rPr>
              <w:t xml:space="preserve">surprise </w:t>
            </w:r>
            <w:r w:rsidR="00503105" w:rsidRPr="00D6631F">
              <w:rPr>
                <w:sz w:val="17"/>
                <w:szCs w:val="17"/>
                <w:lang w:val="en-GB"/>
              </w:rPr>
              <w:t>and delight</w:t>
            </w:r>
          </w:p>
        </w:tc>
        <w:tc>
          <w:tcPr>
            <w:tcW w:w="1710" w:type="dxa"/>
          </w:tcPr>
          <w:p w14:paraId="7E02F49B" w14:textId="0E171D7B" w:rsidR="00503105" w:rsidRPr="00D6631F" w:rsidRDefault="001E55E9" w:rsidP="005248F9">
            <w:pPr>
              <w:pStyle w:val="ExhibitText"/>
              <w:numPr>
                <w:ilvl w:val="0"/>
                <w:numId w:val="17"/>
              </w:numPr>
              <w:ind w:left="252" w:hanging="252"/>
              <w:jc w:val="left"/>
              <w:rPr>
                <w:sz w:val="17"/>
                <w:szCs w:val="17"/>
                <w:lang w:val="en-GB"/>
              </w:rPr>
            </w:pPr>
            <w:r w:rsidRPr="00D6631F">
              <w:rPr>
                <w:sz w:val="17"/>
                <w:szCs w:val="17"/>
                <w:lang w:val="en-GB"/>
              </w:rPr>
              <w:t xml:space="preserve">value </w:t>
            </w:r>
            <w:r w:rsidR="00503105" w:rsidRPr="00D6631F">
              <w:rPr>
                <w:sz w:val="17"/>
                <w:szCs w:val="17"/>
                <w:lang w:val="en-GB"/>
              </w:rPr>
              <w:t>for money</w:t>
            </w:r>
          </w:p>
          <w:p w14:paraId="526ED598" w14:textId="31463B1B" w:rsidR="00503105" w:rsidRPr="00D6631F" w:rsidRDefault="001E55E9" w:rsidP="005248F9">
            <w:pPr>
              <w:pStyle w:val="ExhibitText"/>
              <w:numPr>
                <w:ilvl w:val="0"/>
                <w:numId w:val="17"/>
              </w:numPr>
              <w:ind w:left="252" w:hanging="252"/>
              <w:jc w:val="left"/>
              <w:rPr>
                <w:sz w:val="17"/>
                <w:szCs w:val="17"/>
                <w:lang w:val="en-GB"/>
              </w:rPr>
            </w:pPr>
            <w:r w:rsidRPr="00D6631F">
              <w:rPr>
                <w:sz w:val="17"/>
                <w:szCs w:val="17"/>
                <w:lang w:val="en-GB"/>
              </w:rPr>
              <w:t>dissatisfaction</w:t>
            </w:r>
          </w:p>
        </w:tc>
      </w:tr>
      <w:tr w:rsidR="00184FBB" w:rsidRPr="00D6631F" w14:paraId="09597BAF" w14:textId="77777777" w:rsidTr="005248F9">
        <w:trPr>
          <w:trHeight w:val="2960"/>
        </w:trPr>
        <w:tc>
          <w:tcPr>
            <w:tcW w:w="1350" w:type="dxa"/>
          </w:tcPr>
          <w:p w14:paraId="3929BFBE" w14:textId="77777777" w:rsidR="00503105" w:rsidRPr="00D6631F" w:rsidRDefault="00503105" w:rsidP="00B14F7F">
            <w:pPr>
              <w:pStyle w:val="ExhibitText"/>
              <w:jc w:val="left"/>
              <w:rPr>
                <w:sz w:val="17"/>
                <w:szCs w:val="17"/>
                <w:lang w:val="en-GB"/>
              </w:rPr>
            </w:pPr>
            <w:r w:rsidRPr="00D6631F">
              <w:rPr>
                <w:sz w:val="17"/>
                <w:szCs w:val="17"/>
                <w:lang w:val="en-GB"/>
              </w:rPr>
              <w:t>Access</w:t>
            </w:r>
          </w:p>
        </w:tc>
        <w:tc>
          <w:tcPr>
            <w:tcW w:w="1530" w:type="dxa"/>
          </w:tcPr>
          <w:p w14:paraId="11ADA409" w14:textId="40F5B871" w:rsidR="00503105" w:rsidRPr="00D6631F" w:rsidRDefault="001E55E9" w:rsidP="005248F9">
            <w:pPr>
              <w:pStyle w:val="ExhibitText"/>
              <w:numPr>
                <w:ilvl w:val="0"/>
                <w:numId w:val="30"/>
              </w:numPr>
              <w:ind w:left="72" w:hanging="180"/>
              <w:jc w:val="left"/>
              <w:rPr>
                <w:sz w:val="17"/>
                <w:szCs w:val="17"/>
                <w:lang w:val="en-GB"/>
              </w:rPr>
            </w:pPr>
            <w:r w:rsidRPr="00D6631F">
              <w:rPr>
                <w:sz w:val="17"/>
                <w:szCs w:val="17"/>
                <w:lang w:val="en-GB"/>
              </w:rPr>
              <w:t xml:space="preserve">exclusive </w:t>
            </w:r>
            <w:r w:rsidR="00503105" w:rsidRPr="00D6631F">
              <w:rPr>
                <w:sz w:val="17"/>
                <w:szCs w:val="17"/>
                <w:lang w:val="en-GB"/>
              </w:rPr>
              <w:t>access to products and/or services (</w:t>
            </w:r>
            <w:r w:rsidRPr="00D6631F">
              <w:rPr>
                <w:sz w:val="17"/>
                <w:szCs w:val="17"/>
                <w:lang w:val="en-GB"/>
              </w:rPr>
              <w:t xml:space="preserve">e.g., </w:t>
            </w:r>
            <w:r w:rsidR="00503105" w:rsidRPr="00D6631F">
              <w:rPr>
                <w:sz w:val="17"/>
                <w:szCs w:val="17"/>
                <w:lang w:val="en-GB"/>
              </w:rPr>
              <w:t>Amazon Prime, NatureBox, Thrive Market</w:t>
            </w:r>
            <w:r w:rsidRPr="00D6631F">
              <w:rPr>
                <w:sz w:val="17"/>
                <w:szCs w:val="17"/>
                <w:lang w:val="en-GB"/>
              </w:rPr>
              <w:t>)</w:t>
            </w:r>
          </w:p>
          <w:p w14:paraId="537ADB7B" w14:textId="77777777" w:rsidR="00C74434" w:rsidRPr="00D6631F" w:rsidRDefault="00C74434" w:rsidP="00B14F7F">
            <w:pPr>
              <w:pStyle w:val="ExhibitText"/>
              <w:jc w:val="left"/>
              <w:rPr>
                <w:sz w:val="17"/>
                <w:szCs w:val="17"/>
                <w:lang w:val="en-GB"/>
              </w:rPr>
            </w:pPr>
          </w:p>
          <w:p w14:paraId="64F9E5A9" w14:textId="6FE7CC74" w:rsidR="001E55E9" w:rsidRPr="00D6631F" w:rsidRDefault="00503105" w:rsidP="00452AA9">
            <w:pPr>
              <w:pStyle w:val="ExhibitText"/>
              <w:jc w:val="left"/>
              <w:rPr>
                <w:sz w:val="17"/>
                <w:szCs w:val="17"/>
                <w:lang w:val="en-GB"/>
              </w:rPr>
            </w:pPr>
            <w:r w:rsidRPr="00D6631F">
              <w:rPr>
                <w:i/>
                <w:sz w:val="17"/>
                <w:szCs w:val="17"/>
                <w:lang w:val="en-GB"/>
              </w:rPr>
              <w:t>Primary Categories</w:t>
            </w:r>
            <w:r w:rsidR="001E55E9" w:rsidRPr="00D6631F">
              <w:rPr>
                <w:i/>
                <w:sz w:val="17"/>
                <w:szCs w:val="17"/>
                <w:lang w:val="en-GB"/>
              </w:rPr>
              <w:t>:</w:t>
            </w:r>
          </w:p>
          <w:p w14:paraId="0E38E5EA" w14:textId="69001BE2" w:rsidR="001E55E9" w:rsidRPr="00D6631F" w:rsidRDefault="005946E7" w:rsidP="005248F9">
            <w:pPr>
              <w:pStyle w:val="ExhibitText"/>
              <w:numPr>
                <w:ilvl w:val="0"/>
                <w:numId w:val="32"/>
              </w:numPr>
              <w:ind w:left="72" w:hanging="180"/>
              <w:jc w:val="left"/>
              <w:rPr>
                <w:sz w:val="17"/>
                <w:szCs w:val="17"/>
                <w:lang w:val="en-GB"/>
              </w:rPr>
            </w:pPr>
            <w:r w:rsidRPr="00D6631F">
              <w:rPr>
                <w:sz w:val="17"/>
                <w:szCs w:val="17"/>
                <w:lang w:val="en-GB"/>
              </w:rPr>
              <w:t>food</w:t>
            </w:r>
            <w:r w:rsidR="00503105" w:rsidRPr="00D6631F">
              <w:rPr>
                <w:sz w:val="17"/>
                <w:szCs w:val="17"/>
                <w:lang w:val="en-GB"/>
              </w:rPr>
              <w:t>, apparel</w:t>
            </w:r>
          </w:p>
          <w:p w14:paraId="73A0DAA0" w14:textId="77777777" w:rsidR="00503105" w:rsidRPr="00D6631F" w:rsidRDefault="00503105" w:rsidP="00452AA9">
            <w:pPr>
              <w:pStyle w:val="ExhibitText"/>
              <w:jc w:val="left"/>
              <w:rPr>
                <w:sz w:val="17"/>
                <w:szCs w:val="17"/>
                <w:lang w:val="en-GB"/>
              </w:rPr>
            </w:pPr>
          </w:p>
        </w:tc>
        <w:tc>
          <w:tcPr>
            <w:tcW w:w="1440" w:type="dxa"/>
          </w:tcPr>
          <w:p w14:paraId="73ADCECA" w14:textId="05BDF949" w:rsidR="001E55E9" w:rsidRPr="00D6631F" w:rsidRDefault="000B6E54" w:rsidP="005248F9">
            <w:pPr>
              <w:pStyle w:val="ExhibitText"/>
              <w:numPr>
                <w:ilvl w:val="0"/>
                <w:numId w:val="25"/>
              </w:numPr>
              <w:ind w:left="162" w:hanging="180"/>
              <w:jc w:val="left"/>
              <w:rPr>
                <w:sz w:val="17"/>
                <w:szCs w:val="17"/>
                <w:lang w:val="en-GB"/>
              </w:rPr>
            </w:pPr>
            <w:r>
              <w:rPr>
                <w:sz w:val="17"/>
                <w:szCs w:val="17"/>
                <w:lang w:val="en-GB"/>
              </w:rPr>
              <w:t>access to</w:t>
            </w:r>
            <w:r w:rsidRPr="00D6631F">
              <w:rPr>
                <w:sz w:val="17"/>
                <w:szCs w:val="17"/>
                <w:lang w:val="en-GB"/>
              </w:rPr>
              <w:t xml:space="preserve"> </w:t>
            </w:r>
            <w:r w:rsidR="00503105" w:rsidRPr="00D6631F">
              <w:rPr>
                <w:sz w:val="17"/>
                <w:szCs w:val="17"/>
                <w:lang w:val="en-GB"/>
              </w:rPr>
              <w:t>what is not available to the public at large</w:t>
            </w:r>
          </w:p>
          <w:p w14:paraId="7CF029ED" w14:textId="6DE3069A" w:rsidR="00503105" w:rsidRPr="00D6631F" w:rsidRDefault="00503105" w:rsidP="005248F9">
            <w:pPr>
              <w:pStyle w:val="ExhibitText"/>
              <w:numPr>
                <w:ilvl w:val="0"/>
                <w:numId w:val="25"/>
              </w:numPr>
              <w:ind w:left="162" w:hanging="180"/>
              <w:jc w:val="left"/>
              <w:rPr>
                <w:sz w:val="17"/>
                <w:szCs w:val="17"/>
                <w:lang w:val="en-GB"/>
              </w:rPr>
            </w:pPr>
            <w:r w:rsidRPr="00D6631F">
              <w:rPr>
                <w:sz w:val="17"/>
                <w:szCs w:val="17"/>
                <w:lang w:val="en-GB"/>
              </w:rPr>
              <w:t>cost savings</w:t>
            </w:r>
          </w:p>
        </w:tc>
        <w:tc>
          <w:tcPr>
            <w:tcW w:w="1350" w:type="dxa"/>
          </w:tcPr>
          <w:p w14:paraId="24856867" w14:textId="77777777" w:rsidR="00503105" w:rsidRPr="00D6631F" w:rsidRDefault="00503105" w:rsidP="00B14F7F">
            <w:pPr>
              <w:pStyle w:val="ExhibitText"/>
              <w:jc w:val="center"/>
              <w:rPr>
                <w:sz w:val="17"/>
                <w:szCs w:val="17"/>
                <w:lang w:val="en-GB"/>
              </w:rPr>
            </w:pPr>
            <w:r w:rsidRPr="00D6631F">
              <w:rPr>
                <w:sz w:val="17"/>
                <w:szCs w:val="17"/>
                <w:lang w:val="en-GB"/>
              </w:rPr>
              <w:t>13</w:t>
            </w:r>
          </w:p>
        </w:tc>
        <w:tc>
          <w:tcPr>
            <w:tcW w:w="1980" w:type="dxa"/>
          </w:tcPr>
          <w:p w14:paraId="2D030246" w14:textId="77777777" w:rsidR="00503105" w:rsidRPr="00D6631F" w:rsidRDefault="00503105" w:rsidP="00B14F7F">
            <w:pPr>
              <w:pStyle w:val="ExhibitText"/>
              <w:jc w:val="left"/>
              <w:rPr>
                <w:i/>
                <w:sz w:val="17"/>
                <w:szCs w:val="17"/>
                <w:lang w:val="en-GB"/>
              </w:rPr>
            </w:pPr>
            <w:r w:rsidRPr="00D6631F">
              <w:rPr>
                <w:i/>
                <w:sz w:val="17"/>
                <w:szCs w:val="17"/>
                <w:lang w:val="en-GB"/>
              </w:rPr>
              <w:t>Acquisition</w:t>
            </w:r>
          </w:p>
          <w:p w14:paraId="7450BFD8" w14:textId="77777777" w:rsidR="00503105" w:rsidRPr="00D6631F" w:rsidRDefault="00503105" w:rsidP="00B14F7F">
            <w:pPr>
              <w:pStyle w:val="ExhibitText"/>
              <w:jc w:val="left"/>
              <w:rPr>
                <w:i/>
                <w:sz w:val="17"/>
                <w:szCs w:val="17"/>
                <w:lang w:val="en-GB"/>
              </w:rPr>
            </w:pPr>
          </w:p>
          <w:p w14:paraId="677AFC83" w14:textId="06D87716" w:rsidR="00503105" w:rsidRPr="00D6631F" w:rsidRDefault="001E55E9" w:rsidP="00D3639D">
            <w:pPr>
              <w:pStyle w:val="ExhibitText"/>
              <w:numPr>
                <w:ilvl w:val="0"/>
                <w:numId w:val="21"/>
              </w:numPr>
              <w:ind w:left="252" w:hanging="252"/>
              <w:jc w:val="left"/>
              <w:rPr>
                <w:sz w:val="17"/>
                <w:szCs w:val="17"/>
                <w:lang w:val="en-GB"/>
              </w:rPr>
            </w:pPr>
            <w:r w:rsidRPr="00D6631F">
              <w:rPr>
                <w:sz w:val="17"/>
                <w:szCs w:val="17"/>
                <w:lang w:val="en-GB"/>
              </w:rPr>
              <w:t>recommendation</w:t>
            </w:r>
          </w:p>
          <w:p w14:paraId="7436198F" w14:textId="33F2FADD" w:rsidR="00503105" w:rsidRPr="00D6631F" w:rsidRDefault="001E55E9" w:rsidP="00D3639D">
            <w:pPr>
              <w:pStyle w:val="ExhibitText"/>
              <w:numPr>
                <w:ilvl w:val="0"/>
                <w:numId w:val="21"/>
              </w:numPr>
              <w:ind w:left="252" w:hanging="252"/>
              <w:jc w:val="left"/>
              <w:rPr>
                <w:sz w:val="17"/>
                <w:szCs w:val="17"/>
                <w:lang w:val="en-GB"/>
              </w:rPr>
            </w:pPr>
            <w:r w:rsidRPr="00D6631F">
              <w:rPr>
                <w:sz w:val="17"/>
                <w:szCs w:val="17"/>
                <w:lang w:val="en-GB"/>
              </w:rPr>
              <w:t xml:space="preserve">chance </w:t>
            </w:r>
            <w:r w:rsidR="00503105" w:rsidRPr="00D6631F">
              <w:rPr>
                <w:sz w:val="17"/>
                <w:szCs w:val="17"/>
                <w:lang w:val="en-GB"/>
              </w:rPr>
              <w:t>to try something new</w:t>
            </w:r>
          </w:p>
          <w:p w14:paraId="5A7F7956" w14:textId="07C6B1AB" w:rsidR="00503105" w:rsidRPr="00D6631F" w:rsidRDefault="001E55E9" w:rsidP="00D3639D">
            <w:pPr>
              <w:pStyle w:val="ExhibitText"/>
              <w:numPr>
                <w:ilvl w:val="0"/>
                <w:numId w:val="21"/>
              </w:numPr>
              <w:ind w:left="252" w:hanging="252"/>
              <w:jc w:val="left"/>
              <w:rPr>
                <w:sz w:val="17"/>
                <w:szCs w:val="17"/>
                <w:lang w:val="en-GB"/>
              </w:rPr>
            </w:pPr>
            <w:r w:rsidRPr="00D6631F">
              <w:rPr>
                <w:sz w:val="17"/>
                <w:szCs w:val="17"/>
                <w:lang w:val="en-GB"/>
              </w:rPr>
              <w:t xml:space="preserve">financial </w:t>
            </w:r>
            <w:r w:rsidR="00503105" w:rsidRPr="00D6631F">
              <w:rPr>
                <w:sz w:val="17"/>
                <w:szCs w:val="17"/>
                <w:lang w:val="en-GB"/>
              </w:rPr>
              <w:t>incentive</w:t>
            </w:r>
          </w:p>
          <w:p w14:paraId="2469C9F4" w14:textId="77777777" w:rsidR="00503105" w:rsidRPr="00D6631F" w:rsidRDefault="00503105" w:rsidP="00B14F7F">
            <w:pPr>
              <w:pStyle w:val="ExhibitText"/>
              <w:jc w:val="left"/>
              <w:rPr>
                <w:sz w:val="17"/>
                <w:szCs w:val="17"/>
                <w:lang w:val="en-GB"/>
              </w:rPr>
            </w:pPr>
          </w:p>
          <w:p w14:paraId="675EB1C8" w14:textId="77777777" w:rsidR="00503105" w:rsidRPr="00D6631F" w:rsidRDefault="00503105" w:rsidP="00B14F7F">
            <w:pPr>
              <w:pStyle w:val="ExhibitText"/>
              <w:jc w:val="left"/>
              <w:rPr>
                <w:i/>
                <w:sz w:val="17"/>
                <w:szCs w:val="17"/>
                <w:lang w:val="en-GB"/>
              </w:rPr>
            </w:pPr>
            <w:r w:rsidRPr="00D6631F">
              <w:rPr>
                <w:i/>
                <w:sz w:val="17"/>
                <w:szCs w:val="17"/>
                <w:lang w:val="en-GB"/>
              </w:rPr>
              <w:t>Continuation</w:t>
            </w:r>
          </w:p>
          <w:p w14:paraId="097551E3" w14:textId="77777777" w:rsidR="00503105" w:rsidRPr="00D6631F" w:rsidRDefault="00503105" w:rsidP="00B14F7F">
            <w:pPr>
              <w:pStyle w:val="ExhibitText"/>
              <w:jc w:val="left"/>
              <w:rPr>
                <w:i/>
                <w:sz w:val="17"/>
                <w:szCs w:val="17"/>
                <w:lang w:val="en-GB"/>
              </w:rPr>
            </w:pPr>
          </w:p>
          <w:p w14:paraId="36D721D2" w14:textId="3CA5B944" w:rsidR="00503105" w:rsidRPr="00D6631F" w:rsidRDefault="001E55E9" w:rsidP="00D3639D">
            <w:pPr>
              <w:pStyle w:val="ExhibitText"/>
              <w:numPr>
                <w:ilvl w:val="0"/>
                <w:numId w:val="22"/>
              </w:numPr>
              <w:ind w:left="252" w:hanging="252"/>
              <w:jc w:val="left"/>
              <w:rPr>
                <w:sz w:val="17"/>
                <w:szCs w:val="17"/>
                <w:lang w:val="en-GB"/>
              </w:rPr>
            </w:pPr>
            <w:r w:rsidRPr="00D6631F">
              <w:rPr>
                <w:sz w:val="17"/>
                <w:szCs w:val="17"/>
                <w:lang w:val="en-GB"/>
              </w:rPr>
              <w:t xml:space="preserve">personalized </w:t>
            </w:r>
            <w:r w:rsidR="00503105" w:rsidRPr="00D6631F">
              <w:rPr>
                <w:sz w:val="17"/>
                <w:szCs w:val="17"/>
                <w:lang w:val="en-GB"/>
              </w:rPr>
              <w:t>experience</w:t>
            </w:r>
          </w:p>
          <w:p w14:paraId="763938CC" w14:textId="282D6D4B" w:rsidR="00503105" w:rsidRPr="00D6631F" w:rsidRDefault="001E55E9" w:rsidP="00D3639D">
            <w:pPr>
              <w:pStyle w:val="ExhibitText"/>
              <w:numPr>
                <w:ilvl w:val="0"/>
                <w:numId w:val="22"/>
              </w:numPr>
              <w:ind w:left="252" w:hanging="252"/>
              <w:jc w:val="left"/>
              <w:rPr>
                <w:sz w:val="17"/>
                <w:szCs w:val="17"/>
                <w:lang w:val="en-GB"/>
              </w:rPr>
            </w:pPr>
            <w:r w:rsidRPr="00D6631F">
              <w:rPr>
                <w:sz w:val="17"/>
                <w:szCs w:val="17"/>
                <w:lang w:val="en-GB"/>
              </w:rPr>
              <w:t>convenience</w:t>
            </w:r>
          </w:p>
        </w:tc>
        <w:tc>
          <w:tcPr>
            <w:tcW w:w="1710" w:type="dxa"/>
          </w:tcPr>
          <w:p w14:paraId="0C44DD34" w14:textId="37B9CA66" w:rsidR="00503105" w:rsidRPr="00D6631F" w:rsidRDefault="001E55E9" w:rsidP="005248F9">
            <w:pPr>
              <w:pStyle w:val="ExhibitText"/>
              <w:numPr>
                <w:ilvl w:val="0"/>
                <w:numId w:val="20"/>
              </w:numPr>
              <w:ind w:left="252" w:hanging="252"/>
              <w:jc w:val="left"/>
              <w:rPr>
                <w:sz w:val="17"/>
                <w:szCs w:val="17"/>
                <w:lang w:val="en-GB"/>
              </w:rPr>
            </w:pPr>
            <w:r w:rsidRPr="00D6631F">
              <w:rPr>
                <w:sz w:val="17"/>
                <w:szCs w:val="17"/>
                <w:lang w:val="en-GB"/>
              </w:rPr>
              <w:t xml:space="preserve">value </w:t>
            </w:r>
            <w:r w:rsidR="00503105" w:rsidRPr="00D6631F">
              <w:rPr>
                <w:sz w:val="17"/>
                <w:szCs w:val="17"/>
                <w:lang w:val="en-GB"/>
              </w:rPr>
              <w:t>for money</w:t>
            </w:r>
          </w:p>
          <w:p w14:paraId="48E6C75E" w14:textId="687787E7" w:rsidR="00503105" w:rsidRPr="00D6631F" w:rsidRDefault="001E55E9" w:rsidP="005248F9">
            <w:pPr>
              <w:pStyle w:val="ExhibitText"/>
              <w:numPr>
                <w:ilvl w:val="0"/>
                <w:numId w:val="20"/>
              </w:numPr>
              <w:ind w:left="252" w:hanging="252"/>
              <w:jc w:val="left"/>
              <w:rPr>
                <w:sz w:val="17"/>
                <w:szCs w:val="17"/>
                <w:lang w:val="en-GB"/>
              </w:rPr>
            </w:pPr>
            <w:r w:rsidRPr="00D6631F">
              <w:rPr>
                <w:sz w:val="17"/>
                <w:szCs w:val="17"/>
                <w:lang w:val="en-GB"/>
              </w:rPr>
              <w:t>dissatisfaction</w:t>
            </w:r>
          </w:p>
          <w:p w14:paraId="587B32D2" w14:textId="134FCC34" w:rsidR="00503105" w:rsidRPr="00D6631F" w:rsidRDefault="001E55E9" w:rsidP="005248F9">
            <w:pPr>
              <w:pStyle w:val="ExhibitText"/>
              <w:numPr>
                <w:ilvl w:val="0"/>
                <w:numId w:val="20"/>
              </w:numPr>
              <w:ind w:left="252" w:hanging="252"/>
              <w:jc w:val="left"/>
              <w:rPr>
                <w:sz w:val="17"/>
                <w:szCs w:val="17"/>
                <w:lang w:val="en-GB"/>
              </w:rPr>
            </w:pPr>
            <w:r w:rsidRPr="00D6631F">
              <w:rPr>
                <w:sz w:val="17"/>
                <w:szCs w:val="17"/>
                <w:lang w:val="en-GB"/>
              </w:rPr>
              <w:t>preference for</w:t>
            </w:r>
            <w:r w:rsidR="00503105" w:rsidRPr="00D6631F">
              <w:rPr>
                <w:sz w:val="17"/>
                <w:szCs w:val="17"/>
                <w:lang w:val="en-GB"/>
              </w:rPr>
              <w:t xml:space="preserve"> buy</w:t>
            </w:r>
            <w:r w:rsidRPr="00D6631F">
              <w:rPr>
                <w:sz w:val="17"/>
                <w:szCs w:val="17"/>
                <w:lang w:val="en-GB"/>
              </w:rPr>
              <w:t>ing</w:t>
            </w:r>
            <w:r w:rsidR="00503105" w:rsidRPr="00D6631F">
              <w:rPr>
                <w:sz w:val="17"/>
                <w:szCs w:val="17"/>
                <w:lang w:val="en-GB"/>
              </w:rPr>
              <w:t xml:space="preserve"> when needed</w:t>
            </w:r>
          </w:p>
        </w:tc>
      </w:tr>
    </w:tbl>
    <w:p w14:paraId="5087BDF0" w14:textId="32BB8492" w:rsidR="00503105" w:rsidRPr="00D6631F" w:rsidRDefault="00503105" w:rsidP="005248F9">
      <w:pPr>
        <w:pStyle w:val="Footnote"/>
        <w:rPr>
          <w:lang w:val="en-GB"/>
        </w:rPr>
      </w:pPr>
    </w:p>
    <w:p w14:paraId="48EA9070" w14:textId="5960E0FB" w:rsidR="00503105" w:rsidRPr="00D6631F" w:rsidRDefault="00503105" w:rsidP="00503105">
      <w:pPr>
        <w:pStyle w:val="Footnote"/>
        <w:rPr>
          <w:lang w:val="en-GB"/>
        </w:rPr>
      </w:pPr>
      <w:r w:rsidRPr="00D6631F">
        <w:rPr>
          <w:lang w:val="en-GB"/>
        </w:rPr>
        <w:t xml:space="preserve">Note: Amazon Prime </w:t>
      </w:r>
      <w:r w:rsidR="00A7371A" w:rsidRPr="00D6631F">
        <w:rPr>
          <w:lang w:val="en-GB"/>
        </w:rPr>
        <w:t xml:space="preserve">provided </w:t>
      </w:r>
      <w:r w:rsidRPr="00D6631F">
        <w:rPr>
          <w:lang w:val="en-GB"/>
        </w:rPr>
        <w:t xml:space="preserve">access, </w:t>
      </w:r>
      <w:r w:rsidR="00A7371A" w:rsidRPr="00D6631F">
        <w:rPr>
          <w:lang w:val="en-GB"/>
        </w:rPr>
        <w:t>while</w:t>
      </w:r>
      <w:r w:rsidRPr="00D6631F">
        <w:rPr>
          <w:lang w:val="en-GB"/>
        </w:rPr>
        <w:t xml:space="preserve"> Amazon Subscribe &amp; Save </w:t>
      </w:r>
      <w:r w:rsidR="00A7371A" w:rsidRPr="00D6631F">
        <w:rPr>
          <w:lang w:val="en-GB"/>
        </w:rPr>
        <w:t xml:space="preserve">provided </w:t>
      </w:r>
      <w:r w:rsidRPr="00D6631F">
        <w:rPr>
          <w:lang w:val="en-GB"/>
        </w:rPr>
        <w:t>replenish</w:t>
      </w:r>
      <w:r w:rsidR="00A7371A" w:rsidRPr="00D6631F">
        <w:rPr>
          <w:lang w:val="en-GB"/>
        </w:rPr>
        <w:t>ment</w:t>
      </w:r>
      <w:r w:rsidRPr="00D6631F">
        <w:rPr>
          <w:lang w:val="en-GB"/>
        </w:rPr>
        <w:t>.</w:t>
      </w:r>
    </w:p>
    <w:p w14:paraId="01F21426" w14:textId="64112176" w:rsidR="00503105" w:rsidRPr="00D6631F" w:rsidRDefault="00503105" w:rsidP="00070559">
      <w:pPr>
        <w:pStyle w:val="Footnote"/>
        <w:rPr>
          <w:lang w:val="en-GB"/>
        </w:rPr>
      </w:pPr>
      <w:r w:rsidRPr="00D6631F">
        <w:rPr>
          <w:lang w:val="en-GB"/>
        </w:rPr>
        <w:t xml:space="preserve">Source: Adapted from </w:t>
      </w:r>
      <w:r w:rsidR="0069720D" w:rsidRPr="00D6631F">
        <w:rPr>
          <w:lang w:val="en-GB"/>
        </w:rPr>
        <w:t xml:space="preserve">Tony Chen, Ken Fenyo, Sylvia Yang, and Jessica Zhang, “Thinking Inside the Subscription Box: New Research </w:t>
      </w:r>
      <w:r w:rsidR="000B6E54">
        <w:rPr>
          <w:lang w:val="en-GB"/>
        </w:rPr>
        <w:t>o</w:t>
      </w:r>
      <w:r w:rsidR="0069720D" w:rsidRPr="00D6631F">
        <w:rPr>
          <w:lang w:val="en-GB"/>
        </w:rPr>
        <w:t xml:space="preserve">n E-Commerce Consumers,” McKinsey &amp; Company, February 2018, accessed September 7, 2018, </w:t>
      </w:r>
      <w:r w:rsidRPr="00D6631F">
        <w:rPr>
          <w:lang w:val="en-GB"/>
        </w:rPr>
        <w:t xml:space="preserve">www.mckinsey.com/industries/high-tech/our-insights/thinking-inside-the-subscription-box-new-research-on-ecommerce-consumers; </w:t>
      </w:r>
      <w:r w:rsidR="005946E7" w:rsidRPr="00D6631F">
        <w:rPr>
          <w:lang w:val="en-GB"/>
        </w:rPr>
        <w:t>“</w:t>
      </w:r>
      <w:r w:rsidRPr="00D6631F">
        <w:rPr>
          <w:lang w:val="en-GB"/>
        </w:rPr>
        <w:t>Schumpeter</w:t>
      </w:r>
      <w:r w:rsidR="005946E7" w:rsidRPr="00D6631F">
        <w:rPr>
          <w:lang w:val="en-GB"/>
        </w:rPr>
        <w:t>: T</w:t>
      </w:r>
      <w:r w:rsidRPr="00D6631F">
        <w:rPr>
          <w:lang w:val="en-GB"/>
        </w:rPr>
        <w:t xml:space="preserve">he Subscription Addiction,” </w:t>
      </w:r>
      <w:r w:rsidRPr="00D6631F">
        <w:rPr>
          <w:i/>
          <w:lang w:val="en-GB"/>
        </w:rPr>
        <w:t>Economist</w:t>
      </w:r>
      <w:r w:rsidRPr="00D6631F">
        <w:rPr>
          <w:lang w:val="en-GB"/>
        </w:rPr>
        <w:t>, April 7, 2018, 58</w:t>
      </w:r>
      <w:r w:rsidR="005946E7" w:rsidRPr="00D6631F">
        <w:rPr>
          <w:lang w:val="en-GB"/>
        </w:rPr>
        <w:t>.</w:t>
      </w:r>
      <w:r w:rsidRPr="00D6631F">
        <w:rPr>
          <w:lang w:val="en-GB"/>
        </w:rPr>
        <w:br w:type="page"/>
      </w:r>
    </w:p>
    <w:p w14:paraId="30BD67E8" w14:textId="3C95E174" w:rsidR="00503105" w:rsidRPr="00D6631F" w:rsidRDefault="00503105" w:rsidP="007424FE">
      <w:pPr>
        <w:pStyle w:val="ExhibitHeading"/>
        <w:rPr>
          <w:lang w:val="en-GB"/>
        </w:rPr>
      </w:pPr>
      <w:r w:rsidRPr="00D6631F">
        <w:rPr>
          <w:lang w:val="en-GB"/>
        </w:rPr>
        <w:lastRenderedPageBreak/>
        <w:t xml:space="preserve">EXHIBIT </w:t>
      </w:r>
      <w:r w:rsidR="00452AA9" w:rsidRPr="00D6631F">
        <w:rPr>
          <w:lang w:val="en-GB"/>
        </w:rPr>
        <w:t>3</w:t>
      </w:r>
      <w:r w:rsidR="007424FE" w:rsidRPr="00D6631F">
        <w:rPr>
          <w:lang w:val="en-GB"/>
        </w:rPr>
        <w:t xml:space="preserve">: </w:t>
      </w:r>
      <w:r w:rsidRPr="00D6631F">
        <w:rPr>
          <w:lang w:val="en-GB"/>
        </w:rPr>
        <w:t>Competitive Comparison of Selected Movie Subscription Plans</w:t>
      </w:r>
    </w:p>
    <w:p w14:paraId="04626CE6" w14:textId="77777777" w:rsidR="007424FE" w:rsidRPr="00D6631F" w:rsidRDefault="007424FE" w:rsidP="007424FE">
      <w:pPr>
        <w:pStyle w:val="ExhibitText"/>
        <w:rPr>
          <w:lang w:val="en-GB"/>
        </w:rPr>
      </w:pPr>
    </w:p>
    <w:tbl>
      <w:tblPr>
        <w:tblStyle w:val="TableGrid"/>
        <w:tblW w:w="0" w:type="auto"/>
        <w:tblLook w:val="04A0" w:firstRow="1" w:lastRow="0" w:firstColumn="1" w:lastColumn="0" w:noHBand="0" w:noVBand="1"/>
      </w:tblPr>
      <w:tblGrid>
        <w:gridCol w:w="3122"/>
        <w:gridCol w:w="1373"/>
        <w:gridCol w:w="2250"/>
        <w:gridCol w:w="2520"/>
      </w:tblGrid>
      <w:tr w:rsidR="00070559" w:rsidRPr="00D6631F" w14:paraId="2CE9B043" w14:textId="77777777" w:rsidTr="0077443A">
        <w:tc>
          <w:tcPr>
            <w:tcW w:w="3122" w:type="dxa"/>
          </w:tcPr>
          <w:p w14:paraId="6D48085E" w14:textId="77777777" w:rsidR="00503105" w:rsidRPr="00D6631F" w:rsidRDefault="00503105" w:rsidP="007424FE">
            <w:pPr>
              <w:pStyle w:val="ExhibitText"/>
              <w:rPr>
                <w:lang w:val="en-GB"/>
              </w:rPr>
            </w:pPr>
          </w:p>
        </w:tc>
        <w:tc>
          <w:tcPr>
            <w:tcW w:w="1373" w:type="dxa"/>
            <w:vAlign w:val="center"/>
          </w:tcPr>
          <w:p w14:paraId="7F75FD39" w14:textId="0CB00140" w:rsidR="00503105" w:rsidRPr="00D6631F" w:rsidRDefault="003502DD" w:rsidP="0077443A">
            <w:pPr>
              <w:pStyle w:val="ExhibitText"/>
              <w:jc w:val="center"/>
              <w:rPr>
                <w:b/>
                <w:lang w:val="en-GB"/>
              </w:rPr>
            </w:pPr>
            <w:r w:rsidRPr="00D6631F">
              <w:rPr>
                <w:b/>
                <w:lang w:val="en-GB"/>
              </w:rPr>
              <w:t xml:space="preserve">Number </w:t>
            </w:r>
            <w:r w:rsidR="00503105" w:rsidRPr="00D6631F">
              <w:rPr>
                <w:b/>
                <w:lang w:val="en-GB"/>
              </w:rPr>
              <w:t>of Subscribers</w:t>
            </w:r>
          </w:p>
        </w:tc>
        <w:tc>
          <w:tcPr>
            <w:tcW w:w="2250" w:type="dxa"/>
            <w:vAlign w:val="center"/>
          </w:tcPr>
          <w:p w14:paraId="6C80764E" w14:textId="2ADF3455" w:rsidR="00503105" w:rsidRPr="00D6631F" w:rsidRDefault="00503105" w:rsidP="0077443A">
            <w:pPr>
              <w:pStyle w:val="ExhibitText"/>
              <w:jc w:val="center"/>
              <w:rPr>
                <w:b/>
                <w:lang w:val="en-GB"/>
              </w:rPr>
            </w:pPr>
            <w:r w:rsidRPr="00D6631F">
              <w:rPr>
                <w:b/>
                <w:lang w:val="en-GB"/>
              </w:rPr>
              <w:t>Pricing Plans</w:t>
            </w:r>
            <w:r w:rsidR="00504D42" w:rsidRPr="00D6631F">
              <w:rPr>
                <w:b/>
                <w:lang w:val="en-GB"/>
              </w:rPr>
              <w:t xml:space="preserve"> (US$)</w:t>
            </w:r>
          </w:p>
        </w:tc>
        <w:tc>
          <w:tcPr>
            <w:tcW w:w="2520" w:type="dxa"/>
            <w:vAlign w:val="center"/>
          </w:tcPr>
          <w:p w14:paraId="17477F41" w14:textId="77777777" w:rsidR="00503105" w:rsidRPr="00D6631F" w:rsidRDefault="00503105" w:rsidP="0077443A">
            <w:pPr>
              <w:pStyle w:val="ExhibitText"/>
              <w:jc w:val="center"/>
              <w:rPr>
                <w:b/>
                <w:lang w:val="en-GB"/>
              </w:rPr>
            </w:pPr>
            <w:r w:rsidRPr="00D6631F">
              <w:rPr>
                <w:b/>
                <w:lang w:val="en-GB"/>
              </w:rPr>
              <w:t>Restrictions</w:t>
            </w:r>
          </w:p>
        </w:tc>
      </w:tr>
      <w:tr w:rsidR="00503105" w:rsidRPr="00D6631F" w14:paraId="17526762" w14:textId="77777777" w:rsidTr="008703B3">
        <w:tc>
          <w:tcPr>
            <w:tcW w:w="3122" w:type="dxa"/>
          </w:tcPr>
          <w:p w14:paraId="1C1BD767" w14:textId="77777777" w:rsidR="00503105" w:rsidRPr="00D6631F" w:rsidRDefault="00503105" w:rsidP="007424FE">
            <w:pPr>
              <w:pStyle w:val="ExhibitText"/>
              <w:rPr>
                <w:b/>
                <w:lang w:val="en-GB"/>
              </w:rPr>
            </w:pPr>
            <w:r w:rsidRPr="00D6631F">
              <w:rPr>
                <w:b/>
                <w:lang w:val="en-GB"/>
              </w:rPr>
              <w:t>Sinemia</w:t>
            </w:r>
          </w:p>
          <w:p w14:paraId="0D39B6BD" w14:textId="77777777" w:rsidR="007424FE" w:rsidRPr="00D6631F" w:rsidRDefault="007424FE" w:rsidP="007424FE">
            <w:pPr>
              <w:pStyle w:val="ExhibitText"/>
              <w:rPr>
                <w:b/>
                <w:i/>
                <w:lang w:val="en-GB"/>
              </w:rPr>
            </w:pPr>
          </w:p>
          <w:p w14:paraId="732354D2" w14:textId="1CB9CD9C" w:rsidR="00503105" w:rsidRPr="00D6631F" w:rsidRDefault="00503105" w:rsidP="00452AA9">
            <w:pPr>
              <w:pStyle w:val="ExhibitText"/>
              <w:rPr>
                <w:lang w:val="en-GB"/>
              </w:rPr>
            </w:pPr>
            <w:r w:rsidRPr="00D6631F">
              <w:rPr>
                <w:lang w:val="en-GB"/>
              </w:rPr>
              <w:t>Tur</w:t>
            </w:r>
            <w:r w:rsidR="003B7999">
              <w:rPr>
                <w:lang w:val="en-GB"/>
              </w:rPr>
              <w:t>n</w:t>
            </w:r>
            <w:r w:rsidRPr="00D6631F">
              <w:rPr>
                <w:lang w:val="en-GB"/>
              </w:rPr>
              <w:t xml:space="preserve">key-based start-up </w:t>
            </w:r>
            <w:r w:rsidR="003502DD" w:rsidRPr="00D6631F">
              <w:rPr>
                <w:lang w:val="en-GB"/>
              </w:rPr>
              <w:t xml:space="preserve">that </w:t>
            </w:r>
            <w:r w:rsidRPr="00D6631F">
              <w:rPr>
                <w:lang w:val="en-GB"/>
              </w:rPr>
              <w:t>entered the U</w:t>
            </w:r>
            <w:r w:rsidR="003502DD" w:rsidRPr="00D6631F">
              <w:rPr>
                <w:lang w:val="en-GB"/>
              </w:rPr>
              <w:t>nited States</w:t>
            </w:r>
            <w:r w:rsidRPr="00D6631F">
              <w:rPr>
                <w:lang w:val="en-GB"/>
              </w:rPr>
              <w:t xml:space="preserve"> in early 2018; present in several European countries</w:t>
            </w:r>
          </w:p>
        </w:tc>
        <w:tc>
          <w:tcPr>
            <w:tcW w:w="1373" w:type="dxa"/>
          </w:tcPr>
          <w:p w14:paraId="2D79E44A" w14:textId="77777777" w:rsidR="00503105" w:rsidRPr="00D6631F" w:rsidRDefault="00503105" w:rsidP="005248F9">
            <w:pPr>
              <w:pStyle w:val="ExhibitText"/>
              <w:jc w:val="right"/>
              <w:rPr>
                <w:lang w:val="en-GB"/>
              </w:rPr>
            </w:pPr>
            <w:r w:rsidRPr="00D6631F">
              <w:rPr>
                <w:lang w:val="en-GB"/>
              </w:rPr>
              <w:t>Unavailable</w:t>
            </w:r>
          </w:p>
        </w:tc>
        <w:tc>
          <w:tcPr>
            <w:tcW w:w="2250" w:type="dxa"/>
          </w:tcPr>
          <w:p w14:paraId="3837C938" w14:textId="289C3067" w:rsidR="00503105" w:rsidRPr="00D6631F" w:rsidRDefault="00503105" w:rsidP="005248F9">
            <w:pPr>
              <w:pStyle w:val="ExhibitText"/>
              <w:numPr>
                <w:ilvl w:val="0"/>
                <w:numId w:val="33"/>
              </w:numPr>
              <w:ind w:left="162" w:hanging="180"/>
              <w:rPr>
                <w:lang w:val="en-GB"/>
              </w:rPr>
            </w:pPr>
            <w:r w:rsidRPr="00D6631F">
              <w:rPr>
                <w:lang w:val="en-GB"/>
              </w:rPr>
              <w:t xml:space="preserve">$3.99/month for </w:t>
            </w:r>
            <w:r w:rsidR="003502DD" w:rsidRPr="00D6631F">
              <w:rPr>
                <w:lang w:val="en-GB"/>
              </w:rPr>
              <w:t xml:space="preserve">one </w:t>
            </w:r>
            <w:r w:rsidRPr="00D6631F">
              <w:rPr>
                <w:lang w:val="en-GB"/>
              </w:rPr>
              <w:t>movie</w:t>
            </w:r>
          </w:p>
          <w:p w14:paraId="734DDB56" w14:textId="77777777" w:rsidR="008703B3" w:rsidRPr="00D6631F" w:rsidRDefault="008703B3" w:rsidP="005248F9">
            <w:pPr>
              <w:pStyle w:val="ExhibitText"/>
              <w:ind w:left="162" w:hanging="180"/>
              <w:rPr>
                <w:lang w:val="en-GB"/>
              </w:rPr>
            </w:pPr>
          </w:p>
          <w:p w14:paraId="4F2F371E" w14:textId="20874DD3" w:rsidR="00503105" w:rsidRPr="00D6631F" w:rsidRDefault="00503105" w:rsidP="005248F9">
            <w:pPr>
              <w:pStyle w:val="ExhibitText"/>
              <w:numPr>
                <w:ilvl w:val="0"/>
                <w:numId w:val="33"/>
              </w:numPr>
              <w:ind w:left="162" w:hanging="180"/>
              <w:rPr>
                <w:lang w:val="en-GB"/>
              </w:rPr>
            </w:pPr>
            <w:r w:rsidRPr="00D6631F">
              <w:rPr>
                <w:lang w:val="en-GB"/>
              </w:rPr>
              <w:t xml:space="preserve">$14.99/month for </w:t>
            </w:r>
            <w:r w:rsidR="003502DD" w:rsidRPr="00D6631F">
              <w:rPr>
                <w:lang w:val="en-GB"/>
              </w:rPr>
              <w:t xml:space="preserve">three </w:t>
            </w:r>
            <w:r w:rsidRPr="00D6631F">
              <w:rPr>
                <w:lang w:val="en-GB"/>
              </w:rPr>
              <w:t>movies</w:t>
            </w:r>
          </w:p>
        </w:tc>
        <w:tc>
          <w:tcPr>
            <w:tcW w:w="2520" w:type="dxa"/>
          </w:tcPr>
          <w:p w14:paraId="19DCF8E8" w14:textId="703C8A71" w:rsidR="00216865" w:rsidRPr="00D6631F" w:rsidRDefault="00216865" w:rsidP="005248F9">
            <w:pPr>
              <w:pStyle w:val="ExhibitText"/>
              <w:numPr>
                <w:ilvl w:val="0"/>
                <w:numId w:val="33"/>
              </w:numPr>
              <w:ind w:left="162" w:hanging="180"/>
              <w:rPr>
                <w:lang w:val="en-GB"/>
              </w:rPr>
            </w:pPr>
            <w:r w:rsidRPr="00D6631F">
              <w:rPr>
                <w:lang w:val="en-GB"/>
              </w:rPr>
              <w:t xml:space="preserve">no </w:t>
            </w:r>
            <w:r w:rsidR="00503105" w:rsidRPr="00D6631F">
              <w:rPr>
                <w:lang w:val="en-GB"/>
              </w:rPr>
              <w:t>restrictions on 3</w:t>
            </w:r>
            <w:r w:rsidR="000B6E54">
              <w:rPr>
                <w:lang w:val="en-GB"/>
              </w:rPr>
              <w:t>-</w:t>
            </w:r>
            <w:r w:rsidR="00503105" w:rsidRPr="00D6631F">
              <w:rPr>
                <w:lang w:val="en-GB"/>
              </w:rPr>
              <w:t xml:space="preserve">D or </w:t>
            </w:r>
            <w:r w:rsidR="00EC12AE" w:rsidRPr="00D6631F">
              <w:rPr>
                <w:lang w:val="en-GB"/>
              </w:rPr>
              <w:t>IMAX</w:t>
            </w:r>
            <w:r w:rsidR="00503105" w:rsidRPr="00D6631F">
              <w:rPr>
                <w:lang w:val="en-GB"/>
              </w:rPr>
              <w:t xml:space="preserve"> movies</w:t>
            </w:r>
          </w:p>
          <w:p w14:paraId="5C0EAEAF" w14:textId="5B94D27E" w:rsidR="00216865" w:rsidRPr="00D6631F" w:rsidRDefault="00503105" w:rsidP="005248F9">
            <w:pPr>
              <w:pStyle w:val="ExhibitText"/>
              <w:numPr>
                <w:ilvl w:val="0"/>
                <w:numId w:val="33"/>
              </w:numPr>
              <w:ind w:left="162" w:hanging="180"/>
              <w:rPr>
                <w:lang w:val="en-GB"/>
              </w:rPr>
            </w:pPr>
            <w:r w:rsidRPr="00D6631F">
              <w:rPr>
                <w:lang w:val="en-GB"/>
              </w:rPr>
              <w:t>no initiation fee for annual billing</w:t>
            </w:r>
          </w:p>
          <w:p w14:paraId="70D3D057" w14:textId="7592802D" w:rsidR="00216865" w:rsidRPr="00D6631F" w:rsidRDefault="00503105" w:rsidP="005248F9">
            <w:pPr>
              <w:pStyle w:val="ExhibitText"/>
              <w:numPr>
                <w:ilvl w:val="0"/>
                <w:numId w:val="33"/>
              </w:numPr>
              <w:ind w:left="162" w:hanging="180"/>
              <w:rPr>
                <w:lang w:val="en-GB"/>
              </w:rPr>
            </w:pPr>
            <w:r w:rsidRPr="00D6631F">
              <w:rPr>
                <w:lang w:val="en-GB"/>
              </w:rPr>
              <w:t>$19.99 one-time fee for monthly billing</w:t>
            </w:r>
          </w:p>
          <w:p w14:paraId="61626891" w14:textId="6622E4B9" w:rsidR="00503105" w:rsidRPr="00D6631F" w:rsidRDefault="00503105" w:rsidP="005248F9">
            <w:pPr>
              <w:pStyle w:val="ExhibitText"/>
              <w:numPr>
                <w:ilvl w:val="0"/>
                <w:numId w:val="33"/>
              </w:numPr>
              <w:ind w:left="162" w:hanging="180"/>
              <w:rPr>
                <w:lang w:val="en-GB"/>
              </w:rPr>
            </w:pPr>
            <w:r w:rsidRPr="00D6631F">
              <w:rPr>
                <w:lang w:val="en-GB"/>
              </w:rPr>
              <w:t xml:space="preserve">accepted in </w:t>
            </w:r>
            <w:r w:rsidR="00216865" w:rsidRPr="00D6631F">
              <w:rPr>
                <w:lang w:val="en-GB"/>
              </w:rPr>
              <w:t xml:space="preserve">more than </w:t>
            </w:r>
            <w:r w:rsidRPr="00D6631F">
              <w:rPr>
                <w:lang w:val="en-GB"/>
              </w:rPr>
              <w:t>4,000 theatres.</w:t>
            </w:r>
          </w:p>
        </w:tc>
      </w:tr>
      <w:tr w:rsidR="00503105" w:rsidRPr="00D6631F" w14:paraId="181F7216" w14:textId="77777777" w:rsidTr="008703B3">
        <w:tc>
          <w:tcPr>
            <w:tcW w:w="3122" w:type="dxa"/>
          </w:tcPr>
          <w:p w14:paraId="4F54D2DF" w14:textId="17BD18C6" w:rsidR="00503105" w:rsidRPr="00D6631F" w:rsidRDefault="00503105" w:rsidP="007424FE">
            <w:pPr>
              <w:pStyle w:val="ExhibitText"/>
              <w:rPr>
                <w:b/>
                <w:lang w:val="en-GB"/>
              </w:rPr>
            </w:pPr>
            <w:r w:rsidRPr="00D6631F">
              <w:rPr>
                <w:b/>
                <w:lang w:val="en-GB"/>
              </w:rPr>
              <w:t>AMC Stubs A-List</w:t>
            </w:r>
          </w:p>
          <w:p w14:paraId="09A8DEB0" w14:textId="77777777" w:rsidR="00184FBB" w:rsidRPr="00D6631F" w:rsidRDefault="00184FBB" w:rsidP="007424FE">
            <w:pPr>
              <w:pStyle w:val="ExhibitText"/>
              <w:rPr>
                <w:b/>
                <w:i/>
                <w:lang w:val="en-GB"/>
              </w:rPr>
            </w:pPr>
          </w:p>
          <w:p w14:paraId="042A9EAA" w14:textId="77777777" w:rsidR="00503105" w:rsidRPr="00D6631F" w:rsidRDefault="00503105" w:rsidP="007424FE">
            <w:pPr>
              <w:pStyle w:val="ExhibitText"/>
              <w:rPr>
                <w:lang w:val="en-GB"/>
              </w:rPr>
            </w:pPr>
            <w:r w:rsidRPr="00D6631F">
              <w:rPr>
                <w:lang w:val="en-GB"/>
              </w:rPr>
              <w:t>Launched in summer 2018 by world’s largest theatre company</w:t>
            </w:r>
          </w:p>
          <w:p w14:paraId="72159794" w14:textId="77777777" w:rsidR="00503105" w:rsidRPr="00D6631F" w:rsidRDefault="00503105" w:rsidP="007424FE">
            <w:pPr>
              <w:pStyle w:val="ExhibitText"/>
              <w:rPr>
                <w:lang w:val="en-GB"/>
              </w:rPr>
            </w:pPr>
          </w:p>
        </w:tc>
        <w:tc>
          <w:tcPr>
            <w:tcW w:w="1373" w:type="dxa"/>
          </w:tcPr>
          <w:p w14:paraId="4164EEF8" w14:textId="77777777" w:rsidR="00503105" w:rsidRPr="00D6631F" w:rsidRDefault="00503105" w:rsidP="005248F9">
            <w:pPr>
              <w:pStyle w:val="ExhibitText"/>
              <w:jc w:val="right"/>
              <w:rPr>
                <w:lang w:val="en-GB"/>
              </w:rPr>
            </w:pPr>
            <w:r w:rsidRPr="00D6631F">
              <w:rPr>
                <w:lang w:val="en-GB"/>
              </w:rPr>
              <w:t>260,000</w:t>
            </w:r>
          </w:p>
        </w:tc>
        <w:tc>
          <w:tcPr>
            <w:tcW w:w="2250" w:type="dxa"/>
          </w:tcPr>
          <w:p w14:paraId="583070A4" w14:textId="2FAB537B" w:rsidR="00503105" w:rsidRPr="00D6631F" w:rsidRDefault="00503105" w:rsidP="005248F9">
            <w:pPr>
              <w:pStyle w:val="ExhibitText"/>
              <w:numPr>
                <w:ilvl w:val="0"/>
                <w:numId w:val="33"/>
              </w:numPr>
              <w:ind w:left="162" w:hanging="180"/>
              <w:rPr>
                <w:lang w:val="en-GB"/>
              </w:rPr>
            </w:pPr>
            <w:r w:rsidRPr="00D6631F">
              <w:rPr>
                <w:lang w:val="en-GB"/>
              </w:rPr>
              <w:t xml:space="preserve">$19.95/month for </w:t>
            </w:r>
            <w:r w:rsidR="003502DD" w:rsidRPr="00D6631F">
              <w:rPr>
                <w:lang w:val="en-GB"/>
              </w:rPr>
              <w:t xml:space="preserve">three </w:t>
            </w:r>
            <w:r w:rsidRPr="00D6631F">
              <w:rPr>
                <w:lang w:val="en-GB"/>
              </w:rPr>
              <w:t>movies</w:t>
            </w:r>
          </w:p>
        </w:tc>
        <w:tc>
          <w:tcPr>
            <w:tcW w:w="2520" w:type="dxa"/>
          </w:tcPr>
          <w:p w14:paraId="555E2788" w14:textId="28E7BB7A" w:rsidR="00503105" w:rsidRPr="00D6631F" w:rsidRDefault="00216865" w:rsidP="005248F9">
            <w:pPr>
              <w:pStyle w:val="ExhibitText"/>
              <w:numPr>
                <w:ilvl w:val="0"/>
                <w:numId w:val="33"/>
              </w:numPr>
              <w:ind w:left="162" w:hanging="180"/>
              <w:rPr>
                <w:lang w:val="en-GB"/>
              </w:rPr>
            </w:pPr>
            <w:r w:rsidRPr="00D6631F">
              <w:rPr>
                <w:lang w:val="en-GB"/>
              </w:rPr>
              <w:t xml:space="preserve">subscription </w:t>
            </w:r>
            <w:r w:rsidR="00503105" w:rsidRPr="00D6631F">
              <w:rPr>
                <w:lang w:val="en-GB"/>
              </w:rPr>
              <w:t xml:space="preserve">can be used only </w:t>
            </w:r>
            <w:r w:rsidRPr="00D6631F">
              <w:rPr>
                <w:lang w:val="en-GB"/>
              </w:rPr>
              <w:t xml:space="preserve">in </w:t>
            </w:r>
            <w:r w:rsidR="00503105" w:rsidRPr="00D6631F">
              <w:rPr>
                <w:lang w:val="en-GB"/>
              </w:rPr>
              <w:t>AMC theatres</w:t>
            </w:r>
          </w:p>
        </w:tc>
      </w:tr>
      <w:tr w:rsidR="00503105" w:rsidRPr="00D6631F" w14:paraId="5380CCCD" w14:textId="77777777" w:rsidTr="008703B3">
        <w:tc>
          <w:tcPr>
            <w:tcW w:w="3122" w:type="dxa"/>
          </w:tcPr>
          <w:p w14:paraId="09687C21" w14:textId="77777777" w:rsidR="00503105" w:rsidRPr="00D6631F" w:rsidRDefault="00503105" w:rsidP="007424FE">
            <w:pPr>
              <w:pStyle w:val="ExhibitText"/>
              <w:rPr>
                <w:b/>
                <w:lang w:val="en-GB"/>
              </w:rPr>
            </w:pPr>
            <w:r w:rsidRPr="00D6631F">
              <w:rPr>
                <w:b/>
                <w:lang w:val="en-GB"/>
              </w:rPr>
              <w:t>Cinemark Movie Club</w:t>
            </w:r>
          </w:p>
          <w:p w14:paraId="68233D8C" w14:textId="77777777" w:rsidR="007424FE" w:rsidRPr="00D6631F" w:rsidRDefault="007424FE" w:rsidP="007424FE">
            <w:pPr>
              <w:pStyle w:val="ExhibitText"/>
              <w:rPr>
                <w:b/>
                <w:i/>
                <w:lang w:val="en-GB"/>
              </w:rPr>
            </w:pPr>
          </w:p>
          <w:p w14:paraId="086EB211" w14:textId="45CEEBEE" w:rsidR="00503105" w:rsidRPr="00D6631F" w:rsidRDefault="00503105" w:rsidP="00D3639D">
            <w:pPr>
              <w:pStyle w:val="ExhibitText"/>
              <w:rPr>
                <w:lang w:val="en-GB"/>
              </w:rPr>
            </w:pPr>
            <w:r w:rsidRPr="00D6631F">
              <w:rPr>
                <w:lang w:val="en-GB"/>
              </w:rPr>
              <w:t xml:space="preserve">Launched in late 2017 by </w:t>
            </w:r>
            <w:r w:rsidR="00D3639D" w:rsidRPr="00D6631F">
              <w:rPr>
                <w:lang w:val="en-GB"/>
              </w:rPr>
              <w:t xml:space="preserve">the </w:t>
            </w:r>
            <w:r w:rsidR="003502DD" w:rsidRPr="00D6631F">
              <w:rPr>
                <w:lang w:val="en-GB"/>
              </w:rPr>
              <w:t>number-three</w:t>
            </w:r>
            <w:r w:rsidRPr="00D6631F">
              <w:rPr>
                <w:lang w:val="en-GB"/>
              </w:rPr>
              <w:t xml:space="preserve"> theatre company</w:t>
            </w:r>
            <w:r w:rsidR="00D3639D" w:rsidRPr="00D6631F">
              <w:rPr>
                <w:lang w:val="en-GB"/>
              </w:rPr>
              <w:t xml:space="preserve"> in the United States</w:t>
            </w:r>
          </w:p>
        </w:tc>
        <w:tc>
          <w:tcPr>
            <w:tcW w:w="1373" w:type="dxa"/>
          </w:tcPr>
          <w:p w14:paraId="19B1F2DF" w14:textId="77777777" w:rsidR="00503105" w:rsidRPr="00D6631F" w:rsidRDefault="00503105" w:rsidP="005248F9">
            <w:pPr>
              <w:pStyle w:val="ExhibitText"/>
              <w:jc w:val="right"/>
              <w:rPr>
                <w:lang w:val="en-GB"/>
              </w:rPr>
            </w:pPr>
            <w:r w:rsidRPr="00D6631F">
              <w:rPr>
                <w:lang w:val="en-GB"/>
              </w:rPr>
              <w:t>350,000</w:t>
            </w:r>
          </w:p>
        </w:tc>
        <w:tc>
          <w:tcPr>
            <w:tcW w:w="2250" w:type="dxa"/>
          </w:tcPr>
          <w:p w14:paraId="41399C0D" w14:textId="6B0B085F" w:rsidR="00216865" w:rsidRPr="00D6631F" w:rsidRDefault="00503105" w:rsidP="005248F9">
            <w:pPr>
              <w:pStyle w:val="ExhibitText"/>
              <w:numPr>
                <w:ilvl w:val="0"/>
                <w:numId w:val="33"/>
              </w:numPr>
              <w:ind w:left="162" w:hanging="180"/>
              <w:rPr>
                <w:lang w:val="en-GB"/>
              </w:rPr>
            </w:pPr>
            <w:r w:rsidRPr="00D6631F">
              <w:rPr>
                <w:lang w:val="en-GB"/>
              </w:rPr>
              <w:t xml:space="preserve">$8.99/month for </w:t>
            </w:r>
            <w:r w:rsidR="003502DD" w:rsidRPr="00D6631F">
              <w:rPr>
                <w:lang w:val="en-GB"/>
              </w:rPr>
              <w:t xml:space="preserve">one </w:t>
            </w:r>
            <w:r w:rsidRPr="00D6631F">
              <w:rPr>
                <w:lang w:val="en-GB"/>
              </w:rPr>
              <w:t>movie</w:t>
            </w:r>
          </w:p>
          <w:p w14:paraId="19B464A2" w14:textId="418AE0D3" w:rsidR="00216865" w:rsidRPr="00D6631F" w:rsidRDefault="00503105" w:rsidP="005248F9">
            <w:pPr>
              <w:pStyle w:val="ExhibitText"/>
              <w:numPr>
                <w:ilvl w:val="0"/>
                <w:numId w:val="33"/>
              </w:numPr>
              <w:ind w:left="162" w:hanging="180"/>
              <w:rPr>
                <w:lang w:val="en-GB"/>
              </w:rPr>
            </w:pPr>
            <w:r w:rsidRPr="00D6631F">
              <w:rPr>
                <w:lang w:val="en-GB"/>
              </w:rPr>
              <w:t>unused tickets roll over</w:t>
            </w:r>
          </w:p>
          <w:p w14:paraId="4CA14DA8" w14:textId="2CCC0774" w:rsidR="00216865" w:rsidRPr="00D6631F" w:rsidRDefault="00503105" w:rsidP="005248F9">
            <w:pPr>
              <w:pStyle w:val="ExhibitText"/>
              <w:numPr>
                <w:ilvl w:val="0"/>
                <w:numId w:val="33"/>
              </w:numPr>
              <w:ind w:left="162" w:hanging="180"/>
              <w:rPr>
                <w:lang w:val="en-GB"/>
              </w:rPr>
            </w:pPr>
            <w:r w:rsidRPr="00D6631F">
              <w:rPr>
                <w:lang w:val="en-GB"/>
              </w:rPr>
              <w:t>20 per</w:t>
            </w:r>
            <w:r w:rsidR="003502DD" w:rsidRPr="00D6631F">
              <w:rPr>
                <w:lang w:val="en-GB"/>
              </w:rPr>
              <w:t xml:space="preserve"> </w:t>
            </w:r>
            <w:r w:rsidRPr="00D6631F">
              <w:rPr>
                <w:lang w:val="en-GB"/>
              </w:rPr>
              <w:t>cent off on concessions</w:t>
            </w:r>
          </w:p>
          <w:p w14:paraId="5ABF0D6E" w14:textId="632CFF58" w:rsidR="00503105" w:rsidRPr="00D6631F" w:rsidRDefault="00503105" w:rsidP="005248F9">
            <w:pPr>
              <w:pStyle w:val="ExhibitText"/>
              <w:numPr>
                <w:ilvl w:val="0"/>
                <w:numId w:val="33"/>
              </w:numPr>
              <w:ind w:left="162" w:hanging="180"/>
              <w:rPr>
                <w:lang w:val="en-GB"/>
              </w:rPr>
            </w:pPr>
            <w:r w:rsidRPr="00D6631F">
              <w:rPr>
                <w:lang w:val="en-GB"/>
              </w:rPr>
              <w:t>additional tickets can be purchased at $8.99 each</w:t>
            </w:r>
          </w:p>
        </w:tc>
        <w:tc>
          <w:tcPr>
            <w:tcW w:w="2520" w:type="dxa"/>
          </w:tcPr>
          <w:p w14:paraId="2F283B14" w14:textId="33CBA190" w:rsidR="00216865" w:rsidRPr="00D6631F" w:rsidRDefault="00216865" w:rsidP="005248F9">
            <w:pPr>
              <w:pStyle w:val="ExhibitText"/>
              <w:numPr>
                <w:ilvl w:val="0"/>
                <w:numId w:val="33"/>
              </w:numPr>
              <w:ind w:left="162" w:hanging="180"/>
              <w:rPr>
                <w:lang w:val="en-GB"/>
              </w:rPr>
            </w:pPr>
            <w:r w:rsidRPr="00D6631F">
              <w:rPr>
                <w:lang w:val="en-GB"/>
              </w:rPr>
              <w:t xml:space="preserve">subscription </w:t>
            </w:r>
            <w:r w:rsidR="00503105" w:rsidRPr="00D6631F">
              <w:rPr>
                <w:lang w:val="en-GB"/>
              </w:rPr>
              <w:t>can be used only at Cinemark theatres</w:t>
            </w:r>
          </w:p>
          <w:p w14:paraId="6E732C8B" w14:textId="19DA6AE0" w:rsidR="00503105" w:rsidRPr="00D6631F" w:rsidRDefault="00503105" w:rsidP="005248F9">
            <w:pPr>
              <w:pStyle w:val="ExhibitText"/>
              <w:numPr>
                <w:ilvl w:val="0"/>
                <w:numId w:val="33"/>
              </w:numPr>
              <w:ind w:left="162" w:hanging="180"/>
              <w:rPr>
                <w:lang w:val="en-GB"/>
              </w:rPr>
            </w:pPr>
            <w:r w:rsidRPr="00D6631F">
              <w:rPr>
                <w:lang w:val="en-GB"/>
              </w:rPr>
              <w:t>2</w:t>
            </w:r>
            <w:r w:rsidR="000B6E54">
              <w:rPr>
                <w:lang w:val="en-GB"/>
              </w:rPr>
              <w:t>-</w:t>
            </w:r>
            <w:r w:rsidRPr="00D6631F">
              <w:rPr>
                <w:lang w:val="en-GB"/>
              </w:rPr>
              <w:t>D movies only</w:t>
            </w:r>
          </w:p>
        </w:tc>
      </w:tr>
      <w:tr w:rsidR="00503105" w:rsidRPr="00D6631F" w14:paraId="5627149A" w14:textId="77777777" w:rsidTr="008703B3">
        <w:tc>
          <w:tcPr>
            <w:tcW w:w="3122" w:type="dxa"/>
          </w:tcPr>
          <w:p w14:paraId="0F3DBB81" w14:textId="77777777" w:rsidR="00503105" w:rsidRPr="00D6631F" w:rsidRDefault="00503105" w:rsidP="007424FE">
            <w:pPr>
              <w:pStyle w:val="ExhibitText"/>
              <w:rPr>
                <w:b/>
                <w:lang w:val="en-GB"/>
              </w:rPr>
            </w:pPr>
            <w:r w:rsidRPr="00D6631F">
              <w:rPr>
                <w:b/>
                <w:lang w:val="en-GB"/>
              </w:rPr>
              <w:t>MoviePass</w:t>
            </w:r>
          </w:p>
          <w:p w14:paraId="2AFD0BDD" w14:textId="77777777" w:rsidR="007424FE" w:rsidRPr="00D6631F" w:rsidRDefault="007424FE" w:rsidP="007424FE">
            <w:pPr>
              <w:pStyle w:val="ExhibitText"/>
              <w:rPr>
                <w:b/>
                <w:i/>
                <w:lang w:val="en-GB"/>
              </w:rPr>
            </w:pPr>
          </w:p>
          <w:p w14:paraId="4E4EEDF9" w14:textId="2A4CC4F2" w:rsidR="00503105" w:rsidRPr="00D6631F" w:rsidRDefault="00503105" w:rsidP="007424FE">
            <w:pPr>
              <w:pStyle w:val="ExhibitText"/>
              <w:rPr>
                <w:lang w:val="en-GB"/>
              </w:rPr>
            </w:pPr>
            <w:r w:rsidRPr="00D6631F">
              <w:rPr>
                <w:lang w:val="en-GB"/>
              </w:rPr>
              <w:t xml:space="preserve">First mover (launched </w:t>
            </w:r>
            <w:r w:rsidR="003502DD" w:rsidRPr="00D6631F">
              <w:rPr>
                <w:lang w:val="en-GB"/>
              </w:rPr>
              <w:t xml:space="preserve">in </w:t>
            </w:r>
            <w:r w:rsidRPr="00D6631F">
              <w:rPr>
                <w:lang w:val="en-GB"/>
              </w:rPr>
              <w:t>2011); owned by Helios and Matheson Analytics Inc. since August 2017</w:t>
            </w:r>
          </w:p>
        </w:tc>
        <w:tc>
          <w:tcPr>
            <w:tcW w:w="1373" w:type="dxa"/>
          </w:tcPr>
          <w:p w14:paraId="450C4671" w14:textId="77777777" w:rsidR="00503105" w:rsidRPr="00D6631F" w:rsidRDefault="00503105" w:rsidP="005248F9">
            <w:pPr>
              <w:pStyle w:val="ExhibitText"/>
              <w:jc w:val="right"/>
              <w:rPr>
                <w:lang w:val="en-GB"/>
              </w:rPr>
            </w:pPr>
            <w:r w:rsidRPr="00D6631F">
              <w:rPr>
                <w:lang w:val="en-GB"/>
              </w:rPr>
              <w:t>3.2 million</w:t>
            </w:r>
          </w:p>
        </w:tc>
        <w:tc>
          <w:tcPr>
            <w:tcW w:w="2250" w:type="dxa"/>
          </w:tcPr>
          <w:p w14:paraId="0DA28EF6" w14:textId="42FA9142" w:rsidR="00216865" w:rsidRPr="00D6631F" w:rsidRDefault="00503105" w:rsidP="005248F9">
            <w:pPr>
              <w:pStyle w:val="ExhibitText"/>
              <w:numPr>
                <w:ilvl w:val="0"/>
                <w:numId w:val="33"/>
              </w:numPr>
              <w:ind w:left="162" w:hanging="180"/>
              <w:rPr>
                <w:lang w:val="en-GB"/>
              </w:rPr>
            </w:pPr>
            <w:r w:rsidRPr="00D6631F">
              <w:rPr>
                <w:lang w:val="en-GB"/>
              </w:rPr>
              <w:t xml:space="preserve">$9.95/month for </w:t>
            </w:r>
            <w:r w:rsidR="00216865" w:rsidRPr="00D6631F">
              <w:rPr>
                <w:lang w:val="en-GB"/>
              </w:rPr>
              <w:t xml:space="preserve">three </w:t>
            </w:r>
            <w:r w:rsidRPr="00D6631F">
              <w:rPr>
                <w:lang w:val="en-GB"/>
              </w:rPr>
              <w:t>movies</w:t>
            </w:r>
          </w:p>
          <w:p w14:paraId="02F746DB" w14:textId="13047E40" w:rsidR="00503105" w:rsidRPr="00D6631F" w:rsidRDefault="00503105" w:rsidP="005248F9">
            <w:pPr>
              <w:pStyle w:val="ExhibitText"/>
              <w:numPr>
                <w:ilvl w:val="0"/>
                <w:numId w:val="33"/>
              </w:numPr>
              <w:ind w:left="162" w:hanging="180"/>
              <w:rPr>
                <w:lang w:val="en-GB"/>
              </w:rPr>
            </w:pPr>
            <w:r w:rsidRPr="00D6631F">
              <w:rPr>
                <w:lang w:val="en-GB"/>
              </w:rPr>
              <w:t>$2</w:t>
            </w:r>
            <w:r w:rsidR="00216865" w:rsidRPr="00D6631F">
              <w:rPr>
                <w:lang w:val="en-GB"/>
              </w:rPr>
              <w:t>–$</w:t>
            </w:r>
            <w:r w:rsidRPr="00D6631F">
              <w:rPr>
                <w:lang w:val="en-GB"/>
              </w:rPr>
              <w:t xml:space="preserve">5 discount </w:t>
            </w:r>
            <w:r w:rsidR="00184FBB" w:rsidRPr="00D6631F">
              <w:rPr>
                <w:lang w:val="en-GB"/>
              </w:rPr>
              <w:t>on additional tickets purchased </w:t>
            </w:r>
            <w:r w:rsidRPr="00D6631F">
              <w:rPr>
                <w:lang w:val="en-GB"/>
              </w:rPr>
              <w:t xml:space="preserve">via MoviePass app </w:t>
            </w:r>
          </w:p>
        </w:tc>
        <w:tc>
          <w:tcPr>
            <w:tcW w:w="2520" w:type="dxa"/>
          </w:tcPr>
          <w:p w14:paraId="674CDB36" w14:textId="683ADF58" w:rsidR="00216865" w:rsidRPr="00D6631F" w:rsidRDefault="00216865" w:rsidP="005248F9">
            <w:pPr>
              <w:pStyle w:val="ExhibitText"/>
              <w:numPr>
                <w:ilvl w:val="0"/>
                <w:numId w:val="33"/>
              </w:numPr>
              <w:ind w:left="162" w:hanging="180"/>
              <w:rPr>
                <w:lang w:val="en-GB"/>
              </w:rPr>
            </w:pPr>
            <w:r w:rsidRPr="00D6631F">
              <w:rPr>
                <w:lang w:val="en-GB"/>
              </w:rPr>
              <w:t xml:space="preserve">accepted </w:t>
            </w:r>
            <w:r w:rsidR="00503105" w:rsidRPr="00D6631F">
              <w:rPr>
                <w:lang w:val="en-GB"/>
              </w:rPr>
              <w:t xml:space="preserve">in </w:t>
            </w:r>
            <w:r w:rsidRPr="00D6631F">
              <w:rPr>
                <w:lang w:val="en-GB"/>
              </w:rPr>
              <w:t xml:space="preserve">more than </w:t>
            </w:r>
            <w:r w:rsidR="00503105" w:rsidRPr="00D6631F">
              <w:rPr>
                <w:lang w:val="en-GB"/>
              </w:rPr>
              <w:t>5,200 theatres</w:t>
            </w:r>
          </w:p>
          <w:p w14:paraId="6365DEF4" w14:textId="5C0B5F23" w:rsidR="00503105" w:rsidRPr="00D6631F" w:rsidRDefault="00503105" w:rsidP="005248F9">
            <w:pPr>
              <w:pStyle w:val="ExhibitText"/>
              <w:numPr>
                <w:ilvl w:val="0"/>
                <w:numId w:val="33"/>
              </w:numPr>
              <w:ind w:left="162" w:hanging="180"/>
              <w:rPr>
                <w:lang w:val="en-GB"/>
              </w:rPr>
            </w:pPr>
            <w:r w:rsidRPr="00D6631F">
              <w:rPr>
                <w:lang w:val="en-GB"/>
              </w:rPr>
              <w:t>2</w:t>
            </w:r>
            <w:r w:rsidR="000B6E54">
              <w:rPr>
                <w:lang w:val="en-GB"/>
              </w:rPr>
              <w:t>-</w:t>
            </w:r>
            <w:r w:rsidRPr="00D6631F">
              <w:rPr>
                <w:lang w:val="en-GB"/>
              </w:rPr>
              <w:t>D movies only</w:t>
            </w:r>
          </w:p>
        </w:tc>
      </w:tr>
    </w:tbl>
    <w:p w14:paraId="344E403F" w14:textId="77777777" w:rsidR="00503105" w:rsidRPr="00D6631F" w:rsidRDefault="00503105" w:rsidP="005248F9">
      <w:pPr>
        <w:pStyle w:val="Footnote"/>
        <w:rPr>
          <w:lang w:val="en-GB"/>
        </w:rPr>
      </w:pPr>
    </w:p>
    <w:p w14:paraId="27F5BD2F" w14:textId="1293299E" w:rsidR="007424FE" w:rsidRPr="00D6631F" w:rsidRDefault="007424FE" w:rsidP="007424FE">
      <w:pPr>
        <w:pStyle w:val="Footnote"/>
        <w:rPr>
          <w:lang w:val="en-GB"/>
        </w:rPr>
      </w:pPr>
      <w:r w:rsidRPr="00D6631F">
        <w:rPr>
          <w:lang w:val="en-GB"/>
        </w:rPr>
        <w:t xml:space="preserve">Note: All rates as of August 23, 2018. </w:t>
      </w:r>
    </w:p>
    <w:p w14:paraId="390384BB" w14:textId="28E6577F" w:rsidR="00503105" w:rsidRPr="00D6631F" w:rsidRDefault="007424FE" w:rsidP="007424FE">
      <w:pPr>
        <w:pStyle w:val="Footnote"/>
        <w:rPr>
          <w:sz w:val="20"/>
          <w:szCs w:val="20"/>
          <w:lang w:val="en-GB"/>
        </w:rPr>
      </w:pPr>
      <w:r w:rsidRPr="00D6631F">
        <w:rPr>
          <w:lang w:val="en-GB"/>
        </w:rPr>
        <w:t>Sources:</w:t>
      </w:r>
      <w:r w:rsidR="003502DD" w:rsidRPr="00D6631F">
        <w:rPr>
          <w:lang w:val="en-GB"/>
        </w:rPr>
        <w:t xml:space="preserve"> Compiled by </w:t>
      </w:r>
      <w:r w:rsidR="008C3CAD">
        <w:rPr>
          <w:lang w:val="en-GB"/>
        </w:rPr>
        <w:t xml:space="preserve">the </w:t>
      </w:r>
      <w:r w:rsidR="003502DD" w:rsidRPr="00D6631F">
        <w:rPr>
          <w:lang w:val="en-GB"/>
        </w:rPr>
        <w:t xml:space="preserve">case author based on data from </w:t>
      </w:r>
      <w:r w:rsidR="000B6E54" w:rsidRPr="00D6631F">
        <w:rPr>
          <w:lang w:val="en-GB"/>
        </w:rPr>
        <w:t xml:space="preserve">Sinemia, </w:t>
      </w:r>
      <w:r w:rsidR="003502DD" w:rsidRPr="00D6631F">
        <w:rPr>
          <w:lang w:val="en-GB"/>
        </w:rPr>
        <w:t xml:space="preserve">“Watch More | 2D/3D Movies | Any Theater,” accessed August 23, 2018, </w:t>
      </w:r>
      <w:hyperlink r:id="rId10" w:history="1">
        <w:r w:rsidRPr="00D6631F">
          <w:rPr>
            <w:rStyle w:val="Hyperlink"/>
            <w:color w:val="auto"/>
            <w:u w:val="none"/>
            <w:lang w:val="en-GB"/>
          </w:rPr>
          <w:t>www.sinemia.com/new-plans</w:t>
        </w:r>
      </w:hyperlink>
      <w:r w:rsidRPr="00D6631F">
        <w:rPr>
          <w:lang w:val="en-GB"/>
        </w:rPr>
        <w:t>;</w:t>
      </w:r>
      <w:r w:rsidR="003502DD" w:rsidRPr="00D6631F">
        <w:rPr>
          <w:lang w:val="en-GB"/>
        </w:rPr>
        <w:t xml:space="preserve"> </w:t>
      </w:r>
      <w:r w:rsidR="000B6E54" w:rsidRPr="00D6631F">
        <w:rPr>
          <w:lang w:val="en-GB"/>
        </w:rPr>
        <w:t xml:space="preserve">AMC, </w:t>
      </w:r>
      <w:r w:rsidR="003502DD" w:rsidRPr="00D6631F">
        <w:rPr>
          <w:lang w:val="en-GB"/>
        </w:rPr>
        <w:t xml:space="preserve">“AMC Stubs A-List,” accessed August 23, 2018, </w:t>
      </w:r>
      <w:r w:rsidR="00504D42" w:rsidRPr="00D6631F">
        <w:rPr>
          <w:lang w:val="en-GB"/>
        </w:rPr>
        <w:t>www.amctheatres.com/amcstubs/alist</w:t>
      </w:r>
      <w:r w:rsidRPr="00D6631F">
        <w:rPr>
          <w:lang w:val="en-GB"/>
        </w:rPr>
        <w:t>; </w:t>
      </w:r>
      <w:hyperlink r:id="rId11" w:history="1">
        <w:r w:rsidRPr="00D6631F">
          <w:rPr>
            <w:rStyle w:val="Hyperlink"/>
            <w:color w:val="auto"/>
            <w:u w:val="none"/>
            <w:lang w:val="en-GB"/>
          </w:rPr>
          <w:t>cinemark.com/movieclub</w:t>
        </w:r>
      </w:hyperlink>
      <w:r w:rsidRPr="00D6631F">
        <w:rPr>
          <w:lang w:val="en-GB"/>
        </w:rPr>
        <w:t xml:space="preserve">; </w:t>
      </w:r>
      <w:r w:rsidR="000B6E54" w:rsidRPr="00D6631F">
        <w:rPr>
          <w:lang w:val="en-GB"/>
        </w:rPr>
        <w:t xml:space="preserve">MoviePass, </w:t>
      </w:r>
      <w:r w:rsidR="003502DD" w:rsidRPr="00D6631F">
        <w:rPr>
          <w:lang w:val="en-GB"/>
        </w:rPr>
        <w:t xml:space="preserve">“Go See It All,” accessed August 23, 2018, </w:t>
      </w:r>
      <w:r w:rsidR="00504D42" w:rsidRPr="00D6631F">
        <w:rPr>
          <w:lang w:val="en-GB"/>
        </w:rPr>
        <w:t>www.moviepass.com/</w:t>
      </w:r>
      <w:r w:rsidRPr="00D6631F">
        <w:rPr>
          <w:lang w:val="en-GB"/>
        </w:rPr>
        <w:t xml:space="preserve">; </w:t>
      </w:r>
      <w:r w:rsidR="003502DD" w:rsidRPr="00D6631F">
        <w:rPr>
          <w:lang w:val="en-GB"/>
        </w:rPr>
        <w:t xml:space="preserve">Shen Lu, “MoviePass vs. Sinemia vs. AMC Stubs A-List vs. Cinemark Movie Club,” Magnify Money, August 7, 2018, accessed August 23, 2018, </w:t>
      </w:r>
      <w:r w:rsidRPr="000B6E54">
        <w:rPr>
          <w:lang w:val="en-GB"/>
        </w:rPr>
        <w:t>www.magnifymoney.com/blog/news/moviepass-amc-cinemark-sinemia-best/</w:t>
      </w:r>
      <w:r w:rsidR="003502DD" w:rsidRPr="00D6631F">
        <w:rPr>
          <w:rStyle w:val="Hyperlink"/>
          <w:color w:val="auto"/>
          <w:u w:val="none"/>
          <w:lang w:val="en-GB"/>
        </w:rPr>
        <w:t>.</w:t>
      </w:r>
      <w:r w:rsidRPr="00D6631F">
        <w:rPr>
          <w:lang w:val="en-GB"/>
        </w:rPr>
        <w:t xml:space="preserve"> </w:t>
      </w:r>
    </w:p>
    <w:p w14:paraId="5707DD96" w14:textId="5B8DF8D5" w:rsidR="00452AA9" w:rsidRPr="00D6631F" w:rsidRDefault="00452AA9">
      <w:pPr>
        <w:spacing w:after="200" w:line="276" w:lineRule="auto"/>
        <w:rPr>
          <w:rFonts w:ascii="Arial" w:hAnsi="Arial" w:cs="Arial"/>
          <w:lang w:val="en-GB"/>
        </w:rPr>
      </w:pPr>
      <w:r w:rsidRPr="00D6631F">
        <w:rPr>
          <w:lang w:val="en-GB"/>
        </w:rPr>
        <w:br w:type="page"/>
      </w:r>
    </w:p>
    <w:p w14:paraId="708FE05D" w14:textId="77777777" w:rsidR="00503105" w:rsidRPr="00D6631F" w:rsidRDefault="00503105" w:rsidP="007424FE">
      <w:pPr>
        <w:pStyle w:val="ExhibitText"/>
        <w:rPr>
          <w:lang w:val="en-GB"/>
        </w:rPr>
      </w:pPr>
    </w:p>
    <w:p w14:paraId="33571958" w14:textId="77777777" w:rsidR="008C3CAD" w:rsidRDefault="00452AA9" w:rsidP="00452AA9">
      <w:pPr>
        <w:pStyle w:val="ExhibitHeading"/>
        <w:rPr>
          <w:lang w:val="en-GB"/>
        </w:rPr>
      </w:pPr>
      <w:r w:rsidRPr="00D6631F">
        <w:rPr>
          <w:lang w:val="en-GB"/>
        </w:rPr>
        <w:t>EXHIBIT 4: HELIOS AND MATHESON ANALYTICS INC.</w:t>
      </w:r>
      <w:r w:rsidR="008C3CAD">
        <w:rPr>
          <w:lang w:val="en-GB"/>
        </w:rPr>
        <w:t xml:space="preserve"> </w:t>
      </w:r>
      <w:r w:rsidRPr="00D6631F">
        <w:rPr>
          <w:lang w:val="en-GB"/>
        </w:rPr>
        <w:t xml:space="preserve">SUMMARY financial STATEMENTs </w:t>
      </w:r>
    </w:p>
    <w:p w14:paraId="3A3A3B30" w14:textId="7B597E81" w:rsidR="00452AA9" w:rsidRPr="00D6631F" w:rsidRDefault="00452AA9" w:rsidP="00452AA9">
      <w:pPr>
        <w:pStyle w:val="ExhibitHeading"/>
        <w:rPr>
          <w:lang w:val="en-GB"/>
        </w:rPr>
      </w:pPr>
      <w:r w:rsidRPr="00D6631F">
        <w:rPr>
          <w:lang w:val="en-GB"/>
        </w:rPr>
        <w:t xml:space="preserve">(IN </w:t>
      </w:r>
      <w:r w:rsidR="00BE1EC2" w:rsidRPr="00D6631F">
        <w:rPr>
          <w:lang w:val="en-GB"/>
        </w:rPr>
        <w:t>US</w:t>
      </w:r>
      <w:r w:rsidRPr="00D6631F">
        <w:rPr>
          <w:lang w:val="en-GB"/>
        </w:rPr>
        <w:t>$)</w:t>
      </w:r>
    </w:p>
    <w:p w14:paraId="7D9686E0" w14:textId="165BA302" w:rsidR="00DE35A7" w:rsidRPr="00D6631F" w:rsidRDefault="00DE35A7" w:rsidP="00452AA9">
      <w:pPr>
        <w:pStyle w:val="ExhibitHeading"/>
        <w:rPr>
          <w:lang w:val="en-GB"/>
        </w:rPr>
      </w:pPr>
    </w:p>
    <w:tbl>
      <w:tblPr>
        <w:tblStyle w:val="TableGrid"/>
        <w:tblW w:w="0" w:type="auto"/>
        <w:jc w:val="center"/>
        <w:tblLayout w:type="fixed"/>
        <w:tblLook w:val="04A0" w:firstRow="1" w:lastRow="0" w:firstColumn="1" w:lastColumn="0" w:noHBand="0" w:noVBand="1"/>
      </w:tblPr>
      <w:tblGrid>
        <w:gridCol w:w="3055"/>
        <w:gridCol w:w="1890"/>
        <w:gridCol w:w="1890"/>
      </w:tblGrid>
      <w:tr w:rsidR="00DE35A7" w:rsidRPr="00D6631F" w14:paraId="6AD02120" w14:textId="77777777" w:rsidTr="000D2189">
        <w:trPr>
          <w:trHeight w:val="424"/>
          <w:jc w:val="center"/>
        </w:trPr>
        <w:tc>
          <w:tcPr>
            <w:tcW w:w="3055" w:type="dxa"/>
          </w:tcPr>
          <w:p w14:paraId="0DBBFCC0" w14:textId="539AF9C8" w:rsidR="00DE35A7" w:rsidRPr="00D6631F" w:rsidRDefault="00DE35A7" w:rsidP="00DE35A7">
            <w:pPr>
              <w:pStyle w:val="ExhibitText"/>
              <w:jc w:val="left"/>
              <w:rPr>
                <w:b/>
                <w:lang w:val="en-GB"/>
              </w:rPr>
            </w:pPr>
            <w:r w:rsidRPr="00D6631F">
              <w:rPr>
                <w:b/>
                <w:lang w:val="en-GB"/>
              </w:rPr>
              <w:t>Summary Income Statement</w:t>
            </w:r>
          </w:p>
        </w:tc>
        <w:tc>
          <w:tcPr>
            <w:tcW w:w="1890" w:type="dxa"/>
          </w:tcPr>
          <w:p w14:paraId="7FDC0586" w14:textId="487F659B" w:rsidR="00DE35A7" w:rsidRPr="00D6631F" w:rsidRDefault="00DE35A7" w:rsidP="00DE35A7">
            <w:pPr>
              <w:pStyle w:val="ExhibitText"/>
              <w:jc w:val="left"/>
              <w:rPr>
                <w:b/>
                <w:lang w:val="en-GB"/>
              </w:rPr>
            </w:pPr>
            <w:r w:rsidRPr="00D6631F">
              <w:rPr>
                <w:b/>
                <w:lang w:val="en-GB"/>
              </w:rPr>
              <w:t>3 Months Ending March 31, 2018</w:t>
            </w:r>
          </w:p>
        </w:tc>
        <w:tc>
          <w:tcPr>
            <w:tcW w:w="1890" w:type="dxa"/>
          </w:tcPr>
          <w:p w14:paraId="36CCD33A" w14:textId="09581817" w:rsidR="00DE35A7" w:rsidRPr="00D6631F" w:rsidRDefault="00DE35A7" w:rsidP="00DE35A7">
            <w:pPr>
              <w:pStyle w:val="ExhibitText"/>
              <w:jc w:val="left"/>
              <w:rPr>
                <w:b/>
                <w:lang w:val="en-GB"/>
              </w:rPr>
            </w:pPr>
            <w:r w:rsidRPr="00D6631F">
              <w:rPr>
                <w:b/>
                <w:lang w:val="en-GB"/>
              </w:rPr>
              <w:t>3 Months Ending June 30, 2018</w:t>
            </w:r>
          </w:p>
        </w:tc>
      </w:tr>
      <w:tr w:rsidR="00DE35A7" w:rsidRPr="00D6631F" w14:paraId="31D22E0C" w14:textId="77777777" w:rsidTr="000D2189">
        <w:trPr>
          <w:trHeight w:val="219"/>
          <w:jc w:val="center"/>
        </w:trPr>
        <w:tc>
          <w:tcPr>
            <w:tcW w:w="3055" w:type="dxa"/>
          </w:tcPr>
          <w:p w14:paraId="4D93A649" w14:textId="6F6E8121" w:rsidR="00DE35A7" w:rsidRPr="00D6631F" w:rsidRDefault="00DE35A7" w:rsidP="00DE35A7">
            <w:pPr>
              <w:pStyle w:val="ExhibitText"/>
              <w:jc w:val="left"/>
              <w:rPr>
                <w:b/>
                <w:lang w:val="en-GB"/>
              </w:rPr>
            </w:pPr>
            <w:r w:rsidRPr="00D6631F">
              <w:rPr>
                <w:b/>
                <w:lang w:val="en-GB"/>
              </w:rPr>
              <w:t>Revenues:</w:t>
            </w:r>
          </w:p>
        </w:tc>
        <w:tc>
          <w:tcPr>
            <w:tcW w:w="1890" w:type="dxa"/>
          </w:tcPr>
          <w:p w14:paraId="345F1A75" w14:textId="77777777" w:rsidR="00DE35A7" w:rsidRPr="00D6631F" w:rsidRDefault="00DE35A7" w:rsidP="00DE35A7">
            <w:pPr>
              <w:pStyle w:val="ExhibitText"/>
              <w:rPr>
                <w:lang w:val="en-GB"/>
              </w:rPr>
            </w:pPr>
          </w:p>
        </w:tc>
        <w:tc>
          <w:tcPr>
            <w:tcW w:w="1890" w:type="dxa"/>
          </w:tcPr>
          <w:p w14:paraId="3F86CF79" w14:textId="7F213DA2" w:rsidR="00DE35A7" w:rsidRPr="00D6631F" w:rsidRDefault="00DE35A7" w:rsidP="00DE35A7">
            <w:pPr>
              <w:pStyle w:val="ExhibitText"/>
              <w:rPr>
                <w:lang w:val="en-GB"/>
              </w:rPr>
            </w:pPr>
          </w:p>
        </w:tc>
      </w:tr>
      <w:tr w:rsidR="00DE35A7" w:rsidRPr="00D6631F" w14:paraId="7AF82D8D" w14:textId="77777777" w:rsidTr="000D2189">
        <w:trPr>
          <w:trHeight w:val="212"/>
          <w:jc w:val="center"/>
        </w:trPr>
        <w:tc>
          <w:tcPr>
            <w:tcW w:w="3055" w:type="dxa"/>
          </w:tcPr>
          <w:p w14:paraId="673D5B13" w14:textId="00F91C89" w:rsidR="00DE35A7" w:rsidRPr="00D6631F" w:rsidRDefault="00DE35A7" w:rsidP="00DE35A7">
            <w:pPr>
              <w:pStyle w:val="ExhibitText"/>
              <w:jc w:val="left"/>
              <w:rPr>
                <w:lang w:val="en-GB"/>
              </w:rPr>
            </w:pPr>
            <w:r w:rsidRPr="00D6631F">
              <w:rPr>
                <w:lang w:val="en-GB"/>
              </w:rPr>
              <w:t>Consulting</w:t>
            </w:r>
          </w:p>
        </w:tc>
        <w:tc>
          <w:tcPr>
            <w:tcW w:w="1890" w:type="dxa"/>
          </w:tcPr>
          <w:p w14:paraId="37DBC424" w14:textId="6CB34B7E" w:rsidR="00DE35A7" w:rsidRPr="00D6631F" w:rsidRDefault="00DE35A7" w:rsidP="00DE35A7">
            <w:pPr>
              <w:pStyle w:val="ExhibitText"/>
              <w:jc w:val="right"/>
              <w:rPr>
                <w:lang w:val="en-GB"/>
              </w:rPr>
            </w:pPr>
            <w:r w:rsidRPr="00D6631F">
              <w:rPr>
                <w:lang w:val="en-GB"/>
              </w:rPr>
              <w:t>839,503</w:t>
            </w:r>
          </w:p>
        </w:tc>
        <w:tc>
          <w:tcPr>
            <w:tcW w:w="1890" w:type="dxa"/>
          </w:tcPr>
          <w:p w14:paraId="05006390" w14:textId="39465ED2" w:rsidR="00DE35A7" w:rsidRPr="00D6631F" w:rsidRDefault="00DE35A7" w:rsidP="00DE35A7">
            <w:pPr>
              <w:pStyle w:val="ExhibitText"/>
              <w:jc w:val="right"/>
              <w:rPr>
                <w:lang w:val="en-GB"/>
              </w:rPr>
            </w:pPr>
            <w:r w:rsidRPr="00D6631F">
              <w:rPr>
                <w:lang w:val="en-GB"/>
              </w:rPr>
              <w:t>829,606</w:t>
            </w:r>
          </w:p>
        </w:tc>
      </w:tr>
      <w:tr w:rsidR="00DE35A7" w:rsidRPr="00D6631F" w14:paraId="200158BF" w14:textId="77777777" w:rsidTr="000D2189">
        <w:trPr>
          <w:trHeight w:val="212"/>
          <w:jc w:val="center"/>
        </w:trPr>
        <w:tc>
          <w:tcPr>
            <w:tcW w:w="3055" w:type="dxa"/>
          </w:tcPr>
          <w:p w14:paraId="1DF87ACD" w14:textId="47E0BFDF" w:rsidR="00DE35A7" w:rsidRPr="00D6631F" w:rsidRDefault="00DE35A7" w:rsidP="00DE35A7">
            <w:pPr>
              <w:pStyle w:val="ExhibitText"/>
              <w:jc w:val="left"/>
              <w:rPr>
                <w:lang w:val="en-GB"/>
              </w:rPr>
            </w:pPr>
            <w:r w:rsidRPr="00D6631F">
              <w:rPr>
                <w:lang w:val="en-GB"/>
              </w:rPr>
              <w:t>Subscription</w:t>
            </w:r>
          </w:p>
        </w:tc>
        <w:tc>
          <w:tcPr>
            <w:tcW w:w="1890" w:type="dxa"/>
          </w:tcPr>
          <w:p w14:paraId="608BD89F" w14:textId="2E881B7D" w:rsidR="00DE35A7" w:rsidRPr="00D6631F" w:rsidRDefault="00DE35A7" w:rsidP="00DE35A7">
            <w:pPr>
              <w:pStyle w:val="ExhibitText"/>
              <w:jc w:val="right"/>
              <w:rPr>
                <w:lang w:val="en-GB"/>
              </w:rPr>
            </w:pPr>
            <w:r w:rsidRPr="00D6631F">
              <w:rPr>
                <w:lang w:val="en-GB"/>
              </w:rPr>
              <w:t>47,162,447</w:t>
            </w:r>
          </w:p>
        </w:tc>
        <w:tc>
          <w:tcPr>
            <w:tcW w:w="1890" w:type="dxa"/>
          </w:tcPr>
          <w:p w14:paraId="700236E8" w14:textId="38339203" w:rsidR="00DE35A7" w:rsidRPr="00D6631F" w:rsidRDefault="00DE35A7" w:rsidP="00DE35A7">
            <w:pPr>
              <w:pStyle w:val="ExhibitText"/>
              <w:jc w:val="right"/>
              <w:rPr>
                <w:lang w:val="en-GB"/>
              </w:rPr>
            </w:pPr>
            <w:r w:rsidRPr="00D6631F">
              <w:rPr>
                <w:lang w:val="en-GB"/>
              </w:rPr>
              <w:t>72,403,640</w:t>
            </w:r>
          </w:p>
        </w:tc>
      </w:tr>
      <w:tr w:rsidR="00DE35A7" w:rsidRPr="00D6631F" w14:paraId="23348C2B" w14:textId="77777777" w:rsidTr="000D2189">
        <w:trPr>
          <w:trHeight w:val="219"/>
          <w:jc w:val="center"/>
        </w:trPr>
        <w:tc>
          <w:tcPr>
            <w:tcW w:w="3055" w:type="dxa"/>
          </w:tcPr>
          <w:p w14:paraId="6EB6519A" w14:textId="165FF541" w:rsidR="00DE35A7" w:rsidRPr="00D6631F" w:rsidRDefault="00DE35A7" w:rsidP="00DE35A7">
            <w:pPr>
              <w:pStyle w:val="ExhibitText"/>
              <w:jc w:val="left"/>
              <w:rPr>
                <w:lang w:val="en-GB"/>
              </w:rPr>
            </w:pPr>
            <w:r w:rsidRPr="00D6631F">
              <w:rPr>
                <w:lang w:val="en-GB"/>
              </w:rPr>
              <w:t>Marketing/Promotional Services</w:t>
            </w:r>
          </w:p>
        </w:tc>
        <w:tc>
          <w:tcPr>
            <w:tcW w:w="1890" w:type="dxa"/>
          </w:tcPr>
          <w:p w14:paraId="63658651" w14:textId="408DE993" w:rsidR="00DE35A7" w:rsidRPr="00D6631F" w:rsidRDefault="00DE35A7" w:rsidP="00DE35A7">
            <w:pPr>
              <w:pStyle w:val="ExhibitText"/>
              <w:jc w:val="right"/>
              <w:rPr>
                <w:lang w:val="en-GB"/>
              </w:rPr>
            </w:pPr>
            <w:r w:rsidRPr="00D6631F">
              <w:rPr>
                <w:lang w:val="en-GB"/>
              </w:rPr>
              <w:t>1,440,910</w:t>
            </w:r>
          </w:p>
        </w:tc>
        <w:tc>
          <w:tcPr>
            <w:tcW w:w="1890" w:type="dxa"/>
          </w:tcPr>
          <w:p w14:paraId="48DEB78E" w14:textId="01204235" w:rsidR="00DE35A7" w:rsidRPr="00D6631F" w:rsidRDefault="00DE35A7" w:rsidP="00DE35A7">
            <w:pPr>
              <w:pStyle w:val="ExhibitText"/>
              <w:jc w:val="right"/>
              <w:rPr>
                <w:lang w:val="en-GB"/>
              </w:rPr>
            </w:pPr>
            <w:r w:rsidRPr="00D6631F">
              <w:rPr>
                <w:lang w:val="en-GB"/>
              </w:rPr>
              <w:t>935,488</w:t>
            </w:r>
          </w:p>
        </w:tc>
      </w:tr>
      <w:tr w:rsidR="00DE35A7" w:rsidRPr="00D6631F" w14:paraId="67014F9D" w14:textId="77777777" w:rsidTr="000D2189">
        <w:trPr>
          <w:trHeight w:val="212"/>
          <w:jc w:val="center"/>
        </w:trPr>
        <w:tc>
          <w:tcPr>
            <w:tcW w:w="3055" w:type="dxa"/>
          </w:tcPr>
          <w:p w14:paraId="31F20F56" w14:textId="5A2AEAFA" w:rsidR="00DE35A7" w:rsidRPr="00D6631F" w:rsidRDefault="00DE35A7" w:rsidP="00DE35A7">
            <w:pPr>
              <w:pStyle w:val="ExhibitText"/>
              <w:jc w:val="left"/>
              <w:rPr>
                <w:b/>
                <w:lang w:val="en-GB"/>
              </w:rPr>
            </w:pPr>
            <w:r w:rsidRPr="00D6631F">
              <w:rPr>
                <w:b/>
                <w:lang w:val="en-GB"/>
              </w:rPr>
              <w:t>Total</w:t>
            </w:r>
          </w:p>
        </w:tc>
        <w:tc>
          <w:tcPr>
            <w:tcW w:w="1890" w:type="dxa"/>
          </w:tcPr>
          <w:p w14:paraId="2E43152F" w14:textId="5AE0D49A" w:rsidR="00DE35A7" w:rsidRPr="00D6631F" w:rsidRDefault="00DE35A7" w:rsidP="00DE35A7">
            <w:pPr>
              <w:pStyle w:val="ExhibitText"/>
              <w:jc w:val="right"/>
              <w:rPr>
                <w:lang w:val="en-GB"/>
              </w:rPr>
            </w:pPr>
            <w:r w:rsidRPr="00D6631F">
              <w:rPr>
                <w:b/>
                <w:lang w:val="en-GB"/>
              </w:rPr>
              <w:t>49,442,860</w:t>
            </w:r>
          </w:p>
        </w:tc>
        <w:tc>
          <w:tcPr>
            <w:tcW w:w="1890" w:type="dxa"/>
          </w:tcPr>
          <w:p w14:paraId="5E9075BA" w14:textId="6046C390" w:rsidR="00DE35A7" w:rsidRPr="00D6631F" w:rsidRDefault="00DE35A7" w:rsidP="00DE35A7">
            <w:pPr>
              <w:pStyle w:val="ExhibitText"/>
              <w:jc w:val="right"/>
              <w:rPr>
                <w:lang w:val="en-GB"/>
              </w:rPr>
            </w:pPr>
            <w:r w:rsidRPr="00D6631F">
              <w:rPr>
                <w:b/>
                <w:lang w:val="en-GB"/>
              </w:rPr>
              <w:t>74,168,734</w:t>
            </w:r>
          </w:p>
        </w:tc>
      </w:tr>
      <w:tr w:rsidR="00DE35A7" w:rsidRPr="00D6631F" w14:paraId="644352D8" w14:textId="77777777" w:rsidTr="000D2189">
        <w:trPr>
          <w:trHeight w:val="212"/>
          <w:jc w:val="center"/>
        </w:trPr>
        <w:tc>
          <w:tcPr>
            <w:tcW w:w="3055" w:type="dxa"/>
          </w:tcPr>
          <w:p w14:paraId="38581B38" w14:textId="68C52776" w:rsidR="00DE35A7" w:rsidRPr="00D6631F" w:rsidRDefault="00DE35A7" w:rsidP="00DE35A7">
            <w:pPr>
              <w:pStyle w:val="ExhibitText"/>
              <w:jc w:val="left"/>
              <w:rPr>
                <w:lang w:val="en-GB"/>
              </w:rPr>
            </w:pPr>
            <w:r w:rsidRPr="00D6631F">
              <w:rPr>
                <w:lang w:val="en-GB"/>
              </w:rPr>
              <w:t>Cost of Revenue</w:t>
            </w:r>
          </w:p>
        </w:tc>
        <w:tc>
          <w:tcPr>
            <w:tcW w:w="1890" w:type="dxa"/>
          </w:tcPr>
          <w:p w14:paraId="2718FD60" w14:textId="4CC93B09" w:rsidR="00DE35A7" w:rsidRPr="00D6631F" w:rsidRDefault="00DE35A7" w:rsidP="00DE35A7">
            <w:pPr>
              <w:pStyle w:val="ExhibitText"/>
              <w:jc w:val="right"/>
              <w:rPr>
                <w:lang w:val="en-GB"/>
              </w:rPr>
            </w:pPr>
            <w:r w:rsidRPr="00D6631F">
              <w:rPr>
                <w:lang w:val="en-GB"/>
              </w:rPr>
              <w:t>135,968,976</w:t>
            </w:r>
          </w:p>
        </w:tc>
        <w:tc>
          <w:tcPr>
            <w:tcW w:w="1890" w:type="dxa"/>
          </w:tcPr>
          <w:p w14:paraId="04BD110A" w14:textId="5D5365DC" w:rsidR="00DE35A7" w:rsidRPr="00D6631F" w:rsidRDefault="00DE35A7" w:rsidP="00DE35A7">
            <w:pPr>
              <w:pStyle w:val="ExhibitText"/>
              <w:jc w:val="right"/>
              <w:rPr>
                <w:lang w:val="en-GB"/>
              </w:rPr>
            </w:pPr>
            <w:r w:rsidRPr="00D6631F">
              <w:rPr>
                <w:lang w:val="en-GB"/>
              </w:rPr>
              <w:t>178,766,719</w:t>
            </w:r>
          </w:p>
        </w:tc>
      </w:tr>
      <w:tr w:rsidR="00DE35A7" w:rsidRPr="00D6631F" w14:paraId="334C213F" w14:textId="77777777" w:rsidTr="000D2189">
        <w:trPr>
          <w:trHeight w:val="219"/>
          <w:jc w:val="center"/>
        </w:trPr>
        <w:tc>
          <w:tcPr>
            <w:tcW w:w="3055" w:type="dxa"/>
          </w:tcPr>
          <w:p w14:paraId="05CE1ABD" w14:textId="15A2B7A3" w:rsidR="00DE35A7" w:rsidRPr="00D6631F" w:rsidRDefault="00DE35A7" w:rsidP="00DE35A7">
            <w:pPr>
              <w:pStyle w:val="ExhibitText"/>
              <w:jc w:val="left"/>
              <w:rPr>
                <w:lang w:val="en-GB"/>
              </w:rPr>
            </w:pPr>
            <w:r w:rsidRPr="00D6631F">
              <w:rPr>
                <w:lang w:val="en-GB"/>
              </w:rPr>
              <w:t>Gross Profit (Loss)</w:t>
            </w:r>
          </w:p>
        </w:tc>
        <w:tc>
          <w:tcPr>
            <w:tcW w:w="1890" w:type="dxa"/>
          </w:tcPr>
          <w:p w14:paraId="4EE47836" w14:textId="35953A15" w:rsidR="00DE35A7" w:rsidRPr="00D6631F" w:rsidRDefault="00DE35A7" w:rsidP="00DE35A7">
            <w:pPr>
              <w:pStyle w:val="ExhibitText"/>
              <w:jc w:val="right"/>
              <w:rPr>
                <w:lang w:val="en-GB"/>
              </w:rPr>
            </w:pPr>
            <w:r w:rsidRPr="00D6631F">
              <w:rPr>
                <w:lang w:val="en-GB"/>
              </w:rPr>
              <w:t>(86,526,116)</w:t>
            </w:r>
          </w:p>
        </w:tc>
        <w:tc>
          <w:tcPr>
            <w:tcW w:w="1890" w:type="dxa"/>
          </w:tcPr>
          <w:p w14:paraId="2DE48842" w14:textId="50159A61" w:rsidR="00DE35A7" w:rsidRPr="00D6631F" w:rsidRDefault="00DE35A7" w:rsidP="00DE35A7">
            <w:pPr>
              <w:pStyle w:val="ExhibitText"/>
              <w:jc w:val="right"/>
              <w:rPr>
                <w:lang w:val="en-GB"/>
              </w:rPr>
            </w:pPr>
            <w:r w:rsidRPr="00D6631F">
              <w:rPr>
                <w:lang w:val="en-GB"/>
              </w:rPr>
              <w:t>(104,597,985)</w:t>
            </w:r>
          </w:p>
        </w:tc>
      </w:tr>
      <w:tr w:rsidR="00DE35A7" w:rsidRPr="00D6631F" w14:paraId="08C6EC6C" w14:textId="77777777" w:rsidTr="000D2189">
        <w:trPr>
          <w:trHeight w:val="212"/>
          <w:jc w:val="center"/>
        </w:trPr>
        <w:tc>
          <w:tcPr>
            <w:tcW w:w="3055" w:type="dxa"/>
          </w:tcPr>
          <w:p w14:paraId="7EDA9514" w14:textId="658B6B88" w:rsidR="00DE35A7" w:rsidRPr="00D6631F" w:rsidRDefault="00DE35A7" w:rsidP="00DE35A7">
            <w:pPr>
              <w:pStyle w:val="ExhibitText"/>
              <w:jc w:val="left"/>
              <w:rPr>
                <w:b/>
                <w:lang w:val="en-GB"/>
              </w:rPr>
            </w:pPr>
            <w:r w:rsidRPr="00D6631F">
              <w:rPr>
                <w:b/>
                <w:lang w:val="en-GB"/>
              </w:rPr>
              <w:t>Operating Expenses:</w:t>
            </w:r>
          </w:p>
        </w:tc>
        <w:tc>
          <w:tcPr>
            <w:tcW w:w="1890" w:type="dxa"/>
          </w:tcPr>
          <w:p w14:paraId="22961B73" w14:textId="77777777" w:rsidR="00DE35A7" w:rsidRPr="00D6631F" w:rsidRDefault="00DE35A7" w:rsidP="00DE35A7">
            <w:pPr>
              <w:pStyle w:val="ExhibitText"/>
              <w:jc w:val="right"/>
              <w:rPr>
                <w:lang w:val="en-GB"/>
              </w:rPr>
            </w:pPr>
          </w:p>
        </w:tc>
        <w:tc>
          <w:tcPr>
            <w:tcW w:w="1890" w:type="dxa"/>
          </w:tcPr>
          <w:p w14:paraId="73A7D5ED" w14:textId="77777777" w:rsidR="00DE35A7" w:rsidRPr="00D6631F" w:rsidRDefault="00DE35A7" w:rsidP="00DE35A7">
            <w:pPr>
              <w:pStyle w:val="ExhibitText"/>
              <w:jc w:val="right"/>
              <w:rPr>
                <w:lang w:val="en-GB"/>
              </w:rPr>
            </w:pPr>
          </w:p>
        </w:tc>
      </w:tr>
      <w:tr w:rsidR="00DE35A7" w:rsidRPr="00D6631F" w14:paraId="599DC33E" w14:textId="77777777" w:rsidTr="000D2189">
        <w:trPr>
          <w:trHeight w:val="212"/>
          <w:jc w:val="center"/>
        </w:trPr>
        <w:tc>
          <w:tcPr>
            <w:tcW w:w="3055" w:type="dxa"/>
          </w:tcPr>
          <w:p w14:paraId="5CFCC0CF" w14:textId="770C6B1B" w:rsidR="00DE35A7" w:rsidRPr="00D6631F" w:rsidRDefault="00DE35A7" w:rsidP="00DE35A7">
            <w:pPr>
              <w:pStyle w:val="ExhibitText"/>
              <w:jc w:val="left"/>
              <w:rPr>
                <w:lang w:val="en-GB"/>
              </w:rPr>
            </w:pPr>
            <w:r w:rsidRPr="00D6631F">
              <w:rPr>
                <w:lang w:val="en-GB"/>
              </w:rPr>
              <w:t>Selling, General, Administrative</w:t>
            </w:r>
          </w:p>
        </w:tc>
        <w:tc>
          <w:tcPr>
            <w:tcW w:w="1890" w:type="dxa"/>
          </w:tcPr>
          <w:p w14:paraId="677DA21C" w14:textId="7426FE19" w:rsidR="00DE35A7" w:rsidRPr="00D6631F" w:rsidRDefault="00DE35A7" w:rsidP="00DE35A7">
            <w:pPr>
              <w:pStyle w:val="ExhibitText"/>
              <w:jc w:val="right"/>
              <w:rPr>
                <w:lang w:val="en-GB"/>
              </w:rPr>
            </w:pPr>
            <w:r w:rsidRPr="00D6631F">
              <w:rPr>
                <w:lang w:val="en-GB"/>
              </w:rPr>
              <w:t>19,709,831</w:t>
            </w:r>
          </w:p>
        </w:tc>
        <w:tc>
          <w:tcPr>
            <w:tcW w:w="1890" w:type="dxa"/>
          </w:tcPr>
          <w:p w14:paraId="59C0EF00" w14:textId="23AB01D1" w:rsidR="00DE35A7" w:rsidRPr="00D6631F" w:rsidRDefault="00DE35A7" w:rsidP="00DE35A7">
            <w:pPr>
              <w:pStyle w:val="ExhibitText"/>
              <w:jc w:val="right"/>
              <w:rPr>
                <w:lang w:val="en-GB"/>
              </w:rPr>
            </w:pPr>
            <w:r w:rsidRPr="00D6631F">
              <w:rPr>
                <w:lang w:val="en-GB"/>
              </w:rPr>
              <w:t>20,508,528</w:t>
            </w:r>
          </w:p>
        </w:tc>
      </w:tr>
      <w:tr w:rsidR="00DE35A7" w:rsidRPr="00D6631F" w14:paraId="6CD5A1CC" w14:textId="77777777" w:rsidTr="000D2189">
        <w:trPr>
          <w:trHeight w:val="219"/>
          <w:jc w:val="center"/>
        </w:trPr>
        <w:tc>
          <w:tcPr>
            <w:tcW w:w="3055" w:type="dxa"/>
          </w:tcPr>
          <w:p w14:paraId="361A576F" w14:textId="41CD2506" w:rsidR="00DE35A7" w:rsidRPr="00D6631F" w:rsidRDefault="00DE35A7" w:rsidP="00DE35A7">
            <w:pPr>
              <w:pStyle w:val="ExhibitText"/>
              <w:jc w:val="left"/>
              <w:rPr>
                <w:lang w:val="en-GB"/>
              </w:rPr>
            </w:pPr>
            <w:r w:rsidRPr="00D6631F">
              <w:rPr>
                <w:lang w:val="en-GB"/>
              </w:rPr>
              <w:t>Research &amp; Development</w:t>
            </w:r>
          </w:p>
        </w:tc>
        <w:tc>
          <w:tcPr>
            <w:tcW w:w="1890" w:type="dxa"/>
          </w:tcPr>
          <w:p w14:paraId="2B990B8D" w14:textId="7ABCE80E" w:rsidR="00DE35A7" w:rsidRPr="00D6631F" w:rsidRDefault="00DE35A7" w:rsidP="00DE35A7">
            <w:pPr>
              <w:pStyle w:val="ExhibitText"/>
              <w:jc w:val="right"/>
              <w:rPr>
                <w:lang w:val="en-GB"/>
              </w:rPr>
            </w:pPr>
            <w:r w:rsidRPr="00D6631F">
              <w:rPr>
                <w:lang w:val="en-GB"/>
              </w:rPr>
              <w:t>224,771</w:t>
            </w:r>
          </w:p>
        </w:tc>
        <w:tc>
          <w:tcPr>
            <w:tcW w:w="1890" w:type="dxa"/>
          </w:tcPr>
          <w:p w14:paraId="295CEBFA" w14:textId="142527EE" w:rsidR="00DE35A7" w:rsidRPr="00D6631F" w:rsidRDefault="00DE35A7" w:rsidP="00DE35A7">
            <w:pPr>
              <w:pStyle w:val="ExhibitText"/>
              <w:jc w:val="right"/>
              <w:rPr>
                <w:lang w:val="en-GB"/>
              </w:rPr>
            </w:pPr>
            <w:r w:rsidRPr="00D6631F">
              <w:rPr>
                <w:lang w:val="en-GB"/>
              </w:rPr>
              <w:t>154,693</w:t>
            </w:r>
          </w:p>
        </w:tc>
      </w:tr>
      <w:tr w:rsidR="00DE35A7" w:rsidRPr="00D6631F" w14:paraId="5B35E202" w14:textId="77777777" w:rsidTr="000D2189">
        <w:trPr>
          <w:trHeight w:val="212"/>
          <w:jc w:val="center"/>
        </w:trPr>
        <w:tc>
          <w:tcPr>
            <w:tcW w:w="3055" w:type="dxa"/>
          </w:tcPr>
          <w:p w14:paraId="06EACA5D" w14:textId="652C920F" w:rsidR="00DE35A7" w:rsidRPr="00D6631F" w:rsidRDefault="00DE35A7" w:rsidP="00DE35A7">
            <w:pPr>
              <w:pStyle w:val="ExhibitText"/>
              <w:jc w:val="left"/>
              <w:rPr>
                <w:lang w:val="en-GB"/>
              </w:rPr>
            </w:pPr>
            <w:r w:rsidRPr="00D6631F">
              <w:rPr>
                <w:lang w:val="en-GB"/>
              </w:rPr>
              <w:t>Depreciation and Amortization</w:t>
            </w:r>
          </w:p>
        </w:tc>
        <w:tc>
          <w:tcPr>
            <w:tcW w:w="1890" w:type="dxa"/>
          </w:tcPr>
          <w:p w14:paraId="7861FF6A" w14:textId="4ECAB046" w:rsidR="00DE35A7" w:rsidRPr="00D6631F" w:rsidRDefault="00DE35A7" w:rsidP="00DE35A7">
            <w:pPr>
              <w:pStyle w:val="ExhibitText"/>
              <w:jc w:val="right"/>
              <w:rPr>
                <w:lang w:val="en-GB"/>
              </w:rPr>
            </w:pPr>
            <w:r w:rsidRPr="00D6631F">
              <w:rPr>
                <w:lang w:val="en-GB"/>
              </w:rPr>
              <w:t>1,271,275</w:t>
            </w:r>
          </w:p>
        </w:tc>
        <w:tc>
          <w:tcPr>
            <w:tcW w:w="1890" w:type="dxa"/>
          </w:tcPr>
          <w:p w14:paraId="62907719" w14:textId="5AB89313" w:rsidR="00DE35A7" w:rsidRPr="00D6631F" w:rsidRDefault="00DE35A7" w:rsidP="00DE35A7">
            <w:pPr>
              <w:pStyle w:val="ExhibitText"/>
              <w:jc w:val="right"/>
              <w:rPr>
                <w:lang w:val="en-GB"/>
              </w:rPr>
            </w:pPr>
            <w:r w:rsidRPr="00D6631F">
              <w:rPr>
                <w:lang w:val="en-GB"/>
              </w:rPr>
              <w:t>1,377,653</w:t>
            </w:r>
          </w:p>
        </w:tc>
      </w:tr>
      <w:tr w:rsidR="00DE35A7" w:rsidRPr="00D6631F" w14:paraId="10519FC0" w14:textId="77777777" w:rsidTr="000D2189">
        <w:trPr>
          <w:trHeight w:val="212"/>
          <w:jc w:val="center"/>
        </w:trPr>
        <w:tc>
          <w:tcPr>
            <w:tcW w:w="3055" w:type="dxa"/>
          </w:tcPr>
          <w:p w14:paraId="67370843" w14:textId="5CEF9782" w:rsidR="00DE35A7" w:rsidRPr="00D6631F" w:rsidRDefault="00DE35A7" w:rsidP="00DE35A7">
            <w:pPr>
              <w:pStyle w:val="ExhibitText"/>
              <w:jc w:val="left"/>
              <w:rPr>
                <w:b/>
                <w:lang w:val="en-GB"/>
              </w:rPr>
            </w:pPr>
            <w:r w:rsidRPr="00D6631F">
              <w:rPr>
                <w:b/>
                <w:lang w:val="en-GB"/>
              </w:rPr>
              <w:t>Total</w:t>
            </w:r>
          </w:p>
        </w:tc>
        <w:tc>
          <w:tcPr>
            <w:tcW w:w="1890" w:type="dxa"/>
          </w:tcPr>
          <w:p w14:paraId="4544D95E" w14:textId="1CB806D4" w:rsidR="00DE35A7" w:rsidRPr="00D6631F" w:rsidRDefault="00DE35A7" w:rsidP="00DE35A7">
            <w:pPr>
              <w:pStyle w:val="ExhibitText"/>
              <w:jc w:val="right"/>
              <w:rPr>
                <w:lang w:val="en-GB"/>
              </w:rPr>
            </w:pPr>
            <w:r w:rsidRPr="00D6631F">
              <w:rPr>
                <w:b/>
                <w:lang w:val="en-GB"/>
              </w:rPr>
              <w:t>21,205,877</w:t>
            </w:r>
          </w:p>
        </w:tc>
        <w:tc>
          <w:tcPr>
            <w:tcW w:w="1890" w:type="dxa"/>
          </w:tcPr>
          <w:p w14:paraId="7D53BB9E" w14:textId="2EBBF1C7" w:rsidR="00DE35A7" w:rsidRPr="00D6631F" w:rsidRDefault="00DE35A7" w:rsidP="00DE35A7">
            <w:pPr>
              <w:pStyle w:val="ExhibitText"/>
              <w:jc w:val="right"/>
              <w:rPr>
                <w:lang w:val="en-GB"/>
              </w:rPr>
            </w:pPr>
            <w:r w:rsidRPr="00D6631F">
              <w:rPr>
                <w:b/>
                <w:lang w:val="en-GB"/>
              </w:rPr>
              <w:t>22,040,874</w:t>
            </w:r>
          </w:p>
        </w:tc>
      </w:tr>
      <w:tr w:rsidR="00DE35A7" w:rsidRPr="00D6631F" w14:paraId="08B8279B" w14:textId="77777777" w:rsidTr="000D2189">
        <w:trPr>
          <w:trHeight w:val="219"/>
          <w:jc w:val="center"/>
        </w:trPr>
        <w:tc>
          <w:tcPr>
            <w:tcW w:w="3055" w:type="dxa"/>
          </w:tcPr>
          <w:p w14:paraId="1087182C" w14:textId="7BCD71A3" w:rsidR="00DE35A7" w:rsidRPr="00D6631F" w:rsidRDefault="00DE35A7" w:rsidP="00DE35A7">
            <w:pPr>
              <w:pStyle w:val="ExhibitText"/>
              <w:jc w:val="left"/>
              <w:rPr>
                <w:lang w:val="en-GB"/>
              </w:rPr>
            </w:pPr>
            <w:r w:rsidRPr="00D6631F">
              <w:rPr>
                <w:lang w:val="en-GB"/>
              </w:rPr>
              <w:t>Operating Profit (Loss)</w:t>
            </w:r>
          </w:p>
        </w:tc>
        <w:tc>
          <w:tcPr>
            <w:tcW w:w="1890" w:type="dxa"/>
          </w:tcPr>
          <w:p w14:paraId="29B70869" w14:textId="24275F6E" w:rsidR="00DE35A7" w:rsidRPr="00D6631F" w:rsidRDefault="00DE35A7" w:rsidP="00DE35A7">
            <w:pPr>
              <w:pStyle w:val="ExhibitText"/>
              <w:jc w:val="right"/>
              <w:rPr>
                <w:lang w:val="en-GB"/>
              </w:rPr>
            </w:pPr>
            <w:r w:rsidRPr="00D6631F">
              <w:rPr>
                <w:lang w:val="en-GB"/>
              </w:rPr>
              <w:t>(107,731,993)</w:t>
            </w:r>
          </w:p>
        </w:tc>
        <w:tc>
          <w:tcPr>
            <w:tcW w:w="1890" w:type="dxa"/>
          </w:tcPr>
          <w:p w14:paraId="6DCA6601" w14:textId="4FA84367" w:rsidR="00DE35A7" w:rsidRPr="00D6631F" w:rsidRDefault="00DE35A7" w:rsidP="00DE35A7">
            <w:pPr>
              <w:pStyle w:val="ExhibitText"/>
              <w:jc w:val="right"/>
              <w:rPr>
                <w:lang w:val="en-GB"/>
              </w:rPr>
            </w:pPr>
            <w:r w:rsidRPr="00D6631F">
              <w:rPr>
                <w:lang w:val="en-GB"/>
              </w:rPr>
              <w:t>(126,638,859)</w:t>
            </w:r>
          </w:p>
        </w:tc>
      </w:tr>
    </w:tbl>
    <w:p w14:paraId="66FD62E6" w14:textId="77777777" w:rsidR="00452AA9" w:rsidRPr="00D6631F" w:rsidRDefault="00452AA9" w:rsidP="00DE35A7">
      <w:pPr>
        <w:pStyle w:val="ExhibitText"/>
        <w:rPr>
          <w:lang w:val="en-GB"/>
        </w:rPr>
      </w:pPr>
    </w:p>
    <w:tbl>
      <w:tblPr>
        <w:tblStyle w:val="TableGrid"/>
        <w:tblW w:w="0" w:type="auto"/>
        <w:jc w:val="center"/>
        <w:tblLook w:val="04A0" w:firstRow="1" w:lastRow="0" w:firstColumn="1" w:lastColumn="0" w:noHBand="0" w:noVBand="1"/>
      </w:tblPr>
      <w:tblGrid>
        <w:gridCol w:w="3410"/>
        <w:gridCol w:w="1540"/>
      </w:tblGrid>
      <w:tr w:rsidR="00BE1EC2" w:rsidRPr="00D6631F" w14:paraId="0D29304D" w14:textId="77777777" w:rsidTr="004C4103">
        <w:trPr>
          <w:trHeight w:val="243"/>
          <w:jc w:val="center"/>
        </w:trPr>
        <w:tc>
          <w:tcPr>
            <w:tcW w:w="3410" w:type="dxa"/>
          </w:tcPr>
          <w:p w14:paraId="0A044DD3" w14:textId="117214AB" w:rsidR="00BE1EC2" w:rsidRPr="00D6631F" w:rsidRDefault="00BE1EC2" w:rsidP="00452AA9">
            <w:pPr>
              <w:pStyle w:val="ExhibitText"/>
              <w:rPr>
                <w:lang w:val="en-GB"/>
              </w:rPr>
            </w:pPr>
            <w:r w:rsidRPr="00D6631F">
              <w:rPr>
                <w:b/>
                <w:lang w:val="en-GB"/>
              </w:rPr>
              <w:t xml:space="preserve">Summary Balance Sheet (in </w:t>
            </w:r>
            <w:r w:rsidR="004C4103" w:rsidRPr="00D6631F">
              <w:rPr>
                <w:b/>
                <w:lang w:val="en-GB"/>
              </w:rPr>
              <w:t>US</w:t>
            </w:r>
            <w:r w:rsidRPr="00D6631F">
              <w:rPr>
                <w:b/>
                <w:lang w:val="en-GB"/>
              </w:rPr>
              <w:t>$)</w:t>
            </w:r>
          </w:p>
        </w:tc>
        <w:tc>
          <w:tcPr>
            <w:tcW w:w="1540" w:type="dxa"/>
          </w:tcPr>
          <w:p w14:paraId="622A55C4" w14:textId="0AC89139" w:rsidR="00BE1EC2" w:rsidRPr="00D6631F" w:rsidRDefault="00BE1EC2" w:rsidP="00452AA9">
            <w:pPr>
              <w:pStyle w:val="ExhibitText"/>
              <w:rPr>
                <w:lang w:val="en-GB"/>
              </w:rPr>
            </w:pPr>
            <w:r w:rsidRPr="00D6631F">
              <w:rPr>
                <w:b/>
                <w:lang w:val="en-GB"/>
              </w:rPr>
              <w:t>June 30, 2018</w:t>
            </w:r>
          </w:p>
        </w:tc>
      </w:tr>
      <w:tr w:rsidR="00BE1EC2" w:rsidRPr="00D6631F" w14:paraId="02ED620B" w14:textId="77777777" w:rsidTr="004C4103">
        <w:trPr>
          <w:trHeight w:val="252"/>
          <w:jc w:val="center"/>
        </w:trPr>
        <w:tc>
          <w:tcPr>
            <w:tcW w:w="3410" w:type="dxa"/>
          </w:tcPr>
          <w:p w14:paraId="002EA343" w14:textId="0180C1E1" w:rsidR="00BE1EC2" w:rsidRPr="00D6631F" w:rsidRDefault="00BE1EC2" w:rsidP="00BE1EC2">
            <w:pPr>
              <w:pStyle w:val="ExhibitText"/>
              <w:rPr>
                <w:lang w:val="en-GB"/>
              </w:rPr>
            </w:pPr>
            <w:r w:rsidRPr="00D6631F">
              <w:rPr>
                <w:lang w:val="en-GB"/>
              </w:rPr>
              <w:t>Current Assets</w:t>
            </w:r>
          </w:p>
        </w:tc>
        <w:tc>
          <w:tcPr>
            <w:tcW w:w="1540" w:type="dxa"/>
          </w:tcPr>
          <w:p w14:paraId="1839F80A" w14:textId="566928D5" w:rsidR="00BE1EC2" w:rsidRPr="00D6631F" w:rsidRDefault="00BE1EC2" w:rsidP="00BE1EC2">
            <w:pPr>
              <w:pStyle w:val="ExhibitText"/>
              <w:jc w:val="right"/>
              <w:rPr>
                <w:lang w:val="en-GB"/>
              </w:rPr>
            </w:pPr>
            <w:r w:rsidRPr="00D6631F">
              <w:rPr>
                <w:lang w:val="en-GB"/>
              </w:rPr>
              <w:t>53,527,304</w:t>
            </w:r>
          </w:p>
        </w:tc>
      </w:tr>
      <w:tr w:rsidR="00BE1EC2" w:rsidRPr="00D6631F" w14:paraId="0A0758C1" w14:textId="77777777" w:rsidTr="004C4103">
        <w:trPr>
          <w:trHeight w:val="243"/>
          <w:jc w:val="center"/>
        </w:trPr>
        <w:tc>
          <w:tcPr>
            <w:tcW w:w="3410" w:type="dxa"/>
          </w:tcPr>
          <w:p w14:paraId="67D6E9A3" w14:textId="5BD86042" w:rsidR="00BE1EC2" w:rsidRPr="00D6631F" w:rsidRDefault="00BE1EC2" w:rsidP="00BE1EC2">
            <w:pPr>
              <w:pStyle w:val="ExhibitText"/>
              <w:rPr>
                <w:lang w:val="en-GB"/>
              </w:rPr>
            </w:pPr>
            <w:r w:rsidRPr="00D6631F">
              <w:rPr>
                <w:lang w:val="en-GB"/>
              </w:rPr>
              <w:t>Other Assets</w:t>
            </w:r>
          </w:p>
        </w:tc>
        <w:tc>
          <w:tcPr>
            <w:tcW w:w="1540" w:type="dxa"/>
          </w:tcPr>
          <w:p w14:paraId="3ACDF39B" w14:textId="7A99BFBB" w:rsidR="00BE1EC2" w:rsidRPr="00D6631F" w:rsidRDefault="00BE1EC2" w:rsidP="00BE1EC2">
            <w:pPr>
              <w:pStyle w:val="ExhibitText"/>
              <w:jc w:val="right"/>
              <w:rPr>
                <w:lang w:val="en-GB"/>
              </w:rPr>
            </w:pPr>
            <w:r w:rsidRPr="00D6631F">
              <w:rPr>
                <w:lang w:val="en-GB"/>
              </w:rPr>
              <w:t>121,766,285</w:t>
            </w:r>
          </w:p>
        </w:tc>
      </w:tr>
      <w:tr w:rsidR="00BE1EC2" w:rsidRPr="00D6631F" w14:paraId="464FACDB" w14:textId="77777777" w:rsidTr="004C4103">
        <w:trPr>
          <w:trHeight w:val="243"/>
          <w:jc w:val="center"/>
        </w:trPr>
        <w:tc>
          <w:tcPr>
            <w:tcW w:w="3410" w:type="dxa"/>
          </w:tcPr>
          <w:p w14:paraId="56E4969D" w14:textId="39EB37C3" w:rsidR="00BE1EC2" w:rsidRPr="00D6631F" w:rsidRDefault="00BE1EC2" w:rsidP="00452AA9">
            <w:pPr>
              <w:pStyle w:val="ExhibitText"/>
              <w:rPr>
                <w:lang w:val="en-GB"/>
              </w:rPr>
            </w:pPr>
            <w:r w:rsidRPr="00D6631F">
              <w:rPr>
                <w:b/>
                <w:lang w:val="en-GB"/>
              </w:rPr>
              <w:t>TOTAL</w:t>
            </w:r>
          </w:p>
        </w:tc>
        <w:tc>
          <w:tcPr>
            <w:tcW w:w="1540" w:type="dxa"/>
          </w:tcPr>
          <w:p w14:paraId="1A72EF36" w14:textId="7058D035" w:rsidR="00BE1EC2" w:rsidRPr="00D6631F" w:rsidRDefault="00BE1EC2" w:rsidP="00BE1EC2">
            <w:pPr>
              <w:pStyle w:val="ExhibitText"/>
              <w:jc w:val="right"/>
              <w:rPr>
                <w:lang w:val="en-GB"/>
              </w:rPr>
            </w:pPr>
            <w:r w:rsidRPr="00D6631F">
              <w:rPr>
                <w:b/>
                <w:lang w:val="en-GB"/>
              </w:rPr>
              <w:t>175,283,589</w:t>
            </w:r>
          </w:p>
        </w:tc>
      </w:tr>
      <w:tr w:rsidR="00BE1EC2" w:rsidRPr="00D6631F" w14:paraId="60BFCA29" w14:textId="77777777" w:rsidTr="004C4103">
        <w:trPr>
          <w:trHeight w:val="252"/>
          <w:jc w:val="center"/>
        </w:trPr>
        <w:tc>
          <w:tcPr>
            <w:tcW w:w="3410" w:type="dxa"/>
          </w:tcPr>
          <w:p w14:paraId="79A716E9" w14:textId="168DC97F" w:rsidR="00BE1EC2" w:rsidRPr="00D6631F" w:rsidRDefault="00BE1EC2" w:rsidP="00BE1EC2">
            <w:pPr>
              <w:pStyle w:val="ExhibitText"/>
              <w:rPr>
                <w:lang w:val="en-GB"/>
              </w:rPr>
            </w:pPr>
            <w:r w:rsidRPr="00D6631F">
              <w:rPr>
                <w:lang w:val="en-GB"/>
              </w:rPr>
              <w:t>Current Liabilities</w:t>
            </w:r>
          </w:p>
        </w:tc>
        <w:tc>
          <w:tcPr>
            <w:tcW w:w="1540" w:type="dxa"/>
          </w:tcPr>
          <w:p w14:paraId="1A26E22E" w14:textId="2D7232D9" w:rsidR="00BE1EC2" w:rsidRPr="00D6631F" w:rsidRDefault="00BE1EC2" w:rsidP="00BE1EC2">
            <w:pPr>
              <w:pStyle w:val="ExhibitText"/>
              <w:jc w:val="right"/>
              <w:rPr>
                <w:lang w:val="en-GB"/>
              </w:rPr>
            </w:pPr>
            <w:r w:rsidRPr="00D6631F">
              <w:rPr>
                <w:lang w:val="en-GB"/>
              </w:rPr>
              <w:t>138,425,945</w:t>
            </w:r>
          </w:p>
        </w:tc>
      </w:tr>
      <w:tr w:rsidR="00BE1EC2" w:rsidRPr="00D6631F" w14:paraId="3A15776C" w14:textId="77777777" w:rsidTr="004C4103">
        <w:trPr>
          <w:trHeight w:val="243"/>
          <w:jc w:val="center"/>
        </w:trPr>
        <w:tc>
          <w:tcPr>
            <w:tcW w:w="3410" w:type="dxa"/>
          </w:tcPr>
          <w:p w14:paraId="38BB83BA" w14:textId="61410C02" w:rsidR="00BE1EC2" w:rsidRPr="00D6631F" w:rsidRDefault="00BE1EC2" w:rsidP="00452AA9">
            <w:pPr>
              <w:pStyle w:val="ExhibitText"/>
              <w:rPr>
                <w:lang w:val="en-GB"/>
              </w:rPr>
            </w:pPr>
            <w:r w:rsidRPr="00D6631F">
              <w:rPr>
                <w:lang w:val="en-GB"/>
              </w:rPr>
              <w:t>Long-Term Liabilities</w:t>
            </w:r>
          </w:p>
        </w:tc>
        <w:tc>
          <w:tcPr>
            <w:tcW w:w="1540" w:type="dxa"/>
          </w:tcPr>
          <w:p w14:paraId="0CB94194" w14:textId="3E061EBD" w:rsidR="00BE1EC2" w:rsidRPr="00D6631F" w:rsidRDefault="00BE1EC2" w:rsidP="00BE1EC2">
            <w:pPr>
              <w:pStyle w:val="ExhibitText"/>
              <w:jc w:val="right"/>
              <w:rPr>
                <w:lang w:val="en-GB"/>
              </w:rPr>
            </w:pPr>
            <w:r w:rsidRPr="00D6631F">
              <w:rPr>
                <w:lang w:val="en-GB"/>
              </w:rPr>
              <w:t>311,705</w:t>
            </w:r>
          </w:p>
        </w:tc>
      </w:tr>
      <w:tr w:rsidR="00BE1EC2" w:rsidRPr="00D6631F" w14:paraId="0C32A05D" w14:textId="77777777" w:rsidTr="004C4103">
        <w:trPr>
          <w:trHeight w:val="243"/>
          <w:jc w:val="center"/>
        </w:trPr>
        <w:tc>
          <w:tcPr>
            <w:tcW w:w="3410" w:type="dxa"/>
          </w:tcPr>
          <w:p w14:paraId="64934DF6" w14:textId="7B7BA1CA" w:rsidR="00BE1EC2" w:rsidRPr="00D6631F" w:rsidRDefault="00BE1EC2" w:rsidP="00BE1EC2">
            <w:pPr>
              <w:pStyle w:val="ExhibitText"/>
              <w:rPr>
                <w:lang w:val="en-GB"/>
              </w:rPr>
            </w:pPr>
            <w:r w:rsidRPr="00D6631F">
              <w:rPr>
                <w:lang w:val="en-GB"/>
              </w:rPr>
              <w:t>Stockholders’ Equity</w:t>
            </w:r>
          </w:p>
        </w:tc>
        <w:tc>
          <w:tcPr>
            <w:tcW w:w="1540" w:type="dxa"/>
          </w:tcPr>
          <w:p w14:paraId="0222CD82" w14:textId="49459928" w:rsidR="00BE1EC2" w:rsidRPr="00D6631F" w:rsidRDefault="00BE1EC2" w:rsidP="00BE1EC2">
            <w:pPr>
              <w:pStyle w:val="ExhibitText"/>
              <w:jc w:val="right"/>
              <w:rPr>
                <w:lang w:val="en-GB"/>
              </w:rPr>
            </w:pPr>
            <w:r w:rsidRPr="00D6631F">
              <w:rPr>
                <w:lang w:val="en-GB"/>
              </w:rPr>
              <w:t>36,555,939</w:t>
            </w:r>
          </w:p>
        </w:tc>
      </w:tr>
      <w:tr w:rsidR="00BE1EC2" w:rsidRPr="00D6631F" w14:paraId="0FC68A90" w14:textId="77777777" w:rsidTr="004C4103">
        <w:trPr>
          <w:trHeight w:val="252"/>
          <w:jc w:val="center"/>
        </w:trPr>
        <w:tc>
          <w:tcPr>
            <w:tcW w:w="3410" w:type="dxa"/>
          </w:tcPr>
          <w:p w14:paraId="0D3EC2BE" w14:textId="6EFB69B1" w:rsidR="00BE1EC2" w:rsidRPr="00D6631F" w:rsidRDefault="00BE1EC2" w:rsidP="00452AA9">
            <w:pPr>
              <w:pStyle w:val="ExhibitText"/>
              <w:rPr>
                <w:lang w:val="en-GB"/>
              </w:rPr>
            </w:pPr>
            <w:r w:rsidRPr="00D6631F">
              <w:rPr>
                <w:b/>
                <w:lang w:val="en-GB"/>
              </w:rPr>
              <w:t>TOTAL</w:t>
            </w:r>
          </w:p>
        </w:tc>
        <w:tc>
          <w:tcPr>
            <w:tcW w:w="1540" w:type="dxa"/>
          </w:tcPr>
          <w:p w14:paraId="3BC1AAE9" w14:textId="28C0573E" w:rsidR="00BE1EC2" w:rsidRPr="00D6631F" w:rsidRDefault="00BE1EC2" w:rsidP="00BE1EC2">
            <w:pPr>
              <w:pStyle w:val="ExhibitText"/>
              <w:jc w:val="right"/>
              <w:rPr>
                <w:lang w:val="en-GB"/>
              </w:rPr>
            </w:pPr>
            <w:r w:rsidRPr="00D6631F">
              <w:rPr>
                <w:b/>
                <w:lang w:val="en-GB"/>
              </w:rPr>
              <w:t>175,283,589</w:t>
            </w:r>
          </w:p>
        </w:tc>
      </w:tr>
    </w:tbl>
    <w:p w14:paraId="675054E9" w14:textId="77777777" w:rsidR="00452AA9" w:rsidRPr="00D6631F" w:rsidRDefault="00452AA9" w:rsidP="00452AA9">
      <w:pPr>
        <w:pStyle w:val="ExhibitText"/>
        <w:rPr>
          <w:lang w:val="en-GB"/>
        </w:rPr>
      </w:pPr>
    </w:p>
    <w:tbl>
      <w:tblPr>
        <w:tblStyle w:val="TableGrid"/>
        <w:tblW w:w="0" w:type="auto"/>
        <w:jc w:val="center"/>
        <w:tblLook w:val="04A0" w:firstRow="1" w:lastRow="0" w:firstColumn="1" w:lastColumn="0" w:noHBand="0" w:noVBand="1"/>
      </w:tblPr>
      <w:tblGrid>
        <w:gridCol w:w="4012"/>
        <w:gridCol w:w="1568"/>
      </w:tblGrid>
      <w:tr w:rsidR="00452AA9" w:rsidRPr="00D6631F" w14:paraId="0813E889" w14:textId="77777777" w:rsidTr="004C4103">
        <w:trPr>
          <w:trHeight w:val="35"/>
          <w:jc w:val="center"/>
        </w:trPr>
        <w:tc>
          <w:tcPr>
            <w:tcW w:w="4012" w:type="dxa"/>
          </w:tcPr>
          <w:p w14:paraId="0FD667CF" w14:textId="34F6F121" w:rsidR="00452AA9" w:rsidRPr="00D6631F" w:rsidRDefault="00452AA9" w:rsidP="00F37EC6">
            <w:pPr>
              <w:pStyle w:val="Casehead2"/>
              <w:rPr>
                <w:lang w:val="en-GB"/>
              </w:rPr>
            </w:pPr>
            <w:r w:rsidRPr="00D6631F">
              <w:rPr>
                <w:lang w:val="en-GB"/>
              </w:rPr>
              <w:t>S</w:t>
            </w:r>
            <w:r w:rsidR="00BE1EC2" w:rsidRPr="00D6631F">
              <w:rPr>
                <w:lang w:val="en-GB"/>
              </w:rPr>
              <w:t>ummary Cash Flow Statement (in US$</w:t>
            </w:r>
            <w:r w:rsidRPr="00D6631F">
              <w:rPr>
                <w:lang w:val="en-GB"/>
              </w:rPr>
              <w:t>)</w:t>
            </w:r>
          </w:p>
        </w:tc>
        <w:tc>
          <w:tcPr>
            <w:tcW w:w="1568" w:type="dxa"/>
          </w:tcPr>
          <w:p w14:paraId="2F5918A9" w14:textId="77777777" w:rsidR="00452AA9" w:rsidRPr="00D6631F" w:rsidRDefault="00452AA9" w:rsidP="00F37EC6">
            <w:pPr>
              <w:pStyle w:val="ExhibitText"/>
              <w:rPr>
                <w:b/>
                <w:lang w:val="en-GB"/>
              </w:rPr>
            </w:pPr>
            <w:r w:rsidRPr="00D6631F">
              <w:rPr>
                <w:b/>
                <w:lang w:val="en-GB"/>
              </w:rPr>
              <w:t>June 30, 2018</w:t>
            </w:r>
          </w:p>
        </w:tc>
      </w:tr>
      <w:tr w:rsidR="00BE1EC2" w:rsidRPr="00D6631F" w14:paraId="72799883" w14:textId="77777777" w:rsidTr="004C4103">
        <w:trPr>
          <w:trHeight w:val="224"/>
          <w:jc w:val="center"/>
        </w:trPr>
        <w:tc>
          <w:tcPr>
            <w:tcW w:w="4012" w:type="dxa"/>
          </w:tcPr>
          <w:p w14:paraId="3610A42D" w14:textId="7B3DCE3E" w:rsidR="00BE1EC2" w:rsidRPr="00D6631F" w:rsidRDefault="00BE1EC2" w:rsidP="00BE1EC2">
            <w:pPr>
              <w:pStyle w:val="ExhibitText"/>
              <w:rPr>
                <w:lang w:val="en-GB"/>
              </w:rPr>
            </w:pPr>
            <w:r w:rsidRPr="00D6631F">
              <w:rPr>
                <w:lang w:val="en-GB"/>
              </w:rPr>
              <w:t>Cash Flow from Operations</w:t>
            </w:r>
            <w:r w:rsidR="00C56274">
              <w:rPr>
                <w:lang w:val="en-GB"/>
              </w:rPr>
              <w:t xml:space="preserve"> </w:t>
            </w:r>
          </w:p>
        </w:tc>
        <w:tc>
          <w:tcPr>
            <w:tcW w:w="1568" w:type="dxa"/>
          </w:tcPr>
          <w:p w14:paraId="37773002" w14:textId="00C0FC58" w:rsidR="00BE1EC2" w:rsidRPr="00D6631F" w:rsidRDefault="00504D42" w:rsidP="00BE1EC2">
            <w:pPr>
              <w:pStyle w:val="ExhibitText"/>
              <w:jc w:val="right"/>
              <w:rPr>
                <w:lang w:val="en-GB"/>
              </w:rPr>
            </w:pPr>
            <w:r w:rsidRPr="00D6631F">
              <w:rPr>
                <w:lang w:val="en-GB"/>
              </w:rPr>
              <w:t>(</w:t>
            </w:r>
            <w:r w:rsidR="00BE1EC2" w:rsidRPr="00D6631F">
              <w:rPr>
                <w:lang w:val="en-GB"/>
              </w:rPr>
              <w:t>219,209,083</w:t>
            </w:r>
            <w:r w:rsidRPr="00D6631F">
              <w:rPr>
                <w:lang w:val="en-GB"/>
              </w:rPr>
              <w:t>)</w:t>
            </w:r>
          </w:p>
        </w:tc>
      </w:tr>
      <w:tr w:rsidR="00BE1EC2" w:rsidRPr="00D6631F" w14:paraId="4B7199B4" w14:textId="77777777" w:rsidTr="004C4103">
        <w:trPr>
          <w:trHeight w:val="224"/>
          <w:jc w:val="center"/>
        </w:trPr>
        <w:tc>
          <w:tcPr>
            <w:tcW w:w="4012" w:type="dxa"/>
          </w:tcPr>
          <w:p w14:paraId="3DDCC6FC" w14:textId="074EC22A" w:rsidR="00BE1EC2" w:rsidRPr="00D6631F" w:rsidRDefault="00BE1EC2" w:rsidP="00BE1EC2">
            <w:pPr>
              <w:pStyle w:val="ExhibitText"/>
              <w:rPr>
                <w:lang w:val="en-GB"/>
              </w:rPr>
            </w:pPr>
            <w:r w:rsidRPr="00D6631F">
              <w:rPr>
                <w:lang w:val="en-GB"/>
              </w:rPr>
              <w:t>Cash Flow from Investing</w:t>
            </w:r>
            <w:r w:rsidR="00C56274">
              <w:rPr>
                <w:lang w:val="en-GB"/>
              </w:rPr>
              <w:t xml:space="preserve"> </w:t>
            </w:r>
          </w:p>
        </w:tc>
        <w:tc>
          <w:tcPr>
            <w:tcW w:w="1568" w:type="dxa"/>
          </w:tcPr>
          <w:p w14:paraId="59CA92E1" w14:textId="0E645E65" w:rsidR="00BE1EC2" w:rsidRPr="00D6631F" w:rsidRDefault="00504D42" w:rsidP="00BE1EC2">
            <w:pPr>
              <w:pStyle w:val="ExhibitText"/>
              <w:jc w:val="right"/>
              <w:rPr>
                <w:lang w:val="en-GB"/>
              </w:rPr>
            </w:pPr>
            <w:r w:rsidRPr="00D6631F">
              <w:rPr>
                <w:lang w:val="en-GB"/>
              </w:rPr>
              <w:t>(</w:t>
            </w:r>
            <w:r w:rsidR="00BE1EC2" w:rsidRPr="00D6631F">
              <w:rPr>
                <w:lang w:val="en-GB"/>
              </w:rPr>
              <w:t>1,171,098</w:t>
            </w:r>
            <w:r w:rsidRPr="00D6631F">
              <w:rPr>
                <w:lang w:val="en-GB"/>
              </w:rPr>
              <w:t>)</w:t>
            </w:r>
          </w:p>
        </w:tc>
      </w:tr>
      <w:tr w:rsidR="00BE1EC2" w:rsidRPr="00D6631F" w14:paraId="2220F48B" w14:textId="77777777" w:rsidTr="004C4103">
        <w:trPr>
          <w:trHeight w:val="224"/>
          <w:jc w:val="center"/>
        </w:trPr>
        <w:tc>
          <w:tcPr>
            <w:tcW w:w="4012" w:type="dxa"/>
          </w:tcPr>
          <w:p w14:paraId="1C467193" w14:textId="51553472" w:rsidR="00BE1EC2" w:rsidRPr="00D6631F" w:rsidRDefault="00BE1EC2" w:rsidP="00BE1EC2">
            <w:pPr>
              <w:pStyle w:val="ExhibitText"/>
              <w:rPr>
                <w:lang w:val="en-GB"/>
              </w:rPr>
            </w:pPr>
            <w:r w:rsidRPr="00D6631F">
              <w:rPr>
                <w:lang w:val="en-GB"/>
              </w:rPr>
              <w:t>Cash Flow from Financing</w:t>
            </w:r>
            <w:r w:rsidR="00C56274">
              <w:rPr>
                <w:lang w:val="en-GB"/>
              </w:rPr>
              <w:t xml:space="preserve"> </w:t>
            </w:r>
          </w:p>
        </w:tc>
        <w:tc>
          <w:tcPr>
            <w:tcW w:w="1568" w:type="dxa"/>
          </w:tcPr>
          <w:p w14:paraId="557FC7CD" w14:textId="63FA32C5" w:rsidR="00BE1EC2" w:rsidRPr="00D6631F" w:rsidRDefault="00BE1EC2" w:rsidP="00BE1EC2">
            <w:pPr>
              <w:pStyle w:val="ExhibitText"/>
              <w:jc w:val="right"/>
              <w:rPr>
                <w:lang w:val="en-GB"/>
              </w:rPr>
            </w:pPr>
            <w:r w:rsidRPr="00D6631F">
              <w:rPr>
                <w:lang w:val="en-GB"/>
              </w:rPr>
              <w:t>210,972,318</w:t>
            </w:r>
          </w:p>
        </w:tc>
      </w:tr>
      <w:tr w:rsidR="00BE1EC2" w:rsidRPr="00D6631F" w14:paraId="03E3802F" w14:textId="77777777" w:rsidTr="004C4103">
        <w:trPr>
          <w:trHeight w:val="224"/>
          <w:jc w:val="center"/>
        </w:trPr>
        <w:tc>
          <w:tcPr>
            <w:tcW w:w="4012" w:type="dxa"/>
          </w:tcPr>
          <w:p w14:paraId="1300A6B0" w14:textId="59F84099" w:rsidR="00BE1EC2" w:rsidRPr="00D6631F" w:rsidRDefault="00BE1EC2" w:rsidP="00BE1EC2">
            <w:pPr>
              <w:pStyle w:val="ExhibitText"/>
              <w:rPr>
                <w:lang w:val="en-GB"/>
              </w:rPr>
            </w:pPr>
            <w:r w:rsidRPr="00D6631F">
              <w:rPr>
                <w:lang w:val="en-GB"/>
              </w:rPr>
              <w:t>Opening Cash</w:t>
            </w:r>
            <w:r w:rsidR="00E94EC0">
              <w:rPr>
                <w:lang w:val="en-GB"/>
              </w:rPr>
              <w:t xml:space="preserve"> </w:t>
            </w:r>
          </w:p>
        </w:tc>
        <w:tc>
          <w:tcPr>
            <w:tcW w:w="1568" w:type="dxa"/>
          </w:tcPr>
          <w:p w14:paraId="1B0758B9" w14:textId="71D4B1FD" w:rsidR="00BE1EC2" w:rsidRPr="00D6631F" w:rsidRDefault="00BE1EC2" w:rsidP="00BE1EC2">
            <w:pPr>
              <w:pStyle w:val="ExhibitText"/>
              <w:jc w:val="right"/>
              <w:rPr>
                <w:lang w:val="en-GB"/>
              </w:rPr>
            </w:pPr>
            <w:r w:rsidRPr="00D6631F">
              <w:rPr>
                <w:lang w:val="en-GB"/>
              </w:rPr>
              <w:t>24,949,393</w:t>
            </w:r>
          </w:p>
        </w:tc>
      </w:tr>
      <w:tr w:rsidR="00BE1EC2" w:rsidRPr="00D6631F" w14:paraId="500A04C9" w14:textId="77777777" w:rsidTr="004C4103">
        <w:trPr>
          <w:trHeight w:val="224"/>
          <w:jc w:val="center"/>
        </w:trPr>
        <w:tc>
          <w:tcPr>
            <w:tcW w:w="4012" w:type="dxa"/>
          </w:tcPr>
          <w:p w14:paraId="3EDCF4DC" w14:textId="17916186" w:rsidR="00BE1EC2" w:rsidRPr="00D6631F" w:rsidRDefault="00BE1EC2" w:rsidP="00BE1EC2">
            <w:pPr>
              <w:pStyle w:val="ExhibitText"/>
              <w:rPr>
                <w:lang w:val="en-GB"/>
              </w:rPr>
            </w:pPr>
            <w:r w:rsidRPr="00D6631F">
              <w:rPr>
                <w:lang w:val="en-GB"/>
              </w:rPr>
              <w:t>Ending Cash</w:t>
            </w:r>
          </w:p>
        </w:tc>
        <w:tc>
          <w:tcPr>
            <w:tcW w:w="1568" w:type="dxa"/>
          </w:tcPr>
          <w:p w14:paraId="3DAA79A8" w14:textId="088C0003" w:rsidR="00BE1EC2" w:rsidRPr="00D6631F" w:rsidRDefault="00BE1EC2" w:rsidP="00BE1EC2">
            <w:pPr>
              <w:pStyle w:val="ExhibitText"/>
              <w:jc w:val="right"/>
              <w:rPr>
                <w:lang w:val="en-GB"/>
              </w:rPr>
            </w:pPr>
            <w:r w:rsidRPr="00D6631F">
              <w:rPr>
                <w:lang w:val="en-GB"/>
              </w:rPr>
              <w:t>15,512,810</w:t>
            </w:r>
          </w:p>
        </w:tc>
      </w:tr>
    </w:tbl>
    <w:p w14:paraId="52A7BEC9" w14:textId="77777777" w:rsidR="00452AA9" w:rsidRPr="00D6631F" w:rsidRDefault="00452AA9" w:rsidP="00452AA9">
      <w:pPr>
        <w:pStyle w:val="Footnote"/>
        <w:rPr>
          <w:lang w:val="en-GB"/>
        </w:rPr>
      </w:pPr>
    </w:p>
    <w:p w14:paraId="084F0C0D" w14:textId="49BE876D" w:rsidR="00452AA9" w:rsidRPr="00D6631F" w:rsidRDefault="00452AA9" w:rsidP="00452AA9">
      <w:pPr>
        <w:pStyle w:val="Footnote"/>
        <w:rPr>
          <w:lang w:val="en-GB"/>
        </w:rPr>
      </w:pPr>
      <w:r w:rsidRPr="00D6631F">
        <w:rPr>
          <w:lang w:val="en-GB"/>
        </w:rPr>
        <w:t xml:space="preserve">Source: Helios and Matheson Analytics Inc., </w:t>
      </w:r>
      <w:r w:rsidRPr="00D6631F">
        <w:rPr>
          <w:i/>
          <w:lang w:val="en-GB"/>
        </w:rPr>
        <w:t xml:space="preserve">Form 10-Q: Quarterly Report </w:t>
      </w:r>
      <w:r w:rsidR="005C0A2B" w:rsidRPr="00D6631F">
        <w:rPr>
          <w:i/>
          <w:lang w:val="en-GB"/>
        </w:rPr>
        <w:t>f</w:t>
      </w:r>
      <w:r w:rsidRPr="00D6631F">
        <w:rPr>
          <w:i/>
          <w:lang w:val="en-GB"/>
        </w:rPr>
        <w:t>or the Quarterly Period Ended June 30, 2018</w:t>
      </w:r>
      <w:r w:rsidRPr="00D6631F">
        <w:rPr>
          <w:lang w:val="en-GB"/>
        </w:rPr>
        <w:t>, United States Securities and Exchange Commission, accessed September 7, 2018, http://mysec.hmna.com/MYSEC/documents/html/hmny20180814_10-Q.htm.</w:t>
      </w:r>
    </w:p>
    <w:p w14:paraId="0F36721B" w14:textId="77777777" w:rsidR="00503105" w:rsidRPr="00D6631F" w:rsidRDefault="00503105">
      <w:pPr>
        <w:spacing w:after="200" w:line="276" w:lineRule="auto"/>
        <w:rPr>
          <w:rFonts w:ascii="Arial" w:hAnsi="Arial" w:cs="Arial"/>
          <w:lang w:val="en-GB"/>
        </w:rPr>
      </w:pPr>
      <w:r w:rsidRPr="00D6631F">
        <w:rPr>
          <w:lang w:val="en-GB"/>
        </w:rPr>
        <w:br w:type="page"/>
      </w:r>
    </w:p>
    <w:p w14:paraId="55144491" w14:textId="5F6227EF" w:rsidR="0089065E" w:rsidRPr="00D6631F" w:rsidRDefault="007424FE" w:rsidP="007424FE">
      <w:pPr>
        <w:pStyle w:val="Casehead1"/>
        <w:rPr>
          <w:lang w:val="en-GB"/>
        </w:rPr>
      </w:pPr>
      <w:r w:rsidRPr="00D6631F">
        <w:rPr>
          <w:lang w:val="en-GB"/>
        </w:rPr>
        <w:lastRenderedPageBreak/>
        <w:t>Endnotes</w:t>
      </w:r>
    </w:p>
    <w:sectPr w:rsidR="0089065E" w:rsidRPr="00D6631F" w:rsidSect="00751E0B">
      <w:headerReference w:type="default" r:id="rId12"/>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C3F0B4" w16cid:durableId="2124A087"/>
  <w16cid:commentId w16cid:paraId="6215678B" w16cid:durableId="2124A173"/>
  <w16cid:commentId w16cid:paraId="6E6E8B3C" w16cid:durableId="2124A088"/>
  <w16cid:commentId w16cid:paraId="3D27F636" w16cid:durableId="2124A271"/>
  <w16cid:commentId w16cid:paraId="5BC3543D" w16cid:durableId="2124A089"/>
  <w16cid:commentId w16cid:paraId="21CDBF3E" w16cid:durableId="2124A285"/>
  <w16cid:commentId w16cid:paraId="3CC9619B" w16cid:durableId="2124A08A"/>
  <w16cid:commentId w16cid:paraId="766AE837" w16cid:durableId="2124A33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01421" w14:textId="77777777" w:rsidR="002002CB" w:rsidRDefault="002002CB" w:rsidP="00D75295">
      <w:r>
        <w:separator/>
      </w:r>
    </w:p>
  </w:endnote>
  <w:endnote w:type="continuationSeparator" w:id="0">
    <w:p w14:paraId="66A64AEC" w14:textId="77777777" w:rsidR="002002CB" w:rsidRDefault="002002CB" w:rsidP="00D75295">
      <w:r>
        <w:continuationSeparator/>
      </w:r>
    </w:p>
  </w:endnote>
  <w:endnote w:id="1">
    <w:p w14:paraId="683C60DC" w14:textId="73540173" w:rsidR="009B660C" w:rsidRPr="00CC619C" w:rsidRDefault="009B660C" w:rsidP="007F127D">
      <w:pPr>
        <w:autoSpaceDE w:val="0"/>
        <w:autoSpaceDN w:val="0"/>
        <w:adjustRightInd w:val="0"/>
        <w:jc w:val="both"/>
        <w:rPr>
          <w:lang w:val="en-US"/>
        </w:rPr>
      </w:pPr>
      <w:r w:rsidRPr="001E68BF">
        <w:rPr>
          <w:rStyle w:val="FootnoteChar"/>
          <w:vertAlign w:val="superscript"/>
        </w:rPr>
        <w:endnoteRef/>
      </w:r>
      <w:r w:rsidRPr="001E68BF">
        <w:rPr>
          <w:rStyle w:val="FootnoteChar"/>
        </w:rPr>
        <w:t xml:space="preserve"> </w:t>
      </w:r>
      <w:r>
        <w:rPr>
          <w:rFonts w:ascii="Arial" w:eastAsiaTheme="minorHAnsi" w:hAnsi="Arial" w:cs="Arial"/>
          <w:sz w:val="17"/>
          <w:szCs w:val="17"/>
        </w:rPr>
        <w:t xml:space="preserve">This case has been written on the basis of published sources only. Consequently, the interpretation and perspectives presented in this case are not necessarily those of </w:t>
      </w:r>
      <w:r>
        <w:rPr>
          <w:rFonts w:ascii="Arial" w:eastAsiaTheme="minorHAnsi" w:hAnsi="Arial" w:cs="Arial"/>
          <w:sz w:val="17"/>
          <w:szCs w:val="17"/>
          <w:lang w:val="en-US"/>
        </w:rPr>
        <w:t>MoviePass</w:t>
      </w:r>
      <w:r w:rsidR="0077443A">
        <w:rPr>
          <w:rFonts w:ascii="Arial" w:eastAsiaTheme="minorHAnsi" w:hAnsi="Arial" w:cs="Arial"/>
          <w:sz w:val="17"/>
          <w:szCs w:val="17"/>
          <w:lang w:val="en-US"/>
        </w:rPr>
        <w:t xml:space="preserve"> Inc.</w:t>
      </w:r>
      <w:r>
        <w:rPr>
          <w:rFonts w:ascii="Arial" w:eastAsiaTheme="minorHAnsi" w:hAnsi="Arial" w:cs="Arial"/>
          <w:sz w:val="17"/>
          <w:szCs w:val="17"/>
        </w:rPr>
        <w:t xml:space="preserve"> or any of its employees.</w:t>
      </w:r>
    </w:p>
  </w:endnote>
  <w:endnote w:id="2">
    <w:p w14:paraId="6385220D" w14:textId="77777777" w:rsidR="009B660C" w:rsidRPr="00717346" w:rsidRDefault="009B660C" w:rsidP="00CF5441">
      <w:pPr>
        <w:pStyle w:val="EndnoteText"/>
        <w:rPr>
          <w:lang w:val="en-US"/>
        </w:rPr>
      </w:pPr>
      <w:r w:rsidRPr="0077443A">
        <w:rPr>
          <w:rStyle w:val="FootnoteChar"/>
          <w:rFonts w:eastAsiaTheme="minorEastAsia"/>
          <w:vertAlign w:val="superscript"/>
        </w:rPr>
        <w:endnoteRef/>
      </w:r>
      <w:r w:rsidRPr="007F127D">
        <w:rPr>
          <w:rStyle w:val="FootnoteChar"/>
          <w:rFonts w:eastAsiaTheme="minorEastAsia"/>
        </w:rPr>
        <w:t xml:space="preserve"> </w:t>
      </w:r>
      <w:r w:rsidRPr="000D2189">
        <w:rPr>
          <w:rStyle w:val="FootnoteChar"/>
          <w:rFonts w:eastAsiaTheme="minorEastAsia"/>
        </w:rPr>
        <w:t>All currency amounts are in U</w:t>
      </w:r>
      <w:r w:rsidRPr="000D2189">
        <w:rPr>
          <w:rStyle w:val="FootnoteChar"/>
          <w:rFonts w:eastAsia="Calibri"/>
          <w:lang w:val="en-GB"/>
        </w:rPr>
        <w:t>S dollars unless otherwise specified.</w:t>
      </w:r>
    </w:p>
  </w:endnote>
  <w:endnote w:id="3">
    <w:p w14:paraId="3FC1AB31" w14:textId="1FCECEB9" w:rsidR="009B660C" w:rsidRPr="00093FF5" w:rsidRDefault="009B660C" w:rsidP="00917F50">
      <w:pPr>
        <w:pStyle w:val="Footnote"/>
      </w:pPr>
      <w:r>
        <w:rPr>
          <w:rStyle w:val="EndnoteReference"/>
        </w:rPr>
        <w:endnoteRef/>
      </w:r>
      <w:r>
        <w:t xml:space="preserve"> </w:t>
      </w:r>
      <w:r w:rsidRPr="00093FF5">
        <w:t xml:space="preserve">Ben Fritz, “MoviePass Has Fresh Plot to Right the Ship,” </w:t>
      </w:r>
      <w:r w:rsidRPr="00093FF5">
        <w:rPr>
          <w:i/>
        </w:rPr>
        <w:t>Wall Street Journal</w:t>
      </w:r>
      <w:r w:rsidRPr="00093FF5">
        <w:t>, August 7, 2018, B1, B2.</w:t>
      </w:r>
    </w:p>
  </w:endnote>
  <w:endnote w:id="4">
    <w:p w14:paraId="0E4C298F" w14:textId="4328CCAD" w:rsidR="009B660C" w:rsidRPr="00093FF5" w:rsidRDefault="009B660C" w:rsidP="00917F50">
      <w:pPr>
        <w:pStyle w:val="Footnote"/>
      </w:pPr>
      <w:r w:rsidRPr="00917F50">
        <w:rPr>
          <w:vertAlign w:val="superscript"/>
        </w:rPr>
        <w:endnoteRef/>
      </w:r>
      <w:r w:rsidRPr="00093FF5">
        <w:t xml:space="preserve"> </w:t>
      </w:r>
      <w:r>
        <w:t xml:space="preserve">Jeremy Fuster, “2018 Summer Box Office Is Second-Best Ever—But It Got a Head Start,” </w:t>
      </w:r>
      <w:r w:rsidRPr="00990001">
        <w:rPr>
          <w:i/>
        </w:rPr>
        <w:t>The Wrap</w:t>
      </w:r>
      <w:r>
        <w:t xml:space="preserve">, September 4, 2018, accessed December 8, 2018, </w:t>
      </w:r>
      <w:r w:rsidRPr="00917F50">
        <w:t>www.thewrap.com/summer-box-office-is-second-best-ever-but-theres-a-catch/</w:t>
      </w:r>
      <w:bookmarkStart w:id="0" w:name="_Hlk3876947"/>
      <w:r>
        <w:t>.</w:t>
      </w:r>
    </w:p>
    <w:bookmarkEnd w:id="0"/>
  </w:endnote>
  <w:endnote w:id="5">
    <w:p w14:paraId="1AE300CF" w14:textId="576F3132" w:rsidR="009B660C" w:rsidRDefault="009B660C" w:rsidP="00917F50">
      <w:pPr>
        <w:pStyle w:val="Footnote"/>
      </w:pPr>
      <w:r>
        <w:rPr>
          <w:rStyle w:val="EndnoteReference"/>
        </w:rPr>
        <w:endnoteRef/>
      </w:r>
      <w:r>
        <w:t xml:space="preserve"> Lizzie Plaugic, “MoviePass Auditor Has Doubts about the Company’s Business Model after Significant Losses,” The Verge, April 18, 2018, accessed January 8, 2019, </w:t>
      </w:r>
      <w:r w:rsidRPr="003F2F59">
        <w:t>www.theverge.com/2018/4/18/17251708/moviepass-business-model-finances-profits-money-loss</w:t>
      </w:r>
      <w:r w:rsidRPr="008119F2">
        <w:rPr>
          <w:rStyle w:val="Hyperlink"/>
          <w:u w:val="none"/>
        </w:rPr>
        <w:t>.</w:t>
      </w:r>
    </w:p>
  </w:endnote>
  <w:endnote w:id="6">
    <w:p w14:paraId="713084F7" w14:textId="6002FFC6" w:rsidR="009B660C" w:rsidRPr="00654850" w:rsidRDefault="009B660C" w:rsidP="007F127D">
      <w:pPr>
        <w:pStyle w:val="EndnoteText"/>
        <w:jc w:val="both"/>
        <w:rPr>
          <w:lang w:val="en-US"/>
        </w:rPr>
      </w:pPr>
      <w:r w:rsidRPr="007F127D">
        <w:rPr>
          <w:rStyle w:val="EndnoteReference"/>
          <w:rFonts w:ascii="Arial" w:eastAsia="Times New Roman" w:hAnsi="Arial" w:cs="Arial"/>
          <w:sz w:val="17"/>
          <w:szCs w:val="17"/>
          <w:lang w:val="en-CA" w:eastAsia="en-US"/>
        </w:rPr>
        <w:endnoteRef/>
      </w:r>
      <w:r w:rsidRPr="007F127D">
        <w:rPr>
          <w:rStyle w:val="FootnoteChar"/>
          <w:rFonts w:eastAsia="Calibri"/>
        </w:rPr>
        <w:t xml:space="preserve"> </w:t>
      </w:r>
      <w:r w:rsidRPr="000D2189">
        <w:rPr>
          <w:rStyle w:val="FootnoteChar"/>
          <w:rFonts w:eastAsia="Calibri"/>
        </w:rPr>
        <w:t xml:space="preserve">Compiled by </w:t>
      </w:r>
      <w:r>
        <w:rPr>
          <w:rStyle w:val="FootnoteChar"/>
          <w:rFonts w:eastAsia="Calibri"/>
          <w:lang w:val="en-CA"/>
        </w:rPr>
        <w:t xml:space="preserve">the </w:t>
      </w:r>
      <w:r w:rsidRPr="000D2189">
        <w:rPr>
          <w:rStyle w:val="FootnoteChar"/>
          <w:rFonts w:eastAsia="Calibri"/>
        </w:rPr>
        <w:t>case author based on data from Sinemia,</w:t>
      </w:r>
      <w:r>
        <w:rPr>
          <w:rStyle w:val="FootnoteChar"/>
          <w:rFonts w:eastAsia="Calibri"/>
          <w:lang w:val="en-CA"/>
        </w:rPr>
        <w:t xml:space="preserve"> </w:t>
      </w:r>
      <w:r w:rsidRPr="000D2189">
        <w:rPr>
          <w:rStyle w:val="FootnoteChar"/>
          <w:rFonts w:eastAsia="Calibri"/>
        </w:rPr>
        <w:t>“Watch More | 2D/3D Movies | Any Theater,” accessed August 23, 2018, www.sinemia.com/new-plans; AMC,</w:t>
      </w:r>
      <w:r>
        <w:rPr>
          <w:rStyle w:val="FootnoteChar"/>
          <w:rFonts w:eastAsia="Calibri"/>
          <w:lang w:val="en-CA"/>
        </w:rPr>
        <w:t xml:space="preserve"> </w:t>
      </w:r>
      <w:r w:rsidRPr="000D2189">
        <w:rPr>
          <w:rStyle w:val="FootnoteChar"/>
          <w:rFonts w:eastAsia="Calibri"/>
        </w:rPr>
        <w:t>“AMC Stubs A-List,” accessed August 23, 2018, www.amctheatres.com/amcstubs/alist; </w:t>
      </w:r>
      <w:hyperlink r:id="rId1" w:history="1">
        <w:r w:rsidRPr="000D2189">
          <w:rPr>
            <w:rStyle w:val="FootnoteChar"/>
            <w:rFonts w:eastAsia="Calibri"/>
          </w:rPr>
          <w:t>cinemark.com/movieclub</w:t>
        </w:r>
      </w:hyperlink>
      <w:r w:rsidRPr="000D2189">
        <w:rPr>
          <w:rStyle w:val="FootnoteChar"/>
          <w:rFonts w:eastAsia="Calibri"/>
        </w:rPr>
        <w:t>; MoviePass,</w:t>
      </w:r>
      <w:r>
        <w:rPr>
          <w:rStyle w:val="FootnoteChar"/>
          <w:rFonts w:eastAsia="Calibri"/>
          <w:lang w:val="en-CA"/>
        </w:rPr>
        <w:t xml:space="preserve"> </w:t>
      </w:r>
      <w:r w:rsidRPr="000D2189">
        <w:rPr>
          <w:rStyle w:val="FootnoteChar"/>
          <w:rFonts w:eastAsia="Calibri"/>
        </w:rPr>
        <w:t>“Go See It All,” accessed August 23, 2018, www.moviepass.com/; Shen Lu, “MoviePass vs. Sinemia vs. AMC Stubs A-List vs. Cinemark Movie Club,” Magnify Money, August 7, 2018, accessed August 23, 2018, www.magnifymoney.com/blog/news/moviepass-amc-cinemark-sinemia-best/.</w:t>
      </w:r>
    </w:p>
  </w:endnote>
  <w:endnote w:id="7">
    <w:p w14:paraId="29811D38" w14:textId="2437E4AE" w:rsidR="009B660C" w:rsidRPr="000D2189" w:rsidRDefault="009B660C">
      <w:pPr>
        <w:pStyle w:val="EndnoteText"/>
        <w:rPr>
          <w:rStyle w:val="FootnoteChar"/>
          <w:rFonts w:eastAsia="Calibri"/>
        </w:rPr>
      </w:pPr>
      <w:r w:rsidRPr="001E68BF">
        <w:rPr>
          <w:rStyle w:val="EndnoteReference"/>
          <w:rFonts w:ascii="Arial" w:eastAsia="Times New Roman" w:hAnsi="Arial" w:cs="Arial"/>
          <w:sz w:val="17"/>
          <w:szCs w:val="17"/>
          <w:lang w:val="en-CA" w:eastAsia="en-US"/>
        </w:rPr>
        <w:endnoteRef/>
      </w:r>
      <w:r w:rsidRPr="001E68BF">
        <w:rPr>
          <w:rStyle w:val="FootnoteChar"/>
          <w:rFonts w:eastAsia="Calibri"/>
        </w:rPr>
        <w:t xml:space="preserve"> </w:t>
      </w:r>
      <w:r w:rsidRPr="000D2189">
        <w:rPr>
          <w:rStyle w:val="FootnoteChar"/>
          <w:rFonts w:eastAsia="Calibri"/>
        </w:rPr>
        <w:t>Rick Paulas, “The Guy Who Owns MoviePass Says Losing Money Was the Plan All Along,” Vice.com, June 12, 2018, accessed June 9, 2019, www.vice.com/en_us/article/4355xn/ted-farnsworth-moviepass-interview-on-business-model.</w:t>
      </w:r>
    </w:p>
  </w:endnote>
  <w:endnote w:id="8">
    <w:p w14:paraId="11A2BEF9" w14:textId="0885974E" w:rsidR="009B660C" w:rsidRPr="007F127D" w:rsidRDefault="009B660C" w:rsidP="00917F50">
      <w:pPr>
        <w:pStyle w:val="Footnote"/>
        <w:rPr>
          <w:b/>
        </w:rPr>
      </w:pPr>
      <w:r w:rsidRPr="00917F50">
        <w:rPr>
          <w:vertAlign w:val="superscript"/>
        </w:rPr>
        <w:endnoteRef/>
      </w:r>
      <w:r w:rsidRPr="00093FF5">
        <w:t xml:space="preserve"> </w:t>
      </w:r>
      <w:bookmarkStart w:id="1" w:name="_Hlk19178289"/>
      <w:r w:rsidRPr="00093FF5">
        <w:t xml:space="preserve">Anna Miller, </w:t>
      </w:r>
      <w:r w:rsidRPr="00093FF5">
        <w:rPr>
          <w:i/>
        </w:rPr>
        <w:t>IBISWorld Industry Report 51213, Movie Theat</w:t>
      </w:r>
      <w:r>
        <w:rPr>
          <w:i/>
        </w:rPr>
        <w:t>er</w:t>
      </w:r>
      <w:r w:rsidRPr="00093FF5">
        <w:rPr>
          <w:i/>
        </w:rPr>
        <w:t>s in the U.S</w:t>
      </w:r>
      <w:r w:rsidRPr="00093FF5">
        <w:t xml:space="preserve">., </w:t>
      </w:r>
      <w:r>
        <w:t xml:space="preserve">3, 7, </w:t>
      </w:r>
      <w:r w:rsidRPr="00093FF5">
        <w:t>April 2018</w:t>
      </w:r>
      <w:r>
        <w:t>, accessed August 23, 2018</w:t>
      </w:r>
      <w:bookmarkEnd w:id="1"/>
      <w:r>
        <w:t xml:space="preserve">. </w:t>
      </w:r>
    </w:p>
  </w:endnote>
  <w:endnote w:id="9">
    <w:p w14:paraId="2B850BA8" w14:textId="77777777" w:rsidR="009B660C" w:rsidRDefault="009B660C" w:rsidP="00917F50">
      <w:pPr>
        <w:pStyle w:val="Footnote"/>
      </w:pPr>
      <w:r>
        <w:rPr>
          <w:rStyle w:val="EndnoteReference"/>
        </w:rPr>
        <w:endnoteRef/>
      </w:r>
      <w:r>
        <w:t xml:space="preserve"> Ibid.</w:t>
      </w:r>
    </w:p>
  </w:endnote>
  <w:endnote w:id="10">
    <w:p w14:paraId="2A1D0486" w14:textId="77777777" w:rsidR="009B660C" w:rsidRDefault="009B660C" w:rsidP="00917F50">
      <w:pPr>
        <w:pStyle w:val="Footnote"/>
      </w:pPr>
      <w:r>
        <w:rPr>
          <w:rStyle w:val="EndnoteReference"/>
        </w:rPr>
        <w:endnoteRef/>
      </w:r>
      <w:r>
        <w:t xml:space="preserve"> Ibid.</w:t>
      </w:r>
    </w:p>
  </w:endnote>
  <w:endnote w:id="11">
    <w:p w14:paraId="36435003" w14:textId="26F73133" w:rsidR="009B660C" w:rsidRPr="00093FF5" w:rsidRDefault="009B660C" w:rsidP="00917F50">
      <w:pPr>
        <w:pStyle w:val="Footnote"/>
      </w:pPr>
      <w:r w:rsidRPr="00917F50">
        <w:rPr>
          <w:vertAlign w:val="superscript"/>
        </w:rPr>
        <w:endnoteRef/>
      </w:r>
      <w:r w:rsidRPr="00093FF5">
        <w:t xml:space="preserve"> </w:t>
      </w:r>
      <w:r>
        <w:t xml:space="preserve">Motion Picture Association of America, </w:t>
      </w:r>
      <w:r w:rsidRPr="005248F9">
        <w:rPr>
          <w:i/>
        </w:rPr>
        <w:t>Theatrical Market Statistics</w:t>
      </w:r>
      <w:r>
        <w:rPr>
          <w:i/>
        </w:rPr>
        <w:t>—</w:t>
      </w:r>
      <w:r w:rsidRPr="005248F9">
        <w:rPr>
          <w:i/>
        </w:rPr>
        <w:t>2016</w:t>
      </w:r>
      <w:r>
        <w:t xml:space="preserve">, 2017, accessed December 1, 2018, </w:t>
      </w:r>
      <w:r w:rsidRPr="003F2F59">
        <w:t>www.mpaa.org/wp-content/uploads/2017/03/MPAA-Theatrical-Market-Statistics-2016_Final.pdf.</w:t>
      </w:r>
    </w:p>
  </w:endnote>
  <w:endnote w:id="12">
    <w:p w14:paraId="403E051A" w14:textId="3510B412" w:rsidR="009B660C" w:rsidRPr="00654850" w:rsidRDefault="009B660C">
      <w:pPr>
        <w:pStyle w:val="EndnoteText"/>
        <w:rPr>
          <w:lang w:val="en-US"/>
        </w:rPr>
      </w:pPr>
      <w:r w:rsidRPr="00CB32AF">
        <w:rPr>
          <w:rFonts w:ascii="Arial" w:eastAsia="Times New Roman" w:hAnsi="Arial" w:cs="Arial"/>
          <w:sz w:val="17"/>
          <w:szCs w:val="17"/>
          <w:vertAlign w:val="superscript"/>
          <w:lang w:val="en-CA" w:eastAsia="en-US"/>
        </w:rPr>
        <w:endnoteRef/>
      </w:r>
      <w:r w:rsidRPr="000D2189">
        <w:rPr>
          <w:rStyle w:val="FootnoteChar"/>
          <w:rFonts w:eastAsia="Calibri"/>
        </w:rPr>
        <w:t xml:space="preserve"> Case writer’s analysis based on industry trends in </w:t>
      </w:r>
      <w:r w:rsidR="00C63E85">
        <w:rPr>
          <w:rStyle w:val="FootnoteChar"/>
          <w:rFonts w:eastAsia="Calibri"/>
          <w:lang w:val="en-US"/>
        </w:rPr>
        <w:t>Miller</w:t>
      </w:r>
      <w:r w:rsidRPr="000D2189">
        <w:rPr>
          <w:rStyle w:val="FootnoteChar"/>
          <w:rFonts w:eastAsia="Calibri"/>
        </w:rPr>
        <w:t>, op. cit.</w:t>
      </w:r>
    </w:p>
  </w:endnote>
  <w:endnote w:id="13">
    <w:p w14:paraId="4F6159EE" w14:textId="39B1AAE8" w:rsidR="009B660C" w:rsidRDefault="009B660C" w:rsidP="00917F50">
      <w:pPr>
        <w:pStyle w:val="Footnote"/>
      </w:pPr>
      <w:r>
        <w:rPr>
          <w:rStyle w:val="EndnoteReference"/>
        </w:rPr>
        <w:endnoteRef/>
      </w:r>
      <w:r>
        <w:t xml:space="preserve"> Miller, op. cit.</w:t>
      </w:r>
    </w:p>
  </w:endnote>
  <w:endnote w:id="14">
    <w:p w14:paraId="64C3ED4E" w14:textId="77777777" w:rsidR="009B660C" w:rsidRDefault="009B660C" w:rsidP="00917F50">
      <w:pPr>
        <w:pStyle w:val="Footnote"/>
      </w:pPr>
      <w:r>
        <w:rPr>
          <w:rStyle w:val="EndnoteReference"/>
        </w:rPr>
        <w:endnoteRef/>
      </w:r>
      <w:r>
        <w:t xml:space="preserve"> Ibid.</w:t>
      </w:r>
    </w:p>
  </w:endnote>
  <w:endnote w:id="15">
    <w:p w14:paraId="4B73AE1D" w14:textId="3C0795C0" w:rsidR="009B660C" w:rsidRPr="00093FF5" w:rsidRDefault="009B660C" w:rsidP="007F127D">
      <w:pPr>
        <w:jc w:val="both"/>
      </w:pPr>
      <w:r w:rsidRPr="007F127D">
        <w:rPr>
          <w:rStyle w:val="EndnoteReference"/>
          <w:rFonts w:ascii="Arial" w:hAnsi="Arial" w:cs="Arial"/>
          <w:sz w:val="17"/>
          <w:szCs w:val="17"/>
        </w:rPr>
        <w:endnoteRef/>
      </w:r>
      <w:r w:rsidRPr="007F127D">
        <w:rPr>
          <w:rStyle w:val="FootnoteChar"/>
        </w:rPr>
        <w:t xml:space="preserve"> </w:t>
      </w:r>
      <w:r w:rsidRPr="000D2189">
        <w:rPr>
          <w:rStyle w:val="FootnoteChar"/>
        </w:rPr>
        <w:t>Number of Fixed Broadband Subscriptions in the United States from 2000 to 2017 (in millions),” Statista, accessed April 8, 2019, www.statista.com/statistics/187145/number-of-fixed-broadband-subscriptions-in-the-united-states-since-2000/.</w:t>
      </w:r>
    </w:p>
  </w:endnote>
  <w:endnote w:id="16">
    <w:p w14:paraId="2FEB7424" w14:textId="25F8DAD8" w:rsidR="009B660C" w:rsidRPr="00CC7127" w:rsidRDefault="009B660C" w:rsidP="00917F50">
      <w:pPr>
        <w:pStyle w:val="Footnote"/>
      </w:pPr>
      <w:r w:rsidRPr="00917F50">
        <w:rPr>
          <w:vertAlign w:val="superscript"/>
        </w:rPr>
        <w:endnoteRef/>
      </w:r>
      <w:r w:rsidRPr="00CC7127">
        <w:t xml:space="preserve"> </w:t>
      </w:r>
      <w:r>
        <w:t>Miller, op. cit.</w:t>
      </w:r>
    </w:p>
  </w:endnote>
  <w:endnote w:id="17">
    <w:p w14:paraId="71AEECBD" w14:textId="524055EB" w:rsidR="002C57C1" w:rsidRPr="002C57C1" w:rsidRDefault="002C57C1" w:rsidP="002C57C1">
      <w:pPr>
        <w:pStyle w:val="Footnote"/>
        <w:rPr>
          <w:lang w:val="en-US"/>
        </w:rPr>
      </w:pPr>
      <w:r>
        <w:rPr>
          <w:rStyle w:val="EndnoteReference"/>
        </w:rPr>
        <w:endnoteRef/>
      </w:r>
      <w:r>
        <w:t xml:space="preserve"> </w:t>
      </w:r>
      <w:r>
        <w:rPr>
          <w:lang w:val="en-US"/>
        </w:rPr>
        <w:t xml:space="preserve">The Walt Disney Company, “About”, The Disney Company, accessed September 10, 2019, </w:t>
      </w:r>
      <w:r w:rsidRPr="002C57C1">
        <w:t>www.thewaltdisneycompany.com/about/</w:t>
      </w:r>
      <w:r>
        <w:rPr>
          <w:lang w:val="en-US"/>
        </w:rPr>
        <w:t>.</w:t>
      </w:r>
    </w:p>
  </w:endnote>
  <w:endnote w:id="18">
    <w:p w14:paraId="5958E12F" w14:textId="44E517D7" w:rsidR="009B660C" w:rsidRPr="00654850" w:rsidRDefault="009B660C">
      <w:pPr>
        <w:pStyle w:val="EndnoteText"/>
        <w:rPr>
          <w:lang w:val="en-US"/>
        </w:rPr>
      </w:pPr>
      <w:r w:rsidRPr="00495C7A">
        <w:rPr>
          <w:rFonts w:ascii="Arial" w:eastAsia="Times New Roman" w:hAnsi="Arial" w:cs="Arial"/>
          <w:sz w:val="17"/>
          <w:szCs w:val="17"/>
          <w:vertAlign w:val="superscript"/>
          <w:lang w:val="en-CA" w:eastAsia="en-US"/>
        </w:rPr>
        <w:endnoteRef/>
      </w:r>
      <w:r w:rsidRPr="007F127D">
        <w:rPr>
          <w:rStyle w:val="FootnoteChar"/>
          <w:rFonts w:eastAsia="Calibri"/>
        </w:rPr>
        <w:t xml:space="preserve"> </w:t>
      </w:r>
      <w:r w:rsidR="00C63E85">
        <w:rPr>
          <w:rStyle w:val="FootnoteChar"/>
          <w:rFonts w:eastAsia="Calibri"/>
          <w:lang w:val="en-US"/>
        </w:rPr>
        <w:t>Miller</w:t>
      </w:r>
      <w:r w:rsidRPr="000D2189">
        <w:rPr>
          <w:rStyle w:val="FootnoteChar"/>
          <w:rFonts w:eastAsia="Calibri"/>
        </w:rPr>
        <w:t>, op. cit.</w:t>
      </w:r>
    </w:p>
  </w:endnote>
  <w:endnote w:id="19">
    <w:p w14:paraId="2023879D" w14:textId="5884A7BC" w:rsidR="004C3F10" w:rsidRPr="00AE0CCB" w:rsidRDefault="004C3F10">
      <w:pPr>
        <w:pStyle w:val="EndnoteText"/>
        <w:rPr>
          <w:lang w:val="en-US"/>
        </w:rPr>
      </w:pPr>
      <w:r w:rsidRPr="00DF25A2">
        <w:rPr>
          <w:rStyle w:val="FootnoteChar"/>
          <w:rFonts w:eastAsia="Calibri"/>
          <w:vertAlign w:val="superscript"/>
        </w:rPr>
        <w:endnoteRef/>
      </w:r>
      <w:r>
        <w:t xml:space="preserve"> </w:t>
      </w:r>
      <w:r w:rsidRPr="00C63E85">
        <w:rPr>
          <w:rStyle w:val="FootnoteChar"/>
          <w:rFonts w:eastAsia="Calibri"/>
        </w:rPr>
        <w:t xml:space="preserve">Tom Huddlestone, Jr., “Movie Studios Are Thinking of Shrinking Theatrical Release Windows – Again,” Fortune, August 18, 2017, accessed September 12, 2019, </w:t>
      </w:r>
      <w:r w:rsidRPr="00C63E85">
        <w:rPr>
          <w:rStyle w:val="FootnoteChar"/>
        </w:rPr>
        <w:t>https://fortune.com/2017/08/18/warner-bros-universal-apple-comcast-movie-theaters/</w:t>
      </w:r>
    </w:p>
  </w:endnote>
  <w:endnote w:id="20">
    <w:p w14:paraId="76D3483D" w14:textId="13465351" w:rsidR="009B660C" w:rsidRPr="00C35CEB" w:rsidRDefault="009B660C" w:rsidP="00917F50">
      <w:pPr>
        <w:pStyle w:val="Footnote"/>
      </w:pPr>
      <w:r>
        <w:rPr>
          <w:rStyle w:val="EndnoteReference"/>
        </w:rPr>
        <w:endnoteRef/>
      </w:r>
      <w:r>
        <w:t xml:space="preserve"> </w:t>
      </w:r>
      <w:r w:rsidR="00C63E85">
        <w:t>Miller, op. cit</w:t>
      </w:r>
      <w:r>
        <w:t>.</w:t>
      </w:r>
    </w:p>
  </w:endnote>
  <w:endnote w:id="21">
    <w:p w14:paraId="453BBD03" w14:textId="1E52AC12" w:rsidR="009B660C" w:rsidRPr="00C35CEB" w:rsidRDefault="009B660C" w:rsidP="00917F50">
      <w:pPr>
        <w:pStyle w:val="Footnote"/>
      </w:pPr>
      <w:r w:rsidRPr="00917F50">
        <w:rPr>
          <w:vertAlign w:val="superscript"/>
        </w:rPr>
        <w:endnoteRef/>
      </w:r>
      <w:r w:rsidRPr="00C35CEB">
        <w:t xml:space="preserve"> Ibid.</w:t>
      </w:r>
    </w:p>
  </w:endnote>
  <w:endnote w:id="22">
    <w:p w14:paraId="3C3E7576" w14:textId="21133760" w:rsidR="009B660C" w:rsidRPr="00C35CEB" w:rsidRDefault="009B660C" w:rsidP="00917F50">
      <w:pPr>
        <w:pStyle w:val="Footnote"/>
      </w:pPr>
      <w:r w:rsidRPr="00917F50">
        <w:rPr>
          <w:vertAlign w:val="superscript"/>
        </w:rPr>
        <w:endnoteRef/>
      </w:r>
      <w:r w:rsidRPr="00C35CEB">
        <w:t xml:space="preserve"> AMC Entertainment, </w:t>
      </w:r>
      <w:r>
        <w:t>“</w:t>
      </w:r>
      <w:r w:rsidRPr="00C35CEB">
        <w:t>Corporate Overview,</w:t>
      </w:r>
      <w:r>
        <w:t xml:space="preserve">” </w:t>
      </w:r>
      <w:r w:rsidRPr="00C35CEB">
        <w:t>accessed November 14, 2018, www.investor.amctheatres.com/#.</w:t>
      </w:r>
    </w:p>
  </w:endnote>
  <w:endnote w:id="23">
    <w:p w14:paraId="432CF9BF" w14:textId="79402DD2" w:rsidR="009B660C" w:rsidRPr="00C35CEB" w:rsidRDefault="009B660C" w:rsidP="00917F50">
      <w:pPr>
        <w:pStyle w:val="Footnote"/>
      </w:pPr>
      <w:r w:rsidRPr="00917F50">
        <w:rPr>
          <w:vertAlign w:val="superscript"/>
        </w:rPr>
        <w:endnoteRef/>
      </w:r>
      <w:r w:rsidRPr="00C35CEB">
        <w:t xml:space="preserve"> Regal Entertainment Group, “About Regal,” accessed November 14, 2018, www.regmovies.com/static/en/us/about.</w:t>
      </w:r>
    </w:p>
  </w:endnote>
  <w:endnote w:id="24">
    <w:p w14:paraId="2F75F1F9" w14:textId="27D60D13" w:rsidR="009B660C" w:rsidRPr="00C35CEB" w:rsidRDefault="009B660C" w:rsidP="00917F50">
      <w:pPr>
        <w:pStyle w:val="Footnote"/>
      </w:pPr>
      <w:r w:rsidRPr="00917F50">
        <w:rPr>
          <w:vertAlign w:val="superscript"/>
        </w:rPr>
        <w:endnoteRef/>
      </w:r>
      <w:r w:rsidR="00DF25A2">
        <w:t> </w:t>
      </w:r>
      <w:r w:rsidRPr="00C35CEB">
        <w:t>Cinemark</w:t>
      </w:r>
      <w:r>
        <w:t xml:space="preserve"> Holdings Inc.</w:t>
      </w:r>
      <w:r w:rsidRPr="00C35CEB">
        <w:t xml:space="preserve">, </w:t>
      </w:r>
      <w:r>
        <w:t>“</w:t>
      </w:r>
      <w:r w:rsidRPr="00C35CEB">
        <w:t>IR Overview,</w:t>
      </w:r>
      <w:r>
        <w:t>”</w:t>
      </w:r>
      <w:r w:rsidRPr="00C35CEB">
        <w:t xml:space="preserve"> accessed November 14, 2018, </w:t>
      </w:r>
      <w:r w:rsidRPr="000D2189">
        <w:t>http://phx.corporate-ir.net/phoenix.zhtml?c=192773&amp;p=irol-homeProfile</w:t>
      </w:r>
      <w:r w:rsidRPr="00C35CEB">
        <w:t>.</w:t>
      </w:r>
    </w:p>
  </w:endnote>
  <w:endnote w:id="25">
    <w:p w14:paraId="5AD0B246" w14:textId="77777777" w:rsidR="009B660C" w:rsidRDefault="009B660C" w:rsidP="00917F50">
      <w:pPr>
        <w:pStyle w:val="Footnote"/>
      </w:pPr>
      <w:r w:rsidRPr="00DF25A2">
        <w:rPr>
          <w:vertAlign w:val="superscript"/>
        </w:rPr>
        <w:endnoteRef/>
      </w:r>
      <w:r>
        <w:t xml:space="preserve"> Ibid.</w:t>
      </w:r>
    </w:p>
  </w:endnote>
  <w:endnote w:id="26">
    <w:p w14:paraId="6AF9B1B6" w14:textId="19842D53" w:rsidR="004C3F10" w:rsidRPr="00AE0CCB" w:rsidRDefault="004C3F10">
      <w:pPr>
        <w:pStyle w:val="EndnoteText"/>
        <w:rPr>
          <w:lang w:val="en-US"/>
        </w:rPr>
      </w:pPr>
      <w:r w:rsidRPr="00DF25A2">
        <w:rPr>
          <w:rStyle w:val="FootnoteChar"/>
          <w:rFonts w:eastAsia="Calibri"/>
          <w:vertAlign w:val="superscript"/>
        </w:rPr>
        <w:endnoteRef/>
      </w:r>
      <w:r>
        <w:t xml:space="preserve"> </w:t>
      </w:r>
      <w:r w:rsidRPr="00C63E85">
        <w:rPr>
          <w:rStyle w:val="FootnoteChar"/>
          <w:rFonts w:eastAsia="Calibri"/>
        </w:rPr>
        <w:t>“Subscription Model Trend &amp; Growth,” Slice Intelligenc</w:t>
      </w:r>
      <w:r w:rsidR="00C63E85">
        <w:rPr>
          <w:rStyle w:val="FootnoteChar"/>
          <w:rFonts w:eastAsia="Calibri"/>
        </w:rPr>
        <w:t>e, accessed September 12, 2019,</w:t>
      </w:r>
      <w:r w:rsidRPr="00C63E85">
        <w:rPr>
          <w:rStyle w:val="FootnoteChar"/>
        </w:rPr>
        <w:t>www.rakutenintelligence.com/wp-content/uploads/2016/03/Subscription-Model-Trend-and-Growth-Slice-White-Paper.pdf</w:t>
      </w:r>
    </w:p>
  </w:endnote>
  <w:endnote w:id="27">
    <w:p w14:paraId="6AABFB7A" w14:textId="7A657887" w:rsidR="004C3F10" w:rsidRPr="00AE0CCB" w:rsidRDefault="004C3F10" w:rsidP="00C63E85">
      <w:pPr>
        <w:pStyle w:val="Footnote"/>
        <w:rPr>
          <w:lang w:val="en-US"/>
        </w:rPr>
      </w:pPr>
      <w:r>
        <w:rPr>
          <w:rStyle w:val="EndnoteReference"/>
        </w:rPr>
        <w:endnoteRef/>
      </w:r>
      <w:r>
        <w:t xml:space="preserve"> </w:t>
      </w:r>
      <w:r>
        <w:rPr>
          <w:lang w:val="en-US"/>
        </w:rPr>
        <w:t>Ibid.</w:t>
      </w:r>
    </w:p>
  </w:endnote>
  <w:endnote w:id="28">
    <w:p w14:paraId="135418F3" w14:textId="3A9CCD24" w:rsidR="009B660C" w:rsidRPr="00C35CEB" w:rsidRDefault="009B660C" w:rsidP="00917F50">
      <w:pPr>
        <w:pStyle w:val="Footnote"/>
      </w:pPr>
      <w:r w:rsidRPr="00917F50">
        <w:rPr>
          <w:vertAlign w:val="superscript"/>
        </w:rPr>
        <w:endnoteRef/>
      </w:r>
      <w:r w:rsidRPr="00C35CEB">
        <w:t xml:space="preserve"> </w:t>
      </w:r>
      <w:bookmarkStart w:id="2" w:name="_Hlk525216454"/>
      <w:r w:rsidRPr="00C35CEB">
        <w:t xml:space="preserve">Tien Tzuo, </w:t>
      </w:r>
      <w:r w:rsidRPr="00C35CEB">
        <w:rPr>
          <w:i/>
        </w:rPr>
        <w:t>Subscribed: Why the Subscription Model Will Be Your Company’s Future</w:t>
      </w:r>
      <w:r>
        <w:rPr>
          <w:i/>
        </w:rPr>
        <w:t>—A</w:t>
      </w:r>
      <w:r w:rsidRPr="00C35CEB">
        <w:rPr>
          <w:i/>
        </w:rPr>
        <w:t>nd What to Do About It</w:t>
      </w:r>
      <w:r w:rsidRPr="00C35CEB">
        <w:t xml:space="preserve"> </w:t>
      </w:r>
      <w:r>
        <w:t>(</w:t>
      </w:r>
      <w:r w:rsidRPr="00C35CEB">
        <w:t>New York</w:t>
      </w:r>
      <w:r>
        <w:t>:</w:t>
      </w:r>
      <w:r w:rsidRPr="00C35CEB">
        <w:t xml:space="preserve"> Penguin Random House, </w:t>
      </w:r>
      <w:bookmarkEnd w:id="2"/>
      <w:r>
        <w:t xml:space="preserve">2018), </w:t>
      </w:r>
      <w:r w:rsidRPr="00C35CEB">
        <w:t>17.</w:t>
      </w:r>
    </w:p>
  </w:endnote>
  <w:endnote w:id="29">
    <w:p w14:paraId="1F9B607D" w14:textId="77777777" w:rsidR="00BD2702" w:rsidRPr="00C35CEB" w:rsidRDefault="00BD2702" w:rsidP="00BD2702">
      <w:pPr>
        <w:pStyle w:val="Footnote"/>
        <w:rPr>
          <w:sz w:val="20"/>
          <w:szCs w:val="20"/>
        </w:rPr>
      </w:pPr>
      <w:r>
        <w:rPr>
          <w:rStyle w:val="EndnoteReference"/>
        </w:rPr>
        <w:endnoteRef/>
      </w:r>
      <w:r>
        <w:t xml:space="preserve"> </w:t>
      </w:r>
      <w:r w:rsidRPr="00DF25A2">
        <w:rPr>
          <w:spacing w:val="-2"/>
        </w:rPr>
        <w:t>Tony Chen, Ken Fenyo, Sylvia Yang and Jessica Zhang, “Thinking Inside the Subscription Box: New Research on e-Commerce Consumers,” McKinsey &amp; Company, February 2018, accessed November 14, 2018, www.mckinsey.com/industries/high-tech/our-insights/thinking-inside-the-subscription-box-new-research-on-ecommerce-consumers.</w:t>
      </w:r>
    </w:p>
  </w:endnote>
  <w:endnote w:id="30">
    <w:p w14:paraId="31E12A06" w14:textId="226CCC16" w:rsidR="009B660C" w:rsidRPr="00CC7127" w:rsidRDefault="009B660C" w:rsidP="00917F50">
      <w:pPr>
        <w:pStyle w:val="Footnote"/>
      </w:pPr>
      <w:r w:rsidRPr="00917F50">
        <w:rPr>
          <w:vertAlign w:val="superscript"/>
        </w:rPr>
        <w:endnoteRef/>
      </w:r>
      <w:r w:rsidRPr="00CC7127">
        <w:t xml:space="preserve"> Tzuo, </w:t>
      </w:r>
      <w:r>
        <w:t>op. cit.,</w:t>
      </w:r>
      <w:r w:rsidRPr="00CC7127">
        <w:t xml:space="preserve"> 25.</w:t>
      </w:r>
    </w:p>
  </w:endnote>
  <w:endnote w:id="31">
    <w:p w14:paraId="12BDAA1B" w14:textId="295817CC" w:rsidR="009B660C" w:rsidRDefault="009B660C" w:rsidP="00783966">
      <w:pPr>
        <w:pStyle w:val="Footnote"/>
      </w:pPr>
      <w:r>
        <w:rPr>
          <w:rStyle w:val="EndnoteReference"/>
        </w:rPr>
        <w:endnoteRef/>
      </w:r>
      <w:r>
        <w:t xml:space="preserve"> Jessica Bruder, “Taking a Third Pass at Selling Movie Subscriptions,” </w:t>
      </w:r>
      <w:r w:rsidRPr="001D2F99">
        <w:rPr>
          <w:i/>
        </w:rPr>
        <w:t>New York Times</w:t>
      </w:r>
      <w:r>
        <w:t xml:space="preserve">, February 13, 2013, accessed November 3, 2018, </w:t>
      </w:r>
      <w:r w:rsidRPr="003F2F59">
        <w:t>https://boss.blogs.nytimes.com/2013/02/13/taking-a-third-pass-at-selling-movie-subscriptions/.</w:t>
      </w:r>
    </w:p>
  </w:endnote>
  <w:endnote w:id="32">
    <w:p w14:paraId="52582E96" w14:textId="63AC9568" w:rsidR="00AD4F47" w:rsidRPr="00AD4F47" w:rsidRDefault="00AD4F47">
      <w:pPr>
        <w:pStyle w:val="EndnoteText"/>
        <w:rPr>
          <w:lang w:val="en-US"/>
        </w:rPr>
      </w:pPr>
      <w:r>
        <w:rPr>
          <w:rStyle w:val="EndnoteReference"/>
        </w:rPr>
        <w:endnoteRef/>
      </w:r>
      <w:r>
        <w:rPr>
          <w:rStyle w:val="FootnoteChar"/>
          <w:rFonts w:eastAsia="Calibri"/>
          <w:lang w:val="en-US"/>
        </w:rPr>
        <w:t xml:space="preserve"> </w:t>
      </w:r>
      <w:r w:rsidRPr="00AD4F47">
        <w:rPr>
          <w:rStyle w:val="FootnoteChar"/>
          <w:rFonts w:eastAsia="Calibri"/>
        </w:rPr>
        <w:t>“Annual Average US Ticket Price,” NATO</w:t>
      </w:r>
      <w:r>
        <w:rPr>
          <w:rStyle w:val="FootnoteChar"/>
          <w:rFonts w:eastAsia="Calibri"/>
          <w:lang w:val="en-US"/>
        </w:rPr>
        <w:t xml:space="preserve"> National Association of Theatre Owners</w:t>
      </w:r>
      <w:r w:rsidRPr="00AD4F47">
        <w:rPr>
          <w:rStyle w:val="FootnoteChar"/>
          <w:rFonts w:eastAsia="Calibri"/>
        </w:rPr>
        <w:t>, accessed September 10, 2019, www.natoonline.org/data/ticket-price/.</w:t>
      </w:r>
    </w:p>
  </w:endnote>
  <w:endnote w:id="33">
    <w:p w14:paraId="628568CA" w14:textId="23C6F0EB" w:rsidR="009B660C" w:rsidRPr="00CC7127" w:rsidRDefault="009B660C" w:rsidP="00917F50">
      <w:pPr>
        <w:pStyle w:val="Footnote"/>
      </w:pPr>
      <w:r w:rsidRPr="00917F50">
        <w:rPr>
          <w:vertAlign w:val="superscript"/>
        </w:rPr>
        <w:endnoteRef/>
      </w:r>
      <w:r w:rsidRPr="00CC7127">
        <w:t xml:space="preserve"> </w:t>
      </w:r>
      <w:bookmarkStart w:id="3" w:name="_Hlk3878862"/>
      <w:r w:rsidR="00AD4F47">
        <w:t>Jessica Bruder, op. cit</w:t>
      </w:r>
      <w:r>
        <w:t>.</w:t>
      </w:r>
    </w:p>
    <w:bookmarkEnd w:id="3"/>
  </w:endnote>
  <w:endnote w:id="34">
    <w:p w14:paraId="331206C5" w14:textId="346F2002" w:rsidR="009B660C" w:rsidRPr="006B1552" w:rsidRDefault="009B660C" w:rsidP="00917F50">
      <w:pPr>
        <w:pStyle w:val="Footnote"/>
      </w:pPr>
      <w:r>
        <w:rPr>
          <w:rStyle w:val="EndnoteReference"/>
        </w:rPr>
        <w:endnoteRef/>
      </w:r>
      <w:r>
        <w:t xml:space="preserve"> </w:t>
      </w:r>
      <w:r w:rsidRPr="00C63E85">
        <w:t>Ibid</w:t>
      </w:r>
      <w:r w:rsidRPr="006B1552">
        <w:t>.</w:t>
      </w:r>
    </w:p>
  </w:endnote>
  <w:endnote w:id="35">
    <w:p w14:paraId="559A70EF" w14:textId="2C76AF27" w:rsidR="009B660C" w:rsidRPr="006B1552" w:rsidRDefault="009B660C" w:rsidP="00917F50">
      <w:pPr>
        <w:pStyle w:val="Footnote"/>
      </w:pPr>
      <w:r w:rsidRPr="00917F50">
        <w:rPr>
          <w:vertAlign w:val="superscript"/>
        </w:rPr>
        <w:endnoteRef/>
      </w:r>
      <w:r w:rsidRPr="006B1552">
        <w:t xml:space="preserve"> Brooks Barnes, “From AMC and MoviePass, a Film a Day for a Monthly Fee,” </w:t>
      </w:r>
      <w:r w:rsidRPr="001D2F99">
        <w:rPr>
          <w:i/>
        </w:rPr>
        <w:t>New York Times</w:t>
      </w:r>
      <w:r>
        <w:t xml:space="preserve">, </w:t>
      </w:r>
      <w:r w:rsidRPr="006B1552">
        <w:t xml:space="preserve">December 16, 2014, accessed November 2, 2018, </w:t>
      </w:r>
      <w:hyperlink r:id="rId2" w:history="1">
        <w:r w:rsidRPr="003F2F59">
          <w:t>www.nytimes.com/2014/12/16/business/from-amc-and-moviepass-a-film-a-day-for-a-monthly-fee.html</w:t>
        </w:r>
      </w:hyperlink>
      <w:r w:rsidRPr="006B1552">
        <w:t>.</w:t>
      </w:r>
    </w:p>
  </w:endnote>
  <w:endnote w:id="36">
    <w:p w14:paraId="13F71D07" w14:textId="09BFFC8F" w:rsidR="009B660C" w:rsidRPr="00CF5441" w:rsidRDefault="009B660C" w:rsidP="007F127D">
      <w:pPr>
        <w:pStyle w:val="EndnoteText"/>
        <w:jc w:val="both"/>
        <w:rPr>
          <w:lang w:val="en-US"/>
        </w:rPr>
      </w:pPr>
      <w:bookmarkStart w:id="4" w:name="_GoBack"/>
      <w:r w:rsidRPr="00DF25A2">
        <w:rPr>
          <w:rFonts w:ascii="Arial" w:eastAsia="Times New Roman" w:hAnsi="Arial" w:cs="Arial"/>
          <w:sz w:val="17"/>
          <w:szCs w:val="17"/>
          <w:vertAlign w:val="superscript"/>
          <w:lang w:val="en-CA" w:eastAsia="en-US"/>
        </w:rPr>
        <w:endnoteRef/>
      </w:r>
      <w:bookmarkEnd w:id="4"/>
      <w:r w:rsidRPr="007F127D">
        <w:rPr>
          <w:rStyle w:val="FootnoteChar"/>
          <w:rFonts w:eastAsia="Calibri"/>
        </w:rPr>
        <w:t xml:space="preserve"> </w:t>
      </w:r>
      <w:r w:rsidRPr="00CF5441">
        <w:rPr>
          <w:rStyle w:val="FootnoteChar"/>
          <w:rFonts w:eastAsia="Calibri"/>
        </w:rPr>
        <w:t>“MoviePass Names Mitch Lowe Chief Executive Office,” YahooFinance, accessed July 4, 2019, https://finance.yahoo.com/news/moviepass-names-mitch-lowe-chief-140000184.html</w:t>
      </w:r>
    </w:p>
  </w:endnote>
  <w:endnote w:id="37">
    <w:p w14:paraId="36782A11" w14:textId="10A644B8" w:rsidR="009B660C" w:rsidRPr="00CF5441" w:rsidRDefault="009B660C">
      <w:pPr>
        <w:pStyle w:val="EndnoteText"/>
        <w:rPr>
          <w:lang w:val="en-US"/>
        </w:rPr>
      </w:pPr>
      <w:r w:rsidRPr="00DF25A2">
        <w:rPr>
          <w:rStyle w:val="FootnoteChar"/>
          <w:rFonts w:eastAsia="Calibri"/>
          <w:vertAlign w:val="superscript"/>
        </w:rPr>
        <w:endnoteRef/>
      </w:r>
      <w:r w:rsidRPr="007F127D">
        <w:rPr>
          <w:rStyle w:val="FootnoteChar"/>
          <w:rFonts w:eastAsia="Calibri"/>
        </w:rPr>
        <w:t xml:space="preserve"> Ibid.</w:t>
      </w:r>
    </w:p>
  </w:endnote>
  <w:endnote w:id="38">
    <w:p w14:paraId="20EB5199" w14:textId="0CFEC378" w:rsidR="009B660C" w:rsidRPr="001D2F99" w:rsidRDefault="009B660C" w:rsidP="00917F50">
      <w:pPr>
        <w:pStyle w:val="Footnote"/>
      </w:pPr>
      <w:r w:rsidRPr="00917F50">
        <w:rPr>
          <w:vertAlign w:val="superscript"/>
        </w:rPr>
        <w:endnoteRef/>
      </w:r>
      <w:r>
        <w:t xml:space="preserve"> </w:t>
      </w:r>
      <w:r w:rsidRPr="001D2F99">
        <w:t xml:space="preserve">Helios &amp; Matheson, “Helios and Matheson Analytics Inc. Buys Majority Stake in MoviePass, Today’s #1 Movie Theater Subscription Service,” </w:t>
      </w:r>
      <w:r>
        <w:t>p</w:t>
      </w:r>
      <w:r w:rsidRPr="001D2F99">
        <w:t xml:space="preserve">ress </w:t>
      </w:r>
      <w:r>
        <w:t>r</w:t>
      </w:r>
      <w:r w:rsidRPr="001D2F99">
        <w:t>elease</w:t>
      </w:r>
      <w:r>
        <w:t>,</w:t>
      </w:r>
      <w:r w:rsidRPr="001D2F99">
        <w:t xml:space="preserve"> August 15, 2017, accessed November 4, 2018, www.hmny.com/press-release/2017/8/15/helios-and-matheson-analytics-inc-buys-majority-stake-in-moviepasstm-todays-1-movie-theater-subscription-service.</w:t>
      </w:r>
    </w:p>
  </w:endnote>
  <w:endnote w:id="39">
    <w:p w14:paraId="7EA62D13" w14:textId="249D9462" w:rsidR="009B660C" w:rsidRPr="001D2F99" w:rsidRDefault="009B660C" w:rsidP="00917F50">
      <w:pPr>
        <w:pStyle w:val="Footnote"/>
      </w:pPr>
      <w:r>
        <w:rPr>
          <w:rStyle w:val="EndnoteReference"/>
        </w:rPr>
        <w:endnoteRef/>
      </w:r>
      <w:r>
        <w:t xml:space="preserve"> </w:t>
      </w:r>
      <w:r w:rsidRPr="001D2F99">
        <w:t xml:space="preserve">Graham Rapier, “MoviePass’s Parent Company </w:t>
      </w:r>
      <w:r>
        <w:t>I</w:t>
      </w:r>
      <w:r w:rsidRPr="001D2F99">
        <w:t xml:space="preserve">s Getting Crushed </w:t>
      </w:r>
      <w:r>
        <w:t>a</w:t>
      </w:r>
      <w:r w:rsidRPr="001D2F99">
        <w:t xml:space="preserve">fter Selling Shares at Massive Discount (HMNY),” </w:t>
      </w:r>
      <w:r w:rsidRPr="005248F9">
        <w:t>Markets Insider</w:t>
      </w:r>
      <w:r w:rsidRPr="00A7371A">
        <w:t>,</w:t>
      </w:r>
      <w:r w:rsidRPr="001D2F99">
        <w:t xml:space="preserve"> April 19, 2018, accessed November 2, 2018, https://markets.businessinsider.com/news/stocks/moviepass-parent-hmny-stock-price-crushed-after-selling-shares-at-huge-discount-2018-4-1021595260.</w:t>
      </w:r>
    </w:p>
  </w:endnote>
  <w:endnote w:id="40">
    <w:p w14:paraId="6C81C880" w14:textId="4C523982" w:rsidR="009B660C" w:rsidRPr="00B45533" w:rsidRDefault="009B660C" w:rsidP="007F127D">
      <w:pPr>
        <w:pStyle w:val="EndnoteText"/>
        <w:jc w:val="both"/>
        <w:rPr>
          <w:lang w:val="en-US"/>
        </w:rPr>
      </w:pPr>
      <w:r w:rsidRPr="007F127D">
        <w:rPr>
          <w:rStyle w:val="FootnoteChar"/>
          <w:rFonts w:eastAsia="Calibri"/>
        </w:rPr>
        <w:endnoteRef/>
      </w:r>
      <w:r w:rsidRPr="007F127D">
        <w:rPr>
          <w:rStyle w:val="FootnoteChar"/>
          <w:rFonts w:eastAsia="Calibri"/>
        </w:rPr>
        <w:t xml:space="preserve"> </w:t>
      </w:r>
      <w:r w:rsidRPr="000D2189">
        <w:rPr>
          <w:rStyle w:val="FootnoteChar"/>
          <w:rFonts w:eastAsia="Calibri"/>
        </w:rPr>
        <w:t>Rick Broida, “Here’s How MoviePass Works,” C</w:t>
      </w:r>
      <w:r>
        <w:rPr>
          <w:rStyle w:val="FootnoteChar"/>
          <w:rFonts w:eastAsia="Calibri"/>
          <w:lang w:val="en-CA"/>
        </w:rPr>
        <w:t>NET</w:t>
      </w:r>
      <w:r w:rsidRPr="000D2189">
        <w:rPr>
          <w:rStyle w:val="FootnoteChar"/>
          <w:rFonts w:eastAsia="Calibri"/>
        </w:rPr>
        <w:t>, August 1, 2018, accessed November 2, 2018, www.cnet.com/how-to/how-moviepass-works/.</w:t>
      </w:r>
    </w:p>
  </w:endnote>
  <w:endnote w:id="41">
    <w:p w14:paraId="768A4E0B" w14:textId="191137B4" w:rsidR="009B660C" w:rsidRPr="00B45533" w:rsidRDefault="009B660C">
      <w:pPr>
        <w:pStyle w:val="EndnoteText"/>
        <w:rPr>
          <w:lang w:val="en-US"/>
        </w:rPr>
      </w:pPr>
      <w:r w:rsidRPr="00802836">
        <w:rPr>
          <w:rFonts w:ascii="Arial" w:eastAsia="Times New Roman" w:hAnsi="Arial" w:cs="Arial"/>
          <w:sz w:val="17"/>
          <w:szCs w:val="17"/>
          <w:vertAlign w:val="superscript"/>
          <w:lang w:val="en-CA" w:eastAsia="en-US"/>
        </w:rPr>
        <w:endnoteRef/>
      </w:r>
      <w:r w:rsidRPr="00802836">
        <w:rPr>
          <w:rStyle w:val="FootnoteChar"/>
          <w:rFonts w:eastAsia="Calibri"/>
          <w:vertAlign w:val="superscript"/>
          <w:lang w:val="en-US"/>
        </w:rPr>
        <w:t xml:space="preserve"> </w:t>
      </w:r>
      <w:r w:rsidRPr="000D2189">
        <w:rPr>
          <w:rStyle w:val="FootnoteChar"/>
          <w:rFonts w:eastAsia="Calibri"/>
        </w:rPr>
        <w:t>Ibid</w:t>
      </w:r>
      <w:r>
        <w:rPr>
          <w:lang w:val="en-US"/>
        </w:rPr>
        <w:t>.</w:t>
      </w:r>
    </w:p>
  </w:endnote>
  <w:endnote w:id="42">
    <w:p w14:paraId="481C3194" w14:textId="731E90B0" w:rsidR="009B660C" w:rsidRPr="00B45533" w:rsidRDefault="009B660C" w:rsidP="00917F50">
      <w:pPr>
        <w:pStyle w:val="Footnote"/>
      </w:pPr>
      <w:r w:rsidRPr="00917F50">
        <w:rPr>
          <w:vertAlign w:val="superscript"/>
        </w:rPr>
        <w:endnoteRef/>
      </w:r>
      <w:r w:rsidRPr="00917F50">
        <w:rPr>
          <w:vertAlign w:val="superscript"/>
        </w:rPr>
        <w:t xml:space="preserve"> </w:t>
      </w:r>
      <w:r>
        <w:t>Ibid.</w:t>
      </w:r>
    </w:p>
  </w:endnote>
  <w:endnote w:id="43">
    <w:p w14:paraId="7CA6E862" w14:textId="0999309A" w:rsidR="009B660C" w:rsidRDefault="009B660C" w:rsidP="00917F50">
      <w:pPr>
        <w:pStyle w:val="Footnote"/>
      </w:pPr>
      <w:r>
        <w:rPr>
          <w:rStyle w:val="EndnoteReference"/>
        </w:rPr>
        <w:endnoteRef/>
      </w:r>
      <w:r>
        <w:t xml:space="preserve"> Andrew R. Chow, “Tracking MoviePass’s Bumpy History,” </w:t>
      </w:r>
      <w:r w:rsidRPr="005248F9">
        <w:rPr>
          <w:i/>
        </w:rPr>
        <w:t>New York Times</w:t>
      </w:r>
      <w:r>
        <w:t>, July 31, 2018, accessed November 3, 2018</w:t>
      </w:r>
      <w:r w:rsidRPr="003F2F59">
        <w:t xml:space="preserve"> www.nytimes.com/2018/07/31/movies/moviepass-timeline.html</w:t>
      </w:r>
      <w:r>
        <w:t>.</w:t>
      </w:r>
    </w:p>
  </w:endnote>
  <w:endnote w:id="44">
    <w:p w14:paraId="2A2DEDD7" w14:textId="7C8CDF87" w:rsidR="009B660C" w:rsidRDefault="009B660C" w:rsidP="00917F50">
      <w:pPr>
        <w:pStyle w:val="Footnote"/>
      </w:pPr>
      <w:r>
        <w:rPr>
          <w:rStyle w:val="EndnoteReference"/>
        </w:rPr>
        <w:endnoteRef/>
      </w:r>
      <w:r>
        <w:t xml:space="preserve"> Ibid.</w:t>
      </w:r>
    </w:p>
  </w:endnote>
  <w:endnote w:id="45">
    <w:p w14:paraId="0201EFE7" w14:textId="58220E84" w:rsidR="009B660C" w:rsidRPr="00CC7127" w:rsidRDefault="009B660C" w:rsidP="00917F50">
      <w:pPr>
        <w:pStyle w:val="Footnote"/>
      </w:pPr>
      <w:r w:rsidRPr="00917F50">
        <w:rPr>
          <w:vertAlign w:val="superscript"/>
        </w:rPr>
        <w:endnoteRef/>
      </w:r>
      <w:r w:rsidRPr="00CC7127">
        <w:t xml:space="preserve"> </w:t>
      </w:r>
      <w:r>
        <w:t>Ibid.</w:t>
      </w:r>
    </w:p>
  </w:endnote>
  <w:endnote w:id="46">
    <w:p w14:paraId="1F5D2B70" w14:textId="41764579" w:rsidR="009B660C" w:rsidRPr="00CC7127" w:rsidRDefault="009B660C" w:rsidP="00917F50">
      <w:pPr>
        <w:pStyle w:val="Footnote"/>
      </w:pPr>
      <w:r w:rsidRPr="00917F50">
        <w:rPr>
          <w:vertAlign w:val="superscript"/>
        </w:rPr>
        <w:endnoteRef/>
      </w:r>
      <w:r w:rsidRPr="00CC7127">
        <w:t xml:space="preserve"> Fritz, </w:t>
      </w:r>
      <w:r>
        <w:t>op. cit</w:t>
      </w:r>
      <w:r w:rsidRPr="00CC7127">
        <w:t>.</w:t>
      </w:r>
    </w:p>
  </w:endnote>
  <w:endnote w:id="47">
    <w:p w14:paraId="54583C35" w14:textId="09751C21" w:rsidR="009B660C" w:rsidRPr="003F2F59" w:rsidRDefault="009B660C" w:rsidP="00917F50">
      <w:pPr>
        <w:pStyle w:val="Footnote"/>
      </w:pPr>
      <w:r>
        <w:rPr>
          <w:rStyle w:val="EndnoteReference"/>
        </w:rPr>
        <w:endnoteRef/>
      </w:r>
      <w:r>
        <w:t xml:space="preserve"> </w:t>
      </w:r>
      <w:r w:rsidRPr="00C5409B">
        <w:t xml:space="preserve">Trey Williams, “Helios &amp; Matheson Is Increasing Its Stake in MoviePass </w:t>
      </w:r>
      <w:r>
        <w:t>w</w:t>
      </w:r>
      <w:r w:rsidRPr="00C5409B">
        <w:t xml:space="preserve">ith </w:t>
      </w:r>
      <w:r>
        <w:t>a</w:t>
      </w:r>
      <w:r w:rsidRPr="00C5409B">
        <w:t xml:space="preserve">n Option </w:t>
      </w:r>
      <w:r>
        <w:t>f</w:t>
      </w:r>
      <w:r w:rsidRPr="00C5409B">
        <w:t xml:space="preserve">or More,” </w:t>
      </w:r>
      <w:r w:rsidRPr="005248F9">
        <w:t>MarketWatch</w:t>
      </w:r>
      <w:r w:rsidRPr="00A7371A">
        <w:t>,</w:t>
      </w:r>
      <w:r w:rsidRPr="00C5409B">
        <w:t xml:space="preserve"> October 12, 2017, accessed November 3, 2018, </w:t>
      </w:r>
      <w:r w:rsidRPr="003F2F59">
        <w:t>www.marketwatch.com/story/helios-matheson-is-increasing-its-stake-in-moviepass-with-an-option-for-more-2017-10-12</w:t>
      </w:r>
      <w:r>
        <w:t>;</w:t>
      </w:r>
      <w:r w:rsidRPr="00C5409B">
        <w:t xml:space="preserve"> Richard Morgan, “MoviePass Owners Weighing Merger Despite Burning </w:t>
      </w:r>
      <w:r>
        <w:t>t</w:t>
      </w:r>
      <w:r w:rsidRPr="00C5409B">
        <w:t xml:space="preserve">hrough Cash,” </w:t>
      </w:r>
      <w:r w:rsidRPr="00C5409B">
        <w:rPr>
          <w:i/>
        </w:rPr>
        <w:t>New York Post</w:t>
      </w:r>
      <w:r w:rsidRPr="00C5409B">
        <w:t xml:space="preserve">, April 22, 2018, accessed November 3, 2018, </w:t>
      </w:r>
      <w:r w:rsidRPr="003F2F59">
        <w:t>https://nypost.com/2018/04/22/moviepass-owners-weighing-merger-despite-burning-through-cash/.</w:t>
      </w:r>
    </w:p>
  </w:endnote>
  <w:endnote w:id="48">
    <w:p w14:paraId="580AA9E6" w14:textId="0E3836EF" w:rsidR="009B660C" w:rsidRPr="00C5409B" w:rsidRDefault="009B660C" w:rsidP="00917F50">
      <w:pPr>
        <w:pStyle w:val="Footnote"/>
      </w:pPr>
      <w:r w:rsidRPr="007424FE">
        <w:rPr>
          <w:vertAlign w:val="superscript"/>
        </w:rPr>
        <w:endnoteRef/>
      </w:r>
      <w:r>
        <w:t xml:space="preserve"> “</w:t>
      </w:r>
      <w:r w:rsidRPr="00EA755D">
        <w:t>Helios and Matheson Analytics Inc. (HMNY)</w:t>
      </w:r>
      <w:r>
        <w:t xml:space="preserve">,” Yahoo! Finance, </w:t>
      </w:r>
      <w:r w:rsidRPr="00C5409B">
        <w:t>accessed December 8, 2018</w:t>
      </w:r>
      <w:r>
        <w:t xml:space="preserve">, </w:t>
      </w:r>
      <w:r w:rsidRPr="003F2F59">
        <w:t>https://finance.yahoo.com/quote/HMNY/history?period1=871012800&amp;period2=1537675200&amp;interval=1d&amp;filter=history&amp;frequency=1d</w:t>
      </w:r>
      <w:r w:rsidRPr="00C5409B">
        <w:t xml:space="preserve">; </w:t>
      </w:r>
      <w:r>
        <w:t xml:space="preserve">HMNY’s stock prices for all dates </w:t>
      </w:r>
      <w:r w:rsidRPr="00C5409B">
        <w:t>have been converted to reflect the July 2018 1:250 reverse stock split</w:t>
      </w:r>
      <w:r>
        <w:t>.</w:t>
      </w:r>
    </w:p>
  </w:endnote>
  <w:endnote w:id="49">
    <w:p w14:paraId="2C24C4EE" w14:textId="33E1922D" w:rsidR="009B660C" w:rsidRPr="00B81934" w:rsidRDefault="009B660C" w:rsidP="00917F50">
      <w:pPr>
        <w:pStyle w:val="Footnote"/>
      </w:pPr>
      <w:r>
        <w:rPr>
          <w:rStyle w:val="EndnoteReference"/>
        </w:rPr>
        <w:endnoteRef/>
      </w:r>
      <w:r>
        <w:t xml:space="preserve"> </w:t>
      </w:r>
      <w:r w:rsidRPr="00B81934">
        <w:t xml:space="preserve">Graham Rapier, “MoviePass Shareholders Approve 2 Measures Meant to Keep the Company </w:t>
      </w:r>
      <w:r>
        <w:t xml:space="preserve">from Being Kicked off Its Stock Exchange,” </w:t>
      </w:r>
      <w:r w:rsidRPr="005248F9">
        <w:t>Markets Insider</w:t>
      </w:r>
      <w:r w:rsidRPr="00030AC2">
        <w:t>,</w:t>
      </w:r>
      <w:r>
        <w:t xml:space="preserve"> July 23, 2018, accessed </w:t>
      </w:r>
      <w:r w:rsidRPr="00B81934">
        <w:t>November</w:t>
      </w:r>
      <w:r>
        <w:t xml:space="preserve"> </w:t>
      </w:r>
      <w:r w:rsidRPr="00B81934">
        <w:t>3,</w:t>
      </w:r>
      <w:r>
        <w:t xml:space="preserve"> </w:t>
      </w:r>
      <w:r w:rsidRPr="00B81934">
        <w:t xml:space="preserve">2018, </w:t>
      </w:r>
      <w:r w:rsidRPr="00B14F7F">
        <w:t>h</w:t>
      </w:r>
      <w:r w:rsidRPr="003F2F59">
        <w:t>ttps://markets.businessinsider.com/news/stocks/moviepass-hmny-stock-price-measures-to-avoid-nasdaq-delisting-2018-7-1027391120</w:t>
      </w:r>
      <w:r>
        <w:t>.</w:t>
      </w:r>
    </w:p>
  </w:endnote>
  <w:endnote w:id="50">
    <w:p w14:paraId="19A3B947" w14:textId="6CC4C0AD" w:rsidR="009B660C" w:rsidRPr="00C5409B" w:rsidRDefault="009B660C" w:rsidP="00917F50">
      <w:pPr>
        <w:pStyle w:val="Footnote"/>
      </w:pPr>
      <w:r w:rsidRPr="00917F50">
        <w:rPr>
          <w:vertAlign w:val="superscript"/>
        </w:rPr>
        <w:endnoteRef/>
      </w:r>
      <w:r w:rsidRPr="00C5409B">
        <w:t xml:space="preserve"> Paul Ausick, “MoviePass Wants </w:t>
      </w:r>
      <w:r>
        <w:t>A</w:t>
      </w:r>
      <w:r w:rsidRPr="00C5409B">
        <w:t xml:space="preserve">nother Reverse Stock Split,” </w:t>
      </w:r>
      <w:r w:rsidRPr="005248F9">
        <w:t>24/7WallStreet</w:t>
      </w:r>
      <w:r w:rsidRPr="00A7371A">
        <w:t>,</w:t>
      </w:r>
      <w:r w:rsidRPr="00C5409B">
        <w:t xml:space="preserve"> September 17, 2018, accessed December 14, 2018, </w:t>
      </w:r>
      <w:hyperlink r:id="rId3" w:history="1">
        <w:r w:rsidRPr="003F2F59">
          <w:t>https://247wallst.com/media/2018/09/17/moviepass-wants-another-reverse-stock-split/</w:t>
        </w:r>
      </w:hyperlink>
      <w:r w:rsidRPr="003F2F59">
        <w:t>.</w:t>
      </w:r>
    </w:p>
  </w:endnote>
  <w:endnote w:id="51">
    <w:p w14:paraId="390791F7" w14:textId="7B3DDED4" w:rsidR="009B660C" w:rsidRPr="003F2F59" w:rsidRDefault="009B660C" w:rsidP="00917F50">
      <w:pPr>
        <w:pStyle w:val="Footnote"/>
      </w:pPr>
      <w:r w:rsidRPr="00917F50">
        <w:rPr>
          <w:vertAlign w:val="superscript"/>
        </w:rPr>
        <w:endnoteRef/>
      </w:r>
      <w:r w:rsidR="00DF25A2">
        <w:t> Helios and </w:t>
      </w:r>
      <w:r w:rsidRPr="000D2189">
        <w:t>Mattheson</w:t>
      </w:r>
      <w:r w:rsidR="00DF25A2">
        <w:t> </w:t>
      </w:r>
      <w:r w:rsidRPr="000D2189">
        <w:t>8K</w:t>
      </w:r>
      <w:r w:rsidR="00DF25A2">
        <w:t> Filing, </w:t>
      </w:r>
      <w:r w:rsidRPr="000D2189">
        <w:t>accessed</w:t>
      </w:r>
      <w:r w:rsidR="00DF25A2">
        <w:t> </w:t>
      </w:r>
      <w:r w:rsidRPr="000D2189">
        <w:t>December</w:t>
      </w:r>
      <w:r w:rsidR="00DF25A2">
        <w:t> </w:t>
      </w:r>
      <w:r w:rsidRPr="000D2189">
        <w:t>4,</w:t>
      </w:r>
      <w:r w:rsidR="00DF25A2">
        <w:t> 2018, </w:t>
      </w:r>
      <w:hyperlink r:id="rId4" w:history="1">
        <w:r w:rsidRPr="000D2189">
          <w:t>http://mysec.hmna.com/MYSEC/documents/html/hmny20180508_8-K.htm</w:t>
        </w:r>
      </w:hyperlink>
      <w:r w:rsidRPr="000D2189">
        <w:t>, May 8, 2018.</w:t>
      </w:r>
      <w:hyperlink r:id="rId5" w:history="1">
        <w:r w:rsidRPr="000D2189">
          <w:t>Helios</w:t>
        </w:r>
      </w:hyperlink>
      <w:r>
        <w:t xml:space="preserve"> </w:t>
      </w:r>
    </w:p>
  </w:endnote>
  <w:endnote w:id="52">
    <w:p w14:paraId="432B02AC" w14:textId="0FFEDD40" w:rsidR="009B660C" w:rsidRPr="007F127D" w:rsidRDefault="009B660C" w:rsidP="007F127D">
      <w:pPr>
        <w:pStyle w:val="Footnote"/>
        <w:rPr>
          <w:rStyle w:val="EndnoteReference"/>
        </w:rPr>
      </w:pPr>
      <w:r w:rsidRPr="003B7999">
        <w:rPr>
          <w:rStyle w:val="EndnoteReference"/>
        </w:rPr>
        <w:endnoteRef/>
      </w:r>
      <w:r w:rsidRPr="007F127D">
        <w:rPr>
          <w:rStyle w:val="EndnoteReference"/>
          <w:vertAlign w:val="baseline"/>
        </w:rPr>
        <w:t xml:space="preserve"> </w:t>
      </w:r>
      <w:r w:rsidRPr="007F127D">
        <w:rPr>
          <w:rStyle w:val="EndnoteReference"/>
          <w:rFonts w:eastAsia="Calibri"/>
          <w:vertAlign w:val="baseline"/>
        </w:rPr>
        <w:t>Helios and Mattheson</w:t>
      </w:r>
      <w:r>
        <w:rPr>
          <w:rFonts w:eastAsia="Calibri"/>
        </w:rPr>
        <w:t xml:space="preserve"> Analytics Inc., “MoviePass Launches New Pricing Plan Built for the Mass Consumer,”</w:t>
      </w:r>
      <w:r w:rsidRPr="007F127D">
        <w:rPr>
          <w:rStyle w:val="EndnoteReference"/>
          <w:rFonts w:eastAsia="Calibri"/>
          <w:vertAlign w:val="baseline"/>
        </w:rPr>
        <w:t xml:space="preserve"> </w:t>
      </w:r>
      <w:r>
        <w:rPr>
          <w:rFonts w:eastAsia="Calibri"/>
        </w:rPr>
        <w:t>p</w:t>
      </w:r>
      <w:r w:rsidRPr="007F127D">
        <w:rPr>
          <w:rStyle w:val="EndnoteReference"/>
          <w:rFonts w:eastAsia="Calibri"/>
          <w:vertAlign w:val="baseline"/>
        </w:rPr>
        <w:t xml:space="preserve">ress </w:t>
      </w:r>
      <w:r>
        <w:rPr>
          <w:rFonts w:eastAsia="Calibri"/>
        </w:rPr>
        <w:t>r</w:t>
      </w:r>
      <w:r w:rsidRPr="007F127D">
        <w:rPr>
          <w:rStyle w:val="EndnoteReference"/>
          <w:rFonts w:eastAsia="Calibri"/>
          <w:vertAlign w:val="baseline"/>
        </w:rPr>
        <w:t xml:space="preserve">elease, </w:t>
      </w:r>
      <w:r>
        <w:rPr>
          <w:rFonts w:eastAsia="Calibri"/>
        </w:rPr>
        <w:t xml:space="preserve">August 6, 2018, </w:t>
      </w:r>
      <w:r w:rsidRPr="007F127D">
        <w:rPr>
          <w:rStyle w:val="EndnoteReference"/>
          <w:rFonts w:eastAsia="Calibri"/>
          <w:vertAlign w:val="baseline"/>
        </w:rPr>
        <w:t>accessed December 14, 2018, www.hmny.com/press-release/2018/8/6/moviepass-launches-new-pricing-plan-built-for-the-mass-consumer</w:t>
      </w:r>
      <w:r w:rsidRPr="007F127D">
        <w:rPr>
          <w:rStyle w:val="EndnoteReference"/>
          <w:vertAlign w:val="baseline"/>
        </w:rPr>
        <w:t>.</w:t>
      </w:r>
    </w:p>
  </w:endnote>
  <w:endnote w:id="53">
    <w:p w14:paraId="284A37F2" w14:textId="5C655989" w:rsidR="009B660C" w:rsidRPr="00654850" w:rsidRDefault="009B660C" w:rsidP="000D2189">
      <w:pPr>
        <w:pStyle w:val="Footnote"/>
        <w:rPr>
          <w:lang w:val="en-US"/>
        </w:rPr>
      </w:pPr>
      <w:r>
        <w:rPr>
          <w:rStyle w:val="EndnoteReference"/>
        </w:rPr>
        <w:endnoteRef/>
      </w:r>
      <w:r>
        <w:t xml:space="preserve"> “HMNY / Helios and Matheson Analytics Inc. Notification of Late Filing,” November 15, 2018, </w:t>
      </w:r>
      <w:r w:rsidRPr="000D2189">
        <w:t>accessed December 4, 2018</w:t>
      </w:r>
      <w:r>
        <w:t xml:space="preserve">, </w:t>
      </w:r>
      <w:r w:rsidRPr="000D2189">
        <w:t>https://fintel.io/doc/sec/1040792/000121390018015874/extf10q0918_heliosandmath.htm.</w:t>
      </w:r>
    </w:p>
  </w:endnote>
  <w:endnote w:id="54">
    <w:p w14:paraId="72777AE8" w14:textId="2E1309C4" w:rsidR="009B660C" w:rsidRPr="00BA768A" w:rsidRDefault="009B660C" w:rsidP="00917F50">
      <w:pPr>
        <w:pStyle w:val="Footnote"/>
      </w:pPr>
      <w:r>
        <w:rPr>
          <w:rStyle w:val="EndnoteReference"/>
        </w:rPr>
        <w:endnoteRef/>
      </w:r>
      <w:r>
        <w:t xml:space="preserve"> </w:t>
      </w:r>
      <w:r w:rsidRPr="00DF25A2">
        <w:rPr>
          <w:spacing w:val="-4"/>
        </w:rPr>
        <w:t xml:space="preserve">Rick Munarriz, “3 Reasons AMC Is Beating MoviePass at Its Own Game,” MSN Money, September 15, 2018, accessed December 14, 2018, </w:t>
      </w:r>
      <w:hyperlink r:id="rId6" w:history="1">
        <w:r w:rsidRPr="00DF25A2">
          <w:rPr>
            <w:spacing w:val="-4"/>
          </w:rPr>
          <w:t>www.msn.com/en-us/finance/topstocks/3-reasons-amc-is-beating-moviepass-at-its-own-game/ar-BBNmBPK</w:t>
        </w:r>
      </w:hyperlink>
      <w:r w:rsidRPr="00DF25A2">
        <w:rPr>
          <w:spacing w:val="-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5F047" w14:textId="77777777" w:rsidR="002002CB" w:rsidRDefault="002002CB" w:rsidP="00D75295">
      <w:r>
        <w:separator/>
      </w:r>
    </w:p>
  </w:footnote>
  <w:footnote w:type="continuationSeparator" w:id="0">
    <w:p w14:paraId="7BCE9ABE" w14:textId="77777777" w:rsidR="002002CB" w:rsidRDefault="002002CB"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06886A8A" w:rsidR="009B660C" w:rsidRPr="00C92CC4" w:rsidRDefault="009B660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F25A2">
      <w:rPr>
        <w:rFonts w:ascii="Arial" w:hAnsi="Arial"/>
        <w:b/>
        <w:noProof/>
      </w:rPr>
      <w:t>12</w:t>
    </w:r>
    <w:r>
      <w:rPr>
        <w:rFonts w:ascii="Arial" w:hAnsi="Arial"/>
        <w:b/>
      </w:rPr>
      <w:fldChar w:fldCharType="end"/>
    </w:r>
    <w:r>
      <w:rPr>
        <w:rFonts w:ascii="Arial" w:hAnsi="Arial"/>
        <w:b/>
      </w:rPr>
      <w:tab/>
    </w:r>
    <w:r w:rsidR="00AE0CCB" w:rsidRPr="00AE0CCB">
      <w:rPr>
        <w:rFonts w:ascii="Arial" w:hAnsi="Arial"/>
        <w:b/>
      </w:rPr>
      <w:t>9B19M108</w:t>
    </w:r>
  </w:p>
  <w:p w14:paraId="2B53C0A0" w14:textId="77777777" w:rsidR="009B660C" w:rsidRDefault="009B660C" w:rsidP="00D13667">
    <w:pPr>
      <w:pStyle w:val="Header"/>
      <w:tabs>
        <w:tab w:val="clear" w:pos="4680"/>
      </w:tabs>
      <w:rPr>
        <w:sz w:val="18"/>
        <w:szCs w:val="18"/>
      </w:rPr>
    </w:pPr>
  </w:p>
  <w:p w14:paraId="47119730" w14:textId="77777777" w:rsidR="009B660C" w:rsidRPr="00C92CC4" w:rsidRDefault="009B660C"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F44F6"/>
    <w:multiLevelType w:val="hybridMultilevel"/>
    <w:tmpl w:val="C74C2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7D1FD5"/>
    <w:multiLevelType w:val="hybridMultilevel"/>
    <w:tmpl w:val="D7E60E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77518E"/>
    <w:multiLevelType w:val="hybridMultilevel"/>
    <w:tmpl w:val="DF3ED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4543D2"/>
    <w:multiLevelType w:val="hybridMultilevel"/>
    <w:tmpl w:val="074423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E55639"/>
    <w:multiLevelType w:val="hybridMultilevel"/>
    <w:tmpl w:val="0790A0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7F95D81"/>
    <w:multiLevelType w:val="hybridMultilevel"/>
    <w:tmpl w:val="D8AE2A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8F476AE"/>
    <w:multiLevelType w:val="hybridMultilevel"/>
    <w:tmpl w:val="764E0C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26771AA"/>
    <w:multiLevelType w:val="hybridMultilevel"/>
    <w:tmpl w:val="A208A8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EC449C7"/>
    <w:multiLevelType w:val="hybridMultilevel"/>
    <w:tmpl w:val="288034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B2BDA"/>
    <w:multiLevelType w:val="hybridMultilevel"/>
    <w:tmpl w:val="A3E29B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86E040A"/>
    <w:multiLevelType w:val="hybridMultilevel"/>
    <w:tmpl w:val="395E23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070716"/>
    <w:multiLevelType w:val="hybridMultilevel"/>
    <w:tmpl w:val="A7167770"/>
    <w:lvl w:ilvl="0" w:tplc="ED043F3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A37C2F"/>
    <w:multiLevelType w:val="hybridMultilevel"/>
    <w:tmpl w:val="B91E26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E041366"/>
    <w:multiLevelType w:val="hybridMultilevel"/>
    <w:tmpl w:val="AAF85D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5720857"/>
    <w:multiLevelType w:val="hybridMultilevel"/>
    <w:tmpl w:val="3830E1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446C6D"/>
    <w:multiLevelType w:val="hybridMultilevel"/>
    <w:tmpl w:val="DDA6A9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87D61E3"/>
    <w:multiLevelType w:val="hybridMultilevel"/>
    <w:tmpl w:val="02F6D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915E40"/>
    <w:multiLevelType w:val="hybridMultilevel"/>
    <w:tmpl w:val="12D85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0DB54D1"/>
    <w:multiLevelType w:val="hybridMultilevel"/>
    <w:tmpl w:val="45F89F9E"/>
    <w:lvl w:ilvl="0" w:tplc="4228669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211AD5"/>
    <w:multiLevelType w:val="hybridMultilevel"/>
    <w:tmpl w:val="086801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F302DF0"/>
    <w:multiLevelType w:val="hybridMultilevel"/>
    <w:tmpl w:val="FE98B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9"/>
  </w:num>
  <w:num w:numId="2">
    <w:abstractNumId w:val="17"/>
  </w:num>
  <w:num w:numId="3">
    <w:abstractNumId w:val="13"/>
  </w:num>
  <w:num w:numId="4">
    <w:abstractNumId w:val="28"/>
  </w:num>
  <w:num w:numId="5">
    <w:abstractNumId w:val="14"/>
  </w:num>
  <w:num w:numId="6">
    <w:abstractNumId w:val="24"/>
  </w:num>
  <w:num w:numId="7">
    <w:abstractNumId w:val="4"/>
  </w:num>
  <w:num w:numId="8">
    <w:abstractNumId w:val="30"/>
  </w:num>
  <w:num w:numId="9">
    <w:abstractNumId w:val="25"/>
  </w:num>
  <w:num w:numId="10">
    <w:abstractNumId w:val="10"/>
  </w:num>
  <w:num w:numId="11">
    <w:abstractNumId w:val="20"/>
  </w:num>
  <w:num w:numId="12">
    <w:abstractNumId w:val="21"/>
  </w:num>
  <w:num w:numId="13">
    <w:abstractNumId w:val="27"/>
  </w:num>
  <w:num w:numId="14">
    <w:abstractNumId w:val="15"/>
  </w:num>
  <w:num w:numId="15">
    <w:abstractNumId w:val="22"/>
  </w:num>
  <w:num w:numId="16">
    <w:abstractNumId w:val="11"/>
  </w:num>
  <w:num w:numId="17">
    <w:abstractNumId w:val="19"/>
  </w:num>
  <w:num w:numId="18">
    <w:abstractNumId w:val="5"/>
  </w:num>
  <w:num w:numId="19">
    <w:abstractNumId w:val="9"/>
  </w:num>
  <w:num w:numId="20">
    <w:abstractNumId w:val="8"/>
  </w:num>
  <w:num w:numId="21">
    <w:abstractNumId w:val="16"/>
  </w:num>
  <w:num w:numId="22">
    <w:abstractNumId w:val="31"/>
  </w:num>
  <w:num w:numId="23">
    <w:abstractNumId w:val="26"/>
  </w:num>
  <w:num w:numId="24">
    <w:abstractNumId w:val="32"/>
  </w:num>
  <w:num w:numId="25">
    <w:abstractNumId w:val="6"/>
  </w:num>
  <w:num w:numId="26">
    <w:abstractNumId w:val="2"/>
  </w:num>
  <w:num w:numId="27">
    <w:abstractNumId w:val="18"/>
  </w:num>
  <w:num w:numId="28">
    <w:abstractNumId w:val="0"/>
  </w:num>
  <w:num w:numId="29">
    <w:abstractNumId w:val="1"/>
  </w:num>
  <w:num w:numId="30">
    <w:abstractNumId w:val="3"/>
  </w:num>
  <w:num w:numId="31">
    <w:abstractNumId w:val="7"/>
  </w:num>
  <w:num w:numId="32">
    <w:abstractNumId w:val="23"/>
  </w:num>
  <w:num w:numId="33">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0AC2"/>
    <w:rsid w:val="00035F09"/>
    <w:rsid w:val="00044ECC"/>
    <w:rsid w:val="00046786"/>
    <w:rsid w:val="00047913"/>
    <w:rsid w:val="000531D3"/>
    <w:rsid w:val="0005646B"/>
    <w:rsid w:val="0005781B"/>
    <w:rsid w:val="000615D1"/>
    <w:rsid w:val="00070559"/>
    <w:rsid w:val="0008102D"/>
    <w:rsid w:val="00086B26"/>
    <w:rsid w:val="00094C0E"/>
    <w:rsid w:val="0009515A"/>
    <w:rsid w:val="000A146D"/>
    <w:rsid w:val="000A19F5"/>
    <w:rsid w:val="000B6E54"/>
    <w:rsid w:val="000D2189"/>
    <w:rsid w:val="000D2A2F"/>
    <w:rsid w:val="000D7091"/>
    <w:rsid w:val="000F0C22"/>
    <w:rsid w:val="000F2092"/>
    <w:rsid w:val="000F4F1C"/>
    <w:rsid w:val="000F6B09"/>
    <w:rsid w:val="000F6FDC"/>
    <w:rsid w:val="00104567"/>
    <w:rsid w:val="00104916"/>
    <w:rsid w:val="00104AA7"/>
    <w:rsid w:val="001059E2"/>
    <w:rsid w:val="00107531"/>
    <w:rsid w:val="0012732D"/>
    <w:rsid w:val="00143F25"/>
    <w:rsid w:val="00152682"/>
    <w:rsid w:val="001538E3"/>
    <w:rsid w:val="00154FC9"/>
    <w:rsid w:val="00156300"/>
    <w:rsid w:val="00165DE6"/>
    <w:rsid w:val="00184FBB"/>
    <w:rsid w:val="0018689B"/>
    <w:rsid w:val="00187B27"/>
    <w:rsid w:val="001901C0"/>
    <w:rsid w:val="0019241A"/>
    <w:rsid w:val="00192A18"/>
    <w:rsid w:val="001A22D1"/>
    <w:rsid w:val="001A752D"/>
    <w:rsid w:val="001A757E"/>
    <w:rsid w:val="001B43E4"/>
    <w:rsid w:val="001B5032"/>
    <w:rsid w:val="001C7777"/>
    <w:rsid w:val="001D344B"/>
    <w:rsid w:val="001D40C8"/>
    <w:rsid w:val="001E364F"/>
    <w:rsid w:val="001E55E9"/>
    <w:rsid w:val="001E68BF"/>
    <w:rsid w:val="001F4222"/>
    <w:rsid w:val="002002CB"/>
    <w:rsid w:val="00203AA1"/>
    <w:rsid w:val="00213E98"/>
    <w:rsid w:val="00216865"/>
    <w:rsid w:val="00230150"/>
    <w:rsid w:val="0023081A"/>
    <w:rsid w:val="00233111"/>
    <w:rsid w:val="00243C59"/>
    <w:rsid w:val="00265FA8"/>
    <w:rsid w:val="002B40FF"/>
    <w:rsid w:val="002B45C6"/>
    <w:rsid w:val="002C4E29"/>
    <w:rsid w:val="002C57C1"/>
    <w:rsid w:val="002D2CA7"/>
    <w:rsid w:val="002E04CD"/>
    <w:rsid w:val="002E5761"/>
    <w:rsid w:val="002F3D3F"/>
    <w:rsid w:val="002F460C"/>
    <w:rsid w:val="002F48D6"/>
    <w:rsid w:val="00316772"/>
    <w:rsid w:val="00317391"/>
    <w:rsid w:val="0032334D"/>
    <w:rsid w:val="00326216"/>
    <w:rsid w:val="00330F00"/>
    <w:rsid w:val="00336580"/>
    <w:rsid w:val="003502DD"/>
    <w:rsid w:val="00350F72"/>
    <w:rsid w:val="00354899"/>
    <w:rsid w:val="00355FD6"/>
    <w:rsid w:val="00356A06"/>
    <w:rsid w:val="00364A5C"/>
    <w:rsid w:val="003730E9"/>
    <w:rsid w:val="00373FB1"/>
    <w:rsid w:val="003848B9"/>
    <w:rsid w:val="00396C76"/>
    <w:rsid w:val="003A55AA"/>
    <w:rsid w:val="003B30D8"/>
    <w:rsid w:val="003B7999"/>
    <w:rsid w:val="003B7EF2"/>
    <w:rsid w:val="003C3FA4"/>
    <w:rsid w:val="003C75BE"/>
    <w:rsid w:val="003D0BA1"/>
    <w:rsid w:val="003F2B0C"/>
    <w:rsid w:val="003F2F59"/>
    <w:rsid w:val="0040395C"/>
    <w:rsid w:val="004105B2"/>
    <w:rsid w:val="0041145A"/>
    <w:rsid w:val="00412900"/>
    <w:rsid w:val="0041733A"/>
    <w:rsid w:val="004221E4"/>
    <w:rsid w:val="004273F8"/>
    <w:rsid w:val="004355A3"/>
    <w:rsid w:val="00446546"/>
    <w:rsid w:val="00452769"/>
    <w:rsid w:val="00452AA9"/>
    <w:rsid w:val="00454445"/>
    <w:rsid w:val="00454FA7"/>
    <w:rsid w:val="004558B2"/>
    <w:rsid w:val="00465348"/>
    <w:rsid w:val="00495C7A"/>
    <w:rsid w:val="004979A5"/>
    <w:rsid w:val="004A25E0"/>
    <w:rsid w:val="004A3E45"/>
    <w:rsid w:val="004A57F3"/>
    <w:rsid w:val="004B1CCB"/>
    <w:rsid w:val="004B632F"/>
    <w:rsid w:val="004C3F10"/>
    <w:rsid w:val="004C4103"/>
    <w:rsid w:val="004D3FB1"/>
    <w:rsid w:val="004D6F21"/>
    <w:rsid w:val="004D73A5"/>
    <w:rsid w:val="004F30E5"/>
    <w:rsid w:val="004F49F9"/>
    <w:rsid w:val="004F59F3"/>
    <w:rsid w:val="0050090A"/>
    <w:rsid w:val="00503105"/>
    <w:rsid w:val="00504D42"/>
    <w:rsid w:val="005160F1"/>
    <w:rsid w:val="005248F9"/>
    <w:rsid w:val="00524F2F"/>
    <w:rsid w:val="00527E5C"/>
    <w:rsid w:val="00532CF5"/>
    <w:rsid w:val="00537B1A"/>
    <w:rsid w:val="005528CB"/>
    <w:rsid w:val="00566771"/>
    <w:rsid w:val="00572208"/>
    <w:rsid w:val="00581E2E"/>
    <w:rsid w:val="00584F15"/>
    <w:rsid w:val="005946E7"/>
    <w:rsid w:val="0059514B"/>
    <w:rsid w:val="005A1B0F"/>
    <w:rsid w:val="005B4CE6"/>
    <w:rsid w:val="005B5EFE"/>
    <w:rsid w:val="005C0A2B"/>
    <w:rsid w:val="005E115D"/>
    <w:rsid w:val="005F417F"/>
    <w:rsid w:val="006015CA"/>
    <w:rsid w:val="00611B73"/>
    <w:rsid w:val="006121DE"/>
    <w:rsid w:val="006163F7"/>
    <w:rsid w:val="00616DC0"/>
    <w:rsid w:val="00617B39"/>
    <w:rsid w:val="00627C63"/>
    <w:rsid w:val="0063350B"/>
    <w:rsid w:val="00642A5D"/>
    <w:rsid w:val="00651CD1"/>
    <w:rsid w:val="00652606"/>
    <w:rsid w:val="00654850"/>
    <w:rsid w:val="006645AA"/>
    <w:rsid w:val="00691E3A"/>
    <w:rsid w:val="00692668"/>
    <w:rsid w:val="006946EE"/>
    <w:rsid w:val="0069720D"/>
    <w:rsid w:val="006A58A9"/>
    <w:rsid w:val="006A606D"/>
    <w:rsid w:val="006C0371"/>
    <w:rsid w:val="006C08B6"/>
    <w:rsid w:val="006C0B1A"/>
    <w:rsid w:val="006C3743"/>
    <w:rsid w:val="006C6065"/>
    <w:rsid w:val="006C7A5A"/>
    <w:rsid w:val="006C7F9F"/>
    <w:rsid w:val="006D205E"/>
    <w:rsid w:val="006E2F6D"/>
    <w:rsid w:val="006E58F6"/>
    <w:rsid w:val="006E6D3C"/>
    <w:rsid w:val="006E77E1"/>
    <w:rsid w:val="006F131D"/>
    <w:rsid w:val="006F395F"/>
    <w:rsid w:val="0070183D"/>
    <w:rsid w:val="00711642"/>
    <w:rsid w:val="00717346"/>
    <w:rsid w:val="00740AEB"/>
    <w:rsid w:val="007424FE"/>
    <w:rsid w:val="007507C6"/>
    <w:rsid w:val="00751E0B"/>
    <w:rsid w:val="00752BCD"/>
    <w:rsid w:val="00766DA1"/>
    <w:rsid w:val="0077443A"/>
    <w:rsid w:val="00780D94"/>
    <w:rsid w:val="00783966"/>
    <w:rsid w:val="00783B24"/>
    <w:rsid w:val="007866A6"/>
    <w:rsid w:val="007A130D"/>
    <w:rsid w:val="007B17C0"/>
    <w:rsid w:val="007D1A2D"/>
    <w:rsid w:val="007D32E6"/>
    <w:rsid w:val="007D3F45"/>
    <w:rsid w:val="007D4102"/>
    <w:rsid w:val="007E54A7"/>
    <w:rsid w:val="007F127D"/>
    <w:rsid w:val="007F43B7"/>
    <w:rsid w:val="00802836"/>
    <w:rsid w:val="00811903"/>
    <w:rsid w:val="008119F2"/>
    <w:rsid w:val="00814AE1"/>
    <w:rsid w:val="00821FFC"/>
    <w:rsid w:val="00822E2E"/>
    <w:rsid w:val="008271CA"/>
    <w:rsid w:val="008339E9"/>
    <w:rsid w:val="008467D5"/>
    <w:rsid w:val="008470E0"/>
    <w:rsid w:val="00857595"/>
    <w:rsid w:val="008703B3"/>
    <w:rsid w:val="00876A64"/>
    <w:rsid w:val="00880C5D"/>
    <w:rsid w:val="0089065E"/>
    <w:rsid w:val="008912AE"/>
    <w:rsid w:val="008A2A26"/>
    <w:rsid w:val="008A4DC4"/>
    <w:rsid w:val="008B438C"/>
    <w:rsid w:val="008C3CAD"/>
    <w:rsid w:val="008D06CA"/>
    <w:rsid w:val="008D3A46"/>
    <w:rsid w:val="008E3647"/>
    <w:rsid w:val="008F0254"/>
    <w:rsid w:val="008F2385"/>
    <w:rsid w:val="009067A4"/>
    <w:rsid w:val="00917F50"/>
    <w:rsid w:val="00930885"/>
    <w:rsid w:val="00933D68"/>
    <w:rsid w:val="009340DB"/>
    <w:rsid w:val="0094618C"/>
    <w:rsid w:val="0095684B"/>
    <w:rsid w:val="0097158D"/>
    <w:rsid w:val="00972498"/>
    <w:rsid w:val="0097481F"/>
    <w:rsid w:val="00974CC6"/>
    <w:rsid w:val="00976AD4"/>
    <w:rsid w:val="00995547"/>
    <w:rsid w:val="009A312F"/>
    <w:rsid w:val="009A4F92"/>
    <w:rsid w:val="009A5348"/>
    <w:rsid w:val="009B0AB7"/>
    <w:rsid w:val="009B660C"/>
    <w:rsid w:val="009C5B77"/>
    <w:rsid w:val="009C76D5"/>
    <w:rsid w:val="009E1777"/>
    <w:rsid w:val="009E721D"/>
    <w:rsid w:val="009F233E"/>
    <w:rsid w:val="009F7AA4"/>
    <w:rsid w:val="00A10AD7"/>
    <w:rsid w:val="00A323B0"/>
    <w:rsid w:val="00A43C33"/>
    <w:rsid w:val="00A559DB"/>
    <w:rsid w:val="00A569EA"/>
    <w:rsid w:val="00A676A0"/>
    <w:rsid w:val="00A70A66"/>
    <w:rsid w:val="00A7371A"/>
    <w:rsid w:val="00A756E2"/>
    <w:rsid w:val="00A957C4"/>
    <w:rsid w:val="00AA77A8"/>
    <w:rsid w:val="00AC0BEB"/>
    <w:rsid w:val="00AD2A06"/>
    <w:rsid w:val="00AD4F47"/>
    <w:rsid w:val="00AE0CCB"/>
    <w:rsid w:val="00AF35FC"/>
    <w:rsid w:val="00AF5556"/>
    <w:rsid w:val="00B018A5"/>
    <w:rsid w:val="00B03639"/>
    <w:rsid w:val="00B0652A"/>
    <w:rsid w:val="00B07738"/>
    <w:rsid w:val="00B120E8"/>
    <w:rsid w:val="00B14F7F"/>
    <w:rsid w:val="00B1797B"/>
    <w:rsid w:val="00B40937"/>
    <w:rsid w:val="00B423EF"/>
    <w:rsid w:val="00B453DE"/>
    <w:rsid w:val="00B45533"/>
    <w:rsid w:val="00B62497"/>
    <w:rsid w:val="00B64B10"/>
    <w:rsid w:val="00B66BD1"/>
    <w:rsid w:val="00B72597"/>
    <w:rsid w:val="00B747BD"/>
    <w:rsid w:val="00B80FAC"/>
    <w:rsid w:val="00B87DC0"/>
    <w:rsid w:val="00B901F9"/>
    <w:rsid w:val="00B91480"/>
    <w:rsid w:val="00BB3340"/>
    <w:rsid w:val="00BC4D98"/>
    <w:rsid w:val="00BD2702"/>
    <w:rsid w:val="00BD6EFB"/>
    <w:rsid w:val="00BE1EC2"/>
    <w:rsid w:val="00BE26CC"/>
    <w:rsid w:val="00BE3DF5"/>
    <w:rsid w:val="00BF5EAB"/>
    <w:rsid w:val="00C01740"/>
    <w:rsid w:val="00C02410"/>
    <w:rsid w:val="00C1584D"/>
    <w:rsid w:val="00C15BE2"/>
    <w:rsid w:val="00C341E7"/>
    <w:rsid w:val="00C3447F"/>
    <w:rsid w:val="00C44714"/>
    <w:rsid w:val="00C56274"/>
    <w:rsid w:val="00C63E85"/>
    <w:rsid w:val="00C67102"/>
    <w:rsid w:val="00C72A66"/>
    <w:rsid w:val="00C74434"/>
    <w:rsid w:val="00C81491"/>
    <w:rsid w:val="00C81676"/>
    <w:rsid w:val="00C85C5D"/>
    <w:rsid w:val="00C92CC4"/>
    <w:rsid w:val="00C9589D"/>
    <w:rsid w:val="00CA0AFB"/>
    <w:rsid w:val="00CA2CE1"/>
    <w:rsid w:val="00CA3976"/>
    <w:rsid w:val="00CA50E3"/>
    <w:rsid w:val="00CA757B"/>
    <w:rsid w:val="00CB32AF"/>
    <w:rsid w:val="00CB4325"/>
    <w:rsid w:val="00CC1787"/>
    <w:rsid w:val="00CC182C"/>
    <w:rsid w:val="00CC619C"/>
    <w:rsid w:val="00CD0824"/>
    <w:rsid w:val="00CD206F"/>
    <w:rsid w:val="00CD2908"/>
    <w:rsid w:val="00CF5441"/>
    <w:rsid w:val="00D03A82"/>
    <w:rsid w:val="00D13667"/>
    <w:rsid w:val="00D13DE1"/>
    <w:rsid w:val="00D15344"/>
    <w:rsid w:val="00D23F57"/>
    <w:rsid w:val="00D31BEC"/>
    <w:rsid w:val="00D3639D"/>
    <w:rsid w:val="00D4492B"/>
    <w:rsid w:val="00D63150"/>
    <w:rsid w:val="00D636BA"/>
    <w:rsid w:val="00D64A32"/>
    <w:rsid w:val="00D64EFC"/>
    <w:rsid w:val="00D6631F"/>
    <w:rsid w:val="00D72A07"/>
    <w:rsid w:val="00D73E7A"/>
    <w:rsid w:val="00D75295"/>
    <w:rsid w:val="00D76CE9"/>
    <w:rsid w:val="00D97714"/>
    <w:rsid w:val="00D97F12"/>
    <w:rsid w:val="00DA6095"/>
    <w:rsid w:val="00DB42E7"/>
    <w:rsid w:val="00DC09D8"/>
    <w:rsid w:val="00DC4470"/>
    <w:rsid w:val="00DE01A6"/>
    <w:rsid w:val="00DE35A7"/>
    <w:rsid w:val="00DE7A98"/>
    <w:rsid w:val="00DF25A2"/>
    <w:rsid w:val="00DF32C2"/>
    <w:rsid w:val="00E04525"/>
    <w:rsid w:val="00E14718"/>
    <w:rsid w:val="00E23FC0"/>
    <w:rsid w:val="00E36F02"/>
    <w:rsid w:val="00E43B11"/>
    <w:rsid w:val="00E471A7"/>
    <w:rsid w:val="00E619BB"/>
    <w:rsid w:val="00E635CF"/>
    <w:rsid w:val="00E8306E"/>
    <w:rsid w:val="00E94EC0"/>
    <w:rsid w:val="00EA17A9"/>
    <w:rsid w:val="00EA755D"/>
    <w:rsid w:val="00EB1E3B"/>
    <w:rsid w:val="00EB6503"/>
    <w:rsid w:val="00EC12AE"/>
    <w:rsid w:val="00EC6E0A"/>
    <w:rsid w:val="00ED4E18"/>
    <w:rsid w:val="00ED7922"/>
    <w:rsid w:val="00EE02C4"/>
    <w:rsid w:val="00EE1F37"/>
    <w:rsid w:val="00F0159C"/>
    <w:rsid w:val="00F06480"/>
    <w:rsid w:val="00F105B7"/>
    <w:rsid w:val="00F13220"/>
    <w:rsid w:val="00F17A21"/>
    <w:rsid w:val="00F36FC2"/>
    <w:rsid w:val="00F37B27"/>
    <w:rsid w:val="00F37EC6"/>
    <w:rsid w:val="00F4430F"/>
    <w:rsid w:val="00F46556"/>
    <w:rsid w:val="00F50E91"/>
    <w:rsid w:val="00F51F06"/>
    <w:rsid w:val="00F52139"/>
    <w:rsid w:val="00F56799"/>
    <w:rsid w:val="00F57791"/>
    <w:rsid w:val="00F57D29"/>
    <w:rsid w:val="00F60786"/>
    <w:rsid w:val="00F81F53"/>
    <w:rsid w:val="00F857A7"/>
    <w:rsid w:val="00F874DC"/>
    <w:rsid w:val="00F91BC7"/>
    <w:rsid w:val="00F96201"/>
    <w:rsid w:val="00FA1BBC"/>
    <w:rsid w:val="00FB66FB"/>
    <w:rsid w:val="00FD0B18"/>
    <w:rsid w:val="00FD2FAD"/>
    <w:rsid w:val="00FD39F7"/>
    <w:rsid w:val="00FD6615"/>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2685712A-D9B9-4E62-96B7-E038BA03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CA"/>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story-body-text">
    <w:name w:val="story-body-text"/>
    <w:basedOn w:val="Normal"/>
    <w:rsid w:val="00107531"/>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sid w:val="007B1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biz-info.ivey.ca\iveypubs\shared\CASES\A-CasesPending\MoviePass%20Disruption%20through%20Subscription\cinemark.com\movieclub"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www.sinemia.com/new-pla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247wallst.com/media/2018/09/17/moviepass-wants-another-reverse-stock-split/" TargetMode="External"/><Relationship Id="rId2" Type="http://schemas.openxmlformats.org/officeDocument/2006/relationships/hyperlink" Target="http://www.nytimes.com/2014/12/16/business/from-amc-and-moviepass-a-film-a-day-for-a-monthly-fee.html" TargetMode="External"/><Relationship Id="rId1" Type="http://schemas.openxmlformats.org/officeDocument/2006/relationships/hyperlink" Target="file:///\\biz-info.ivey.ca\iveypubs\shared\CASES\A-CasesPending\MoviePass%20Disruption%20through%20Subscription\cinemark.com\movieclub" TargetMode="External"/><Relationship Id="rId6" Type="http://schemas.openxmlformats.org/officeDocument/2006/relationships/hyperlink" Target="http://www.msn.com/en-us/finance/topstocks/3-reasons-amc-is-beating-moviepass-at-its-own-game/ar-BBNmBPK" TargetMode="External"/><Relationship Id="rId5" Type="http://schemas.openxmlformats.org/officeDocument/2006/relationships/hyperlink" Target="file:///\\biz-info.ivey.ca\iveypubs\shared\CASES\A-CasesPending\MoviePass%20Disruption%20through%20Subscription\Helios" TargetMode="External"/><Relationship Id="rId4" Type="http://schemas.openxmlformats.org/officeDocument/2006/relationships/hyperlink" Target="http://mysec.hmna.com/MYSEC/documents/html/hmny20180508_8-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A7718EB-8B33-4D79-A5D4-80EF7E668D31}">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84C6093-80D1-407E-A311-FD0AD024CEA5}">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386E5-D3FB-467A-BCC5-22F75D833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4404</Words>
  <Characters>25109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Harnett, Kira</cp:lastModifiedBy>
  <cp:revision>4</cp:revision>
  <cp:lastPrinted>2019-09-13T15:39:00Z</cp:lastPrinted>
  <dcterms:created xsi:type="dcterms:W3CDTF">2019-09-13T15:26:00Z</dcterms:created>
  <dcterms:modified xsi:type="dcterms:W3CDTF">2019-09-13T15:41:00Z</dcterms:modified>
</cp:coreProperties>
</file>