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62561" w14:textId="77336469" w:rsidR="00446E27" w:rsidRPr="00722C19" w:rsidRDefault="00E3326A"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09A00CC1" wp14:editId="5C15FE4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183FBCF" w:rsidR="00C02410" w:rsidRPr="00722C19" w:rsidRDefault="00FB1AAB" w:rsidP="00C02410">
      <w:pPr>
        <w:pStyle w:val="ProductNumber"/>
        <w:rPr>
          <w:lang w:val="en-GB"/>
        </w:rPr>
      </w:pPr>
      <w:r>
        <w:rPr>
          <w:lang w:val="en-GB"/>
        </w:rPr>
        <w:t>9B19M114</w:t>
      </w:r>
    </w:p>
    <w:p w14:paraId="4E057522" w14:textId="7A113CB1" w:rsidR="00D75295" w:rsidRPr="00722C19" w:rsidRDefault="00D75295" w:rsidP="00D75295">
      <w:pPr>
        <w:jc w:val="right"/>
        <w:rPr>
          <w:rFonts w:ascii="Arial" w:hAnsi="Arial"/>
          <w:b/>
          <w:lang w:val="en-GB"/>
        </w:rPr>
      </w:pPr>
    </w:p>
    <w:p w14:paraId="02524312" w14:textId="77777777" w:rsidR="001901C0" w:rsidRPr="00722C19" w:rsidRDefault="001901C0" w:rsidP="00D75295">
      <w:pPr>
        <w:jc w:val="right"/>
        <w:rPr>
          <w:rFonts w:ascii="Arial" w:hAnsi="Arial"/>
          <w:b/>
          <w:lang w:val="en-GB"/>
        </w:rPr>
      </w:pPr>
    </w:p>
    <w:p w14:paraId="2F03D26A" w14:textId="612E07EF" w:rsidR="00013360" w:rsidRPr="00722C19" w:rsidRDefault="00446E27" w:rsidP="00013360">
      <w:pPr>
        <w:pStyle w:val="CaseTitle"/>
        <w:spacing w:after="0" w:line="240" w:lineRule="auto"/>
        <w:rPr>
          <w:sz w:val="20"/>
          <w:szCs w:val="20"/>
          <w:lang w:val="en-GB"/>
        </w:rPr>
      </w:pPr>
      <w:r w:rsidRPr="005E321A">
        <w:rPr>
          <w:lang w:val="en-GB"/>
        </w:rPr>
        <w:t>DISNEY: Delivering More Content in More Ways</w:t>
      </w:r>
      <w:r w:rsidR="00CF7C46">
        <w:rPr>
          <w:rStyle w:val="EndnoteReference"/>
          <w:lang w:val="en-GB"/>
        </w:rPr>
        <w:endnoteReference w:id="1"/>
      </w:r>
    </w:p>
    <w:p w14:paraId="40ABF6FD" w14:textId="77777777" w:rsidR="00CA3976" w:rsidRPr="00722C19" w:rsidRDefault="00CA3976" w:rsidP="00013360">
      <w:pPr>
        <w:pStyle w:val="CaseTitle"/>
        <w:spacing w:after="0" w:line="240" w:lineRule="auto"/>
        <w:rPr>
          <w:sz w:val="20"/>
          <w:szCs w:val="20"/>
          <w:lang w:val="en-GB"/>
        </w:rPr>
      </w:pPr>
    </w:p>
    <w:p w14:paraId="202F1085" w14:textId="77777777" w:rsidR="00013360" w:rsidRPr="00722C19" w:rsidRDefault="00013360" w:rsidP="00013360">
      <w:pPr>
        <w:pStyle w:val="CaseTitle"/>
        <w:spacing w:after="0" w:line="240" w:lineRule="auto"/>
        <w:rPr>
          <w:sz w:val="20"/>
          <w:szCs w:val="20"/>
          <w:lang w:val="en-GB"/>
        </w:rPr>
      </w:pPr>
    </w:p>
    <w:p w14:paraId="58B0C73F" w14:textId="7B863E64" w:rsidR="00086B26" w:rsidRPr="005E321A" w:rsidRDefault="00F46653" w:rsidP="00086B26">
      <w:pPr>
        <w:pStyle w:val="StyleCopyrightStatementAfter0ptBottomSinglesolidline1"/>
        <w:rPr>
          <w:lang w:val="en-GB"/>
        </w:rPr>
      </w:pPr>
      <w:r w:rsidRPr="00722C19">
        <w:rPr>
          <w:lang w:val="en-GB"/>
        </w:rPr>
        <w:t>Mary Kelly</w:t>
      </w:r>
      <w:r w:rsidR="00BE6588" w:rsidRPr="00722C19">
        <w:rPr>
          <w:lang w:val="en-GB"/>
        </w:rPr>
        <w:t xml:space="preserve"> and</w:t>
      </w:r>
      <w:r w:rsidRPr="00722C19">
        <w:rPr>
          <w:lang w:val="en-GB"/>
        </w:rPr>
        <w:t xml:space="preserve"> </w:t>
      </w:r>
      <w:r w:rsidR="00BE6588" w:rsidRPr="00722C19">
        <w:rPr>
          <w:lang w:val="en-GB"/>
        </w:rPr>
        <w:t xml:space="preserve">Madeline Kelly </w:t>
      </w:r>
      <w:r w:rsidR="00086B26" w:rsidRPr="005E321A">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5E321A" w:rsidRDefault="00086B26" w:rsidP="00086B26">
      <w:pPr>
        <w:pStyle w:val="StyleCopyrightStatementAfter0ptBottomSinglesolidline1"/>
        <w:rPr>
          <w:lang w:val="en-GB"/>
        </w:rPr>
      </w:pPr>
    </w:p>
    <w:p w14:paraId="4EFA771B" w14:textId="474AF744" w:rsidR="00F46653" w:rsidRDefault="00E3326A"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E3326A">
        <w:rPr>
          <w:rFonts w:cs="Arial"/>
          <w:szCs w:val="16"/>
        </w:rPr>
        <w:t>publishcases@ivey.ca</w:t>
      </w:r>
      <w:r>
        <w:rPr>
          <w:rFonts w:cs="Arial"/>
          <w:szCs w:val="16"/>
        </w:rPr>
        <w:t>.</w:t>
      </w:r>
    </w:p>
    <w:p w14:paraId="4E494F2A" w14:textId="77777777" w:rsidR="00E3326A" w:rsidRPr="00722C19" w:rsidRDefault="00E3326A" w:rsidP="00A323B0">
      <w:pPr>
        <w:pStyle w:val="StyleStyleCopyrightStatementAfter0ptBottomSinglesolid"/>
        <w:rPr>
          <w:rFonts w:cs="Arial"/>
          <w:szCs w:val="16"/>
          <w:lang w:val="en-GB"/>
        </w:rPr>
      </w:pPr>
    </w:p>
    <w:p w14:paraId="3922E14F" w14:textId="375913B0" w:rsidR="00751E0B" w:rsidRPr="00722C19" w:rsidRDefault="00E3326A"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722C19">
        <w:rPr>
          <w:rFonts w:cs="Arial"/>
          <w:iCs w:val="0"/>
          <w:color w:val="auto"/>
          <w:szCs w:val="16"/>
          <w:lang w:val="en-GB"/>
        </w:rPr>
        <w:tab/>
        <w:t xml:space="preserve">Version: </w:t>
      </w:r>
      <w:r w:rsidR="00F46653" w:rsidRPr="00722C19">
        <w:rPr>
          <w:rFonts w:cs="Arial"/>
          <w:iCs w:val="0"/>
          <w:color w:val="auto"/>
          <w:szCs w:val="16"/>
          <w:lang w:val="en-GB"/>
        </w:rPr>
        <w:t>2019-</w:t>
      </w:r>
      <w:r w:rsidR="00A12456">
        <w:rPr>
          <w:rFonts w:cs="Arial"/>
          <w:iCs w:val="0"/>
          <w:color w:val="auto"/>
          <w:szCs w:val="16"/>
          <w:lang w:val="en-GB"/>
        </w:rPr>
        <w:t>09-23</w:t>
      </w:r>
    </w:p>
    <w:p w14:paraId="0A2A54E4" w14:textId="77777777" w:rsidR="00751E0B" w:rsidRPr="00722C19" w:rsidRDefault="00751E0B" w:rsidP="00751E0B">
      <w:pPr>
        <w:pStyle w:val="StyleCopyrightStatementAfter0ptBottomSinglesolidline1"/>
        <w:rPr>
          <w:rFonts w:ascii="Times New Roman" w:hAnsi="Times New Roman"/>
          <w:sz w:val="20"/>
          <w:lang w:val="en-GB"/>
        </w:rPr>
      </w:pPr>
    </w:p>
    <w:p w14:paraId="2C183161" w14:textId="0D5CBF2A" w:rsidR="00B87DC0" w:rsidRPr="00722C19" w:rsidRDefault="00B87DC0" w:rsidP="00631FD5">
      <w:pPr>
        <w:pStyle w:val="BodyTextMain"/>
        <w:rPr>
          <w:i/>
          <w:sz w:val="20"/>
          <w:lang w:val="en-GB"/>
        </w:rPr>
      </w:pPr>
    </w:p>
    <w:p w14:paraId="3FD4BEA2" w14:textId="5FAC5F58" w:rsidR="00857719" w:rsidRPr="00722C19" w:rsidRDefault="00BC4BA1" w:rsidP="00BC4BA1">
      <w:pPr>
        <w:pStyle w:val="BodyTextMain"/>
        <w:rPr>
          <w:lang w:val="en-GB"/>
        </w:rPr>
      </w:pPr>
      <w:r w:rsidRPr="00722C19">
        <w:rPr>
          <w:lang w:val="en-GB"/>
        </w:rPr>
        <w:t>On July 1</w:t>
      </w:r>
      <w:r w:rsidR="000F3453" w:rsidRPr="00722C19">
        <w:rPr>
          <w:lang w:val="en-GB"/>
        </w:rPr>
        <w:t>3</w:t>
      </w:r>
      <w:r w:rsidRPr="00722C19">
        <w:rPr>
          <w:lang w:val="en-GB"/>
        </w:rPr>
        <w:t>, 201</w:t>
      </w:r>
      <w:r w:rsidR="000F3453" w:rsidRPr="00722C19">
        <w:rPr>
          <w:lang w:val="en-GB"/>
        </w:rPr>
        <w:t>7</w:t>
      </w:r>
      <w:r w:rsidRPr="00722C19">
        <w:rPr>
          <w:lang w:val="en-GB"/>
        </w:rPr>
        <w:t>, the Television Academy announced the nominees for the 6</w:t>
      </w:r>
      <w:r w:rsidR="000F3453" w:rsidRPr="00722C19">
        <w:rPr>
          <w:lang w:val="en-GB"/>
        </w:rPr>
        <w:t>9</w:t>
      </w:r>
      <w:r w:rsidRPr="00722C19">
        <w:rPr>
          <w:lang w:val="en-GB"/>
        </w:rPr>
        <w:t xml:space="preserve">th </w:t>
      </w:r>
      <w:proofErr w:type="spellStart"/>
      <w:r w:rsidRPr="00722C19">
        <w:rPr>
          <w:lang w:val="en-GB"/>
        </w:rPr>
        <w:t>Emmy</w:t>
      </w:r>
      <w:proofErr w:type="spellEnd"/>
      <w:r w:rsidRPr="00722C19">
        <w:rPr>
          <w:lang w:val="en-GB"/>
        </w:rPr>
        <w:t xml:space="preserve"> Awards. Among </w:t>
      </w:r>
      <w:proofErr w:type="gramStart"/>
      <w:r w:rsidRPr="00722C19">
        <w:rPr>
          <w:lang w:val="en-GB"/>
        </w:rPr>
        <w:t>the</w:t>
      </w:r>
      <w:proofErr w:type="gramEnd"/>
      <w:r w:rsidRPr="00722C19">
        <w:rPr>
          <w:lang w:val="en-GB"/>
        </w:rPr>
        <w:t xml:space="preserve"> contenders for Outstanding Comedy Series were two series by Netflix</w:t>
      </w:r>
      <w:r w:rsidR="008224C6">
        <w:rPr>
          <w:lang w:val="en-GB"/>
        </w:rPr>
        <w:t>,</w:t>
      </w:r>
      <w:r w:rsidRPr="00722C19">
        <w:rPr>
          <w:lang w:val="en-GB"/>
        </w:rPr>
        <w:t xml:space="preserve"> </w:t>
      </w:r>
      <w:r w:rsidRPr="00722C19">
        <w:rPr>
          <w:i/>
          <w:lang w:val="en-GB"/>
        </w:rPr>
        <w:t>Master of None</w:t>
      </w:r>
      <w:r w:rsidRPr="00722C19">
        <w:rPr>
          <w:lang w:val="en-GB"/>
        </w:rPr>
        <w:t xml:space="preserve"> </w:t>
      </w:r>
      <w:r w:rsidR="008224C6">
        <w:rPr>
          <w:lang w:val="en-GB"/>
        </w:rPr>
        <w:t xml:space="preserve">and </w:t>
      </w:r>
      <w:r w:rsidRPr="00722C19">
        <w:rPr>
          <w:i/>
          <w:lang w:val="en-GB"/>
        </w:rPr>
        <w:t>Unbreakable Kimmy Schmidt</w:t>
      </w:r>
      <w:r w:rsidRPr="00722C19">
        <w:rPr>
          <w:lang w:val="en-GB"/>
        </w:rPr>
        <w:t>. They were competing for the hono</w:t>
      </w:r>
      <w:r w:rsidR="008224C6">
        <w:rPr>
          <w:lang w:val="en-GB"/>
        </w:rPr>
        <w:t>u</w:t>
      </w:r>
      <w:r w:rsidRPr="00722C19">
        <w:rPr>
          <w:lang w:val="en-GB"/>
        </w:rPr>
        <w:t xml:space="preserve">r against </w:t>
      </w:r>
      <w:r w:rsidR="00787250">
        <w:rPr>
          <w:lang w:val="en-GB"/>
        </w:rPr>
        <w:t xml:space="preserve">four series by two </w:t>
      </w:r>
      <w:r w:rsidRPr="00722C19">
        <w:rPr>
          <w:lang w:val="en-GB"/>
        </w:rPr>
        <w:t>long</w:t>
      </w:r>
      <w:r w:rsidR="008224C6">
        <w:rPr>
          <w:lang w:val="en-GB"/>
        </w:rPr>
        <w:t>-</w:t>
      </w:r>
      <w:r w:rsidRPr="00722C19">
        <w:rPr>
          <w:lang w:val="en-GB"/>
        </w:rPr>
        <w:t xml:space="preserve">time </w:t>
      </w:r>
      <w:proofErr w:type="spellStart"/>
      <w:r w:rsidRPr="00722C19">
        <w:rPr>
          <w:lang w:val="en-GB"/>
        </w:rPr>
        <w:t>Emmy</w:t>
      </w:r>
      <w:proofErr w:type="spellEnd"/>
      <w:r w:rsidRPr="00722C19">
        <w:rPr>
          <w:lang w:val="en-GB"/>
        </w:rPr>
        <w:t xml:space="preserve"> powerhouses</w:t>
      </w:r>
      <w:r w:rsidR="00787250">
        <w:rPr>
          <w:lang w:val="en-GB"/>
        </w:rPr>
        <w:t>:</w:t>
      </w:r>
      <w:r w:rsidRPr="00722C19">
        <w:rPr>
          <w:lang w:val="en-GB"/>
        </w:rPr>
        <w:t xml:space="preserve"> </w:t>
      </w:r>
      <w:r w:rsidRPr="008224C6">
        <w:rPr>
          <w:i/>
        </w:rPr>
        <w:t>b</w:t>
      </w:r>
      <w:r w:rsidRPr="00722C19">
        <w:rPr>
          <w:i/>
          <w:lang w:val="en-GB"/>
        </w:rPr>
        <w:t>lack-</w:t>
      </w:r>
      <w:proofErr w:type="spellStart"/>
      <w:r w:rsidRPr="00722C19">
        <w:rPr>
          <w:i/>
          <w:lang w:val="en-GB"/>
        </w:rPr>
        <w:t>ish</w:t>
      </w:r>
      <w:proofErr w:type="spellEnd"/>
      <w:r w:rsidRPr="00722C19">
        <w:rPr>
          <w:lang w:val="en-GB"/>
        </w:rPr>
        <w:t xml:space="preserve"> </w:t>
      </w:r>
      <w:r w:rsidR="008224C6">
        <w:rPr>
          <w:lang w:val="en-GB"/>
        </w:rPr>
        <w:t xml:space="preserve">and </w:t>
      </w:r>
      <w:r w:rsidRPr="00722C19">
        <w:rPr>
          <w:i/>
          <w:lang w:val="en-GB"/>
        </w:rPr>
        <w:t>Modern Family</w:t>
      </w:r>
      <w:r w:rsidR="00787250">
        <w:rPr>
          <w:lang w:val="en-GB"/>
        </w:rPr>
        <w:t xml:space="preserve"> by The Walt Disney Company’s (</w:t>
      </w:r>
      <w:r w:rsidR="00BF7133">
        <w:rPr>
          <w:lang w:val="en-GB"/>
        </w:rPr>
        <w:t>Disney</w:t>
      </w:r>
      <w:r w:rsidR="00787250">
        <w:rPr>
          <w:lang w:val="en-GB"/>
        </w:rPr>
        <w:t>)</w:t>
      </w:r>
      <w:r w:rsidR="00787250" w:rsidRPr="00A41425">
        <w:rPr>
          <w:lang w:val="en-GB"/>
        </w:rPr>
        <w:t xml:space="preserve"> ABC</w:t>
      </w:r>
      <w:r w:rsidRPr="00722C19">
        <w:rPr>
          <w:lang w:val="en-GB"/>
        </w:rPr>
        <w:t xml:space="preserve"> and </w:t>
      </w:r>
      <w:r w:rsidRPr="00722C19">
        <w:rPr>
          <w:i/>
          <w:lang w:val="en-GB"/>
        </w:rPr>
        <w:t xml:space="preserve">Silicon Valley </w:t>
      </w:r>
      <w:r w:rsidR="008224C6">
        <w:rPr>
          <w:lang w:val="en-GB"/>
        </w:rPr>
        <w:t xml:space="preserve">and </w:t>
      </w:r>
      <w:proofErr w:type="spellStart"/>
      <w:r w:rsidRPr="00722C19">
        <w:rPr>
          <w:i/>
          <w:lang w:val="en-GB"/>
        </w:rPr>
        <w:t>Veep</w:t>
      </w:r>
      <w:proofErr w:type="spellEnd"/>
      <w:r w:rsidR="00787250">
        <w:rPr>
          <w:lang w:val="en-GB"/>
        </w:rPr>
        <w:t xml:space="preserve"> by HBO</w:t>
      </w:r>
      <w:r w:rsidRPr="00722C19">
        <w:rPr>
          <w:lang w:val="en-GB"/>
        </w:rPr>
        <w:t>.</w:t>
      </w:r>
      <w:r w:rsidR="00857719">
        <w:rPr>
          <w:rStyle w:val="EndnoteReference"/>
          <w:lang w:val="en-GB"/>
        </w:rPr>
        <w:endnoteReference w:id="2"/>
      </w:r>
      <w:r w:rsidR="00857719" w:rsidRPr="00722C19">
        <w:rPr>
          <w:lang w:val="en-GB"/>
        </w:rPr>
        <w:t xml:space="preserve"> The content battle between </w:t>
      </w:r>
      <w:r w:rsidR="00857719">
        <w:rPr>
          <w:lang w:val="en-GB"/>
        </w:rPr>
        <w:t>technology (</w:t>
      </w:r>
      <w:r w:rsidR="00857719" w:rsidRPr="00722C19">
        <w:rPr>
          <w:lang w:val="en-GB"/>
        </w:rPr>
        <w:t>tech</w:t>
      </w:r>
      <w:r w:rsidR="00857719">
        <w:rPr>
          <w:lang w:val="en-GB"/>
        </w:rPr>
        <w:t>)</w:t>
      </w:r>
      <w:r w:rsidR="00857719" w:rsidRPr="00722C19">
        <w:rPr>
          <w:lang w:val="en-GB"/>
        </w:rPr>
        <w:t xml:space="preserve"> giants and the old guard of entertainment </w:t>
      </w:r>
      <w:r w:rsidR="00857719">
        <w:rPr>
          <w:lang w:val="en-GB"/>
        </w:rPr>
        <w:t>had started</w:t>
      </w:r>
      <w:r w:rsidR="00857719" w:rsidRPr="00722C19">
        <w:rPr>
          <w:lang w:val="en-GB"/>
        </w:rPr>
        <w:t xml:space="preserve"> four years prior</w:t>
      </w:r>
      <w:r w:rsidR="00857719">
        <w:rPr>
          <w:lang w:val="en-GB"/>
        </w:rPr>
        <w:t>,</w:t>
      </w:r>
      <w:r w:rsidR="00857719" w:rsidRPr="00722C19">
        <w:rPr>
          <w:lang w:val="en-GB"/>
        </w:rPr>
        <w:t xml:space="preserve"> when Netflix’s </w:t>
      </w:r>
      <w:r w:rsidR="00857719" w:rsidRPr="00722C19">
        <w:rPr>
          <w:i/>
          <w:lang w:val="en-GB"/>
        </w:rPr>
        <w:t>House of Cards</w:t>
      </w:r>
      <w:r w:rsidR="00857719" w:rsidRPr="00722C19">
        <w:rPr>
          <w:lang w:val="en-GB"/>
        </w:rPr>
        <w:t xml:space="preserve"> became the first web-only series to receive major award nominations.</w:t>
      </w:r>
      <w:r w:rsidR="00857719">
        <w:rPr>
          <w:rStyle w:val="EndnoteReference"/>
          <w:lang w:val="en-GB"/>
        </w:rPr>
        <w:endnoteReference w:id="3"/>
      </w:r>
      <w:r w:rsidR="00857719" w:rsidRPr="00722C19">
        <w:rPr>
          <w:lang w:val="en-GB"/>
        </w:rPr>
        <w:t xml:space="preserve"> A rush of original content by major tech companies ensued</w:t>
      </w:r>
      <w:r w:rsidR="00857719">
        <w:rPr>
          <w:lang w:val="en-GB"/>
        </w:rPr>
        <w:t>,</w:t>
      </w:r>
      <w:r w:rsidR="00857719" w:rsidRPr="00722C19">
        <w:rPr>
          <w:lang w:val="en-GB"/>
        </w:rPr>
        <w:t xml:space="preserve"> marking a new chapter in the evolution of </w:t>
      </w:r>
      <w:proofErr w:type="spellStart"/>
      <w:r w:rsidR="00857719" w:rsidRPr="00722C19">
        <w:rPr>
          <w:lang w:val="en-GB"/>
        </w:rPr>
        <w:t>pay-TV</w:t>
      </w:r>
      <w:proofErr w:type="spellEnd"/>
      <w:r w:rsidR="00857719" w:rsidRPr="00722C19">
        <w:rPr>
          <w:lang w:val="en-GB"/>
        </w:rPr>
        <w:t>. C</w:t>
      </w:r>
      <w:r w:rsidR="00857719">
        <w:rPr>
          <w:lang w:val="en-GB"/>
        </w:rPr>
        <w:t>ould</w:t>
      </w:r>
      <w:r w:rsidR="00857719" w:rsidRPr="00722C19">
        <w:rPr>
          <w:lang w:val="en-GB"/>
        </w:rPr>
        <w:t xml:space="preserve"> legacy broadcasters survive as disruption shift</w:t>
      </w:r>
      <w:r w:rsidR="00857719">
        <w:rPr>
          <w:lang w:val="en-GB"/>
        </w:rPr>
        <w:t>ed</w:t>
      </w:r>
      <w:r w:rsidR="00857719" w:rsidRPr="00722C19">
        <w:rPr>
          <w:lang w:val="en-GB"/>
        </w:rPr>
        <w:t xml:space="preserve"> from the means of distributing content to the content itself? C</w:t>
      </w:r>
      <w:r w:rsidR="00857719">
        <w:rPr>
          <w:lang w:val="en-GB"/>
        </w:rPr>
        <w:t>ould</w:t>
      </w:r>
      <w:r w:rsidR="00857719" w:rsidRPr="00722C19">
        <w:rPr>
          <w:lang w:val="en-GB"/>
        </w:rPr>
        <w:t xml:space="preserve"> a long tradition of storytelling overcome the deep pockets of Silicon Valley?</w:t>
      </w:r>
    </w:p>
    <w:p w14:paraId="16827F50" w14:textId="77777777" w:rsidR="00857719" w:rsidRPr="00722C19" w:rsidRDefault="00857719" w:rsidP="00BC4BA1">
      <w:pPr>
        <w:pStyle w:val="BodyTextMain"/>
        <w:rPr>
          <w:lang w:val="en-GB"/>
        </w:rPr>
      </w:pPr>
    </w:p>
    <w:p w14:paraId="5A2DF891" w14:textId="1DABEE16" w:rsidR="00857719" w:rsidRPr="004C4A31" w:rsidRDefault="00857719" w:rsidP="00BC4BA1">
      <w:pPr>
        <w:pStyle w:val="BodyTextMain"/>
        <w:rPr>
          <w:spacing w:val="-4"/>
          <w:lang w:val="en-GB"/>
        </w:rPr>
      </w:pPr>
      <w:r w:rsidRPr="004C4A31">
        <w:rPr>
          <w:spacing w:val="-4"/>
          <w:lang w:val="en-GB"/>
        </w:rPr>
        <w:t>Disney had been creating compelling stories since 1928, when Mickey Mouse first debuted as a trouble-making deck</w:t>
      </w:r>
      <w:r w:rsidR="00A12456">
        <w:rPr>
          <w:spacing w:val="-4"/>
          <w:lang w:val="en-GB"/>
        </w:rPr>
        <w:t xml:space="preserve"> </w:t>
      </w:r>
      <w:r w:rsidRPr="004C4A31">
        <w:rPr>
          <w:spacing w:val="-4"/>
          <w:lang w:val="en-GB"/>
        </w:rPr>
        <w:t xml:space="preserve">hand in </w:t>
      </w:r>
      <w:r w:rsidRPr="004C4A31">
        <w:rPr>
          <w:i/>
          <w:spacing w:val="-4"/>
          <w:lang w:val="en-GB"/>
        </w:rPr>
        <w:t>Steamboat Willie</w:t>
      </w:r>
      <w:r w:rsidRPr="004C4A31">
        <w:rPr>
          <w:spacing w:val="-4"/>
          <w:lang w:val="en-GB"/>
        </w:rPr>
        <w:t>. The animated short was heralded for its technical innovation as the first cartoon with synchronized sound.</w:t>
      </w:r>
      <w:r w:rsidRPr="004C4A31">
        <w:rPr>
          <w:rStyle w:val="EndnoteReference"/>
          <w:spacing w:val="-4"/>
          <w:lang w:val="en-GB"/>
        </w:rPr>
        <w:endnoteReference w:id="4"/>
      </w:r>
      <w:r w:rsidRPr="004C4A31">
        <w:rPr>
          <w:spacing w:val="-4"/>
          <w:lang w:val="en-GB"/>
        </w:rPr>
        <w:t xml:space="preserve"> Disney built on this pioneering reputation with the first full-length animation feature (</w:t>
      </w:r>
      <w:r w:rsidRPr="004C4A31">
        <w:rPr>
          <w:i/>
          <w:spacing w:val="-4"/>
          <w:lang w:val="en-GB"/>
        </w:rPr>
        <w:t>Snow White and the Seven Dwarfs</w:t>
      </w:r>
      <w:r w:rsidRPr="004C4A31">
        <w:rPr>
          <w:spacing w:val="-4"/>
          <w:lang w:val="en-GB"/>
        </w:rPr>
        <w:t>), the first film shot with motion-control camera (</w:t>
      </w:r>
      <w:r w:rsidRPr="004C4A31">
        <w:rPr>
          <w:i/>
          <w:spacing w:val="-4"/>
          <w:lang w:val="en-GB"/>
        </w:rPr>
        <w:t>Star Wars</w:t>
      </w:r>
      <w:r w:rsidRPr="004C4A31">
        <w:rPr>
          <w:spacing w:val="-4"/>
          <w:lang w:val="en-GB"/>
        </w:rPr>
        <w:t>), the first film to use digital sound (</w:t>
      </w:r>
      <w:r w:rsidRPr="004C4A31">
        <w:rPr>
          <w:i/>
          <w:spacing w:val="-4"/>
          <w:lang w:val="en-GB"/>
        </w:rPr>
        <w:t>Fantasia</w:t>
      </w:r>
      <w:r w:rsidRPr="004C4A31">
        <w:rPr>
          <w:spacing w:val="-4"/>
          <w:lang w:val="en-GB"/>
        </w:rPr>
        <w:t>), the first feature-length computer-animated film (</w:t>
      </w:r>
      <w:r w:rsidRPr="004C4A31">
        <w:rPr>
          <w:i/>
          <w:spacing w:val="-4"/>
          <w:lang w:val="en-GB"/>
        </w:rPr>
        <w:t>Toy Story</w:t>
      </w:r>
      <w:r w:rsidRPr="004C4A31">
        <w:rPr>
          <w:spacing w:val="-4"/>
          <w:lang w:val="en-GB"/>
        </w:rPr>
        <w:t xml:space="preserve">), and the first network broadcast in high-definition television (the live-action version of </w:t>
      </w:r>
      <w:r w:rsidRPr="004C4A31">
        <w:rPr>
          <w:i/>
          <w:spacing w:val="-4"/>
          <w:lang w:val="en-GB"/>
        </w:rPr>
        <w:t>101 Dalmatians</w:t>
      </w:r>
      <w:r w:rsidRPr="004C4A31">
        <w:rPr>
          <w:spacing w:val="-4"/>
          <w:lang w:val="en-GB"/>
        </w:rPr>
        <w:t>).</w:t>
      </w:r>
      <w:r w:rsidRPr="004C4A31">
        <w:rPr>
          <w:rStyle w:val="EndnoteReference"/>
          <w:spacing w:val="-4"/>
          <w:lang w:val="en-GB"/>
        </w:rPr>
        <w:endnoteReference w:id="5"/>
      </w:r>
      <w:r w:rsidRPr="004C4A31">
        <w:rPr>
          <w:spacing w:val="-4"/>
          <w:lang w:val="en-GB"/>
        </w:rPr>
        <w:t xml:space="preserve"> </w:t>
      </w:r>
    </w:p>
    <w:p w14:paraId="38DA8B92" w14:textId="77777777" w:rsidR="00857719" w:rsidRDefault="00857719" w:rsidP="00BC4BA1">
      <w:pPr>
        <w:pStyle w:val="BodyTextMain"/>
        <w:rPr>
          <w:lang w:val="en-GB"/>
        </w:rPr>
      </w:pPr>
    </w:p>
    <w:p w14:paraId="5FA21B4D" w14:textId="44D88548" w:rsidR="00BC4BA1" w:rsidRPr="00722C19" w:rsidRDefault="00857719" w:rsidP="00BC4BA1">
      <w:pPr>
        <w:pStyle w:val="BodyTextMain"/>
        <w:rPr>
          <w:lang w:val="en-GB"/>
        </w:rPr>
      </w:pPr>
      <w:r>
        <w:rPr>
          <w:lang w:val="en-GB"/>
        </w:rPr>
        <w:t>Between 2007 and 2017,</w:t>
      </w:r>
      <w:r w:rsidRPr="00722C19">
        <w:rPr>
          <w:lang w:val="en-GB"/>
        </w:rPr>
        <w:t xml:space="preserve"> new technologies allowed viewers to watch programming wherever and whenever </w:t>
      </w:r>
      <w:r>
        <w:rPr>
          <w:lang w:val="en-GB"/>
        </w:rPr>
        <w:t xml:space="preserve">they were </w:t>
      </w:r>
      <w:r w:rsidRPr="00722C19">
        <w:rPr>
          <w:lang w:val="en-GB"/>
        </w:rPr>
        <w:t xml:space="preserve">had elevated the importance of accessibility and convenience to </w:t>
      </w:r>
      <w:r>
        <w:rPr>
          <w:lang w:val="en-GB"/>
        </w:rPr>
        <w:t xml:space="preserve">decisions regarding </w:t>
      </w:r>
      <w:r w:rsidRPr="00722C19">
        <w:rPr>
          <w:lang w:val="en-GB"/>
        </w:rPr>
        <w:t>video viewing—and paying.</w:t>
      </w:r>
      <w:r>
        <w:rPr>
          <w:rStyle w:val="EndnoteReference"/>
          <w:lang w:val="en-GB"/>
        </w:rPr>
        <w:endnoteReference w:id="6"/>
      </w:r>
      <w:r w:rsidRPr="00722C19">
        <w:rPr>
          <w:lang w:val="en-GB"/>
        </w:rPr>
        <w:t xml:space="preserve"> </w:t>
      </w:r>
      <w:r w:rsidR="00BC4BA1" w:rsidRPr="00722C19">
        <w:rPr>
          <w:lang w:val="en-GB"/>
        </w:rPr>
        <w:t xml:space="preserve">Netflix, Amazon, and YouTube had moved aggressively into the video entertainment business on the merits of their innovative delivery and business models. Disney weathered this tumultuous period through a series of partnerships that tied its success to both the preservation of its legacy media competitors and the rise of its new technology </w:t>
      </w:r>
      <w:r w:rsidR="003A7539">
        <w:rPr>
          <w:lang w:val="en-GB"/>
        </w:rPr>
        <w:t>competitors</w:t>
      </w:r>
      <w:r w:rsidR="00BC4BA1" w:rsidRPr="00722C19">
        <w:rPr>
          <w:lang w:val="en-GB"/>
        </w:rPr>
        <w:t>.</w:t>
      </w:r>
      <w:r w:rsidR="00A12456">
        <w:rPr>
          <w:rStyle w:val="EndnoteReference"/>
          <w:lang w:val="en-GB"/>
        </w:rPr>
        <w:endnoteReference w:id="7"/>
      </w:r>
    </w:p>
    <w:p w14:paraId="1A68D340" w14:textId="77777777" w:rsidR="00BC4BA1" w:rsidRPr="00722C19" w:rsidRDefault="00BC4BA1" w:rsidP="00BC4BA1">
      <w:pPr>
        <w:pStyle w:val="BodyTextMain"/>
        <w:rPr>
          <w:lang w:val="en-GB"/>
        </w:rPr>
      </w:pPr>
    </w:p>
    <w:p w14:paraId="68FE39A1" w14:textId="63FA1914" w:rsidR="00BC4BA1" w:rsidRPr="004C4A31" w:rsidRDefault="00BC4BA1" w:rsidP="00BC4BA1">
      <w:pPr>
        <w:pStyle w:val="BodyTextMain"/>
        <w:rPr>
          <w:spacing w:val="-4"/>
          <w:lang w:val="en-GB"/>
        </w:rPr>
      </w:pPr>
      <w:r w:rsidRPr="004C4A31">
        <w:rPr>
          <w:spacing w:val="-4"/>
          <w:lang w:val="en-GB"/>
        </w:rPr>
        <w:t xml:space="preserve">But Netflix, Amazon, and YouTube were </w:t>
      </w:r>
      <w:r w:rsidR="003A7539" w:rsidRPr="004C4A31">
        <w:rPr>
          <w:spacing w:val="-4"/>
          <w:lang w:val="en-GB"/>
        </w:rPr>
        <w:t xml:space="preserve">now </w:t>
      </w:r>
      <w:r w:rsidRPr="004C4A31">
        <w:rPr>
          <w:spacing w:val="-4"/>
          <w:lang w:val="en-GB"/>
        </w:rPr>
        <w:t xml:space="preserve">competing against Disney in creation, not just </w:t>
      </w:r>
      <w:r w:rsidR="00C739FA" w:rsidRPr="004C4A31">
        <w:rPr>
          <w:spacing w:val="-4"/>
          <w:lang w:val="en-GB"/>
        </w:rPr>
        <w:t xml:space="preserve">in </w:t>
      </w:r>
      <w:r w:rsidRPr="004C4A31">
        <w:rPr>
          <w:spacing w:val="-4"/>
          <w:lang w:val="en-GB"/>
        </w:rPr>
        <w:t xml:space="preserve">distribution. Should Disney continue to partner with these companies as they </w:t>
      </w:r>
      <w:r w:rsidR="003A7539" w:rsidRPr="004C4A31">
        <w:rPr>
          <w:spacing w:val="-4"/>
          <w:lang w:val="en-GB"/>
        </w:rPr>
        <w:t xml:space="preserve">began </w:t>
      </w:r>
      <w:r w:rsidRPr="004C4A31">
        <w:rPr>
          <w:spacing w:val="-4"/>
          <w:lang w:val="en-GB"/>
        </w:rPr>
        <w:t>to threaten its core? Should Disney work even closer with other traditional media partners to fight back? Or, should Disney take a stand on its own?</w:t>
      </w:r>
      <w:r w:rsidR="00256EEC" w:rsidRPr="004C4A31">
        <w:rPr>
          <w:spacing w:val="-4"/>
          <w:lang w:val="en-GB"/>
        </w:rPr>
        <w:t xml:space="preserve"> </w:t>
      </w:r>
    </w:p>
    <w:p w14:paraId="59A3A81C" w14:textId="277F9EE3" w:rsidR="00BC4BA1" w:rsidRPr="00722C19" w:rsidRDefault="00BC4BA1" w:rsidP="00BC4BA1">
      <w:pPr>
        <w:pStyle w:val="BodyTextMain"/>
        <w:rPr>
          <w:lang w:val="en-GB"/>
        </w:rPr>
      </w:pPr>
    </w:p>
    <w:p w14:paraId="7BF5BB76" w14:textId="72AA15CD" w:rsidR="00BC4BA1" w:rsidRPr="00722C19" w:rsidRDefault="00BC4BA1" w:rsidP="00E95133">
      <w:pPr>
        <w:pStyle w:val="Casehead1"/>
        <w:keepNext/>
        <w:rPr>
          <w:lang w:val="en-GB"/>
        </w:rPr>
      </w:pPr>
      <w:r w:rsidRPr="00722C19">
        <w:rPr>
          <w:lang w:val="en-GB"/>
        </w:rPr>
        <w:lastRenderedPageBreak/>
        <w:t>Pay-TV Industry Background</w:t>
      </w:r>
    </w:p>
    <w:p w14:paraId="71756A05" w14:textId="77777777" w:rsidR="00BC4BA1" w:rsidRPr="00722C19" w:rsidRDefault="00BC4BA1" w:rsidP="00E95133">
      <w:pPr>
        <w:pStyle w:val="BodyTextMain"/>
        <w:keepNext/>
        <w:rPr>
          <w:lang w:val="en-GB"/>
        </w:rPr>
      </w:pPr>
    </w:p>
    <w:p w14:paraId="1D25A63D" w14:textId="3B4CEF18" w:rsidR="00BC4BA1" w:rsidRPr="00722C19" w:rsidRDefault="00BC4BA1" w:rsidP="00E95133">
      <w:pPr>
        <w:pStyle w:val="BodyTextMain"/>
        <w:keepNext/>
        <w:rPr>
          <w:lang w:val="en-GB"/>
        </w:rPr>
      </w:pPr>
      <w:r w:rsidRPr="00722C19">
        <w:rPr>
          <w:lang w:val="en-GB"/>
        </w:rPr>
        <w:t>Over most of its history, video content created by studios, sports leagues (professional and amateur), and independent agents was aggregated by broadcast and cable networks and then distributed by TV stations and multi-channel video programming distributors (MVPDs) to viewers on their television sets.</w:t>
      </w:r>
      <w:r w:rsidR="00976B9F" w:rsidRPr="00722C19">
        <w:rPr>
          <w:lang w:val="en-GB"/>
        </w:rPr>
        <w:t xml:space="preserve"> </w:t>
      </w:r>
      <w:r w:rsidRPr="00722C19">
        <w:rPr>
          <w:lang w:val="en-GB"/>
        </w:rPr>
        <w:t>The vertical structure was held together using a combination of negotiated contracts, partnerships, and vertical integration between content owners and the aggregators and distributors of that content (see Exhibit 1).</w:t>
      </w:r>
    </w:p>
    <w:p w14:paraId="48673C1D" w14:textId="77777777" w:rsidR="00BC4BA1" w:rsidRPr="00722C19" w:rsidRDefault="00BC4BA1" w:rsidP="00BC4BA1">
      <w:pPr>
        <w:pStyle w:val="BodyTextMain"/>
        <w:rPr>
          <w:lang w:val="en-GB"/>
        </w:rPr>
      </w:pPr>
    </w:p>
    <w:p w14:paraId="3B7A0917" w14:textId="71818871" w:rsidR="00BC4BA1" w:rsidRPr="00722C19" w:rsidRDefault="00BC4BA1" w:rsidP="00BC4BA1">
      <w:pPr>
        <w:pStyle w:val="BodyTextMain"/>
        <w:rPr>
          <w:i/>
          <w:lang w:val="en-GB"/>
        </w:rPr>
      </w:pPr>
      <w:r w:rsidRPr="00722C19">
        <w:rPr>
          <w:lang w:val="en-GB"/>
        </w:rPr>
        <w:t>On average, Americans spent nearly four hours each day in front of a television set.</w:t>
      </w:r>
      <w:r w:rsidRPr="00722C19">
        <w:rPr>
          <w:rStyle w:val="EndnoteReference"/>
          <w:lang w:val="en-GB"/>
        </w:rPr>
        <w:endnoteReference w:id="8"/>
      </w:r>
      <w:r w:rsidRPr="00722C19">
        <w:rPr>
          <w:lang w:val="en-GB"/>
        </w:rPr>
        <w:t xml:space="preserve"> To </w:t>
      </w:r>
      <w:r w:rsidR="00C739FA">
        <w:rPr>
          <w:lang w:val="en-GB"/>
        </w:rPr>
        <w:t>encourage</w:t>
      </w:r>
      <w:r w:rsidR="00C739FA" w:rsidRPr="00722C19">
        <w:rPr>
          <w:lang w:val="en-GB"/>
        </w:rPr>
        <w:t xml:space="preserve"> </w:t>
      </w:r>
      <w:r w:rsidR="005E321A">
        <w:rPr>
          <w:lang w:val="en-GB"/>
        </w:rPr>
        <w:t>viewers</w:t>
      </w:r>
      <w:r w:rsidR="005E321A" w:rsidRPr="00722C19">
        <w:rPr>
          <w:lang w:val="en-GB"/>
        </w:rPr>
        <w:t xml:space="preserve"> </w:t>
      </w:r>
      <w:r w:rsidRPr="00722C19">
        <w:rPr>
          <w:lang w:val="en-GB"/>
        </w:rPr>
        <w:t>to watch</w:t>
      </w:r>
      <w:r w:rsidR="005E321A">
        <w:rPr>
          <w:lang w:val="en-GB"/>
        </w:rPr>
        <w:t xml:space="preserve"> television</w:t>
      </w:r>
      <w:r w:rsidRPr="00722C19">
        <w:rPr>
          <w:lang w:val="en-GB"/>
        </w:rPr>
        <w:t xml:space="preserve">, major media companies spent billions of dollars each year and competed vigorously with each other and with many other parties to acquire </w:t>
      </w:r>
      <w:r w:rsidR="00C739FA">
        <w:rPr>
          <w:lang w:val="en-GB"/>
        </w:rPr>
        <w:t xml:space="preserve">the </w:t>
      </w:r>
      <w:r w:rsidRPr="00722C19">
        <w:rPr>
          <w:lang w:val="en-GB"/>
        </w:rPr>
        <w:t>programming rights of completed works and the intellectual property rights and talent to produce original content.</w:t>
      </w:r>
      <w:r w:rsidR="00976B9F" w:rsidRPr="00722C19">
        <w:rPr>
          <w:lang w:val="en-GB"/>
        </w:rPr>
        <w:t xml:space="preserve"> </w:t>
      </w:r>
      <w:r w:rsidRPr="00722C19">
        <w:rPr>
          <w:lang w:val="en-GB"/>
        </w:rPr>
        <w:t>Although sports programming represented only 1.4 per</w:t>
      </w:r>
      <w:r w:rsidR="00C739FA">
        <w:rPr>
          <w:lang w:val="en-GB"/>
        </w:rPr>
        <w:t xml:space="preserve"> </w:t>
      </w:r>
      <w:r w:rsidRPr="00722C19">
        <w:rPr>
          <w:lang w:val="en-GB"/>
        </w:rPr>
        <w:t>cent of all television programs, sports dominated what people watched</w:t>
      </w:r>
      <w:r w:rsidR="005E321A">
        <w:rPr>
          <w:lang w:val="en-GB"/>
        </w:rPr>
        <w:t>.</w:t>
      </w:r>
      <w:r w:rsidRPr="00722C19">
        <w:rPr>
          <w:rStyle w:val="EndnoteReference"/>
          <w:lang w:val="en-GB"/>
        </w:rPr>
        <w:endnoteReference w:id="9"/>
      </w:r>
      <w:r w:rsidRPr="00722C19">
        <w:rPr>
          <w:lang w:val="en-GB"/>
        </w:rPr>
        <w:t xml:space="preserve"> According to Nielsen, Americans</w:t>
      </w:r>
      <w:r w:rsidR="00976B9F" w:rsidRPr="00722C19">
        <w:rPr>
          <w:lang w:val="en-GB"/>
        </w:rPr>
        <w:t xml:space="preserve"> </w:t>
      </w:r>
      <w:r w:rsidRPr="00722C19">
        <w:rPr>
          <w:lang w:val="en-GB"/>
        </w:rPr>
        <w:t>view</w:t>
      </w:r>
      <w:r w:rsidR="00D64E63" w:rsidRPr="00722C19">
        <w:rPr>
          <w:lang w:val="en-GB"/>
        </w:rPr>
        <w:t>ed</w:t>
      </w:r>
      <w:r w:rsidRPr="00722C19">
        <w:rPr>
          <w:lang w:val="en-GB"/>
        </w:rPr>
        <w:t xml:space="preserve"> 1</w:t>
      </w:r>
      <w:r w:rsidR="00D64E63" w:rsidRPr="00722C19">
        <w:rPr>
          <w:lang w:val="en-GB"/>
        </w:rPr>
        <w:t>34</w:t>
      </w:r>
      <w:r w:rsidRPr="00722C19">
        <w:rPr>
          <w:lang w:val="en-GB"/>
        </w:rPr>
        <w:t>,000 hours of national and regional sports programming on television in 201</w:t>
      </w:r>
      <w:r w:rsidR="00D64E63" w:rsidRPr="00722C19">
        <w:rPr>
          <w:lang w:val="en-GB"/>
        </w:rPr>
        <w:t>7</w:t>
      </w:r>
      <w:r w:rsidR="005E321A">
        <w:rPr>
          <w:lang w:val="en-GB"/>
        </w:rPr>
        <w:t>,</w:t>
      </w:r>
      <w:r w:rsidR="00D64E63" w:rsidRPr="00722C19">
        <w:rPr>
          <w:lang w:val="en-GB"/>
        </w:rPr>
        <w:t xml:space="preserve"> </w:t>
      </w:r>
      <w:r w:rsidRPr="00722C19">
        <w:rPr>
          <w:lang w:val="en-GB"/>
        </w:rPr>
        <w:t xml:space="preserve">and </w:t>
      </w:r>
      <w:r w:rsidR="00D64E63" w:rsidRPr="00722C19">
        <w:rPr>
          <w:lang w:val="en-GB"/>
        </w:rPr>
        <w:t>86</w:t>
      </w:r>
      <w:r w:rsidRPr="00722C19">
        <w:rPr>
          <w:lang w:val="en-GB"/>
        </w:rPr>
        <w:t xml:space="preserve"> </w:t>
      </w:r>
      <w:r w:rsidR="00C739FA">
        <w:rPr>
          <w:lang w:val="en-GB"/>
        </w:rPr>
        <w:t xml:space="preserve">sports </w:t>
      </w:r>
      <w:r w:rsidRPr="00722C19">
        <w:rPr>
          <w:lang w:val="en-GB"/>
        </w:rPr>
        <w:t xml:space="preserve">programs were among the top 100 live-viewed </w:t>
      </w:r>
      <w:r w:rsidR="00C739FA">
        <w:rPr>
          <w:lang w:val="en-GB"/>
        </w:rPr>
        <w:t xml:space="preserve">programs </w:t>
      </w:r>
      <w:r w:rsidRPr="00722C19">
        <w:rPr>
          <w:lang w:val="en-GB"/>
        </w:rPr>
        <w:t>for the year.</w:t>
      </w:r>
      <w:r w:rsidRPr="00722C19">
        <w:rPr>
          <w:rStyle w:val="EndnoteReference"/>
          <w:lang w:val="en-GB"/>
        </w:rPr>
        <w:endnoteReference w:id="10"/>
      </w:r>
      <w:r w:rsidRPr="00722C19">
        <w:rPr>
          <w:lang w:val="en-GB"/>
        </w:rPr>
        <w:t xml:space="preserve"> </w:t>
      </w:r>
      <w:r w:rsidR="00C739FA">
        <w:rPr>
          <w:lang w:val="en-GB"/>
        </w:rPr>
        <w:t>In 2017</w:t>
      </w:r>
      <w:r w:rsidRPr="00722C19">
        <w:rPr>
          <w:lang w:val="en-GB"/>
        </w:rPr>
        <w:t xml:space="preserve">, broadcast and cable networks paid </w:t>
      </w:r>
      <w:r w:rsidR="00BF7133">
        <w:rPr>
          <w:lang w:val="en-GB"/>
        </w:rPr>
        <w:t>US</w:t>
      </w:r>
      <w:r w:rsidRPr="00722C19">
        <w:rPr>
          <w:lang w:val="en-GB"/>
        </w:rPr>
        <w:t>$1</w:t>
      </w:r>
      <w:r w:rsidR="00856571" w:rsidRPr="00722C19">
        <w:rPr>
          <w:lang w:val="en-GB"/>
        </w:rPr>
        <w:t>9</w:t>
      </w:r>
      <w:r w:rsidRPr="00722C19">
        <w:rPr>
          <w:lang w:val="en-GB"/>
        </w:rPr>
        <w:t>.</w:t>
      </w:r>
      <w:r w:rsidR="00856571" w:rsidRPr="00722C19">
        <w:rPr>
          <w:lang w:val="en-GB"/>
        </w:rPr>
        <w:t>1</w:t>
      </w:r>
      <w:r w:rsidRPr="00722C19">
        <w:rPr>
          <w:lang w:val="en-GB"/>
        </w:rPr>
        <w:t xml:space="preserve"> billion</w:t>
      </w:r>
      <w:r w:rsidR="005E321A">
        <w:rPr>
          <w:rStyle w:val="EndnoteReference"/>
          <w:lang w:val="en-GB"/>
        </w:rPr>
        <w:endnoteReference w:id="11"/>
      </w:r>
      <w:r w:rsidR="00C739FA">
        <w:rPr>
          <w:lang w:val="en-GB"/>
        </w:rPr>
        <w:t xml:space="preserve"> for media rights in North America</w:t>
      </w:r>
      <w:r w:rsidRPr="00722C19">
        <w:rPr>
          <w:lang w:val="en-GB"/>
        </w:rPr>
        <w:t>.</w:t>
      </w:r>
      <w:r w:rsidRPr="00722C19">
        <w:rPr>
          <w:rStyle w:val="EndnoteReference"/>
          <w:lang w:val="en-GB"/>
        </w:rPr>
        <w:endnoteReference w:id="12"/>
      </w:r>
      <w:r w:rsidRPr="00722C19">
        <w:rPr>
          <w:lang w:val="en-GB"/>
        </w:rPr>
        <w:t xml:space="preserve"> </w:t>
      </w:r>
      <w:r w:rsidR="005E321A">
        <w:rPr>
          <w:lang w:val="en-GB"/>
        </w:rPr>
        <w:t>By 2022, t</w:t>
      </w:r>
      <w:r w:rsidR="00301947" w:rsidRPr="00722C19">
        <w:rPr>
          <w:lang w:val="en-GB"/>
        </w:rPr>
        <w:t xml:space="preserve">his </w:t>
      </w:r>
      <w:r w:rsidRPr="00722C19">
        <w:rPr>
          <w:lang w:val="en-GB"/>
        </w:rPr>
        <w:t xml:space="preserve">number was expected to balloon to </w:t>
      </w:r>
      <w:r w:rsidR="005E321A">
        <w:rPr>
          <w:lang w:val="en-GB"/>
        </w:rPr>
        <w:t>more than</w:t>
      </w:r>
      <w:r w:rsidR="005E321A" w:rsidRPr="00722C19">
        <w:rPr>
          <w:lang w:val="en-GB"/>
        </w:rPr>
        <w:t xml:space="preserve"> </w:t>
      </w:r>
      <w:r w:rsidRPr="00722C19">
        <w:rPr>
          <w:lang w:val="en-GB"/>
        </w:rPr>
        <w:t>$2</w:t>
      </w:r>
      <w:r w:rsidR="00D64E63" w:rsidRPr="00722C19">
        <w:rPr>
          <w:lang w:val="en-GB"/>
        </w:rPr>
        <w:t>3</w:t>
      </w:r>
      <w:r w:rsidRPr="00722C19">
        <w:rPr>
          <w:lang w:val="en-GB"/>
        </w:rPr>
        <w:t>.</w:t>
      </w:r>
      <w:r w:rsidR="00D64E63" w:rsidRPr="00722C19">
        <w:rPr>
          <w:lang w:val="en-GB"/>
        </w:rPr>
        <w:t>8</w:t>
      </w:r>
      <w:r w:rsidRPr="00722C19">
        <w:rPr>
          <w:lang w:val="en-GB"/>
        </w:rPr>
        <w:t xml:space="preserve"> billion.</w:t>
      </w:r>
      <w:r w:rsidRPr="00722C19">
        <w:rPr>
          <w:rStyle w:val="EndnoteReference"/>
          <w:lang w:val="en-GB"/>
        </w:rPr>
        <w:endnoteReference w:id="13"/>
      </w:r>
    </w:p>
    <w:p w14:paraId="53BB880D" w14:textId="77777777" w:rsidR="00BC4BA1" w:rsidRPr="00722C19" w:rsidRDefault="00BC4BA1" w:rsidP="00BC4BA1">
      <w:pPr>
        <w:pStyle w:val="BodyTextMain"/>
        <w:rPr>
          <w:i/>
          <w:lang w:val="en-GB"/>
        </w:rPr>
      </w:pPr>
    </w:p>
    <w:p w14:paraId="5C5F4C9D" w14:textId="68981F86" w:rsidR="00BC4BA1" w:rsidRPr="00722C19" w:rsidRDefault="00BC4BA1" w:rsidP="00BC4BA1">
      <w:pPr>
        <w:pStyle w:val="BodyTextMain"/>
        <w:rPr>
          <w:i/>
          <w:lang w:val="en-GB"/>
        </w:rPr>
      </w:pPr>
      <w:r w:rsidRPr="00722C19">
        <w:rPr>
          <w:lang w:val="en-GB"/>
        </w:rPr>
        <w:t>Television programming, aggregated by broadcast and cable networks, was provided via broadcast or multi</w:t>
      </w:r>
      <w:r w:rsidR="005E321A">
        <w:rPr>
          <w:lang w:val="en-GB"/>
        </w:rPr>
        <w:t>-</w:t>
      </w:r>
      <w:r w:rsidRPr="00722C19">
        <w:rPr>
          <w:lang w:val="en-GB"/>
        </w:rPr>
        <w:t xml:space="preserve">channel subscription services. If a household wanted to watch </w:t>
      </w:r>
      <w:r w:rsidR="005E321A">
        <w:rPr>
          <w:lang w:val="en-GB"/>
        </w:rPr>
        <w:t xml:space="preserve">only </w:t>
      </w:r>
      <w:r w:rsidRPr="00722C19">
        <w:rPr>
          <w:lang w:val="en-GB"/>
        </w:rPr>
        <w:t>broadcast network programming, the over-the-air signals could be picked</w:t>
      </w:r>
      <w:r w:rsidR="005E321A">
        <w:rPr>
          <w:lang w:val="en-GB"/>
        </w:rPr>
        <w:t xml:space="preserve"> </w:t>
      </w:r>
      <w:r w:rsidRPr="00722C19">
        <w:rPr>
          <w:lang w:val="en-GB"/>
        </w:rPr>
        <w:t xml:space="preserve">up for free by using an antenna and a tuner that </w:t>
      </w:r>
      <w:r w:rsidR="003703F3">
        <w:rPr>
          <w:lang w:val="en-GB"/>
        </w:rPr>
        <w:t xml:space="preserve">could </w:t>
      </w:r>
      <w:r w:rsidRPr="00722C19">
        <w:rPr>
          <w:lang w:val="en-GB"/>
        </w:rPr>
        <w:t xml:space="preserve">transmit the </w:t>
      </w:r>
      <w:r w:rsidR="005E321A">
        <w:rPr>
          <w:lang w:val="en-GB"/>
        </w:rPr>
        <w:t>v</w:t>
      </w:r>
      <w:r w:rsidRPr="00722C19">
        <w:rPr>
          <w:lang w:val="en-GB"/>
        </w:rPr>
        <w:t xml:space="preserve">ery </w:t>
      </w:r>
      <w:r w:rsidR="005E321A">
        <w:rPr>
          <w:lang w:val="en-GB"/>
        </w:rPr>
        <w:t>h</w:t>
      </w:r>
      <w:r w:rsidRPr="00722C19">
        <w:rPr>
          <w:lang w:val="en-GB"/>
        </w:rPr>
        <w:t xml:space="preserve">igh </w:t>
      </w:r>
      <w:r w:rsidR="005E321A">
        <w:rPr>
          <w:lang w:val="en-GB"/>
        </w:rPr>
        <w:t>f</w:t>
      </w:r>
      <w:r w:rsidRPr="00722C19">
        <w:rPr>
          <w:lang w:val="en-GB"/>
        </w:rPr>
        <w:t xml:space="preserve">requency (VHF) and </w:t>
      </w:r>
      <w:proofErr w:type="spellStart"/>
      <w:r w:rsidR="005E321A">
        <w:rPr>
          <w:lang w:val="en-GB"/>
        </w:rPr>
        <w:t>u</w:t>
      </w:r>
      <w:r w:rsidRPr="00722C19">
        <w:rPr>
          <w:lang w:val="en-GB"/>
        </w:rPr>
        <w:t xml:space="preserve">ltra </w:t>
      </w:r>
      <w:r w:rsidR="005E321A">
        <w:rPr>
          <w:lang w:val="en-GB"/>
        </w:rPr>
        <w:t>h</w:t>
      </w:r>
      <w:r w:rsidRPr="00722C19">
        <w:rPr>
          <w:lang w:val="en-GB"/>
        </w:rPr>
        <w:t>igh</w:t>
      </w:r>
      <w:proofErr w:type="spellEnd"/>
      <w:r w:rsidRPr="00722C19">
        <w:rPr>
          <w:lang w:val="en-GB"/>
        </w:rPr>
        <w:t xml:space="preserve"> </w:t>
      </w:r>
      <w:r w:rsidR="005E321A">
        <w:rPr>
          <w:lang w:val="en-GB"/>
        </w:rPr>
        <w:t>f</w:t>
      </w:r>
      <w:r w:rsidRPr="00722C19">
        <w:rPr>
          <w:lang w:val="en-GB"/>
        </w:rPr>
        <w:t xml:space="preserve">requency (UHF) signals. </w:t>
      </w:r>
      <w:r w:rsidR="00D64E63" w:rsidRPr="00722C19">
        <w:rPr>
          <w:lang w:val="en-GB"/>
        </w:rPr>
        <w:t xml:space="preserve">According to </w:t>
      </w:r>
      <w:r w:rsidR="00EF7432">
        <w:rPr>
          <w:lang w:val="en-GB"/>
        </w:rPr>
        <w:t>media, communications</w:t>
      </w:r>
      <w:r w:rsidR="0063121B">
        <w:rPr>
          <w:lang w:val="en-GB"/>
        </w:rPr>
        <w:t>,</w:t>
      </w:r>
      <w:r w:rsidR="00EF7432">
        <w:rPr>
          <w:lang w:val="en-GB"/>
        </w:rPr>
        <w:t xml:space="preserve"> and entertainment research firm </w:t>
      </w:r>
      <w:r w:rsidR="00D64E63" w:rsidRPr="00722C19">
        <w:rPr>
          <w:lang w:val="en-GB"/>
        </w:rPr>
        <w:t xml:space="preserve">SNL </w:t>
      </w:r>
      <w:proofErr w:type="spellStart"/>
      <w:r w:rsidR="00D64E63" w:rsidRPr="00722C19">
        <w:rPr>
          <w:lang w:val="en-GB"/>
        </w:rPr>
        <w:t>Kagan</w:t>
      </w:r>
      <w:proofErr w:type="spellEnd"/>
      <w:r w:rsidR="00D64E63" w:rsidRPr="00722C19">
        <w:rPr>
          <w:lang w:val="en-GB"/>
        </w:rPr>
        <w:t xml:space="preserve">, </w:t>
      </w:r>
      <w:r w:rsidR="005E321A">
        <w:rPr>
          <w:lang w:val="en-GB"/>
        </w:rPr>
        <w:t xml:space="preserve">in 2017, </w:t>
      </w:r>
      <w:r w:rsidR="00D64E63" w:rsidRPr="00722C19">
        <w:rPr>
          <w:lang w:val="en-GB"/>
        </w:rPr>
        <w:t>94 million households paid to receive local broadcast TV stations and cable channels aggregated by MVPD</w:t>
      </w:r>
      <w:r w:rsidR="005E321A">
        <w:rPr>
          <w:lang w:val="en-GB"/>
        </w:rPr>
        <w:t>s</w:t>
      </w:r>
      <w:r w:rsidR="00D64E63" w:rsidRPr="00722C19">
        <w:rPr>
          <w:lang w:val="en-GB"/>
        </w:rPr>
        <w:t>.</w:t>
      </w:r>
      <w:r w:rsidR="00BD25CD" w:rsidRPr="00722C19">
        <w:rPr>
          <w:rStyle w:val="EndnoteReference"/>
          <w:lang w:val="en-GB"/>
        </w:rPr>
        <w:endnoteReference w:id="14"/>
      </w:r>
      <w:r w:rsidR="00BD25CD" w:rsidRPr="00722C19">
        <w:rPr>
          <w:lang w:val="en-GB"/>
        </w:rPr>
        <w:t xml:space="preserve"> </w:t>
      </w:r>
    </w:p>
    <w:p w14:paraId="4F0B0078" w14:textId="77777777" w:rsidR="00BC4BA1" w:rsidRPr="00722C19" w:rsidRDefault="00BC4BA1" w:rsidP="00BC4BA1">
      <w:pPr>
        <w:pStyle w:val="BodyTextMain"/>
        <w:rPr>
          <w:lang w:val="en-GB"/>
        </w:rPr>
      </w:pPr>
    </w:p>
    <w:p w14:paraId="741DE8D6" w14:textId="4D13B8A8" w:rsidR="00BC4BA1" w:rsidRPr="00722C19" w:rsidRDefault="00BC4BA1" w:rsidP="00BC4BA1">
      <w:pPr>
        <w:pStyle w:val="BodyTextMain"/>
        <w:rPr>
          <w:lang w:val="en-GB"/>
        </w:rPr>
      </w:pPr>
      <w:r w:rsidRPr="00722C19">
        <w:rPr>
          <w:lang w:val="en-GB"/>
        </w:rPr>
        <w:t>The purchase and production of programming represented the largest component of MVPDs’ operating expenses</w:t>
      </w:r>
      <w:r w:rsidR="004E5D43">
        <w:rPr>
          <w:lang w:val="en-GB"/>
        </w:rPr>
        <w:t>,</w:t>
      </w:r>
      <w:r w:rsidRPr="00722C19">
        <w:rPr>
          <w:lang w:val="en-GB"/>
        </w:rPr>
        <w:t xml:space="preserve"> in part due to higher payments for “popular” programming</w:t>
      </w:r>
      <w:r w:rsidR="004E5D43">
        <w:rPr>
          <w:lang w:val="en-GB"/>
        </w:rPr>
        <w:t>,</w:t>
      </w:r>
      <w:r w:rsidRPr="00722C19">
        <w:rPr>
          <w:lang w:val="en-GB"/>
        </w:rPr>
        <w:t xml:space="preserve"> digital compression</w:t>
      </w:r>
      <w:r w:rsidR="004E5D43">
        <w:rPr>
          <w:lang w:val="en-GB"/>
        </w:rPr>
        <w:t>,</w:t>
      </w:r>
      <w:r w:rsidRPr="00722C19">
        <w:rPr>
          <w:lang w:val="en-GB"/>
        </w:rPr>
        <w:t xml:space="preserve"> and technological advances that created more channel capacity.</w:t>
      </w:r>
      <w:r w:rsidR="00976B9F" w:rsidRPr="00722C19">
        <w:rPr>
          <w:lang w:val="en-GB"/>
        </w:rPr>
        <w:t xml:space="preserve"> </w:t>
      </w:r>
      <w:r w:rsidR="007F4B60" w:rsidRPr="00722C19">
        <w:rPr>
          <w:lang w:val="en-GB"/>
        </w:rPr>
        <w:t>In 2017, t</w:t>
      </w:r>
      <w:r w:rsidR="00C11506" w:rsidRPr="00722C19">
        <w:rPr>
          <w:lang w:val="en-GB"/>
        </w:rPr>
        <w:t xml:space="preserve">he average number of channels in a </w:t>
      </w:r>
      <w:proofErr w:type="spellStart"/>
      <w:r w:rsidR="001B01EF">
        <w:rPr>
          <w:lang w:val="en-GB"/>
        </w:rPr>
        <w:t>p</w:t>
      </w:r>
      <w:r w:rsidR="00C11506" w:rsidRPr="00722C19">
        <w:rPr>
          <w:lang w:val="en-GB"/>
        </w:rPr>
        <w:t>ay-TV</w:t>
      </w:r>
      <w:proofErr w:type="spellEnd"/>
      <w:r w:rsidR="00C11506" w:rsidRPr="00722C19">
        <w:rPr>
          <w:lang w:val="en-GB"/>
        </w:rPr>
        <w:t xml:space="preserve"> bundle exceeded 200, a jump from 49 and 73 in 1997 and 2007, respectively.</w:t>
      </w:r>
      <w:r w:rsidRPr="00722C19">
        <w:rPr>
          <w:rStyle w:val="EndnoteReference"/>
          <w:lang w:val="en-GB"/>
        </w:rPr>
        <w:endnoteReference w:id="15"/>
      </w:r>
      <w:r w:rsidRPr="00722C19">
        <w:rPr>
          <w:lang w:val="en-GB"/>
        </w:rPr>
        <w:t xml:space="preserve"> Of the various types of video entertainment, sports programming was the most expensive, accounting for nearly 40 per</w:t>
      </w:r>
      <w:r w:rsidR="004E5D43">
        <w:rPr>
          <w:lang w:val="en-GB"/>
        </w:rPr>
        <w:t xml:space="preserve"> </w:t>
      </w:r>
      <w:r w:rsidRPr="00722C19">
        <w:rPr>
          <w:lang w:val="en-GB"/>
        </w:rPr>
        <w:t>cent of the average MVPD bill (see Exhibit 2).</w:t>
      </w:r>
    </w:p>
    <w:p w14:paraId="472D3E2B" w14:textId="77777777" w:rsidR="00BC4BA1" w:rsidRPr="00722C19" w:rsidRDefault="00BC4BA1" w:rsidP="00BC4BA1">
      <w:pPr>
        <w:pStyle w:val="BodyTextMain"/>
        <w:rPr>
          <w:lang w:val="en-GB"/>
        </w:rPr>
      </w:pPr>
    </w:p>
    <w:p w14:paraId="3A7A5380" w14:textId="6CECAFE8" w:rsidR="00BC4BA1" w:rsidRPr="00722C19" w:rsidRDefault="00BC4BA1" w:rsidP="00BC4BA1">
      <w:pPr>
        <w:pStyle w:val="BodyTextMain"/>
        <w:rPr>
          <w:u w:val="single"/>
          <w:lang w:val="en-GB"/>
        </w:rPr>
      </w:pPr>
      <w:r w:rsidRPr="00722C19">
        <w:rPr>
          <w:lang w:val="en-GB"/>
        </w:rPr>
        <w:t>M</w:t>
      </w:r>
      <w:r w:rsidR="004E5D43">
        <w:rPr>
          <w:lang w:val="en-GB"/>
        </w:rPr>
        <w:t>erge</w:t>
      </w:r>
      <w:r w:rsidR="00C739FA">
        <w:rPr>
          <w:lang w:val="en-GB"/>
        </w:rPr>
        <w:t>rs</w:t>
      </w:r>
      <w:r w:rsidR="004E5D43">
        <w:rPr>
          <w:lang w:val="en-GB"/>
        </w:rPr>
        <w:t xml:space="preserve"> and acquisitions</w:t>
      </w:r>
      <w:r w:rsidR="004E5D43" w:rsidRPr="00722C19">
        <w:rPr>
          <w:lang w:val="en-GB"/>
        </w:rPr>
        <w:t xml:space="preserve"> </w:t>
      </w:r>
      <w:r w:rsidRPr="00722C19">
        <w:rPr>
          <w:lang w:val="en-GB"/>
        </w:rPr>
        <w:t xml:space="preserve">activity, including AT&amp;T’s merger with DirecTV in 2015 and </w:t>
      </w:r>
      <w:r w:rsidR="004E5D43">
        <w:rPr>
          <w:lang w:val="en-GB"/>
        </w:rPr>
        <w:t>Charter Communications’</w:t>
      </w:r>
      <w:r w:rsidR="004E5D43" w:rsidRPr="00722C19">
        <w:rPr>
          <w:lang w:val="en-GB"/>
        </w:rPr>
        <w:t xml:space="preserve"> </w:t>
      </w:r>
      <w:r w:rsidRPr="00722C19">
        <w:rPr>
          <w:lang w:val="en-GB"/>
        </w:rPr>
        <w:t>acquisition of Time Warner Cable and Bright House Networks a year later, contributed to a higher level of MVPD concentration at the national level</w:t>
      </w:r>
      <w:r w:rsidR="007D2C81" w:rsidRPr="00722C19">
        <w:rPr>
          <w:lang w:val="en-GB"/>
        </w:rPr>
        <w:t xml:space="preserve"> in the U</w:t>
      </w:r>
      <w:r w:rsidR="004E5D43">
        <w:rPr>
          <w:lang w:val="en-GB"/>
        </w:rPr>
        <w:t xml:space="preserve">nited </w:t>
      </w:r>
      <w:r w:rsidR="007D2C81" w:rsidRPr="00722C19">
        <w:rPr>
          <w:lang w:val="en-GB"/>
        </w:rPr>
        <w:t>S</w:t>
      </w:r>
      <w:r w:rsidR="004E5D43">
        <w:rPr>
          <w:lang w:val="en-GB"/>
        </w:rPr>
        <w:t>tates</w:t>
      </w:r>
      <w:r w:rsidRPr="00722C19">
        <w:rPr>
          <w:lang w:val="en-GB"/>
        </w:rPr>
        <w:t xml:space="preserve"> (see Exhibit 3). More subscribers should have strengthened a</w:t>
      </w:r>
      <w:r w:rsidR="004E5D43">
        <w:rPr>
          <w:lang w:val="en-GB"/>
        </w:rPr>
        <w:t>n</w:t>
      </w:r>
      <w:r w:rsidRPr="00722C19">
        <w:rPr>
          <w:lang w:val="en-GB"/>
        </w:rPr>
        <w:t xml:space="preserve"> MVPD’s bargaining position in carriage negotiations with content owners.</w:t>
      </w:r>
      <w:r w:rsidR="00976B9F" w:rsidRPr="00722C19">
        <w:rPr>
          <w:lang w:val="en-GB"/>
        </w:rPr>
        <w:t xml:space="preserve"> </w:t>
      </w:r>
      <w:r w:rsidRPr="00722C19">
        <w:rPr>
          <w:lang w:val="en-GB"/>
        </w:rPr>
        <w:t xml:space="preserve">However, </w:t>
      </w:r>
      <w:r w:rsidR="004E5D43">
        <w:rPr>
          <w:lang w:val="en-GB"/>
        </w:rPr>
        <w:t>the</w:t>
      </w:r>
      <w:r w:rsidRPr="00722C19">
        <w:rPr>
          <w:lang w:val="en-GB"/>
        </w:rPr>
        <w:t xml:space="preserve"> horizontal mergers among content owners and vertical tie-ups, such as the acquisition of NBC Universal by Comcast in 2011, made the media landscape more complicated and more contentious than ever.</w:t>
      </w:r>
      <w:r w:rsidRPr="00722C19">
        <w:rPr>
          <w:rStyle w:val="EndnoteReference"/>
          <w:lang w:val="en-GB"/>
        </w:rPr>
        <w:endnoteReference w:id="16"/>
      </w:r>
      <w:r w:rsidRPr="00722C19">
        <w:rPr>
          <w:lang w:val="en-GB"/>
        </w:rPr>
        <w:t xml:space="preserve"> On several occasions, channel access was “blacked out” to viewers because programmers and distributors could not agree </w:t>
      </w:r>
      <w:r w:rsidR="00C739FA">
        <w:rPr>
          <w:lang w:val="en-GB"/>
        </w:rPr>
        <w:t>on</w:t>
      </w:r>
      <w:r w:rsidR="00C739FA" w:rsidRPr="00722C19">
        <w:rPr>
          <w:lang w:val="en-GB"/>
        </w:rPr>
        <w:t xml:space="preserve"> </w:t>
      </w:r>
      <w:r w:rsidR="003703F3">
        <w:rPr>
          <w:lang w:val="en-GB"/>
        </w:rPr>
        <w:t xml:space="preserve">the </w:t>
      </w:r>
      <w:r w:rsidRPr="00722C19">
        <w:rPr>
          <w:lang w:val="en-GB"/>
        </w:rPr>
        <w:t>terms.</w:t>
      </w:r>
      <w:r w:rsidR="003B72FB">
        <w:rPr>
          <w:rStyle w:val="EndnoteReference"/>
          <w:lang w:val="en-GB"/>
        </w:rPr>
        <w:endnoteReference w:id="17"/>
      </w:r>
      <w:r w:rsidRPr="00722C19">
        <w:rPr>
          <w:lang w:val="en-GB"/>
        </w:rPr>
        <w:t xml:space="preserve"> The risk</w:t>
      </w:r>
      <w:r w:rsidR="00C739FA">
        <w:rPr>
          <w:lang w:val="en-GB"/>
        </w:rPr>
        <w:t>–</w:t>
      </w:r>
      <w:r w:rsidRPr="00722C19">
        <w:rPr>
          <w:lang w:val="en-GB"/>
        </w:rPr>
        <w:t>reward trade</w:t>
      </w:r>
      <w:r w:rsidR="004E5D43">
        <w:rPr>
          <w:lang w:val="en-GB"/>
        </w:rPr>
        <w:t>-</w:t>
      </w:r>
      <w:r w:rsidRPr="00722C19">
        <w:rPr>
          <w:lang w:val="en-GB"/>
        </w:rPr>
        <w:t>off to both parties was significant</w:t>
      </w:r>
      <w:r w:rsidR="004E5D43">
        <w:rPr>
          <w:lang w:val="en-GB"/>
        </w:rPr>
        <w:t>,</w:t>
      </w:r>
      <w:r w:rsidRPr="00722C19">
        <w:rPr>
          <w:lang w:val="en-GB"/>
        </w:rPr>
        <w:t xml:space="preserve"> as it put into question whether the value of the programming (customer retentio</w:t>
      </w:r>
      <w:r w:rsidR="0063121B">
        <w:rPr>
          <w:lang w:val="en-GB"/>
        </w:rPr>
        <w:t xml:space="preserve">n) justified the retransmission and </w:t>
      </w:r>
      <w:r w:rsidRPr="00722C19">
        <w:rPr>
          <w:lang w:val="en-GB"/>
        </w:rPr>
        <w:t xml:space="preserve">carriage fees. </w:t>
      </w:r>
    </w:p>
    <w:p w14:paraId="5A37F371" w14:textId="77777777" w:rsidR="00BC4BA1" w:rsidRPr="00722C19" w:rsidRDefault="00BC4BA1" w:rsidP="00BC4BA1">
      <w:pPr>
        <w:pStyle w:val="BodyTextMain"/>
        <w:rPr>
          <w:u w:val="single"/>
          <w:lang w:val="en-GB"/>
        </w:rPr>
      </w:pPr>
    </w:p>
    <w:p w14:paraId="06FBE3FD" w14:textId="1951E240" w:rsidR="00BC4BA1" w:rsidRPr="00722C19" w:rsidRDefault="00BC4BA1" w:rsidP="00BC4BA1">
      <w:pPr>
        <w:pStyle w:val="BodyTextMain"/>
        <w:rPr>
          <w:u w:val="single"/>
          <w:lang w:val="en-GB"/>
        </w:rPr>
      </w:pPr>
    </w:p>
    <w:p w14:paraId="01E235C9" w14:textId="668E9520" w:rsidR="00BC4BA1" w:rsidRPr="00722C19" w:rsidRDefault="00BC4BA1" w:rsidP="00E95133">
      <w:pPr>
        <w:pStyle w:val="Casehead1"/>
        <w:rPr>
          <w:lang w:val="en-GB"/>
        </w:rPr>
      </w:pPr>
      <w:r w:rsidRPr="00722C19">
        <w:rPr>
          <w:lang w:val="en-GB"/>
        </w:rPr>
        <w:t>Disney</w:t>
      </w:r>
    </w:p>
    <w:p w14:paraId="6093AD1D" w14:textId="77777777" w:rsidR="00BC4BA1" w:rsidRPr="00722C19" w:rsidRDefault="00BC4BA1" w:rsidP="00BC4BA1">
      <w:pPr>
        <w:pStyle w:val="BodyTextMain"/>
        <w:rPr>
          <w:lang w:val="en-GB"/>
        </w:rPr>
      </w:pPr>
    </w:p>
    <w:p w14:paraId="5E362327" w14:textId="19B25D8F" w:rsidR="00BC4BA1" w:rsidRPr="00722C19" w:rsidRDefault="00BC4BA1" w:rsidP="00BC4BA1">
      <w:pPr>
        <w:pStyle w:val="BodyTextMain"/>
        <w:rPr>
          <w:u w:val="single"/>
          <w:lang w:val="en-GB"/>
        </w:rPr>
      </w:pPr>
      <w:r w:rsidRPr="00722C19">
        <w:rPr>
          <w:lang w:val="en-GB"/>
        </w:rPr>
        <w:t>In 2017, Media Networks was the largest of the four Disney business segments and accounted for approximately 43 per</w:t>
      </w:r>
      <w:r w:rsidR="00A815DE">
        <w:rPr>
          <w:lang w:val="en-GB"/>
        </w:rPr>
        <w:t xml:space="preserve"> </w:t>
      </w:r>
      <w:r w:rsidRPr="00722C19">
        <w:rPr>
          <w:lang w:val="en-GB"/>
        </w:rPr>
        <w:t>cent of the firm’s revenue and nearly half of its operating income (see Exhibit 4).</w:t>
      </w:r>
      <w:r w:rsidR="00976B9F" w:rsidRPr="00722C19">
        <w:rPr>
          <w:lang w:val="en-GB"/>
        </w:rPr>
        <w:t xml:space="preserve"> </w:t>
      </w:r>
      <w:r w:rsidRPr="00722C19">
        <w:rPr>
          <w:lang w:val="en-GB"/>
        </w:rPr>
        <w:t xml:space="preserve">In this segment, the firm owned and operated television production and distribution operations (ABC Studios), a broadcast television network (ABC), cable networks (ESPN, Disney Channel, and Freeform), and eight </w:t>
      </w:r>
      <w:r w:rsidRPr="00722C19">
        <w:rPr>
          <w:lang w:val="en-GB"/>
        </w:rPr>
        <w:lastRenderedPageBreak/>
        <w:t xml:space="preserve">television stations, six of which </w:t>
      </w:r>
      <w:r w:rsidR="00FD6298">
        <w:rPr>
          <w:lang w:val="en-GB"/>
        </w:rPr>
        <w:t xml:space="preserve">were </w:t>
      </w:r>
      <w:r w:rsidR="003703F3">
        <w:rPr>
          <w:lang w:val="en-GB"/>
        </w:rPr>
        <w:t xml:space="preserve">among </w:t>
      </w:r>
      <w:r w:rsidRPr="00722C19">
        <w:rPr>
          <w:lang w:val="en-GB"/>
        </w:rPr>
        <w:t>the top</w:t>
      </w:r>
      <w:r w:rsidR="00A815DE">
        <w:rPr>
          <w:lang w:val="en-GB"/>
        </w:rPr>
        <w:t xml:space="preserve"> </w:t>
      </w:r>
      <w:r w:rsidRPr="00722C19">
        <w:rPr>
          <w:lang w:val="en-GB"/>
        </w:rPr>
        <w:t>10 markets in the United States.</w:t>
      </w:r>
      <w:r w:rsidRPr="00722C19">
        <w:rPr>
          <w:rStyle w:val="EndnoteReference"/>
          <w:lang w:val="en-GB"/>
        </w:rPr>
        <w:endnoteReference w:id="18"/>
      </w:r>
      <w:r w:rsidRPr="00722C19">
        <w:rPr>
          <w:lang w:val="en-GB"/>
        </w:rPr>
        <w:t xml:space="preserve"> Its Studio Entertainment segment, consisting of Walt Disney Pictures, Pixar, Marvel</w:t>
      </w:r>
      <w:r w:rsidR="00710EF4">
        <w:rPr>
          <w:lang w:val="en-GB"/>
        </w:rPr>
        <w:t xml:space="preserve"> Studios</w:t>
      </w:r>
      <w:r w:rsidRPr="00722C19">
        <w:rPr>
          <w:lang w:val="en-GB"/>
        </w:rPr>
        <w:t xml:space="preserve">, </w:t>
      </w:r>
      <w:proofErr w:type="spellStart"/>
      <w:r w:rsidRPr="00722C19">
        <w:rPr>
          <w:lang w:val="en-GB"/>
        </w:rPr>
        <w:t>Lucas</w:t>
      </w:r>
      <w:r w:rsidR="00710EF4">
        <w:rPr>
          <w:lang w:val="en-GB"/>
        </w:rPr>
        <w:t>f</w:t>
      </w:r>
      <w:r w:rsidRPr="00722C19">
        <w:rPr>
          <w:lang w:val="en-GB"/>
        </w:rPr>
        <w:t>ilm</w:t>
      </w:r>
      <w:proofErr w:type="spellEnd"/>
      <w:r w:rsidR="00710EF4">
        <w:rPr>
          <w:lang w:val="en-GB"/>
        </w:rPr>
        <w:t xml:space="preserve"> Ltd.</w:t>
      </w:r>
      <w:r w:rsidRPr="00722C19">
        <w:rPr>
          <w:lang w:val="en-GB"/>
        </w:rPr>
        <w:t>, and Touchstone</w:t>
      </w:r>
      <w:r w:rsidR="00710EF4">
        <w:rPr>
          <w:lang w:val="en-GB"/>
        </w:rPr>
        <w:t xml:space="preserve"> Pictures</w:t>
      </w:r>
      <w:r w:rsidRPr="00722C19">
        <w:rPr>
          <w:lang w:val="en-GB"/>
        </w:rPr>
        <w:t>, contributed 16 per</w:t>
      </w:r>
      <w:r w:rsidR="00A815DE">
        <w:rPr>
          <w:lang w:val="en-GB"/>
        </w:rPr>
        <w:t xml:space="preserve"> </w:t>
      </w:r>
      <w:r w:rsidRPr="00722C19">
        <w:rPr>
          <w:lang w:val="en-GB"/>
        </w:rPr>
        <w:t>cent to operating income and locked up the largest share of 2017 box office receipts</w:t>
      </w:r>
      <w:r w:rsidR="00186217">
        <w:rPr>
          <w:lang w:val="en-GB"/>
        </w:rPr>
        <w:t>,</w:t>
      </w:r>
      <w:r w:rsidR="007D2C81" w:rsidRPr="00722C19">
        <w:rPr>
          <w:lang w:val="en-GB"/>
        </w:rPr>
        <w:t xml:space="preserve"> </w:t>
      </w:r>
      <w:r w:rsidR="00186217">
        <w:rPr>
          <w:lang w:val="en-GB"/>
        </w:rPr>
        <w:t>at</w:t>
      </w:r>
      <w:r w:rsidR="00186217" w:rsidRPr="00722C19">
        <w:rPr>
          <w:lang w:val="en-GB"/>
        </w:rPr>
        <w:t xml:space="preserve"> </w:t>
      </w:r>
      <w:r w:rsidR="007D2C81" w:rsidRPr="00722C19">
        <w:rPr>
          <w:lang w:val="en-GB"/>
        </w:rPr>
        <w:t>nearly 22 per</w:t>
      </w:r>
      <w:r w:rsidR="00A815DE">
        <w:rPr>
          <w:lang w:val="en-GB"/>
        </w:rPr>
        <w:t xml:space="preserve"> </w:t>
      </w:r>
      <w:r w:rsidR="007D2C81" w:rsidRPr="00722C19">
        <w:rPr>
          <w:lang w:val="en-GB"/>
        </w:rPr>
        <w:t>cent</w:t>
      </w:r>
      <w:r w:rsidRPr="00722C19">
        <w:rPr>
          <w:lang w:val="en-GB"/>
        </w:rPr>
        <w:t>.</w:t>
      </w:r>
      <w:r w:rsidR="007D2C81" w:rsidRPr="00722C19">
        <w:rPr>
          <w:rStyle w:val="EndnoteReference"/>
          <w:lang w:val="en-GB"/>
        </w:rPr>
        <w:endnoteReference w:id="19"/>
      </w:r>
      <w:r w:rsidRPr="00722C19">
        <w:rPr>
          <w:lang w:val="en-GB"/>
        </w:rPr>
        <w:t xml:space="preserve"> </w:t>
      </w:r>
      <w:r w:rsidR="007D2C81" w:rsidRPr="00722C19">
        <w:rPr>
          <w:lang w:val="en-GB"/>
        </w:rPr>
        <w:t>Between 2013 and 2017, Disney’s share of box office receipts averaged 19.5 per</w:t>
      </w:r>
      <w:r w:rsidR="00186217">
        <w:rPr>
          <w:lang w:val="en-GB"/>
        </w:rPr>
        <w:t xml:space="preserve"> </w:t>
      </w:r>
      <w:r w:rsidR="007D2C81" w:rsidRPr="00722C19">
        <w:rPr>
          <w:lang w:val="en-GB"/>
        </w:rPr>
        <w:t>cent.</w:t>
      </w:r>
      <w:r w:rsidR="00EB4D1B" w:rsidRPr="00722C19">
        <w:rPr>
          <w:rStyle w:val="EndnoteReference"/>
          <w:lang w:val="en-GB"/>
        </w:rPr>
        <w:endnoteReference w:id="20"/>
      </w:r>
    </w:p>
    <w:p w14:paraId="5DEF85C8" w14:textId="77777777" w:rsidR="00BC4BA1" w:rsidRPr="00722C19" w:rsidRDefault="00BC4BA1" w:rsidP="00BC4BA1">
      <w:pPr>
        <w:pStyle w:val="BodyTextMain"/>
        <w:rPr>
          <w:lang w:val="en-GB"/>
        </w:rPr>
      </w:pPr>
    </w:p>
    <w:p w14:paraId="48EC28BD" w14:textId="1C49082F" w:rsidR="00BC4BA1" w:rsidRPr="00722C19" w:rsidRDefault="00BC4BA1" w:rsidP="00BC4BA1">
      <w:pPr>
        <w:pStyle w:val="BodyTextMain"/>
        <w:rPr>
          <w:lang w:val="en-GB"/>
        </w:rPr>
      </w:pPr>
      <w:r w:rsidRPr="00722C19">
        <w:rPr>
          <w:lang w:val="en-GB"/>
        </w:rPr>
        <w:t>The two largest sources of revenue in the Media Networks segment were affiliate fees and advertising (ad) sales. Affiliate fees, which account</w:t>
      </w:r>
      <w:r w:rsidR="00186217">
        <w:rPr>
          <w:lang w:val="en-GB"/>
        </w:rPr>
        <w:t>ed</w:t>
      </w:r>
      <w:r w:rsidRPr="00722C19">
        <w:rPr>
          <w:lang w:val="en-GB"/>
        </w:rPr>
        <w:t xml:space="preserve"> for </w:t>
      </w:r>
      <w:r w:rsidR="00186217">
        <w:rPr>
          <w:lang w:val="en-GB"/>
        </w:rPr>
        <w:t>more than</w:t>
      </w:r>
      <w:r w:rsidR="00186217" w:rsidRPr="00722C19">
        <w:rPr>
          <w:lang w:val="en-GB"/>
        </w:rPr>
        <w:t xml:space="preserve"> </w:t>
      </w:r>
      <w:r w:rsidRPr="00722C19">
        <w:rPr>
          <w:lang w:val="en-GB"/>
        </w:rPr>
        <w:t>half of Media Networks revenues</w:t>
      </w:r>
      <w:r w:rsidR="00715E0D">
        <w:rPr>
          <w:lang w:val="en-GB"/>
        </w:rPr>
        <w:t>,</w:t>
      </w:r>
      <w:r w:rsidRPr="00722C19">
        <w:rPr>
          <w:lang w:val="en-GB"/>
        </w:rPr>
        <w:t xml:space="preserve"> were per subscriber rates contractually set in multi-year agreements for programming distribution rights.</w:t>
      </w:r>
      <w:r w:rsidRPr="00722C19">
        <w:rPr>
          <w:rStyle w:val="EndnoteReference"/>
          <w:lang w:val="en-GB"/>
        </w:rPr>
        <w:endnoteReference w:id="21"/>
      </w:r>
      <w:r w:rsidRPr="00722C19">
        <w:rPr>
          <w:lang w:val="en-GB"/>
        </w:rPr>
        <w:t xml:space="preserve"> Disney collected its largest affiliate fees for ESPN, its all-sports cable network that was distributed to approximately 88 million households (down from its peak of 100 million in 2010).</w:t>
      </w:r>
      <w:r w:rsidRPr="00722C19">
        <w:rPr>
          <w:rStyle w:val="EndnoteReference"/>
          <w:lang w:val="en-GB"/>
        </w:rPr>
        <w:endnoteReference w:id="22"/>
      </w:r>
      <w:r w:rsidR="00976B9F" w:rsidRPr="00722C19">
        <w:rPr>
          <w:lang w:val="en-GB"/>
        </w:rPr>
        <w:t xml:space="preserve"> </w:t>
      </w:r>
      <w:r w:rsidRPr="00722C19">
        <w:rPr>
          <w:lang w:val="en-GB"/>
        </w:rPr>
        <w:t>Carriage fees for ESPN’s main network alone cost MVPD providers $7.21 per subscriber, up from $4.69 in 2011.</w:t>
      </w:r>
      <w:r w:rsidRPr="00722C19">
        <w:rPr>
          <w:rStyle w:val="EndnoteReference"/>
          <w:lang w:val="en-GB"/>
        </w:rPr>
        <w:endnoteReference w:id="23"/>
      </w:r>
      <w:r w:rsidRPr="00722C19">
        <w:rPr>
          <w:lang w:val="en-GB"/>
        </w:rPr>
        <w:t xml:space="preserve"> A major reason for the high affiliate fees was to </w:t>
      </w:r>
      <w:r w:rsidR="003703F3">
        <w:rPr>
          <w:lang w:val="en-GB"/>
        </w:rPr>
        <w:t>enable</w:t>
      </w:r>
      <w:r w:rsidR="003703F3" w:rsidRPr="00722C19">
        <w:rPr>
          <w:lang w:val="en-GB"/>
        </w:rPr>
        <w:t xml:space="preserve"> </w:t>
      </w:r>
      <w:r w:rsidRPr="00722C19">
        <w:rPr>
          <w:lang w:val="en-GB"/>
        </w:rPr>
        <w:t xml:space="preserve">the firm to cover its program creation and acquisition costs. For example, ESPN owned the programming rights for various collegiate and professional sports, including Major League Baseball (MLB), </w:t>
      </w:r>
      <w:r w:rsidR="00186217">
        <w:rPr>
          <w:lang w:val="en-GB"/>
        </w:rPr>
        <w:t xml:space="preserve">the </w:t>
      </w:r>
      <w:r w:rsidRPr="00722C19">
        <w:rPr>
          <w:lang w:val="en-GB"/>
        </w:rPr>
        <w:t xml:space="preserve">National Basketball Association (NBA), and </w:t>
      </w:r>
      <w:r w:rsidR="00186217">
        <w:rPr>
          <w:lang w:val="en-GB"/>
        </w:rPr>
        <w:t xml:space="preserve">the </w:t>
      </w:r>
      <w:r w:rsidRPr="00722C19">
        <w:rPr>
          <w:lang w:val="en-GB"/>
        </w:rPr>
        <w:t xml:space="preserve">National Football League (NFL). In 2017, Disney spent </w:t>
      </w:r>
      <w:r w:rsidR="00186217">
        <w:rPr>
          <w:lang w:val="en-GB"/>
        </w:rPr>
        <w:t>more than</w:t>
      </w:r>
      <w:r w:rsidR="00186217" w:rsidRPr="00722C19">
        <w:rPr>
          <w:lang w:val="en-GB"/>
        </w:rPr>
        <w:t xml:space="preserve"> </w:t>
      </w:r>
      <w:r w:rsidRPr="00722C19">
        <w:rPr>
          <w:lang w:val="en-GB"/>
        </w:rPr>
        <w:t>$7 billion for sports programming rights, approximately half of which went to the three professional sports leagues.</w:t>
      </w:r>
      <w:r w:rsidRPr="00722C19">
        <w:rPr>
          <w:rStyle w:val="EndnoteReference"/>
          <w:lang w:val="en-GB"/>
        </w:rPr>
        <w:endnoteReference w:id="24"/>
      </w:r>
      <w:r w:rsidRPr="00722C19">
        <w:rPr>
          <w:lang w:val="en-GB"/>
        </w:rPr>
        <w:t xml:space="preserve"> </w:t>
      </w:r>
    </w:p>
    <w:p w14:paraId="211C3D22" w14:textId="77777777" w:rsidR="00BC4BA1" w:rsidRPr="00722C19" w:rsidRDefault="00BC4BA1" w:rsidP="00BC4BA1">
      <w:pPr>
        <w:pStyle w:val="BodyTextMain"/>
        <w:rPr>
          <w:u w:val="single"/>
          <w:lang w:val="en-GB"/>
        </w:rPr>
      </w:pPr>
    </w:p>
    <w:p w14:paraId="20007B53" w14:textId="77777777" w:rsidR="00BC4BA1" w:rsidRPr="00722C19" w:rsidRDefault="00BC4BA1" w:rsidP="00BC4BA1">
      <w:pPr>
        <w:pStyle w:val="BodyTextMain"/>
        <w:rPr>
          <w:u w:val="single"/>
          <w:lang w:val="en-GB"/>
        </w:rPr>
      </w:pPr>
    </w:p>
    <w:p w14:paraId="26E3C7C2" w14:textId="18ED305C" w:rsidR="00BC4BA1" w:rsidRPr="00722C19" w:rsidRDefault="0063121B" w:rsidP="00E95133">
      <w:pPr>
        <w:pStyle w:val="Casehead1"/>
        <w:rPr>
          <w:lang w:val="en-GB"/>
        </w:rPr>
      </w:pPr>
      <w:r>
        <w:rPr>
          <w:lang w:val="en-GB"/>
        </w:rPr>
        <w:t>What Changed</w:t>
      </w:r>
    </w:p>
    <w:p w14:paraId="3896ECEA" w14:textId="77777777" w:rsidR="00BC4BA1" w:rsidRPr="00722C19" w:rsidRDefault="00BC4BA1" w:rsidP="00BC4BA1">
      <w:pPr>
        <w:pStyle w:val="BodyTextMain"/>
        <w:rPr>
          <w:lang w:val="en-GB"/>
        </w:rPr>
      </w:pPr>
    </w:p>
    <w:p w14:paraId="0B7322F0" w14:textId="383E0E93" w:rsidR="00BC4BA1" w:rsidRPr="00722C19" w:rsidRDefault="00BC4BA1" w:rsidP="00BC4BA1">
      <w:pPr>
        <w:pStyle w:val="BodyTextMain"/>
        <w:rPr>
          <w:lang w:val="en-GB"/>
        </w:rPr>
      </w:pPr>
      <w:r w:rsidRPr="00722C19">
        <w:rPr>
          <w:lang w:val="en-GB"/>
        </w:rPr>
        <w:t>In 1996, Bill Gates, founder of Microsoft</w:t>
      </w:r>
      <w:r w:rsidR="00BF5FF3">
        <w:rPr>
          <w:lang w:val="en-GB"/>
        </w:rPr>
        <w:t xml:space="preserve"> Corporation</w:t>
      </w:r>
      <w:r w:rsidRPr="00722C19">
        <w:rPr>
          <w:lang w:val="en-GB"/>
        </w:rPr>
        <w:t xml:space="preserve">, penned the phrase </w:t>
      </w:r>
      <w:r w:rsidR="00C6768A">
        <w:rPr>
          <w:lang w:val="en-GB"/>
        </w:rPr>
        <w:t>“</w:t>
      </w:r>
      <w:r w:rsidR="00BF5FF3" w:rsidRPr="00722C19">
        <w:rPr>
          <w:lang w:val="en-GB"/>
        </w:rPr>
        <w:t>c</w:t>
      </w:r>
      <w:r w:rsidRPr="00722C19">
        <w:rPr>
          <w:lang w:val="en-GB"/>
        </w:rPr>
        <w:t xml:space="preserve">ontent is </w:t>
      </w:r>
      <w:r w:rsidR="00BF5FF3" w:rsidRPr="00722C19">
        <w:rPr>
          <w:lang w:val="en-GB"/>
        </w:rPr>
        <w:t>k</w:t>
      </w:r>
      <w:r w:rsidRPr="00722C19">
        <w:rPr>
          <w:lang w:val="en-GB"/>
        </w:rPr>
        <w:t>ing.</w:t>
      </w:r>
      <w:r w:rsidR="00C6768A">
        <w:rPr>
          <w:lang w:val="en-GB"/>
        </w:rPr>
        <w:t>”</w:t>
      </w:r>
      <w:r w:rsidRPr="00722C19">
        <w:rPr>
          <w:rStyle w:val="EndnoteReference"/>
          <w:lang w:val="en-GB"/>
        </w:rPr>
        <w:endnoteReference w:id="25"/>
      </w:r>
      <w:r w:rsidRPr="00722C19">
        <w:rPr>
          <w:lang w:val="en-GB"/>
        </w:rPr>
        <w:t xml:space="preserve"> At the time, he was referring to </w:t>
      </w:r>
      <w:r w:rsidR="00C6768A">
        <w:rPr>
          <w:lang w:val="en-GB"/>
        </w:rPr>
        <w:t xml:space="preserve">the availability of </w:t>
      </w:r>
      <w:r w:rsidRPr="00722C19">
        <w:rPr>
          <w:lang w:val="en-GB"/>
        </w:rPr>
        <w:t xml:space="preserve">information (data) over the </w:t>
      </w:r>
      <w:r w:rsidR="00BF5FF3">
        <w:rPr>
          <w:lang w:val="en-GB"/>
        </w:rPr>
        <w:t>I</w:t>
      </w:r>
      <w:r w:rsidRPr="00722C19">
        <w:rPr>
          <w:lang w:val="en-GB"/>
        </w:rPr>
        <w:t>nternet, but his proclamation applied equally well to video programming delivered to television sets by cable and satellite providers. Households valued and were willing to pay to watch their favo</w:t>
      </w:r>
      <w:r w:rsidR="00BF5FF3">
        <w:rPr>
          <w:lang w:val="en-GB"/>
        </w:rPr>
        <w:t>u</w:t>
      </w:r>
      <w:r w:rsidRPr="00722C19">
        <w:rPr>
          <w:lang w:val="en-GB"/>
        </w:rPr>
        <w:t>rite shows at the scheduled times</w:t>
      </w:r>
      <w:r w:rsidR="003703F3">
        <w:rPr>
          <w:lang w:val="en-GB"/>
        </w:rPr>
        <w:t>;</w:t>
      </w:r>
      <w:r w:rsidRPr="00722C19">
        <w:rPr>
          <w:lang w:val="en-GB"/>
        </w:rPr>
        <w:t xml:space="preserve"> coverage of live events, particularly sports</w:t>
      </w:r>
      <w:r w:rsidR="003703F3">
        <w:rPr>
          <w:lang w:val="en-GB"/>
        </w:rPr>
        <w:t>;</w:t>
      </w:r>
      <w:r w:rsidRPr="00722C19">
        <w:rPr>
          <w:lang w:val="en-GB"/>
        </w:rPr>
        <w:t xml:space="preserve"> and TV reruns and movies found by flipping the channels. But times changed. According to </w:t>
      </w:r>
      <w:r w:rsidR="00BF5FF3">
        <w:rPr>
          <w:lang w:val="en-GB"/>
        </w:rPr>
        <w:t xml:space="preserve">research firm </w:t>
      </w:r>
      <w:proofErr w:type="spellStart"/>
      <w:r w:rsidRPr="00722C19">
        <w:rPr>
          <w:lang w:val="en-GB"/>
        </w:rPr>
        <w:t>Moffet</w:t>
      </w:r>
      <w:r w:rsidR="00C6768A">
        <w:rPr>
          <w:lang w:val="en-GB"/>
        </w:rPr>
        <w:t>t</w:t>
      </w:r>
      <w:r w:rsidRPr="00722C19">
        <w:rPr>
          <w:lang w:val="en-GB"/>
        </w:rPr>
        <w:t>Nathanson</w:t>
      </w:r>
      <w:proofErr w:type="spellEnd"/>
      <w:r w:rsidRPr="00722C19">
        <w:rPr>
          <w:lang w:val="en-GB"/>
        </w:rPr>
        <w:t xml:space="preserve">, </w:t>
      </w:r>
      <w:r w:rsidR="00C6768A">
        <w:rPr>
          <w:lang w:val="en-GB"/>
        </w:rPr>
        <w:t xml:space="preserve">in 2010, for the first time in history, </w:t>
      </w:r>
      <w:proofErr w:type="spellStart"/>
      <w:r w:rsidRPr="00722C19">
        <w:rPr>
          <w:lang w:val="en-GB"/>
        </w:rPr>
        <w:t>pay-TV</w:t>
      </w:r>
      <w:proofErr w:type="spellEnd"/>
      <w:r w:rsidRPr="00722C19">
        <w:rPr>
          <w:lang w:val="en-GB"/>
        </w:rPr>
        <w:t xml:space="preserve"> growth dropped below new household formation.</w:t>
      </w:r>
      <w:r w:rsidRPr="00722C19">
        <w:rPr>
          <w:rStyle w:val="EndnoteReference"/>
          <w:lang w:val="en-GB"/>
        </w:rPr>
        <w:endnoteReference w:id="26"/>
      </w:r>
      <w:r w:rsidRPr="00722C19">
        <w:rPr>
          <w:lang w:val="en-GB"/>
        </w:rPr>
        <w:t xml:space="preserve"> </w:t>
      </w:r>
      <w:r w:rsidR="003703F3">
        <w:rPr>
          <w:lang w:val="en-GB"/>
        </w:rPr>
        <w:t>A</w:t>
      </w:r>
      <w:r w:rsidRPr="00722C19">
        <w:rPr>
          <w:lang w:val="en-GB"/>
        </w:rPr>
        <w:t xml:space="preserve"> digital media market research firm, </w:t>
      </w:r>
      <w:proofErr w:type="spellStart"/>
      <w:r w:rsidR="003703F3" w:rsidRPr="00A41425">
        <w:rPr>
          <w:lang w:val="en-GB"/>
        </w:rPr>
        <w:t>eMarketer</w:t>
      </w:r>
      <w:proofErr w:type="spellEnd"/>
      <w:r w:rsidR="003703F3" w:rsidRPr="00A41425">
        <w:rPr>
          <w:lang w:val="en-GB"/>
        </w:rPr>
        <w:t xml:space="preserve">, </w:t>
      </w:r>
      <w:r w:rsidRPr="00722C19">
        <w:rPr>
          <w:lang w:val="en-GB"/>
        </w:rPr>
        <w:t xml:space="preserve">predicted that, by 2019, nearly </w:t>
      </w:r>
      <w:r w:rsidR="00BF5FF3">
        <w:rPr>
          <w:lang w:val="en-GB"/>
        </w:rPr>
        <w:t>one</w:t>
      </w:r>
      <w:r w:rsidR="00BF5FF3" w:rsidRPr="00722C19">
        <w:rPr>
          <w:lang w:val="en-GB"/>
        </w:rPr>
        <w:t xml:space="preserve"> </w:t>
      </w:r>
      <w:r w:rsidRPr="00722C19">
        <w:rPr>
          <w:lang w:val="en-GB"/>
        </w:rPr>
        <w:t xml:space="preserve">in </w:t>
      </w:r>
      <w:r w:rsidR="00BF5FF3">
        <w:rPr>
          <w:lang w:val="en-GB"/>
        </w:rPr>
        <w:t>four</w:t>
      </w:r>
      <w:r w:rsidR="00BF5FF3" w:rsidRPr="00722C19">
        <w:rPr>
          <w:lang w:val="en-GB"/>
        </w:rPr>
        <w:t xml:space="preserve"> </w:t>
      </w:r>
      <w:r w:rsidRPr="00722C19">
        <w:rPr>
          <w:lang w:val="en-GB"/>
        </w:rPr>
        <w:t xml:space="preserve">households </w:t>
      </w:r>
      <w:r w:rsidR="00BF5FF3">
        <w:rPr>
          <w:lang w:val="en-GB"/>
        </w:rPr>
        <w:t>would</w:t>
      </w:r>
      <w:r w:rsidR="00BF5FF3" w:rsidRPr="00722C19">
        <w:rPr>
          <w:lang w:val="en-GB"/>
        </w:rPr>
        <w:t xml:space="preserve"> </w:t>
      </w:r>
      <w:r w:rsidRPr="00722C19">
        <w:rPr>
          <w:lang w:val="en-GB"/>
        </w:rPr>
        <w:t xml:space="preserve">not subscribe to a </w:t>
      </w:r>
      <w:proofErr w:type="spellStart"/>
      <w:r w:rsidRPr="00722C19">
        <w:rPr>
          <w:lang w:val="en-GB"/>
        </w:rPr>
        <w:t>pay-TV</w:t>
      </w:r>
      <w:proofErr w:type="spellEnd"/>
      <w:r w:rsidRPr="00722C19">
        <w:rPr>
          <w:lang w:val="en-GB"/>
        </w:rPr>
        <w:t xml:space="preserve"> service</w:t>
      </w:r>
      <w:r w:rsidR="00BF5FF3">
        <w:rPr>
          <w:lang w:val="en-GB"/>
        </w:rPr>
        <w:t>:</w:t>
      </w:r>
      <w:r w:rsidRPr="00722C19">
        <w:rPr>
          <w:lang w:val="en-GB"/>
        </w:rPr>
        <w:t xml:space="preserve"> they </w:t>
      </w:r>
      <w:r w:rsidR="00BF5FF3">
        <w:rPr>
          <w:lang w:val="en-GB"/>
        </w:rPr>
        <w:t xml:space="preserve">would have </w:t>
      </w:r>
      <w:r w:rsidRPr="00722C19">
        <w:rPr>
          <w:lang w:val="en-GB"/>
        </w:rPr>
        <w:t>either cancelled their monthly subscription (</w:t>
      </w:r>
      <w:r w:rsidR="00BF5FF3">
        <w:rPr>
          <w:lang w:val="en-GB"/>
        </w:rPr>
        <w:t xml:space="preserve">i.e., were </w:t>
      </w:r>
      <w:r w:rsidRPr="00722C19">
        <w:rPr>
          <w:lang w:val="en-GB"/>
        </w:rPr>
        <w:t>cord</w:t>
      </w:r>
      <w:r w:rsidR="00BF5FF3">
        <w:rPr>
          <w:lang w:val="en-GB"/>
        </w:rPr>
        <w:t>-</w:t>
      </w:r>
      <w:r w:rsidRPr="00722C19">
        <w:rPr>
          <w:lang w:val="en-GB"/>
        </w:rPr>
        <w:t>cutter</w:t>
      </w:r>
      <w:r w:rsidR="00BF5FF3">
        <w:rPr>
          <w:lang w:val="en-GB"/>
        </w:rPr>
        <w:t>s</w:t>
      </w:r>
      <w:r w:rsidRPr="00722C19">
        <w:rPr>
          <w:lang w:val="en-GB"/>
        </w:rPr>
        <w:t xml:space="preserve">) or </w:t>
      </w:r>
      <w:r w:rsidR="00BF5FF3">
        <w:rPr>
          <w:lang w:val="en-GB"/>
        </w:rPr>
        <w:t xml:space="preserve">had </w:t>
      </w:r>
      <w:r w:rsidRPr="00722C19">
        <w:rPr>
          <w:lang w:val="en-GB"/>
        </w:rPr>
        <w:t>never subscribed in the first place (</w:t>
      </w:r>
      <w:r w:rsidR="00BF5FF3">
        <w:rPr>
          <w:lang w:val="en-GB"/>
        </w:rPr>
        <w:t xml:space="preserve">i.e., </w:t>
      </w:r>
      <w:r w:rsidRPr="00722C19">
        <w:rPr>
          <w:lang w:val="en-GB"/>
        </w:rPr>
        <w:t>cord</w:t>
      </w:r>
      <w:r w:rsidR="00BF5FF3">
        <w:rPr>
          <w:lang w:val="en-GB"/>
        </w:rPr>
        <w:t>-</w:t>
      </w:r>
      <w:proofErr w:type="spellStart"/>
      <w:r w:rsidRPr="00722C19">
        <w:rPr>
          <w:lang w:val="en-GB"/>
        </w:rPr>
        <w:t>never</w:t>
      </w:r>
      <w:r w:rsidR="00BF5FF3">
        <w:rPr>
          <w:lang w:val="en-GB"/>
        </w:rPr>
        <w:t>s</w:t>
      </w:r>
      <w:proofErr w:type="spellEnd"/>
      <w:r w:rsidRPr="00722C19">
        <w:rPr>
          <w:lang w:val="en-GB"/>
        </w:rPr>
        <w:t>) (see Exhibit 5).</w:t>
      </w:r>
      <w:r w:rsidRPr="00722C19">
        <w:rPr>
          <w:rStyle w:val="EndnoteReference"/>
          <w:lang w:val="en-GB"/>
        </w:rPr>
        <w:endnoteReference w:id="27"/>
      </w:r>
      <w:r w:rsidRPr="00722C19">
        <w:rPr>
          <w:lang w:val="en-GB"/>
        </w:rPr>
        <w:t xml:space="preserve"> </w:t>
      </w:r>
    </w:p>
    <w:p w14:paraId="70B9F69E" w14:textId="77777777" w:rsidR="003912A8" w:rsidRDefault="003912A8" w:rsidP="00BC4BA1">
      <w:pPr>
        <w:pStyle w:val="BodyTextMain"/>
        <w:rPr>
          <w:lang w:val="en-GB"/>
        </w:rPr>
      </w:pPr>
    </w:p>
    <w:p w14:paraId="5B101346" w14:textId="5AFB4133" w:rsidR="00BC4BA1" w:rsidRPr="00722C19" w:rsidRDefault="00BC4BA1" w:rsidP="00BC4BA1">
      <w:pPr>
        <w:pStyle w:val="BodyTextMain"/>
        <w:rPr>
          <w:lang w:val="en-GB"/>
        </w:rPr>
      </w:pPr>
      <w:r w:rsidRPr="00722C19">
        <w:rPr>
          <w:lang w:val="en-GB"/>
        </w:rPr>
        <w:t>For years,</w:t>
      </w:r>
      <w:r w:rsidR="0063121B">
        <w:rPr>
          <w:lang w:val="en-GB"/>
        </w:rPr>
        <w:t xml:space="preserve"> digital versatile discs</w:t>
      </w:r>
      <w:r w:rsidRPr="00722C19">
        <w:rPr>
          <w:lang w:val="en-GB"/>
        </w:rPr>
        <w:t xml:space="preserve"> </w:t>
      </w:r>
      <w:r w:rsidR="0063121B">
        <w:rPr>
          <w:lang w:val="en-GB"/>
        </w:rPr>
        <w:t>(</w:t>
      </w:r>
      <w:r w:rsidRPr="00722C19">
        <w:rPr>
          <w:lang w:val="en-GB"/>
        </w:rPr>
        <w:t>DVDs</w:t>
      </w:r>
      <w:r w:rsidR="0063121B">
        <w:rPr>
          <w:lang w:val="en-GB"/>
        </w:rPr>
        <w:t>)</w:t>
      </w:r>
      <w:r w:rsidRPr="00722C19">
        <w:rPr>
          <w:lang w:val="en-GB"/>
        </w:rPr>
        <w:t xml:space="preserve"> and videocassettes purchased from video chains, mass merchandisers, or online companies indirectly competed with pay-per-view and video-on-demand services. Advancements in compression technology during the early 2000s enabled consumers to skip the physical intermediaries</w:t>
      </w:r>
      <w:r w:rsidR="00C6768A">
        <w:rPr>
          <w:lang w:val="en-GB"/>
        </w:rPr>
        <w:t>,</w:t>
      </w:r>
      <w:r w:rsidRPr="00722C19">
        <w:rPr>
          <w:lang w:val="en-GB"/>
        </w:rPr>
        <w:t xml:space="preserve"> as large video files could </w:t>
      </w:r>
      <w:r w:rsidR="0063121B">
        <w:rPr>
          <w:lang w:val="en-GB"/>
        </w:rPr>
        <w:t>then</w:t>
      </w:r>
      <w:r w:rsidRPr="00722C19">
        <w:rPr>
          <w:lang w:val="en-GB"/>
        </w:rPr>
        <w:t xml:space="preserve"> be easily streamed over the </w:t>
      </w:r>
      <w:r w:rsidR="00BF5FF3">
        <w:rPr>
          <w:lang w:val="en-GB"/>
        </w:rPr>
        <w:t>I</w:t>
      </w:r>
      <w:r w:rsidRPr="00722C19">
        <w:rPr>
          <w:lang w:val="en-GB"/>
        </w:rPr>
        <w:t>nternet.</w:t>
      </w:r>
      <w:r w:rsidRPr="00722C19">
        <w:rPr>
          <w:rStyle w:val="EndnoteReference"/>
          <w:lang w:val="en-GB"/>
        </w:rPr>
        <w:endnoteReference w:id="28"/>
      </w:r>
      <w:r w:rsidRPr="00722C19">
        <w:rPr>
          <w:lang w:val="en-GB"/>
        </w:rPr>
        <w:t xml:space="preserve"> By 2016</w:t>
      </w:r>
      <w:r w:rsidR="00BF5FF3">
        <w:rPr>
          <w:lang w:val="en-GB"/>
        </w:rPr>
        <w:t>–</w:t>
      </w:r>
      <w:r w:rsidRPr="00722C19">
        <w:rPr>
          <w:lang w:val="en-GB"/>
        </w:rPr>
        <w:t xml:space="preserve">17, more than 100 million </w:t>
      </w:r>
      <w:r w:rsidR="00455CAF">
        <w:rPr>
          <w:lang w:val="en-GB"/>
        </w:rPr>
        <w:t>US</w:t>
      </w:r>
      <w:r w:rsidRPr="00722C19">
        <w:rPr>
          <w:lang w:val="en-GB"/>
        </w:rPr>
        <w:t xml:space="preserve"> households had access to high</w:t>
      </w:r>
      <w:r w:rsidR="00BF5FF3">
        <w:rPr>
          <w:lang w:val="en-GB"/>
        </w:rPr>
        <w:t>-</w:t>
      </w:r>
      <w:r w:rsidRPr="00722C19">
        <w:rPr>
          <w:lang w:val="en-GB"/>
        </w:rPr>
        <w:t xml:space="preserve">speed </w:t>
      </w:r>
      <w:r w:rsidR="00BF5FF3">
        <w:rPr>
          <w:lang w:val="en-GB"/>
        </w:rPr>
        <w:t>I</w:t>
      </w:r>
      <w:r w:rsidRPr="00722C19">
        <w:rPr>
          <w:lang w:val="en-GB"/>
        </w:rPr>
        <w:t>nternet</w:t>
      </w:r>
      <w:r w:rsidR="00C6768A">
        <w:rPr>
          <w:lang w:val="en-GB"/>
        </w:rPr>
        <w:t>,</w:t>
      </w:r>
      <w:r w:rsidRPr="00722C19">
        <w:rPr>
          <w:lang w:val="en-GB"/>
        </w:rPr>
        <w:t xml:space="preserve"> and 39 per</w:t>
      </w:r>
      <w:r w:rsidR="00BF5FF3">
        <w:rPr>
          <w:lang w:val="en-GB"/>
        </w:rPr>
        <w:t xml:space="preserve"> </w:t>
      </w:r>
      <w:r w:rsidRPr="00722C19">
        <w:rPr>
          <w:lang w:val="en-GB"/>
        </w:rPr>
        <w:t xml:space="preserve">cent of households had some type of over-the-top streaming device that enabled </w:t>
      </w:r>
      <w:r w:rsidR="00BF5FF3">
        <w:rPr>
          <w:lang w:val="en-GB"/>
        </w:rPr>
        <w:t>I</w:t>
      </w:r>
      <w:r w:rsidRPr="00722C19">
        <w:rPr>
          <w:lang w:val="en-GB"/>
        </w:rPr>
        <w:t>nternet-based video to be watched on television sets.</w:t>
      </w:r>
      <w:r w:rsidRPr="00722C19">
        <w:rPr>
          <w:rStyle w:val="EndnoteReference"/>
          <w:lang w:val="en-GB"/>
        </w:rPr>
        <w:endnoteReference w:id="29"/>
      </w:r>
      <w:r w:rsidRPr="00722C19">
        <w:rPr>
          <w:lang w:val="en-GB"/>
        </w:rPr>
        <w:t xml:space="preserve"> These media devices by Roku, Amazon Fire, Apple TV, and Google Chromecast, </w:t>
      </w:r>
      <w:r w:rsidR="00F541EF">
        <w:rPr>
          <w:lang w:val="en-GB"/>
        </w:rPr>
        <w:t xml:space="preserve">which </w:t>
      </w:r>
      <w:r w:rsidR="00F541EF" w:rsidRPr="00722C19">
        <w:rPr>
          <w:lang w:val="en-GB"/>
        </w:rPr>
        <w:t>rang</w:t>
      </w:r>
      <w:r w:rsidR="00F541EF">
        <w:rPr>
          <w:lang w:val="en-GB"/>
        </w:rPr>
        <w:t>ed</w:t>
      </w:r>
      <w:r w:rsidR="00F541EF" w:rsidRPr="00722C19">
        <w:rPr>
          <w:lang w:val="en-GB"/>
        </w:rPr>
        <w:t xml:space="preserve"> </w:t>
      </w:r>
      <w:r w:rsidRPr="00722C19">
        <w:rPr>
          <w:lang w:val="en-GB"/>
        </w:rPr>
        <w:t>in price from $30 to $100, replicated the experience of watching a broadcast or cable program.</w:t>
      </w:r>
      <w:r w:rsidRPr="00722C19">
        <w:rPr>
          <w:rStyle w:val="EndnoteReference"/>
          <w:lang w:val="en-GB"/>
        </w:rPr>
        <w:endnoteReference w:id="30"/>
      </w:r>
      <w:r w:rsidRPr="00722C19">
        <w:rPr>
          <w:lang w:val="en-GB"/>
        </w:rPr>
        <w:t xml:space="preserve"> As a result, an increasing number of households cut the </w:t>
      </w:r>
      <w:proofErr w:type="spellStart"/>
      <w:r w:rsidRPr="00722C19">
        <w:rPr>
          <w:lang w:val="en-GB"/>
        </w:rPr>
        <w:t>pay-TV</w:t>
      </w:r>
      <w:proofErr w:type="spellEnd"/>
      <w:r w:rsidRPr="00722C19">
        <w:rPr>
          <w:lang w:val="en-GB"/>
        </w:rPr>
        <w:t xml:space="preserve"> cord</w:t>
      </w:r>
      <w:r w:rsidR="00F541EF">
        <w:rPr>
          <w:lang w:val="en-GB"/>
        </w:rPr>
        <w:t>.</w:t>
      </w:r>
      <w:r w:rsidRPr="00722C19">
        <w:rPr>
          <w:lang w:val="en-GB"/>
        </w:rPr>
        <w:t xml:space="preserve"> </w:t>
      </w:r>
      <w:r w:rsidR="00F541EF">
        <w:rPr>
          <w:lang w:val="en-GB"/>
        </w:rPr>
        <w:t>The number one reason for doing so, cited by</w:t>
      </w:r>
      <w:r w:rsidRPr="00722C19">
        <w:rPr>
          <w:lang w:val="en-GB"/>
        </w:rPr>
        <w:t xml:space="preserve"> 61 per</w:t>
      </w:r>
      <w:r w:rsidR="00F541EF">
        <w:rPr>
          <w:lang w:val="en-GB"/>
        </w:rPr>
        <w:t xml:space="preserve"> </w:t>
      </w:r>
      <w:r w:rsidRPr="00722C19">
        <w:rPr>
          <w:lang w:val="en-GB"/>
        </w:rPr>
        <w:t xml:space="preserve">cent of </w:t>
      </w:r>
      <w:r w:rsidR="00F541EF">
        <w:rPr>
          <w:lang w:val="en-GB"/>
        </w:rPr>
        <w:t>those who quit</w:t>
      </w:r>
      <w:r w:rsidR="00C6768A">
        <w:rPr>
          <w:lang w:val="en-GB"/>
        </w:rPr>
        <w:t>,</w:t>
      </w:r>
      <w:r w:rsidR="00F541EF">
        <w:rPr>
          <w:lang w:val="en-GB"/>
        </w:rPr>
        <w:t xml:space="preserve"> was </w:t>
      </w:r>
      <w:r w:rsidRPr="00722C19">
        <w:rPr>
          <w:lang w:val="en-GB"/>
        </w:rPr>
        <w:t>cost (</w:t>
      </w:r>
      <w:r w:rsidR="00F541EF">
        <w:rPr>
          <w:lang w:val="en-GB"/>
        </w:rPr>
        <w:t xml:space="preserve">i.e., they could </w:t>
      </w:r>
      <w:r w:rsidRPr="00722C19">
        <w:rPr>
          <w:lang w:val="en-GB"/>
        </w:rPr>
        <w:t xml:space="preserve">not afford it or </w:t>
      </w:r>
      <w:r w:rsidR="00F541EF">
        <w:rPr>
          <w:lang w:val="en-GB"/>
        </w:rPr>
        <w:t xml:space="preserve">decided the service was </w:t>
      </w:r>
      <w:r w:rsidRPr="00722C19">
        <w:rPr>
          <w:lang w:val="en-GB"/>
        </w:rPr>
        <w:t>not worth the money).</w:t>
      </w:r>
      <w:r w:rsidRPr="00722C19">
        <w:rPr>
          <w:rStyle w:val="EndnoteReference"/>
          <w:lang w:val="en-GB"/>
        </w:rPr>
        <w:endnoteReference w:id="31"/>
      </w:r>
      <w:r w:rsidRPr="00722C19">
        <w:rPr>
          <w:lang w:val="en-GB"/>
        </w:rPr>
        <w:t xml:space="preserve"> </w:t>
      </w:r>
      <w:r w:rsidR="00F541EF">
        <w:rPr>
          <w:lang w:val="en-GB"/>
        </w:rPr>
        <w:t xml:space="preserve">A </w:t>
      </w:r>
      <w:r w:rsidRPr="00722C19">
        <w:rPr>
          <w:lang w:val="en-GB"/>
        </w:rPr>
        <w:t xml:space="preserve">shift </w:t>
      </w:r>
      <w:r w:rsidR="00F541EF">
        <w:rPr>
          <w:lang w:val="en-GB"/>
        </w:rPr>
        <w:t xml:space="preserve">was also evolving </w:t>
      </w:r>
      <w:r w:rsidRPr="00722C19">
        <w:rPr>
          <w:lang w:val="en-GB"/>
        </w:rPr>
        <w:t>in how consumers watched video. Ericsson estimated that by 2020, 50 per</w:t>
      </w:r>
      <w:r w:rsidR="00F541EF">
        <w:rPr>
          <w:lang w:val="en-GB"/>
        </w:rPr>
        <w:t xml:space="preserve"> </w:t>
      </w:r>
      <w:r w:rsidRPr="00722C19">
        <w:rPr>
          <w:lang w:val="en-GB"/>
        </w:rPr>
        <w:t>cent of video would be viewed on mobile devices (</w:t>
      </w:r>
      <w:r w:rsidR="00F541EF">
        <w:rPr>
          <w:lang w:val="en-GB"/>
        </w:rPr>
        <w:t xml:space="preserve">i.e., </w:t>
      </w:r>
      <w:r w:rsidRPr="00722C19">
        <w:rPr>
          <w:lang w:val="en-GB"/>
        </w:rPr>
        <w:t>tablets, smartphones, and laptops)</w:t>
      </w:r>
      <w:r w:rsidR="00C6768A">
        <w:rPr>
          <w:lang w:val="en-GB"/>
        </w:rPr>
        <w:t>,</w:t>
      </w:r>
      <w:r w:rsidRPr="00722C19">
        <w:rPr>
          <w:lang w:val="en-GB"/>
        </w:rPr>
        <w:t xml:space="preserve"> and 70 per</w:t>
      </w:r>
      <w:r w:rsidR="00F541EF">
        <w:rPr>
          <w:lang w:val="en-GB"/>
        </w:rPr>
        <w:t xml:space="preserve"> </w:t>
      </w:r>
      <w:r w:rsidRPr="00722C19">
        <w:rPr>
          <w:lang w:val="en-GB"/>
        </w:rPr>
        <w:t>cent of consumers would prefer on-demand and catch-up services over scheduled linear TV viewing</w:t>
      </w:r>
      <w:r w:rsidRPr="00722C19">
        <w:rPr>
          <w:color w:val="000000"/>
          <w:lang w:val="en-GB"/>
        </w:rPr>
        <w:t>.</w:t>
      </w:r>
      <w:r w:rsidRPr="00722C19">
        <w:rPr>
          <w:rStyle w:val="EndnoteReference"/>
          <w:color w:val="000000"/>
          <w:lang w:val="en-GB"/>
        </w:rPr>
        <w:endnoteReference w:id="32"/>
      </w:r>
    </w:p>
    <w:p w14:paraId="12C04637" w14:textId="77777777" w:rsidR="00BC4BA1" w:rsidRPr="00722C19" w:rsidRDefault="00BC4BA1" w:rsidP="00BC4BA1">
      <w:pPr>
        <w:pStyle w:val="BodyTextMain"/>
        <w:rPr>
          <w:lang w:val="en-GB"/>
        </w:rPr>
      </w:pPr>
    </w:p>
    <w:p w14:paraId="75526107" w14:textId="7C160823" w:rsidR="00BC4BA1" w:rsidRPr="00722C19" w:rsidRDefault="00BC4BA1" w:rsidP="00BC4BA1">
      <w:pPr>
        <w:pStyle w:val="BodyTextMain"/>
        <w:rPr>
          <w:lang w:val="en-GB"/>
        </w:rPr>
      </w:pPr>
      <w:r w:rsidRPr="00722C19">
        <w:rPr>
          <w:lang w:val="en-GB"/>
        </w:rPr>
        <w:t xml:space="preserve">Broader access to high-speed </w:t>
      </w:r>
      <w:r w:rsidR="00F541EF">
        <w:rPr>
          <w:lang w:val="en-GB"/>
        </w:rPr>
        <w:t>I</w:t>
      </w:r>
      <w:r w:rsidRPr="00722C19">
        <w:rPr>
          <w:lang w:val="en-GB"/>
        </w:rPr>
        <w:t xml:space="preserve">nternet service allowed for the entrance of </w:t>
      </w:r>
      <w:r w:rsidR="00C6768A">
        <w:rPr>
          <w:lang w:val="en-GB"/>
        </w:rPr>
        <w:t>s</w:t>
      </w:r>
      <w:r w:rsidRPr="00722C19">
        <w:rPr>
          <w:lang w:val="en-GB"/>
        </w:rPr>
        <w:t xml:space="preserve">ubscription </w:t>
      </w:r>
      <w:r w:rsidR="00C6768A">
        <w:rPr>
          <w:lang w:val="en-GB"/>
        </w:rPr>
        <w:t>v</w:t>
      </w:r>
      <w:r w:rsidRPr="00722C19">
        <w:rPr>
          <w:lang w:val="en-GB"/>
        </w:rPr>
        <w:t>ideo</w:t>
      </w:r>
      <w:r w:rsidR="00FD6298">
        <w:rPr>
          <w:lang w:val="en-GB"/>
        </w:rPr>
        <w:t>-</w:t>
      </w:r>
      <w:r w:rsidRPr="00722C19">
        <w:rPr>
          <w:lang w:val="en-GB"/>
        </w:rPr>
        <w:t>on</w:t>
      </w:r>
      <w:r w:rsidR="00FD6298">
        <w:rPr>
          <w:lang w:val="en-GB"/>
        </w:rPr>
        <w:t>-</w:t>
      </w:r>
      <w:r w:rsidR="00C6768A">
        <w:rPr>
          <w:lang w:val="en-GB"/>
        </w:rPr>
        <w:t>d</w:t>
      </w:r>
      <w:r w:rsidRPr="00722C19">
        <w:rPr>
          <w:lang w:val="en-GB"/>
        </w:rPr>
        <w:t>emand (SVOD) services that offered the</w:t>
      </w:r>
      <w:r w:rsidR="0063121B">
        <w:rPr>
          <w:lang w:val="en-GB"/>
        </w:rPr>
        <w:t xml:space="preserve"> ability to download television</w:t>
      </w:r>
      <w:r w:rsidRPr="00722C19">
        <w:rPr>
          <w:lang w:val="en-GB"/>
        </w:rPr>
        <w:t xml:space="preserve"> shows and movies over the </w:t>
      </w:r>
      <w:r w:rsidR="00F541EF">
        <w:rPr>
          <w:lang w:val="en-GB"/>
        </w:rPr>
        <w:t>I</w:t>
      </w:r>
      <w:r w:rsidRPr="00722C19">
        <w:rPr>
          <w:lang w:val="en-GB"/>
        </w:rPr>
        <w:t>nternet on request (</w:t>
      </w:r>
      <w:r w:rsidR="00F541EF">
        <w:rPr>
          <w:lang w:val="en-GB"/>
        </w:rPr>
        <w:t xml:space="preserve">i.e., </w:t>
      </w:r>
      <w:r w:rsidRPr="00722C19">
        <w:rPr>
          <w:lang w:val="en-GB"/>
        </w:rPr>
        <w:t xml:space="preserve">non-linear). To compete for consumer’s discretionary spending, SVODs needed to </w:t>
      </w:r>
      <w:r w:rsidR="00F541EF">
        <w:rPr>
          <w:lang w:val="en-GB"/>
        </w:rPr>
        <w:t>offer</w:t>
      </w:r>
      <w:r w:rsidR="00F541EF" w:rsidRPr="00722C19">
        <w:rPr>
          <w:lang w:val="en-GB"/>
        </w:rPr>
        <w:t xml:space="preserve"> </w:t>
      </w:r>
      <w:r w:rsidRPr="00722C19">
        <w:rPr>
          <w:lang w:val="en-GB"/>
        </w:rPr>
        <w:t xml:space="preserve">a </w:t>
      </w:r>
      <w:r w:rsidRPr="00722C19">
        <w:rPr>
          <w:lang w:val="en-GB"/>
        </w:rPr>
        <w:lastRenderedPageBreak/>
        <w:t>robust catalog</w:t>
      </w:r>
      <w:r w:rsidR="00F541EF">
        <w:rPr>
          <w:lang w:val="en-GB"/>
        </w:rPr>
        <w:t>ue</w:t>
      </w:r>
      <w:r w:rsidRPr="00722C19">
        <w:rPr>
          <w:lang w:val="en-GB"/>
        </w:rPr>
        <w:t xml:space="preserve"> and </w:t>
      </w:r>
      <w:r w:rsidR="00F541EF">
        <w:rPr>
          <w:lang w:val="en-GB"/>
        </w:rPr>
        <w:t xml:space="preserve">have </w:t>
      </w:r>
      <w:r w:rsidRPr="00722C19">
        <w:rPr>
          <w:lang w:val="en-GB"/>
        </w:rPr>
        <w:t>the financial capital to underwrite the cost.</w:t>
      </w:r>
      <w:r w:rsidR="00976B9F" w:rsidRPr="00722C19">
        <w:rPr>
          <w:lang w:val="en-GB"/>
        </w:rPr>
        <w:t xml:space="preserve"> </w:t>
      </w:r>
      <w:r w:rsidRPr="00722C19">
        <w:rPr>
          <w:lang w:val="en-GB"/>
        </w:rPr>
        <w:t>While most of their content was still acquired from the major studios under licensing agreements, in 2017, the top three SVOD</w:t>
      </w:r>
      <w:r w:rsidR="00C6768A">
        <w:rPr>
          <w:lang w:val="en-GB"/>
        </w:rPr>
        <w:t xml:space="preserve"> service providers</w:t>
      </w:r>
      <w:r w:rsidR="00C6768A">
        <w:t>—</w:t>
      </w:r>
      <w:r w:rsidRPr="00722C19">
        <w:rPr>
          <w:lang w:val="en-GB"/>
        </w:rPr>
        <w:t>Netflix, Amazon, and Hulu</w:t>
      </w:r>
      <w:r w:rsidR="00C6768A">
        <w:rPr>
          <w:lang w:val="en-GB"/>
        </w:rPr>
        <w:t>—which, among them had</w:t>
      </w:r>
      <w:r w:rsidR="00C6768A" w:rsidRPr="00722C19">
        <w:rPr>
          <w:lang w:val="en-GB"/>
        </w:rPr>
        <w:t xml:space="preserve"> </w:t>
      </w:r>
      <w:r w:rsidRPr="00722C19">
        <w:rPr>
          <w:lang w:val="en-GB"/>
        </w:rPr>
        <w:t xml:space="preserve">nearly 100 million </w:t>
      </w:r>
      <w:r w:rsidR="00455CAF">
        <w:rPr>
          <w:lang w:val="en-GB"/>
        </w:rPr>
        <w:t>US</w:t>
      </w:r>
      <w:r w:rsidR="002915F4">
        <w:rPr>
          <w:lang w:val="en-GB"/>
        </w:rPr>
        <w:t>-</w:t>
      </w:r>
      <w:r w:rsidR="00301947" w:rsidRPr="00722C19">
        <w:rPr>
          <w:lang w:val="en-GB"/>
        </w:rPr>
        <w:t xml:space="preserve">based </w:t>
      </w:r>
      <w:r w:rsidRPr="00722C19">
        <w:rPr>
          <w:lang w:val="en-GB"/>
        </w:rPr>
        <w:t xml:space="preserve">subscribers, spent $13 billion on original content for which they earned a combined 125 </w:t>
      </w:r>
      <w:proofErr w:type="spellStart"/>
      <w:r w:rsidRPr="00722C19">
        <w:rPr>
          <w:lang w:val="en-GB"/>
        </w:rPr>
        <w:t>Emmy</w:t>
      </w:r>
      <w:proofErr w:type="spellEnd"/>
      <w:r w:rsidRPr="00722C19">
        <w:rPr>
          <w:lang w:val="en-GB"/>
        </w:rPr>
        <w:t xml:space="preserve"> nominations.</w:t>
      </w:r>
      <w:r w:rsidRPr="00722C19">
        <w:rPr>
          <w:rStyle w:val="EndnoteReference"/>
          <w:lang w:val="en-GB"/>
        </w:rPr>
        <w:endnoteReference w:id="33"/>
      </w:r>
      <w:r w:rsidRPr="00722C19">
        <w:rPr>
          <w:lang w:val="en-GB"/>
        </w:rPr>
        <w:t xml:space="preserve"> </w:t>
      </w:r>
    </w:p>
    <w:p w14:paraId="74613A75" w14:textId="1B464803" w:rsidR="00BC4BA1" w:rsidRPr="00722C19" w:rsidRDefault="00BC4BA1" w:rsidP="00BC4BA1">
      <w:pPr>
        <w:pStyle w:val="BodyTextMain"/>
        <w:rPr>
          <w:lang w:val="en-GB"/>
        </w:rPr>
      </w:pPr>
    </w:p>
    <w:p w14:paraId="7245530F" w14:textId="77777777" w:rsidR="00BC4BA1" w:rsidRPr="00722C19" w:rsidRDefault="00BC4BA1" w:rsidP="00BC4BA1">
      <w:pPr>
        <w:pStyle w:val="BodyTextMain"/>
        <w:rPr>
          <w:lang w:val="en-GB"/>
        </w:rPr>
      </w:pPr>
    </w:p>
    <w:p w14:paraId="510C9084" w14:textId="77777777" w:rsidR="00BC4BA1" w:rsidRPr="00722C19" w:rsidRDefault="00BC4BA1" w:rsidP="00E95133">
      <w:pPr>
        <w:pStyle w:val="Casehead1"/>
        <w:rPr>
          <w:lang w:val="en-GB"/>
        </w:rPr>
      </w:pPr>
      <w:r w:rsidRPr="00722C19">
        <w:rPr>
          <w:lang w:val="en-GB"/>
        </w:rPr>
        <w:t>Netflix</w:t>
      </w:r>
    </w:p>
    <w:p w14:paraId="6A10F516" w14:textId="77777777" w:rsidR="00BC4BA1" w:rsidRPr="00722C19" w:rsidRDefault="00BC4BA1" w:rsidP="00BC4BA1">
      <w:pPr>
        <w:pStyle w:val="BodyTextMain"/>
        <w:rPr>
          <w:lang w:val="en-GB"/>
        </w:rPr>
      </w:pPr>
    </w:p>
    <w:p w14:paraId="279744BB" w14:textId="168EC610" w:rsidR="00BC4BA1" w:rsidRPr="00722C19" w:rsidRDefault="00BC4BA1" w:rsidP="00BC4BA1">
      <w:pPr>
        <w:pStyle w:val="BodyTextMain"/>
        <w:rPr>
          <w:u w:val="single"/>
          <w:lang w:val="en-GB"/>
        </w:rPr>
      </w:pPr>
      <w:r w:rsidRPr="00722C19">
        <w:rPr>
          <w:lang w:val="en-GB"/>
        </w:rPr>
        <w:t xml:space="preserve">According to the </w:t>
      </w:r>
      <w:proofErr w:type="spellStart"/>
      <w:r w:rsidRPr="00722C19">
        <w:rPr>
          <w:lang w:val="en-GB"/>
        </w:rPr>
        <w:t>Leichtman</w:t>
      </w:r>
      <w:proofErr w:type="spellEnd"/>
      <w:r w:rsidRPr="00722C19">
        <w:rPr>
          <w:lang w:val="en-GB"/>
        </w:rPr>
        <w:t xml:space="preserve"> Research Group, </w:t>
      </w:r>
      <w:r w:rsidR="002915F4">
        <w:rPr>
          <w:lang w:val="en-GB"/>
        </w:rPr>
        <w:t xml:space="preserve">in 2017, </w:t>
      </w:r>
      <w:r w:rsidRPr="00722C19">
        <w:rPr>
          <w:lang w:val="en-GB"/>
        </w:rPr>
        <w:t>64 per</w:t>
      </w:r>
      <w:r w:rsidR="002915F4">
        <w:rPr>
          <w:lang w:val="en-GB"/>
        </w:rPr>
        <w:t xml:space="preserve"> </w:t>
      </w:r>
      <w:r w:rsidRPr="00722C19">
        <w:rPr>
          <w:lang w:val="en-GB"/>
        </w:rPr>
        <w:t xml:space="preserve">cent of </w:t>
      </w:r>
      <w:r w:rsidR="00455CAF">
        <w:rPr>
          <w:lang w:val="en-GB"/>
        </w:rPr>
        <w:t>US</w:t>
      </w:r>
      <w:r w:rsidRPr="00722C19">
        <w:rPr>
          <w:lang w:val="en-GB"/>
        </w:rPr>
        <w:t xml:space="preserve"> households had SVOD</w:t>
      </w:r>
      <w:r w:rsidR="00C6768A">
        <w:rPr>
          <w:lang w:val="en-GB"/>
        </w:rPr>
        <w:t xml:space="preserve"> services</w:t>
      </w:r>
      <w:r w:rsidRPr="00722C19">
        <w:rPr>
          <w:lang w:val="en-GB"/>
        </w:rPr>
        <w:t>.</w:t>
      </w:r>
      <w:r w:rsidRPr="00722C19">
        <w:rPr>
          <w:rStyle w:val="EndnoteReference"/>
          <w:lang w:val="en-GB"/>
        </w:rPr>
        <w:endnoteReference w:id="34"/>
      </w:r>
      <w:r w:rsidRPr="00722C19">
        <w:rPr>
          <w:lang w:val="en-GB"/>
        </w:rPr>
        <w:t xml:space="preserve"> Of those with SVOD service, 83 per</w:t>
      </w:r>
      <w:r w:rsidR="002915F4">
        <w:rPr>
          <w:lang w:val="en-GB"/>
        </w:rPr>
        <w:t xml:space="preserve"> </w:t>
      </w:r>
      <w:r w:rsidRPr="00722C19">
        <w:rPr>
          <w:lang w:val="en-GB"/>
        </w:rPr>
        <w:t>cent had Netflix.</w:t>
      </w:r>
      <w:r w:rsidRPr="00722C19">
        <w:rPr>
          <w:rStyle w:val="EndnoteReference"/>
          <w:lang w:val="en-GB"/>
        </w:rPr>
        <w:endnoteReference w:id="35"/>
      </w:r>
      <w:r w:rsidRPr="00722C19">
        <w:rPr>
          <w:lang w:val="en-GB"/>
        </w:rPr>
        <w:t xml:space="preserve"> </w:t>
      </w:r>
    </w:p>
    <w:p w14:paraId="71347772" w14:textId="77777777" w:rsidR="00BC4BA1" w:rsidRPr="00722C19" w:rsidRDefault="00BC4BA1" w:rsidP="00BC4BA1">
      <w:pPr>
        <w:pStyle w:val="BodyTextMain"/>
        <w:rPr>
          <w:lang w:val="en-GB"/>
        </w:rPr>
      </w:pPr>
    </w:p>
    <w:p w14:paraId="04D7557E" w14:textId="20F918BE" w:rsidR="00BC4BA1" w:rsidRPr="00722C19" w:rsidRDefault="00BC4BA1" w:rsidP="00BC4BA1">
      <w:pPr>
        <w:pStyle w:val="BodyTextMain"/>
        <w:rPr>
          <w:lang w:val="en-GB"/>
        </w:rPr>
      </w:pPr>
      <w:r w:rsidRPr="00722C19">
        <w:rPr>
          <w:lang w:val="en-GB"/>
        </w:rPr>
        <w:t>Netflix initially arrived on the scene in 1998</w:t>
      </w:r>
      <w:r w:rsidR="00701E1F">
        <w:rPr>
          <w:lang w:val="en-GB"/>
        </w:rPr>
        <w:t>,</w:t>
      </w:r>
      <w:r w:rsidRPr="00722C19">
        <w:rPr>
          <w:lang w:val="en-GB"/>
        </w:rPr>
        <w:t xml:space="preserve"> as a distributor of DVDs by mail and as a disruptor to the brick-and-mortar video retail store Blockbuster, a</w:t>
      </w:r>
      <w:r w:rsidR="00304601" w:rsidRPr="00722C19">
        <w:rPr>
          <w:lang w:val="en-GB"/>
        </w:rPr>
        <w:t xml:space="preserve">nd, to a lesser extent, MVPDs. </w:t>
      </w:r>
      <w:r w:rsidRPr="00722C19">
        <w:rPr>
          <w:lang w:val="en-GB"/>
        </w:rPr>
        <w:t>Ten years later, it was being disrupted by Amazon and Apple.</w:t>
      </w:r>
      <w:r w:rsidR="00976B9F" w:rsidRPr="00722C19">
        <w:rPr>
          <w:lang w:val="en-GB"/>
        </w:rPr>
        <w:t xml:space="preserve"> </w:t>
      </w:r>
      <w:r w:rsidRPr="00722C19">
        <w:rPr>
          <w:lang w:val="en-GB"/>
        </w:rPr>
        <w:t xml:space="preserve">Instead of closing its doors, it pivoted to distributing video on demand over the </w:t>
      </w:r>
      <w:r w:rsidR="00701E1F">
        <w:rPr>
          <w:lang w:val="en-GB"/>
        </w:rPr>
        <w:t>I</w:t>
      </w:r>
      <w:r w:rsidRPr="00722C19">
        <w:rPr>
          <w:lang w:val="en-GB"/>
        </w:rPr>
        <w:t>nternet.</w:t>
      </w:r>
      <w:r w:rsidR="00976B9F" w:rsidRPr="00722C19">
        <w:rPr>
          <w:lang w:val="en-GB"/>
        </w:rPr>
        <w:t xml:space="preserve"> </w:t>
      </w:r>
      <w:r w:rsidR="00701E1F">
        <w:rPr>
          <w:lang w:val="en-GB"/>
        </w:rPr>
        <w:t>Initially</w:t>
      </w:r>
      <w:r w:rsidRPr="00722C19">
        <w:rPr>
          <w:lang w:val="en-GB"/>
        </w:rPr>
        <w:t xml:space="preserve">, Netflix offered a library of approximately </w:t>
      </w:r>
      <w:r w:rsidR="002915F4">
        <w:rPr>
          <w:lang w:val="en-GB"/>
        </w:rPr>
        <w:t>1,000</w:t>
      </w:r>
      <w:r w:rsidRPr="00722C19">
        <w:rPr>
          <w:lang w:val="en-GB"/>
        </w:rPr>
        <w:t xml:space="preserve"> titles for $5.99 per month for six</w:t>
      </w:r>
      <w:r w:rsidR="002915F4">
        <w:rPr>
          <w:lang w:val="en-GB"/>
        </w:rPr>
        <w:t xml:space="preserve"> </w:t>
      </w:r>
      <w:r w:rsidRPr="00722C19">
        <w:rPr>
          <w:lang w:val="en-GB"/>
        </w:rPr>
        <w:t>hours of streaming.</w:t>
      </w:r>
      <w:r w:rsidR="00976B9F" w:rsidRPr="00722C19">
        <w:rPr>
          <w:lang w:val="en-GB"/>
        </w:rPr>
        <w:t xml:space="preserve"> </w:t>
      </w:r>
      <w:r w:rsidRPr="00722C19">
        <w:rPr>
          <w:lang w:val="en-GB"/>
        </w:rPr>
        <w:t xml:space="preserve">A 2012 deal to become the exclusive streaming provider of movies from </w:t>
      </w:r>
      <w:r w:rsidR="001D43AD">
        <w:rPr>
          <w:lang w:val="en-GB"/>
        </w:rPr>
        <w:t>Disney’s</w:t>
      </w:r>
      <w:r w:rsidR="00701E1F" w:rsidRPr="00722C19">
        <w:rPr>
          <w:lang w:val="en-GB"/>
        </w:rPr>
        <w:t xml:space="preserve"> </w:t>
      </w:r>
      <w:r w:rsidRPr="00722C19">
        <w:rPr>
          <w:lang w:val="en-GB"/>
        </w:rPr>
        <w:t xml:space="preserve">live-action and animation studios beginning in 2016 was considered a game-changer for the company. It was also the first time a major Hollywood studio </w:t>
      </w:r>
      <w:r w:rsidR="002915F4">
        <w:rPr>
          <w:lang w:val="en-GB"/>
        </w:rPr>
        <w:t xml:space="preserve">had </w:t>
      </w:r>
      <w:r w:rsidRPr="00722C19">
        <w:rPr>
          <w:lang w:val="en-GB"/>
        </w:rPr>
        <w:t>bypassed the premium channels</w:t>
      </w:r>
      <w:r w:rsidR="002915F4">
        <w:rPr>
          <w:lang w:val="en-GB"/>
        </w:rPr>
        <w:t xml:space="preserve"> to deliver movies </w:t>
      </w:r>
      <w:r w:rsidR="00701E1F">
        <w:rPr>
          <w:lang w:val="en-GB"/>
        </w:rPr>
        <w:t xml:space="preserve">direct </w:t>
      </w:r>
      <w:r w:rsidR="002915F4">
        <w:rPr>
          <w:lang w:val="en-GB"/>
        </w:rPr>
        <w:t>to consumers</w:t>
      </w:r>
      <w:r w:rsidRPr="00722C19">
        <w:rPr>
          <w:lang w:val="en-GB"/>
        </w:rPr>
        <w:t>.</w:t>
      </w:r>
      <w:r w:rsidRPr="00722C19">
        <w:rPr>
          <w:rStyle w:val="EndnoteReference"/>
          <w:lang w:val="en-GB"/>
        </w:rPr>
        <w:endnoteReference w:id="36"/>
      </w:r>
    </w:p>
    <w:p w14:paraId="53F766AA" w14:textId="1CF08AEE" w:rsidR="00BC4BA1" w:rsidRPr="00722C19" w:rsidRDefault="00BC4BA1" w:rsidP="00BC4BA1">
      <w:pPr>
        <w:pStyle w:val="BodyTextMain"/>
        <w:rPr>
          <w:lang w:val="en-GB"/>
        </w:rPr>
      </w:pPr>
    </w:p>
    <w:p w14:paraId="552A61D2" w14:textId="35E0E0C9" w:rsidR="00BC4BA1" w:rsidRPr="00722C19" w:rsidRDefault="00BC4BA1" w:rsidP="00BC4BA1">
      <w:pPr>
        <w:pStyle w:val="BodyTextMain"/>
        <w:rPr>
          <w:lang w:val="en-GB"/>
        </w:rPr>
      </w:pPr>
      <w:r w:rsidRPr="00722C19">
        <w:rPr>
          <w:lang w:val="en-GB"/>
        </w:rPr>
        <w:t xml:space="preserve">Recognizing that consumers were drawn to content, in 2013, Netflix began creating its own programming, starting with the adaption of England’s </w:t>
      </w:r>
      <w:r w:rsidRPr="00722C19">
        <w:rPr>
          <w:i/>
          <w:lang w:val="en-GB"/>
        </w:rPr>
        <w:t>House of Cards</w:t>
      </w:r>
      <w:r w:rsidRPr="00722C19">
        <w:rPr>
          <w:lang w:val="en-GB"/>
        </w:rPr>
        <w:t>.</w:t>
      </w:r>
      <w:r w:rsidRPr="00722C19">
        <w:rPr>
          <w:rStyle w:val="EndnoteReference"/>
          <w:lang w:val="en-GB"/>
        </w:rPr>
        <w:endnoteReference w:id="37"/>
      </w:r>
      <w:r w:rsidR="00304601" w:rsidRPr="00722C19">
        <w:rPr>
          <w:lang w:val="en-GB"/>
        </w:rPr>
        <w:t xml:space="preserve"> </w:t>
      </w:r>
      <w:r w:rsidRPr="00722C19">
        <w:rPr>
          <w:lang w:val="en-GB"/>
        </w:rPr>
        <w:t xml:space="preserve">By 2016, </w:t>
      </w:r>
      <w:r w:rsidR="002915F4">
        <w:rPr>
          <w:lang w:val="en-GB"/>
        </w:rPr>
        <w:t>Netflix</w:t>
      </w:r>
      <w:r w:rsidR="002915F4" w:rsidRPr="00722C19">
        <w:rPr>
          <w:lang w:val="en-GB"/>
        </w:rPr>
        <w:t xml:space="preserve"> </w:t>
      </w:r>
      <w:r w:rsidRPr="00722C19">
        <w:rPr>
          <w:lang w:val="en-GB"/>
        </w:rPr>
        <w:t xml:space="preserve">had more than </w:t>
      </w:r>
      <w:r w:rsidR="002915F4">
        <w:rPr>
          <w:lang w:val="en-GB"/>
        </w:rPr>
        <w:t>7,000</w:t>
      </w:r>
      <w:r w:rsidRPr="00722C19">
        <w:rPr>
          <w:lang w:val="en-GB"/>
        </w:rPr>
        <w:t xml:space="preserve"> titles available on an unlimited basis, at price points that varied based on the number of screens that could be streamed to at the same time.</w:t>
      </w:r>
      <w:r w:rsidRPr="00722C19">
        <w:rPr>
          <w:rStyle w:val="EndnoteReference"/>
          <w:lang w:val="en-GB"/>
        </w:rPr>
        <w:endnoteReference w:id="38"/>
      </w:r>
      <w:r w:rsidRPr="00722C19">
        <w:rPr>
          <w:lang w:val="en-GB"/>
        </w:rPr>
        <w:t xml:space="preserve"> In </w:t>
      </w:r>
      <w:r w:rsidR="002915F4">
        <w:rPr>
          <w:lang w:val="en-GB"/>
        </w:rPr>
        <w:t>10</w:t>
      </w:r>
      <w:r w:rsidR="002915F4" w:rsidRPr="00722C19">
        <w:rPr>
          <w:lang w:val="en-GB"/>
        </w:rPr>
        <w:t xml:space="preserve"> </w:t>
      </w:r>
      <w:r w:rsidRPr="00722C19">
        <w:rPr>
          <w:lang w:val="en-GB"/>
        </w:rPr>
        <w:t xml:space="preserve">years, revenues jumped from $1.2 billion to $8.8 billion, domestic subscribers climbed from 7.5 million to </w:t>
      </w:r>
      <w:r w:rsidR="002915F4">
        <w:rPr>
          <w:lang w:val="en-GB"/>
        </w:rPr>
        <w:t>more than</w:t>
      </w:r>
      <w:r w:rsidR="002915F4" w:rsidRPr="00722C19">
        <w:rPr>
          <w:lang w:val="en-GB"/>
        </w:rPr>
        <w:t xml:space="preserve"> </w:t>
      </w:r>
      <w:r w:rsidRPr="00722C19">
        <w:rPr>
          <w:lang w:val="en-GB"/>
        </w:rPr>
        <w:t>50 million</w:t>
      </w:r>
      <w:r w:rsidR="00EB4D1B" w:rsidRPr="00722C19">
        <w:rPr>
          <w:lang w:val="en-GB"/>
        </w:rPr>
        <w:t>, and global subscribers across more than 190 countries scaled to 118 million</w:t>
      </w:r>
      <w:r w:rsidRPr="00722C19">
        <w:rPr>
          <w:lang w:val="en-GB"/>
        </w:rPr>
        <w:t>.</w:t>
      </w:r>
      <w:r w:rsidRPr="00722C19">
        <w:rPr>
          <w:rStyle w:val="EndnoteReference"/>
          <w:lang w:val="en-GB"/>
        </w:rPr>
        <w:endnoteReference w:id="39"/>
      </w:r>
    </w:p>
    <w:p w14:paraId="55F79BDD" w14:textId="77777777" w:rsidR="00BC4BA1" w:rsidRPr="00722C19" w:rsidRDefault="00BC4BA1" w:rsidP="00BC4BA1">
      <w:pPr>
        <w:pStyle w:val="BodyTextMain"/>
        <w:rPr>
          <w:lang w:val="en-GB"/>
        </w:rPr>
      </w:pPr>
    </w:p>
    <w:p w14:paraId="172360AD" w14:textId="668E19A3" w:rsidR="00BC4BA1" w:rsidRPr="00722C19" w:rsidRDefault="00BC4BA1" w:rsidP="00722C19">
      <w:pPr>
        <w:pStyle w:val="BodyTextMain"/>
        <w:tabs>
          <w:tab w:val="decimal" w:pos="2160"/>
        </w:tabs>
        <w:rPr>
          <w:lang w:val="en-GB"/>
        </w:rPr>
      </w:pPr>
      <w:r w:rsidRPr="00722C19">
        <w:rPr>
          <w:lang w:val="en-GB"/>
        </w:rPr>
        <w:t xml:space="preserve">In 2017, Netflix spent $6.3 billion on original non-sports content, placing it in fifth place </w:t>
      </w:r>
      <w:r w:rsidR="00B3166B">
        <w:rPr>
          <w:lang w:val="en-GB"/>
        </w:rPr>
        <w:t xml:space="preserve">in spending, </w:t>
      </w:r>
      <w:r w:rsidRPr="00722C19">
        <w:rPr>
          <w:lang w:val="en-GB"/>
        </w:rPr>
        <w:t>behind NBC (</w:t>
      </w:r>
      <w:r w:rsidR="00B3166B">
        <w:rPr>
          <w:lang w:val="en-GB"/>
        </w:rPr>
        <w:t xml:space="preserve">at </w:t>
      </w:r>
      <w:r w:rsidRPr="00722C19">
        <w:rPr>
          <w:lang w:val="en-GB"/>
        </w:rPr>
        <w:t>$10.2</w:t>
      </w:r>
      <w:r w:rsidR="00B3166B">
        <w:rPr>
          <w:lang w:val="en-GB"/>
        </w:rPr>
        <w:t xml:space="preserve"> billion</w:t>
      </w:r>
      <w:r w:rsidRPr="00722C19">
        <w:rPr>
          <w:lang w:val="en-GB"/>
        </w:rPr>
        <w:t>), FOX (</w:t>
      </w:r>
      <w:r w:rsidR="00B3166B">
        <w:rPr>
          <w:lang w:val="en-GB"/>
        </w:rPr>
        <w:t xml:space="preserve">at </w:t>
      </w:r>
      <w:r w:rsidRPr="00722C19">
        <w:rPr>
          <w:lang w:val="en-GB"/>
        </w:rPr>
        <w:t>$8</w:t>
      </w:r>
      <w:r w:rsidR="00B3166B">
        <w:rPr>
          <w:lang w:val="en-GB"/>
        </w:rPr>
        <w:t xml:space="preserve"> billion</w:t>
      </w:r>
      <w:r w:rsidRPr="00722C19">
        <w:rPr>
          <w:lang w:val="en-GB"/>
        </w:rPr>
        <w:t>), Time Warner (</w:t>
      </w:r>
      <w:r w:rsidR="00B3166B">
        <w:rPr>
          <w:lang w:val="en-GB"/>
        </w:rPr>
        <w:t xml:space="preserve">at </w:t>
      </w:r>
      <w:r w:rsidRPr="00722C19">
        <w:rPr>
          <w:lang w:val="en-GB"/>
        </w:rPr>
        <w:t>$8</w:t>
      </w:r>
      <w:r w:rsidR="00B3166B">
        <w:rPr>
          <w:lang w:val="en-GB"/>
        </w:rPr>
        <w:t xml:space="preserve"> billion</w:t>
      </w:r>
      <w:r w:rsidRPr="00722C19">
        <w:rPr>
          <w:lang w:val="en-GB"/>
        </w:rPr>
        <w:t>), and Disney (</w:t>
      </w:r>
      <w:r w:rsidR="00B3166B">
        <w:rPr>
          <w:lang w:val="en-GB"/>
        </w:rPr>
        <w:t xml:space="preserve">at </w:t>
      </w:r>
      <w:r w:rsidRPr="00722C19">
        <w:rPr>
          <w:lang w:val="en-GB"/>
        </w:rPr>
        <w:t>$7.8</w:t>
      </w:r>
      <w:r w:rsidR="00B3166B">
        <w:rPr>
          <w:lang w:val="en-GB"/>
        </w:rPr>
        <w:t xml:space="preserve"> billion</w:t>
      </w:r>
      <w:r w:rsidRPr="00722C19">
        <w:rPr>
          <w:lang w:val="en-GB"/>
        </w:rPr>
        <w:t>)</w:t>
      </w:r>
      <w:r w:rsidR="00B3166B">
        <w:rPr>
          <w:lang w:val="en-GB"/>
        </w:rPr>
        <w:t>,</w:t>
      </w:r>
      <w:r w:rsidRPr="00722C19">
        <w:rPr>
          <w:lang w:val="en-GB"/>
        </w:rPr>
        <w:t xml:space="preserve"> and ahead of Viacom (</w:t>
      </w:r>
      <w:r w:rsidR="00B3166B">
        <w:rPr>
          <w:lang w:val="en-GB"/>
        </w:rPr>
        <w:t xml:space="preserve">at </w:t>
      </w:r>
      <w:r w:rsidRPr="00722C19">
        <w:rPr>
          <w:lang w:val="en-GB"/>
        </w:rPr>
        <w:t>$5.4</w:t>
      </w:r>
      <w:r w:rsidR="00B3166B">
        <w:rPr>
          <w:lang w:val="en-GB"/>
        </w:rPr>
        <w:t xml:space="preserve"> billion</w:t>
      </w:r>
      <w:r w:rsidRPr="00722C19">
        <w:rPr>
          <w:lang w:val="en-GB"/>
        </w:rPr>
        <w:t>) and CBS (</w:t>
      </w:r>
      <w:r w:rsidR="00B3166B">
        <w:rPr>
          <w:lang w:val="en-GB"/>
        </w:rPr>
        <w:t xml:space="preserve">at </w:t>
      </w:r>
      <w:r w:rsidR="00E17000">
        <w:rPr>
          <w:lang w:val="en-GB"/>
        </w:rPr>
        <w:t>$</w:t>
      </w:r>
      <w:r w:rsidRPr="00722C19">
        <w:rPr>
          <w:lang w:val="en-GB"/>
        </w:rPr>
        <w:t>4.2</w:t>
      </w:r>
      <w:r w:rsidR="00B3166B">
        <w:rPr>
          <w:lang w:val="en-GB"/>
        </w:rPr>
        <w:t xml:space="preserve"> billion</w:t>
      </w:r>
      <w:r w:rsidRPr="00722C19">
        <w:rPr>
          <w:lang w:val="en-GB"/>
        </w:rPr>
        <w:t>)</w:t>
      </w:r>
      <w:r w:rsidR="00B3166B">
        <w:rPr>
          <w:lang w:val="en-GB"/>
        </w:rPr>
        <w:t>.</w:t>
      </w:r>
      <w:r w:rsidRPr="00722C19">
        <w:rPr>
          <w:rStyle w:val="EndnoteReference"/>
          <w:lang w:val="en-GB"/>
        </w:rPr>
        <w:endnoteReference w:id="40"/>
      </w:r>
      <w:r w:rsidR="00304601" w:rsidRPr="00722C19">
        <w:rPr>
          <w:lang w:val="en-GB"/>
        </w:rPr>
        <w:t xml:space="preserve"> </w:t>
      </w:r>
      <w:r w:rsidRPr="00722C19">
        <w:rPr>
          <w:lang w:val="en-GB"/>
        </w:rPr>
        <w:t xml:space="preserve">Of the 487 original scripted programs aired on television in </w:t>
      </w:r>
      <w:r w:rsidR="00B3166B">
        <w:rPr>
          <w:lang w:val="en-GB"/>
        </w:rPr>
        <w:t>2017</w:t>
      </w:r>
      <w:r w:rsidRPr="00722C19">
        <w:rPr>
          <w:lang w:val="en-GB"/>
        </w:rPr>
        <w:t>, 117 were from Netflix.</w:t>
      </w:r>
      <w:r w:rsidRPr="00722C19">
        <w:rPr>
          <w:rStyle w:val="EndnoteReference"/>
          <w:lang w:val="en-GB"/>
        </w:rPr>
        <w:endnoteReference w:id="41"/>
      </w:r>
      <w:r w:rsidRPr="00722C19">
        <w:rPr>
          <w:lang w:val="en-GB"/>
        </w:rPr>
        <w:t xml:space="preserve"> </w:t>
      </w:r>
      <w:r w:rsidR="00EB4D1B" w:rsidRPr="00722C19">
        <w:rPr>
          <w:lang w:val="en-GB"/>
        </w:rPr>
        <w:t xml:space="preserve">In 2017, its programs earned 91 </w:t>
      </w:r>
      <w:proofErr w:type="spellStart"/>
      <w:r w:rsidR="00EB4D1B" w:rsidRPr="00722C19">
        <w:rPr>
          <w:lang w:val="en-GB"/>
        </w:rPr>
        <w:t>Emmy</w:t>
      </w:r>
      <w:proofErr w:type="spellEnd"/>
      <w:r w:rsidR="00EB4D1B" w:rsidRPr="00722C19">
        <w:rPr>
          <w:lang w:val="en-GB"/>
        </w:rPr>
        <w:t xml:space="preserve"> nominations, putting it slightly behind HBO (</w:t>
      </w:r>
      <w:r w:rsidR="00B3166B">
        <w:rPr>
          <w:lang w:val="en-GB"/>
        </w:rPr>
        <w:t xml:space="preserve">at </w:t>
      </w:r>
      <w:r w:rsidR="00EB4D1B" w:rsidRPr="00722C19">
        <w:rPr>
          <w:lang w:val="en-GB"/>
        </w:rPr>
        <w:t>111) and way ahead of Disney (</w:t>
      </w:r>
      <w:r w:rsidR="00B3166B">
        <w:rPr>
          <w:lang w:val="en-GB"/>
        </w:rPr>
        <w:t xml:space="preserve">at </w:t>
      </w:r>
      <w:r w:rsidR="00EB4D1B" w:rsidRPr="00722C19">
        <w:rPr>
          <w:lang w:val="en-GB"/>
        </w:rPr>
        <w:t>52).</w:t>
      </w:r>
      <w:r w:rsidR="004A4E3F" w:rsidRPr="00722C19">
        <w:rPr>
          <w:rStyle w:val="EndnoteReference"/>
          <w:lang w:val="en-GB"/>
        </w:rPr>
        <w:endnoteReference w:id="42"/>
      </w:r>
      <w:r w:rsidR="00304601" w:rsidRPr="00722C19">
        <w:rPr>
          <w:lang w:val="en-GB"/>
        </w:rPr>
        <w:t xml:space="preserve"> </w:t>
      </w:r>
      <w:r w:rsidR="008A7837">
        <w:rPr>
          <w:lang w:val="en-GB"/>
        </w:rPr>
        <w:t xml:space="preserve">In its </w:t>
      </w:r>
      <w:r w:rsidR="00C40E5E" w:rsidRPr="00225B11">
        <w:rPr>
          <w:lang w:val="en-GB"/>
        </w:rPr>
        <w:t>T</w:t>
      </w:r>
      <w:r w:rsidR="00A2412E" w:rsidRPr="00225B11">
        <w:rPr>
          <w:lang w:val="en-GB"/>
        </w:rPr>
        <w:t>hird</w:t>
      </w:r>
      <w:r w:rsidR="00C40E5E" w:rsidRPr="00225B11">
        <w:rPr>
          <w:lang w:val="en-GB"/>
        </w:rPr>
        <w:t xml:space="preserve"> Q</w:t>
      </w:r>
      <w:r w:rsidR="008A7837" w:rsidRPr="00225B11">
        <w:rPr>
          <w:lang w:val="en-GB"/>
        </w:rPr>
        <w:t>uarter</w:t>
      </w:r>
      <w:r w:rsidRPr="00225B11">
        <w:rPr>
          <w:lang w:val="en-GB"/>
        </w:rPr>
        <w:t xml:space="preserve"> 2017 Letter to Shareholders</w:t>
      </w:r>
      <w:r w:rsidRPr="00722C19">
        <w:rPr>
          <w:lang w:val="en-GB"/>
        </w:rPr>
        <w:t>, Netflix said that the “future largely lies in exclusive content,” and less on licensing programs from other content suppliers. The long-term goal was for approximately 50 per</w:t>
      </w:r>
      <w:r w:rsidR="00B3166B">
        <w:rPr>
          <w:lang w:val="en-GB"/>
        </w:rPr>
        <w:t xml:space="preserve"> </w:t>
      </w:r>
      <w:r w:rsidRPr="00722C19">
        <w:rPr>
          <w:lang w:val="en-GB"/>
        </w:rPr>
        <w:t>cent of the content streamed on its platform to be original.</w:t>
      </w:r>
      <w:r w:rsidR="008A7837" w:rsidRPr="008A7837">
        <w:rPr>
          <w:rStyle w:val="EndnoteReference"/>
          <w:lang w:val="en-GB"/>
        </w:rPr>
        <w:t xml:space="preserve"> </w:t>
      </w:r>
      <w:r w:rsidR="008A7837" w:rsidRPr="00722C19">
        <w:rPr>
          <w:rStyle w:val="EndnoteReference"/>
          <w:lang w:val="en-GB"/>
        </w:rPr>
        <w:endnoteReference w:id="43"/>
      </w:r>
    </w:p>
    <w:p w14:paraId="43409C32" w14:textId="7F20A1C5" w:rsidR="00BC4BA1" w:rsidRPr="00722C19" w:rsidRDefault="00BC4BA1" w:rsidP="00BC4BA1">
      <w:pPr>
        <w:pStyle w:val="BodyTextMain"/>
        <w:rPr>
          <w:lang w:val="en-GB"/>
        </w:rPr>
      </w:pPr>
    </w:p>
    <w:p w14:paraId="21EB0731" w14:textId="77777777" w:rsidR="00BC4BA1" w:rsidRPr="00722C19" w:rsidRDefault="00BC4BA1" w:rsidP="00BC4BA1">
      <w:pPr>
        <w:pStyle w:val="BodyTextMain"/>
        <w:rPr>
          <w:lang w:val="en-GB"/>
        </w:rPr>
      </w:pPr>
    </w:p>
    <w:p w14:paraId="20B511B8" w14:textId="77777777" w:rsidR="00BC4BA1" w:rsidRPr="00722C19" w:rsidRDefault="00BC4BA1" w:rsidP="00E95133">
      <w:pPr>
        <w:pStyle w:val="Casehead1"/>
        <w:rPr>
          <w:lang w:val="en-GB"/>
        </w:rPr>
      </w:pPr>
      <w:r w:rsidRPr="00722C19">
        <w:rPr>
          <w:lang w:val="en-GB"/>
        </w:rPr>
        <w:t>Amazon</w:t>
      </w:r>
    </w:p>
    <w:p w14:paraId="5D75745E" w14:textId="77777777" w:rsidR="00BC4BA1" w:rsidRPr="00722C19" w:rsidRDefault="00BC4BA1" w:rsidP="00BC4BA1">
      <w:pPr>
        <w:pStyle w:val="BodyTextMain"/>
        <w:rPr>
          <w:u w:val="single"/>
          <w:lang w:val="en-GB"/>
        </w:rPr>
      </w:pPr>
    </w:p>
    <w:p w14:paraId="7DFE20A6" w14:textId="0543D70D" w:rsidR="00BC4BA1" w:rsidRPr="00722C19" w:rsidRDefault="00BC4BA1" w:rsidP="00BC4BA1">
      <w:pPr>
        <w:pStyle w:val="BodyTextMain"/>
        <w:rPr>
          <w:lang w:val="en-GB"/>
        </w:rPr>
      </w:pPr>
      <w:r w:rsidRPr="00722C19">
        <w:rPr>
          <w:lang w:val="en-GB"/>
        </w:rPr>
        <w:t xml:space="preserve">Amazon, the largest </w:t>
      </w:r>
      <w:r w:rsidR="00B3166B">
        <w:rPr>
          <w:lang w:val="en-GB"/>
        </w:rPr>
        <w:t>I</w:t>
      </w:r>
      <w:r w:rsidRPr="00722C19">
        <w:rPr>
          <w:lang w:val="en-GB"/>
        </w:rPr>
        <w:t>nternet-based retailer, was founded in 1994 by Jeff Bezos as an online bookstore and later a seller of DVDs, Blu-ray</w:t>
      </w:r>
      <w:r w:rsidR="00B3166B">
        <w:rPr>
          <w:lang w:val="en-GB"/>
        </w:rPr>
        <w:t xml:space="preserve"> discs</w:t>
      </w:r>
      <w:r w:rsidRPr="00722C19">
        <w:rPr>
          <w:lang w:val="en-GB"/>
        </w:rPr>
        <w:t>, and CDs. Amazon launched its SVOD service in 2011 as an add-on to its $99 per year prime membership service. Prime membership included free shipping on millions of products sold on amazon.com</w:t>
      </w:r>
      <w:r w:rsidR="006C7E1D">
        <w:rPr>
          <w:lang w:val="en-GB"/>
        </w:rPr>
        <w:t>,</w:t>
      </w:r>
      <w:r w:rsidRPr="00722C19">
        <w:rPr>
          <w:lang w:val="en-GB"/>
        </w:rPr>
        <w:t xml:space="preserve"> and Prime Video provided access to an extensive library of TV shows and movies, both </w:t>
      </w:r>
      <w:r w:rsidR="00304601" w:rsidRPr="00722C19">
        <w:rPr>
          <w:lang w:val="en-GB"/>
        </w:rPr>
        <w:t xml:space="preserve">licensed and original content. </w:t>
      </w:r>
      <w:r w:rsidRPr="00722C19">
        <w:rPr>
          <w:lang w:val="en-GB"/>
        </w:rPr>
        <w:t>In 2016, Amazon launched its Prime Video service on a stand-alone basis for $8.99 per month.</w:t>
      </w:r>
      <w:r w:rsidRPr="00722C19">
        <w:rPr>
          <w:rStyle w:val="EndnoteReference"/>
          <w:lang w:val="en-GB"/>
        </w:rPr>
        <w:endnoteReference w:id="44"/>
      </w:r>
      <w:r w:rsidRPr="00722C19">
        <w:rPr>
          <w:lang w:val="en-GB"/>
        </w:rPr>
        <w:t xml:space="preserve"> A year later, at a cost of $50 million paid to the NFL, Amazon began live-streaming professional football games on Thursday nights</w:t>
      </w:r>
      <w:r w:rsidR="00304601" w:rsidRPr="00722C19">
        <w:rPr>
          <w:lang w:val="en-GB"/>
        </w:rPr>
        <w:t xml:space="preserve">. </w:t>
      </w:r>
      <w:r w:rsidRPr="00722C19">
        <w:rPr>
          <w:lang w:val="en-GB"/>
        </w:rPr>
        <w:t xml:space="preserve">The deal involved the </w:t>
      </w:r>
      <w:r w:rsidR="006C7E1D">
        <w:rPr>
          <w:lang w:val="en-GB"/>
        </w:rPr>
        <w:t>“</w:t>
      </w:r>
      <w:r w:rsidRPr="00722C19">
        <w:rPr>
          <w:lang w:val="en-GB"/>
        </w:rPr>
        <w:t>tri</w:t>
      </w:r>
      <w:r w:rsidR="00E17000">
        <w:rPr>
          <w:lang w:val="en-GB"/>
        </w:rPr>
        <w:t>-</w:t>
      </w:r>
      <w:r w:rsidRPr="00722C19">
        <w:rPr>
          <w:lang w:val="en-GB"/>
        </w:rPr>
        <w:t>cast</w:t>
      </w:r>
      <w:r w:rsidR="006C7E1D">
        <w:rPr>
          <w:lang w:val="en-GB"/>
        </w:rPr>
        <w:t>”</w:t>
      </w:r>
      <w:r w:rsidRPr="00722C19">
        <w:rPr>
          <w:lang w:val="en-GB"/>
        </w:rPr>
        <w:t xml:space="preserve"> of the game on broadcast TV (NBC or CBS), cable (the NFL Network), and the </w:t>
      </w:r>
      <w:r w:rsidR="00B3166B">
        <w:rPr>
          <w:lang w:val="en-GB"/>
        </w:rPr>
        <w:t>I</w:t>
      </w:r>
      <w:r w:rsidRPr="00722C19">
        <w:rPr>
          <w:lang w:val="en-GB"/>
        </w:rPr>
        <w:t>nternet (via Amazon). For non-sports programming in 2017, Amazon spent $4.5 billion.</w:t>
      </w:r>
      <w:r w:rsidRPr="00722C19">
        <w:rPr>
          <w:rStyle w:val="EndnoteReference"/>
          <w:lang w:val="en-GB"/>
        </w:rPr>
        <w:endnoteReference w:id="45"/>
      </w:r>
      <w:r w:rsidR="00304601" w:rsidRPr="00722C19">
        <w:rPr>
          <w:lang w:val="en-GB"/>
        </w:rPr>
        <w:t xml:space="preserve"> </w:t>
      </w:r>
      <w:r w:rsidR="000E464E" w:rsidRPr="00722C19">
        <w:rPr>
          <w:lang w:val="en-GB"/>
        </w:rPr>
        <w:t xml:space="preserve">Amazon had </w:t>
      </w:r>
      <w:r w:rsidR="00B3166B">
        <w:rPr>
          <w:lang w:val="en-GB"/>
        </w:rPr>
        <w:t xml:space="preserve">an estimated </w:t>
      </w:r>
      <w:r w:rsidR="000E464E" w:rsidRPr="00722C19">
        <w:rPr>
          <w:lang w:val="en-GB"/>
        </w:rPr>
        <w:t xml:space="preserve">26 million </w:t>
      </w:r>
      <w:r w:rsidR="00455CAF">
        <w:rPr>
          <w:lang w:val="en-GB"/>
        </w:rPr>
        <w:t>US</w:t>
      </w:r>
      <w:r w:rsidR="00B3166B">
        <w:rPr>
          <w:lang w:val="en-GB"/>
        </w:rPr>
        <w:t xml:space="preserve"> </w:t>
      </w:r>
      <w:r w:rsidR="000E464E" w:rsidRPr="00722C19">
        <w:rPr>
          <w:lang w:val="en-GB"/>
        </w:rPr>
        <w:t>video prime subscribers in 2017</w:t>
      </w:r>
      <w:r w:rsidR="00E40560" w:rsidRPr="00722C19">
        <w:rPr>
          <w:lang w:val="en-GB"/>
        </w:rPr>
        <w:t>.</w:t>
      </w:r>
      <w:r w:rsidR="00E40560" w:rsidRPr="00722C19">
        <w:rPr>
          <w:rStyle w:val="EndnoteReference"/>
          <w:lang w:val="en-GB"/>
        </w:rPr>
        <w:endnoteReference w:id="46"/>
      </w:r>
    </w:p>
    <w:p w14:paraId="7E52EF1D" w14:textId="4F369D2A" w:rsidR="00BC4BA1" w:rsidRPr="00722C19" w:rsidRDefault="00B3166B" w:rsidP="00256EEC">
      <w:pPr>
        <w:pStyle w:val="Casehead1"/>
        <w:keepNext/>
        <w:rPr>
          <w:lang w:val="en-GB"/>
        </w:rPr>
      </w:pPr>
      <w:r>
        <w:rPr>
          <w:lang w:val="en-GB"/>
        </w:rPr>
        <w:lastRenderedPageBreak/>
        <w:t xml:space="preserve">THE </w:t>
      </w:r>
      <w:r w:rsidR="00BC4BA1" w:rsidRPr="00722C19">
        <w:rPr>
          <w:lang w:val="en-GB"/>
        </w:rPr>
        <w:t>Pay-TV Industry Responds</w:t>
      </w:r>
    </w:p>
    <w:p w14:paraId="4EAC19AE" w14:textId="77777777" w:rsidR="00BC4BA1" w:rsidRPr="00722C19" w:rsidRDefault="00BC4BA1" w:rsidP="00256EEC">
      <w:pPr>
        <w:pStyle w:val="BodyTextMain"/>
        <w:keepNext/>
        <w:rPr>
          <w:u w:val="single"/>
          <w:lang w:val="en-GB"/>
        </w:rPr>
      </w:pPr>
    </w:p>
    <w:p w14:paraId="3016CF39" w14:textId="6676D382" w:rsidR="003B0807" w:rsidRDefault="00BC4BA1" w:rsidP="00256EEC">
      <w:pPr>
        <w:pStyle w:val="BodyTextMain"/>
        <w:keepNext/>
        <w:rPr>
          <w:lang w:val="en-GB"/>
        </w:rPr>
      </w:pPr>
      <w:r w:rsidRPr="00722C19">
        <w:rPr>
          <w:lang w:val="en-GB"/>
        </w:rPr>
        <w:t xml:space="preserve">Initially </w:t>
      </w:r>
      <w:r w:rsidR="00B3166B">
        <w:rPr>
          <w:lang w:val="en-GB"/>
        </w:rPr>
        <w:t>in response</w:t>
      </w:r>
      <w:r w:rsidR="00B3166B" w:rsidRPr="00722C19">
        <w:rPr>
          <w:lang w:val="en-GB"/>
        </w:rPr>
        <w:t xml:space="preserve"> </w:t>
      </w:r>
      <w:r w:rsidRPr="00722C19">
        <w:rPr>
          <w:lang w:val="en-GB"/>
        </w:rPr>
        <w:t>to the mounting pressure by regulators and consumer advocacy groups for lower pricing options, MVPDs added “themed tiers</w:t>
      </w:r>
      <w:r w:rsidR="00B3166B">
        <w:rPr>
          <w:lang w:val="en-GB"/>
        </w:rPr>
        <w:t>,</w:t>
      </w:r>
      <w:r w:rsidRPr="00722C19">
        <w:rPr>
          <w:lang w:val="en-GB"/>
        </w:rPr>
        <w:t xml:space="preserve">” such as a “family </w:t>
      </w:r>
      <w:proofErr w:type="spellStart"/>
      <w:r w:rsidRPr="00722C19">
        <w:rPr>
          <w:lang w:val="en-GB"/>
        </w:rPr>
        <w:t>tier</w:t>
      </w:r>
      <w:proofErr w:type="spellEnd"/>
      <w:r w:rsidRPr="00722C19">
        <w:rPr>
          <w:lang w:val="en-GB"/>
        </w:rPr>
        <w:t xml:space="preserve">” </w:t>
      </w:r>
      <w:r w:rsidR="00B3166B">
        <w:rPr>
          <w:lang w:val="en-GB"/>
        </w:rPr>
        <w:t>and a</w:t>
      </w:r>
      <w:r w:rsidR="00B3166B" w:rsidRPr="00722C19">
        <w:rPr>
          <w:lang w:val="en-GB"/>
        </w:rPr>
        <w:t xml:space="preserve"> </w:t>
      </w:r>
      <w:r w:rsidRPr="00722C19">
        <w:rPr>
          <w:lang w:val="en-GB"/>
        </w:rPr>
        <w:t>“sports tier</w:t>
      </w:r>
      <w:r w:rsidR="00B3166B">
        <w:rPr>
          <w:lang w:val="en-GB"/>
        </w:rPr>
        <w:t>,</w:t>
      </w:r>
      <w:r w:rsidRPr="00722C19">
        <w:rPr>
          <w:lang w:val="en-GB"/>
        </w:rPr>
        <w:t xml:space="preserve">” </w:t>
      </w:r>
      <w:r w:rsidR="00B3166B">
        <w:rPr>
          <w:lang w:val="en-GB"/>
        </w:rPr>
        <w:t>which</w:t>
      </w:r>
      <w:r w:rsidR="00B3166B" w:rsidRPr="00722C19">
        <w:rPr>
          <w:lang w:val="en-GB"/>
        </w:rPr>
        <w:t xml:space="preserve"> </w:t>
      </w:r>
      <w:r w:rsidRPr="00722C19">
        <w:rPr>
          <w:lang w:val="en-GB"/>
        </w:rPr>
        <w:t>were lower priced and had fewer channels.</w:t>
      </w:r>
      <w:r w:rsidRPr="00722C19">
        <w:rPr>
          <w:rStyle w:val="EndnoteReference"/>
          <w:lang w:val="en-GB"/>
        </w:rPr>
        <w:endnoteReference w:id="47"/>
      </w:r>
      <w:r w:rsidR="00976B9F" w:rsidRPr="00722C19">
        <w:rPr>
          <w:lang w:val="en-GB"/>
        </w:rPr>
        <w:t xml:space="preserve"> </w:t>
      </w:r>
      <w:r w:rsidR="006C7E1D">
        <w:rPr>
          <w:lang w:val="en-GB"/>
        </w:rPr>
        <w:t>MVPDs</w:t>
      </w:r>
      <w:r w:rsidR="006C7E1D" w:rsidRPr="00722C19">
        <w:rPr>
          <w:lang w:val="en-GB"/>
        </w:rPr>
        <w:t xml:space="preserve"> </w:t>
      </w:r>
      <w:r w:rsidRPr="00722C19">
        <w:rPr>
          <w:lang w:val="en-GB"/>
        </w:rPr>
        <w:t>also experimented with how television shows were consumed by launching “TV Everywhere” options that allowed MVPD viewers to watch television shows (e.g.</w:t>
      </w:r>
      <w:r w:rsidR="00FF7071">
        <w:rPr>
          <w:lang w:val="en-GB"/>
        </w:rPr>
        <w:t>,</w:t>
      </w:r>
      <w:r w:rsidRPr="00722C19">
        <w:rPr>
          <w:lang w:val="en-GB"/>
        </w:rPr>
        <w:t xml:space="preserve"> ESPN) on mobile devices as long as they </w:t>
      </w:r>
      <w:r w:rsidR="00FF7071">
        <w:rPr>
          <w:lang w:val="en-GB"/>
        </w:rPr>
        <w:t xml:space="preserve">first </w:t>
      </w:r>
      <w:r w:rsidRPr="00722C19">
        <w:rPr>
          <w:lang w:val="en-GB"/>
        </w:rPr>
        <w:t>“authenticated” themselves as MVPD subscribers.</w:t>
      </w:r>
      <w:r w:rsidRPr="00722C19">
        <w:rPr>
          <w:rStyle w:val="EndnoteReference"/>
          <w:lang w:val="en-GB"/>
        </w:rPr>
        <w:endnoteReference w:id="48"/>
      </w:r>
      <w:r w:rsidR="00304601" w:rsidRPr="00722C19">
        <w:rPr>
          <w:lang w:val="en-GB"/>
        </w:rPr>
        <w:t xml:space="preserve"> </w:t>
      </w:r>
      <w:r w:rsidRPr="00722C19">
        <w:rPr>
          <w:lang w:val="en-GB"/>
        </w:rPr>
        <w:t xml:space="preserve">More recently, in response to increased competition from alternative video delivery options and cord-cutting, MVPDs began offering skinny bundles, some of which did not require an MVPD subscription (but did require broadband access, either fixed or mobile). </w:t>
      </w:r>
    </w:p>
    <w:p w14:paraId="2E20A258" w14:textId="77777777" w:rsidR="003B0807" w:rsidRDefault="003B0807" w:rsidP="00256EEC">
      <w:pPr>
        <w:pStyle w:val="BodyTextMain"/>
        <w:keepNext/>
        <w:rPr>
          <w:lang w:val="en-GB"/>
        </w:rPr>
      </w:pPr>
    </w:p>
    <w:p w14:paraId="3B6202A6" w14:textId="2F955D1D" w:rsidR="00BC4BA1" w:rsidRPr="00722C19" w:rsidRDefault="00A07D90" w:rsidP="00256EEC">
      <w:pPr>
        <w:pStyle w:val="BodyTextMain"/>
        <w:keepNext/>
        <w:rPr>
          <w:lang w:val="en-GB"/>
        </w:rPr>
      </w:pPr>
      <w:r>
        <w:rPr>
          <w:lang w:val="en-GB"/>
        </w:rPr>
        <w:t>N</w:t>
      </w:r>
      <w:r w:rsidR="003B0807">
        <w:rPr>
          <w:lang w:val="en-GB"/>
        </w:rPr>
        <w:t xml:space="preserve">ew </w:t>
      </w:r>
      <w:r>
        <w:rPr>
          <w:lang w:val="en-GB"/>
        </w:rPr>
        <w:t>to</w:t>
      </w:r>
      <w:r w:rsidR="003B0807">
        <w:rPr>
          <w:lang w:val="en-GB"/>
        </w:rPr>
        <w:t xml:space="preserve"> the </w:t>
      </w:r>
      <w:proofErr w:type="spellStart"/>
      <w:r w:rsidR="003B0807">
        <w:rPr>
          <w:lang w:val="en-GB"/>
        </w:rPr>
        <w:t>pay-TV</w:t>
      </w:r>
      <w:proofErr w:type="spellEnd"/>
      <w:r w:rsidR="003B0807">
        <w:rPr>
          <w:lang w:val="en-GB"/>
        </w:rPr>
        <w:t xml:space="preserve"> industry were so-called over-the-top (OTT) services, which distributed streaming media over the Internet, directly to viewer</w:t>
      </w:r>
      <w:r w:rsidR="001B463F">
        <w:rPr>
          <w:lang w:val="en-GB"/>
        </w:rPr>
        <w:t>s</w:t>
      </w:r>
      <w:r w:rsidR="003B0807">
        <w:rPr>
          <w:lang w:val="en-GB"/>
        </w:rPr>
        <w:t xml:space="preserve">, by going around (or “over the top” of) traditional content distributors. </w:t>
      </w:r>
      <w:r w:rsidR="00BC4BA1" w:rsidRPr="00722C19">
        <w:rPr>
          <w:lang w:val="en-GB"/>
        </w:rPr>
        <w:t>The most popular OTT services offered by traditional MVPDs were Dish’s Sling and AT&amp;T’s DirecTV Now (see Exhibit 6).</w:t>
      </w:r>
      <w:r w:rsidR="00BC4BA1" w:rsidRPr="00722C19">
        <w:rPr>
          <w:rStyle w:val="EndnoteReference"/>
          <w:rFonts w:eastAsia="Times"/>
          <w:lang w:val="en-GB"/>
        </w:rPr>
        <w:endnoteReference w:id="49"/>
      </w:r>
    </w:p>
    <w:p w14:paraId="6CF3CA24" w14:textId="77777777" w:rsidR="00BC4BA1" w:rsidRPr="00722C19" w:rsidRDefault="00BC4BA1" w:rsidP="00BC4BA1">
      <w:pPr>
        <w:pStyle w:val="BodyTextMain"/>
        <w:rPr>
          <w:lang w:val="en-GB"/>
        </w:rPr>
      </w:pPr>
    </w:p>
    <w:p w14:paraId="3A0C7D5C" w14:textId="179DEAB8" w:rsidR="00BC4BA1" w:rsidRPr="004C4A31" w:rsidRDefault="00BC4BA1" w:rsidP="00BC4BA1">
      <w:pPr>
        <w:pStyle w:val="BodyTextMain"/>
        <w:rPr>
          <w:spacing w:val="-2"/>
          <w:lang w:val="en-GB"/>
        </w:rPr>
      </w:pPr>
      <w:r w:rsidRPr="004C4A31">
        <w:rPr>
          <w:spacing w:val="-2"/>
          <w:lang w:val="en-GB"/>
        </w:rPr>
        <w:t xml:space="preserve">In their own </w:t>
      </w:r>
      <w:r w:rsidR="00FF7071" w:rsidRPr="004C4A31">
        <w:rPr>
          <w:spacing w:val="-2"/>
          <w:lang w:val="en-GB"/>
        </w:rPr>
        <w:t xml:space="preserve">response </w:t>
      </w:r>
      <w:r w:rsidRPr="004C4A31">
        <w:rPr>
          <w:spacing w:val="-2"/>
          <w:lang w:val="en-GB"/>
        </w:rPr>
        <w:t>to cord-cutting and the shift of advertising from television to digital, NBC Universal (</w:t>
      </w:r>
      <w:r w:rsidR="00FF7071" w:rsidRPr="004C4A31">
        <w:rPr>
          <w:spacing w:val="-2"/>
          <w:lang w:val="en-GB"/>
        </w:rPr>
        <w:t xml:space="preserve">which was acquired by </w:t>
      </w:r>
      <w:r w:rsidRPr="004C4A31">
        <w:rPr>
          <w:spacing w:val="-2"/>
          <w:lang w:val="en-GB"/>
        </w:rPr>
        <w:t>Comcast</w:t>
      </w:r>
      <w:r w:rsidR="00FF7071" w:rsidRPr="004C4A31">
        <w:rPr>
          <w:spacing w:val="-2"/>
          <w:lang w:val="en-GB"/>
        </w:rPr>
        <w:t xml:space="preserve"> in 2009</w:t>
      </w:r>
      <w:r w:rsidRPr="004C4A31">
        <w:rPr>
          <w:spacing w:val="-2"/>
          <w:lang w:val="en-GB"/>
        </w:rPr>
        <w:t>) and 21st Century Fox (</w:t>
      </w:r>
      <w:r w:rsidR="00FF7071" w:rsidRPr="004C4A31">
        <w:rPr>
          <w:spacing w:val="-2"/>
          <w:lang w:val="en-GB"/>
        </w:rPr>
        <w:t xml:space="preserve">the legal successor to the original </w:t>
      </w:r>
      <w:r w:rsidRPr="004C4A31">
        <w:rPr>
          <w:spacing w:val="-2"/>
          <w:lang w:val="en-GB"/>
        </w:rPr>
        <w:t>News Corp</w:t>
      </w:r>
      <w:r w:rsidR="00FF7071" w:rsidRPr="004C4A31">
        <w:rPr>
          <w:spacing w:val="-2"/>
          <w:lang w:val="en-GB"/>
        </w:rPr>
        <w:t>oration</w:t>
      </w:r>
      <w:r w:rsidRPr="004C4A31">
        <w:rPr>
          <w:spacing w:val="-2"/>
          <w:lang w:val="en-GB"/>
        </w:rPr>
        <w:t xml:space="preserve">) launched their own OTT service, Hulu. Content from the owners was available exclusively on Hulu and the respective owners’ sites. Revenue was shared by the partners with ads sold against audience buckets rather than specific programming. Some cable programming was excluded to dampen objections from MVPDs. Later, content owners </w:t>
      </w:r>
      <w:r w:rsidR="00FF7071" w:rsidRPr="004C4A31">
        <w:rPr>
          <w:spacing w:val="-2"/>
          <w:lang w:val="en-GB"/>
        </w:rPr>
        <w:t xml:space="preserve">including </w:t>
      </w:r>
      <w:r w:rsidRPr="004C4A31">
        <w:rPr>
          <w:spacing w:val="-2"/>
          <w:lang w:val="en-GB"/>
        </w:rPr>
        <w:t>Comcast, CBS, and Time Warner’s HBO began creating direct-to-consumer (DTC) streaming services as supplements to their traditional networks distributed by MVPDs.</w:t>
      </w:r>
      <w:r w:rsidR="003B72FB">
        <w:rPr>
          <w:rStyle w:val="EndnoteReference"/>
          <w:spacing w:val="-2"/>
          <w:lang w:val="en-GB"/>
        </w:rPr>
        <w:endnoteReference w:id="50"/>
      </w:r>
      <w:r w:rsidRPr="004C4A31">
        <w:rPr>
          <w:spacing w:val="-2"/>
          <w:lang w:val="en-GB"/>
        </w:rPr>
        <w:t xml:space="preserve"> </w:t>
      </w:r>
    </w:p>
    <w:p w14:paraId="7D900E7D" w14:textId="77777777" w:rsidR="00BC4BA1" w:rsidRPr="00722C19" w:rsidRDefault="00BC4BA1" w:rsidP="00BC4BA1">
      <w:pPr>
        <w:pStyle w:val="BodyTextMain"/>
        <w:rPr>
          <w:u w:val="single"/>
          <w:lang w:val="en-GB"/>
        </w:rPr>
      </w:pPr>
    </w:p>
    <w:p w14:paraId="68D770F2" w14:textId="640A282F" w:rsidR="00BC4BA1" w:rsidRPr="00722C19" w:rsidRDefault="00BC4BA1" w:rsidP="00BC4BA1">
      <w:pPr>
        <w:pStyle w:val="BodyTextMain"/>
        <w:rPr>
          <w:u w:val="single"/>
          <w:lang w:val="en-GB"/>
        </w:rPr>
      </w:pPr>
    </w:p>
    <w:p w14:paraId="0C321136" w14:textId="40A3D963" w:rsidR="00BC4BA1" w:rsidRPr="00722C19" w:rsidRDefault="00BC4BA1" w:rsidP="00E95133">
      <w:pPr>
        <w:pStyle w:val="Casehead1"/>
        <w:rPr>
          <w:lang w:val="en-GB"/>
        </w:rPr>
      </w:pPr>
      <w:r w:rsidRPr="00722C19">
        <w:rPr>
          <w:lang w:val="en-GB"/>
        </w:rPr>
        <w:t>Disney Partners with Legacy Broadcasters</w:t>
      </w:r>
    </w:p>
    <w:p w14:paraId="264DBFA0" w14:textId="77777777" w:rsidR="00BC4BA1" w:rsidRPr="00722C19" w:rsidRDefault="00BC4BA1" w:rsidP="00BC4BA1">
      <w:pPr>
        <w:pStyle w:val="BodyTextMain"/>
        <w:rPr>
          <w:lang w:val="en-GB"/>
        </w:rPr>
      </w:pPr>
    </w:p>
    <w:p w14:paraId="77CAEF79" w14:textId="3C689A71" w:rsidR="00BC4BA1" w:rsidRPr="00722C19" w:rsidRDefault="00BC4BA1" w:rsidP="00BC4BA1">
      <w:pPr>
        <w:pStyle w:val="BodyTextMain"/>
        <w:rPr>
          <w:lang w:val="en-GB"/>
        </w:rPr>
      </w:pPr>
      <w:r w:rsidRPr="00722C19">
        <w:rPr>
          <w:lang w:val="en-GB"/>
        </w:rPr>
        <w:t>In 2009, Disney agreed to join Hulu. The three broadcast networks each owned 30 per</w:t>
      </w:r>
      <w:r w:rsidR="004F10C7">
        <w:rPr>
          <w:lang w:val="en-GB"/>
        </w:rPr>
        <w:t xml:space="preserve"> </w:t>
      </w:r>
      <w:r w:rsidRPr="00722C19">
        <w:rPr>
          <w:lang w:val="en-GB"/>
        </w:rPr>
        <w:t>cent of the company, while Time Warner controlled the remaining 10 per</w:t>
      </w:r>
      <w:r w:rsidR="004F10C7">
        <w:rPr>
          <w:lang w:val="en-GB"/>
        </w:rPr>
        <w:t xml:space="preserve"> </w:t>
      </w:r>
      <w:r w:rsidRPr="00722C19">
        <w:rPr>
          <w:lang w:val="en-GB"/>
        </w:rPr>
        <w:t>cent.</w:t>
      </w:r>
      <w:r w:rsidR="00976B9F" w:rsidRPr="00722C19">
        <w:rPr>
          <w:lang w:val="en-GB"/>
        </w:rPr>
        <w:t xml:space="preserve"> </w:t>
      </w:r>
      <w:r w:rsidRPr="00722C19">
        <w:rPr>
          <w:lang w:val="en-GB"/>
        </w:rPr>
        <w:t>The decision to cede partial control over ABC and Disney content to direct competitors was made with the hope of gaining additional viewers.</w:t>
      </w:r>
      <w:r w:rsidRPr="00722C19">
        <w:rPr>
          <w:rStyle w:val="EndnoteReference"/>
          <w:lang w:val="en-GB"/>
        </w:rPr>
        <w:endnoteReference w:id="51"/>
      </w:r>
      <w:r w:rsidRPr="00722C19">
        <w:rPr>
          <w:lang w:val="en-GB"/>
        </w:rPr>
        <w:t xml:space="preserve"> By 2017, Hulu was the second</w:t>
      </w:r>
      <w:r w:rsidR="004F10C7">
        <w:rPr>
          <w:lang w:val="en-GB"/>
        </w:rPr>
        <w:t>-</w:t>
      </w:r>
      <w:r w:rsidRPr="00722C19">
        <w:rPr>
          <w:lang w:val="en-GB"/>
        </w:rPr>
        <w:t xml:space="preserve">largest SVOD with approximately 17 million </w:t>
      </w:r>
      <w:r w:rsidR="00455CAF">
        <w:rPr>
          <w:lang w:val="en-GB"/>
        </w:rPr>
        <w:t>US</w:t>
      </w:r>
      <w:r w:rsidRPr="00722C19">
        <w:rPr>
          <w:lang w:val="en-GB"/>
        </w:rPr>
        <w:t xml:space="preserve"> subscribers.</w:t>
      </w:r>
      <w:r w:rsidR="00C076DF" w:rsidRPr="00722C19">
        <w:rPr>
          <w:rStyle w:val="EndnoteReference"/>
          <w:lang w:val="en-GB"/>
        </w:rPr>
        <w:endnoteReference w:id="52"/>
      </w:r>
      <w:r w:rsidRPr="00722C19">
        <w:rPr>
          <w:lang w:val="en-GB"/>
        </w:rPr>
        <w:t xml:space="preserve"> It spent $2.5 billion on original content and earned $1 billion in advertising revenue.</w:t>
      </w:r>
      <w:r w:rsidRPr="00722C19">
        <w:rPr>
          <w:rStyle w:val="EndnoteReference"/>
          <w:lang w:val="en-GB"/>
        </w:rPr>
        <w:endnoteReference w:id="53"/>
      </w:r>
      <w:r w:rsidRPr="00722C19">
        <w:rPr>
          <w:lang w:val="en-GB"/>
        </w:rPr>
        <w:t xml:space="preserve"> </w:t>
      </w:r>
    </w:p>
    <w:p w14:paraId="3F51F143" w14:textId="77777777" w:rsidR="00BC4BA1" w:rsidRPr="00722C19" w:rsidRDefault="00BC4BA1" w:rsidP="00BC4BA1">
      <w:pPr>
        <w:pStyle w:val="BodyTextMain"/>
        <w:rPr>
          <w:lang w:val="en-GB"/>
        </w:rPr>
      </w:pPr>
    </w:p>
    <w:p w14:paraId="45A17E5E" w14:textId="35A2F9B9" w:rsidR="00BC4BA1" w:rsidRPr="00722C19" w:rsidRDefault="00BC4BA1" w:rsidP="00BC4BA1">
      <w:pPr>
        <w:pStyle w:val="BodyTextMain"/>
        <w:rPr>
          <w:lang w:val="en-GB"/>
        </w:rPr>
      </w:pPr>
      <w:r w:rsidRPr="00722C19">
        <w:rPr>
          <w:lang w:val="en-GB"/>
        </w:rPr>
        <w:t xml:space="preserve">Hulu began producing original content in 2010 with </w:t>
      </w:r>
      <w:r w:rsidRPr="00722C19">
        <w:rPr>
          <w:i/>
          <w:lang w:val="en-GB"/>
        </w:rPr>
        <w:t>If I Can Dream</w:t>
      </w:r>
      <w:r w:rsidRPr="00722C19">
        <w:rPr>
          <w:lang w:val="en-GB"/>
        </w:rPr>
        <w:t xml:space="preserve">, a 25-minute reality show accompanied by digital features that distinguished the program from those available on linear TV. </w:t>
      </w:r>
      <w:r w:rsidR="002A3017">
        <w:rPr>
          <w:lang w:val="en-GB"/>
        </w:rPr>
        <w:t>Hulu</w:t>
      </w:r>
      <w:r w:rsidR="002A3017" w:rsidRPr="00722C19">
        <w:rPr>
          <w:lang w:val="en-GB"/>
        </w:rPr>
        <w:t xml:space="preserve"> </w:t>
      </w:r>
      <w:r w:rsidRPr="00722C19">
        <w:rPr>
          <w:lang w:val="en-GB"/>
        </w:rPr>
        <w:t xml:space="preserve">then expanded into scripted series, movies, talk shows, documentaries, animation, and more with </w:t>
      </w:r>
      <w:r w:rsidR="002A3017">
        <w:rPr>
          <w:lang w:val="en-GB"/>
        </w:rPr>
        <w:t>its</w:t>
      </w:r>
      <w:r w:rsidR="002A3017" w:rsidRPr="00722C19">
        <w:rPr>
          <w:lang w:val="en-GB"/>
        </w:rPr>
        <w:t xml:space="preserve"> </w:t>
      </w:r>
      <w:r w:rsidRPr="00722C19">
        <w:rPr>
          <w:lang w:val="en-GB"/>
        </w:rPr>
        <w:t xml:space="preserve">biggest success coming from the multi-award winning dystopian series, </w:t>
      </w:r>
      <w:r w:rsidRPr="00722C19">
        <w:rPr>
          <w:i/>
          <w:lang w:val="en-GB"/>
        </w:rPr>
        <w:t>The Handmaid’s Tale</w:t>
      </w:r>
      <w:r w:rsidRPr="00722C19">
        <w:rPr>
          <w:lang w:val="en-GB"/>
        </w:rPr>
        <w:t xml:space="preserve">. </w:t>
      </w:r>
    </w:p>
    <w:p w14:paraId="5F79AC9F" w14:textId="77777777" w:rsidR="00BC4BA1" w:rsidRPr="00722C19" w:rsidRDefault="00BC4BA1" w:rsidP="00BC4BA1">
      <w:pPr>
        <w:pStyle w:val="BodyTextMain"/>
        <w:rPr>
          <w:lang w:val="en-GB"/>
        </w:rPr>
      </w:pPr>
    </w:p>
    <w:p w14:paraId="59E02CBF" w14:textId="559056EA" w:rsidR="00BC4BA1" w:rsidRPr="00722C19" w:rsidRDefault="00BC4BA1" w:rsidP="00BC4BA1">
      <w:pPr>
        <w:pStyle w:val="BodyTextMain"/>
        <w:rPr>
          <w:lang w:val="en-GB"/>
        </w:rPr>
      </w:pPr>
      <w:r w:rsidRPr="00722C19">
        <w:rPr>
          <w:lang w:val="en-GB"/>
        </w:rPr>
        <w:t xml:space="preserve">In 2017, Hulu offered customers access to current and previous episodes of programming owned by its </w:t>
      </w:r>
      <w:r w:rsidR="002A3017">
        <w:rPr>
          <w:lang w:val="en-GB"/>
        </w:rPr>
        <w:t>joint venture</w:t>
      </w:r>
      <w:r w:rsidR="002A3017" w:rsidRPr="00722C19">
        <w:rPr>
          <w:lang w:val="en-GB"/>
        </w:rPr>
        <w:t xml:space="preserve"> </w:t>
      </w:r>
      <w:r w:rsidRPr="00722C19">
        <w:rPr>
          <w:lang w:val="en-GB"/>
        </w:rPr>
        <w:t xml:space="preserve">partners for a monthly price of $7.99 with ads </w:t>
      </w:r>
      <w:r w:rsidR="006C7E1D">
        <w:rPr>
          <w:lang w:val="en-GB"/>
        </w:rPr>
        <w:t>or</w:t>
      </w:r>
      <w:r w:rsidR="006C7E1D" w:rsidRPr="00722C19">
        <w:rPr>
          <w:lang w:val="en-GB"/>
        </w:rPr>
        <w:t xml:space="preserve"> </w:t>
      </w:r>
      <w:r w:rsidRPr="00722C19">
        <w:rPr>
          <w:lang w:val="en-GB"/>
        </w:rPr>
        <w:t xml:space="preserve">$11.99 without ads. That same year, the company launched Hulu with Live TV. For $39.99 per month, subscribers </w:t>
      </w:r>
      <w:r w:rsidR="002A3017">
        <w:rPr>
          <w:lang w:val="en-GB"/>
        </w:rPr>
        <w:t>could access</w:t>
      </w:r>
      <w:r w:rsidR="002A3017" w:rsidRPr="00722C19">
        <w:rPr>
          <w:lang w:val="en-GB"/>
        </w:rPr>
        <w:t xml:space="preserve"> </w:t>
      </w:r>
      <w:r w:rsidRPr="00722C19">
        <w:rPr>
          <w:lang w:val="en-GB"/>
        </w:rPr>
        <w:t xml:space="preserve">live TV streaming from </w:t>
      </w:r>
      <w:r w:rsidR="002A3017">
        <w:rPr>
          <w:lang w:val="en-GB"/>
        </w:rPr>
        <w:t>more than</w:t>
      </w:r>
      <w:r w:rsidR="002A3017" w:rsidRPr="00722C19">
        <w:rPr>
          <w:lang w:val="en-GB"/>
        </w:rPr>
        <w:t xml:space="preserve"> </w:t>
      </w:r>
      <w:r w:rsidRPr="00722C19">
        <w:rPr>
          <w:lang w:val="en-GB"/>
        </w:rPr>
        <w:t>50 channels added to the basic streaming service of its on-demand library. The live channels included major broadcast and sports networks as well as popular entertainment programming (</w:t>
      </w:r>
      <w:r w:rsidR="002A3017">
        <w:rPr>
          <w:lang w:val="en-GB"/>
        </w:rPr>
        <w:t xml:space="preserve">e.g., </w:t>
      </w:r>
      <w:r w:rsidRPr="00722C19">
        <w:rPr>
          <w:lang w:val="en-GB"/>
        </w:rPr>
        <w:t xml:space="preserve">HGTV, </w:t>
      </w:r>
      <w:r w:rsidR="002A3017">
        <w:rPr>
          <w:lang w:val="en-GB"/>
        </w:rPr>
        <w:t xml:space="preserve">the </w:t>
      </w:r>
      <w:r w:rsidRPr="00722C19">
        <w:rPr>
          <w:lang w:val="en-GB"/>
        </w:rPr>
        <w:t xml:space="preserve">Travel Channel, </w:t>
      </w:r>
      <w:r w:rsidR="002A3017">
        <w:rPr>
          <w:lang w:val="en-GB"/>
        </w:rPr>
        <w:t xml:space="preserve">and the </w:t>
      </w:r>
      <w:r w:rsidRPr="00722C19">
        <w:rPr>
          <w:lang w:val="en-GB"/>
        </w:rPr>
        <w:t>Food Network).</w:t>
      </w:r>
      <w:r w:rsidR="00A725E1">
        <w:rPr>
          <w:rStyle w:val="EndnoteReference"/>
          <w:lang w:val="en-GB"/>
        </w:rPr>
        <w:endnoteReference w:id="54"/>
      </w:r>
      <w:r w:rsidRPr="00722C19">
        <w:rPr>
          <w:lang w:val="en-GB"/>
        </w:rPr>
        <w:t xml:space="preserve"> </w:t>
      </w:r>
    </w:p>
    <w:p w14:paraId="08218530" w14:textId="6AE613F8" w:rsidR="00BC4BA1" w:rsidRPr="00722C19" w:rsidRDefault="00BC4BA1" w:rsidP="00BC4BA1">
      <w:pPr>
        <w:pStyle w:val="BodyTextMain"/>
        <w:rPr>
          <w:lang w:val="en-GB"/>
        </w:rPr>
      </w:pPr>
    </w:p>
    <w:p w14:paraId="1798FE91" w14:textId="77777777" w:rsidR="00BC4BA1" w:rsidRPr="00722C19" w:rsidRDefault="00BC4BA1" w:rsidP="00BC4BA1">
      <w:pPr>
        <w:pStyle w:val="BodyTextMain"/>
        <w:rPr>
          <w:lang w:val="en-GB"/>
        </w:rPr>
      </w:pPr>
    </w:p>
    <w:p w14:paraId="08FF4833" w14:textId="77777777" w:rsidR="00BC4BA1" w:rsidRPr="00722C19" w:rsidRDefault="00BC4BA1" w:rsidP="00A5446D">
      <w:pPr>
        <w:pStyle w:val="Casehead1"/>
        <w:keepNext/>
        <w:rPr>
          <w:lang w:val="en-GB"/>
        </w:rPr>
      </w:pPr>
      <w:r w:rsidRPr="00722C19">
        <w:rPr>
          <w:lang w:val="en-GB"/>
        </w:rPr>
        <w:lastRenderedPageBreak/>
        <w:t>Disney Partners with Technology Disruptors</w:t>
      </w:r>
    </w:p>
    <w:p w14:paraId="43A2BA79" w14:textId="77777777" w:rsidR="00BC4BA1" w:rsidRPr="00722C19" w:rsidRDefault="00BC4BA1" w:rsidP="00A5446D">
      <w:pPr>
        <w:pStyle w:val="BodyTextMain"/>
        <w:keepNext/>
        <w:rPr>
          <w:lang w:val="en-GB"/>
        </w:rPr>
      </w:pPr>
    </w:p>
    <w:p w14:paraId="44818420" w14:textId="32E62EEB" w:rsidR="00BC4BA1" w:rsidRPr="00722C19" w:rsidRDefault="00BC4BA1" w:rsidP="00A5446D">
      <w:pPr>
        <w:pStyle w:val="BodyTextMain"/>
        <w:keepNext/>
        <w:rPr>
          <w:lang w:val="en-GB"/>
        </w:rPr>
      </w:pPr>
      <w:r w:rsidRPr="00722C19">
        <w:rPr>
          <w:lang w:val="en-GB"/>
        </w:rPr>
        <w:t>In 2009, Disney signed a deal with YouTube to offer clips from ABC and ESPN, while withholding full-length episodes and sporting events. Disney resisted the broad syndication strategies of other content owners, keeping popular programming restricted to its own website and Hulu.</w:t>
      </w:r>
      <w:r w:rsidRPr="00722C19">
        <w:rPr>
          <w:rStyle w:val="EndnoteReference"/>
          <w:lang w:val="en-GB"/>
        </w:rPr>
        <w:endnoteReference w:id="55"/>
      </w:r>
    </w:p>
    <w:p w14:paraId="37B690EC" w14:textId="77777777" w:rsidR="00BC4BA1" w:rsidRPr="00722C19" w:rsidRDefault="00BC4BA1" w:rsidP="00BC4BA1">
      <w:pPr>
        <w:pStyle w:val="BodyTextMain"/>
        <w:rPr>
          <w:lang w:val="en-GB"/>
        </w:rPr>
      </w:pPr>
    </w:p>
    <w:p w14:paraId="71E28AA5" w14:textId="28C416BA" w:rsidR="00BC4BA1" w:rsidRPr="00722C19" w:rsidRDefault="00BC4BA1" w:rsidP="00BC4BA1">
      <w:pPr>
        <w:pStyle w:val="BodyTextMain"/>
        <w:rPr>
          <w:lang w:val="en-GB"/>
        </w:rPr>
      </w:pPr>
      <w:r w:rsidRPr="00722C19">
        <w:rPr>
          <w:lang w:val="en-GB"/>
        </w:rPr>
        <w:t xml:space="preserve">In 2012, Disney signed a multi-year licensing agreement with Netflix giving </w:t>
      </w:r>
      <w:r w:rsidR="002A3017">
        <w:rPr>
          <w:lang w:val="en-GB"/>
        </w:rPr>
        <w:t>Netflix</w:t>
      </w:r>
      <w:r w:rsidR="002A3017" w:rsidRPr="00722C19">
        <w:rPr>
          <w:lang w:val="en-GB"/>
        </w:rPr>
        <w:t xml:space="preserve"> </w:t>
      </w:r>
      <w:r w:rsidR="002A3017" w:rsidRPr="00A41425">
        <w:rPr>
          <w:lang w:val="en-GB"/>
        </w:rPr>
        <w:t>access to legacy Disney movies</w:t>
      </w:r>
      <w:r w:rsidR="002A3017" w:rsidRPr="002A3017">
        <w:rPr>
          <w:lang w:val="en-GB"/>
        </w:rPr>
        <w:t xml:space="preserve"> </w:t>
      </w:r>
      <w:r w:rsidR="002A3017">
        <w:rPr>
          <w:lang w:val="en-GB"/>
        </w:rPr>
        <w:t xml:space="preserve">and </w:t>
      </w:r>
      <w:r w:rsidRPr="00722C19">
        <w:rPr>
          <w:lang w:val="en-GB"/>
        </w:rPr>
        <w:t>exclusive rights to first-run Disney films beginning with 2016 releases. The deal was widely credited as establishing Netflix’s legitimacy in the premium</w:t>
      </w:r>
      <w:r w:rsidR="002A3017">
        <w:rPr>
          <w:lang w:val="en-GB"/>
        </w:rPr>
        <w:t>-</w:t>
      </w:r>
      <w:r w:rsidRPr="00722C19">
        <w:rPr>
          <w:lang w:val="en-GB"/>
        </w:rPr>
        <w:t>content subscription space.</w:t>
      </w:r>
      <w:r w:rsidR="00886823">
        <w:rPr>
          <w:rStyle w:val="EndnoteReference"/>
          <w:lang w:val="en-GB"/>
        </w:rPr>
        <w:endnoteReference w:id="56"/>
      </w:r>
      <w:r w:rsidRPr="00722C19">
        <w:rPr>
          <w:lang w:val="en-GB"/>
        </w:rPr>
        <w:t xml:space="preserve"> </w:t>
      </w:r>
    </w:p>
    <w:p w14:paraId="232A5E6A" w14:textId="2B74DFE0" w:rsidR="00C076DF" w:rsidRPr="00722C19" w:rsidRDefault="00C076DF" w:rsidP="00BC4BA1">
      <w:pPr>
        <w:pStyle w:val="BodyTextMain"/>
        <w:rPr>
          <w:lang w:val="en-GB"/>
        </w:rPr>
      </w:pPr>
    </w:p>
    <w:p w14:paraId="3DBD6646" w14:textId="27C3D230" w:rsidR="00C076DF" w:rsidRPr="00722C19" w:rsidRDefault="00C076DF" w:rsidP="00BC4BA1">
      <w:pPr>
        <w:pStyle w:val="BodyTextMain"/>
        <w:rPr>
          <w:lang w:val="en-GB"/>
        </w:rPr>
      </w:pPr>
      <w:r w:rsidRPr="00722C19">
        <w:rPr>
          <w:lang w:val="en-GB"/>
        </w:rPr>
        <w:t xml:space="preserve">In </w:t>
      </w:r>
      <w:r w:rsidR="00530424" w:rsidRPr="00722C19">
        <w:rPr>
          <w:lang w:val="en-GB"/>
        </w:rPr>
        <w:t xml:space="preserve">August </w:t>
      </w:r>
      <w:r w:rsidRPr="00722C19">
        <w:rPr>
          <w:lang w:val="en-GB"/>
        </w:rPr>
        <w:t>2016, Disney acquired a 33 per</w:t>
      </w:r>
      <w:r w:rsidR="002A3017">
        <w:rPr>
          <w:lang w:val="en-GB"/>
        </w:rPr>
        <w:t xml:space="preserve"> </w:t>
      </w:r>
      <w:r w:rsidRPr="00722C19">
        <w:rPr>
          <w:lang w:val="en-GB"/>
        </w:rPr>
        <w:t xml:space="preserve">cent interest in </w:t>
      </w:r>
      <w:r w:rsidR="002A3017">
        <w:rPr>
          <w:lang w:val="en-GB"/>
        </w:rPr>
        <w:t xml:space="preserve">a </w:t>
      </w:r>
      <w:r w:rsidR="00530424" w:rsidRPr="00722C19">
        <w:rPr>
          <w:lang w:val="en-GB"/>
        </w:rPr>
        <w:t xml:space="preserve">streaming video technology company, </w:t>
      </w:r>
      <w:proofErr w:type="spellStart"/>
      <w:r w:rsidR="000108F7" w:rsidRPr="00722C19">
        <w:rPr>
          <w:lang w:val="en-GB"/>
        </w:rPr>
        <w:t>B</w:t>
      </w:r>
      <w:r w:rsidR="000108F7">
        <w:rPr>
          <w:lang w:val="en-GB"/>
        </w:rPr>
        <w:t>AM</w:t>
      </w:r>
      <w:r w:rsidR="000108F7" w:rsidRPr="00722C19">
        <w:rPr>
          <w:lang w:val="en-GB"/>
        </w:rPr>
        <w:t>Tech</w:t>
      </w:r>
      <w:proofErr w:type="spellEnd"/>
      <w:r w:rsidR="00530424" w:rsidRPr="00722C19">
        <w:rPr>
          <w:lang w:val="en-GB"/>
        </w:rPr>
        <w:t>, for $1 billion.</w:t>
      </w:r>
      <w:r w:rsidR="00DE0ED6" w:rsidRPr="00722C19">
        <w:rPr>
          <w:lang w:val="en-GB"/>
        </w:rPr>
        <w:t xml:space="preserve"> As part of the announcement, Robert A. </w:t>
      </w:r>
      <w:proofErr w:type="spellStart"/>
      <w:r w:rsidR="00DE0ED6" w:rsidRPr="00722C19">
        <w:rPr>
          <w:lang w:val="en-GB"/>
        </w:rPr>
        <w:t>Iger</w:t>
      </w:r>
      <w:proofErr w:type="spellEnd"/>
      <w:r w:rsidR="00DE0ED6" w:rsidRPr="00722C19">
        <w:rPr>
          <w:lang w:val="en-GB"/>
        </w:rPr>
        <w:t xml:space="preserve">, </w:t>
      </w:r>
      <w:r w:rsidR="002A3017">
        <w:rPr>
          <w:lang w:val="en-GB"/>
        </w:rPr>
        <w:t>c</w:t>
      </w:r>
      <w:r w:rsidR="00DE0ED6" w:rsidRPr="00722C19">
        <w:rPr>
          <w:lang w:val="en-GB"/>
        </w:rPr>
        <w:t xml:space="preserve">hairman and </w:t>
      </w:r>
      <w:r w:rsidR="002A3017">
        <w:rPr>
          <w:lang w:val="en-GB"/>
        </w:rPr>
        <w:t>c</w:t>
      </w:r>
      <w:r w:rsidR="00DE0ED6" w:rsidRPr="00722C19">
        <w:rPr>
          <w:lang w:val="en-GB"/>
        </w:rPr>
        <w:t xml:space="preserve">hief </w:t>
      </w:r>
      <w:r w:rsidR="002A3017">
        <w:rPr>
          <w:lang w:val="en-GB"/>
        </w:rPr>
        <w:t>e</w:t>
      </w:r>
      <w:r w:rsidR="00DE0ED6" w:rsidRPr="00722C19">
        <w:rPr>
          <w:lang w:val="en-GB"/>
        </w:rPr>
        <w:t xml:space="preserve">xecutive </w:t>
      </w:r>
      <w:r w:rsidR="002A3017">
        <w:rPr>
          <w:lang w:val="en-GB"/>
        </w:rPr>
        <w:t>o</w:t>
      </w:r>
      <w:r w:rsidR="00DE0ED6" w:rsidRPr="00722C19">
        <w:rPr>
          <w:lang w:val="en-GB"/>
        </w:rPr>
        <w:t xml:space="preserve">fficer of Disney, remarked, “We look forward to working closely with </w:t>
      </w:r>
      <w:proofErr w:type="spellStart"/>
      <w:r w:rsidR="00DE0ED6" w:rsidRPr="00722C19">
        <w:rPr>
          <w:lang w:val="en-GB"/>
        </w:rPr>
        <w:t>BAMTech</w:t>
      </w:r>
      <w:proofErr w:type="spellEnd"/>
      <w:r w:rsidR="00DE0ED6" w:rsidRPr="00722C19">
        <w:rPr>
          <w:lang w:val="en-GB"/>
        </w:rPr>
        <w:t xml:space="preserve"> as we explore new ways to deliver the unmatched content of The Walt Disney Company across a variety of platforms.”</w:t>
      </w:r>
      <w:r w:rsidR="00DE0ED6" w:rsidRPr="00722C19">
        <w:rPr>
          <w:rStyle w:val="EndnoteReference"/>
          <w:lang w:val="en-GB"/>
        </w:rPr>
        <w:endnoteReference w:id="57"/>
      </w:r>
    </w:p>
    <w:p w14:paraId="1AEDBEC6" w14:textId="04BCDD12" w:rsidR="00BC4BA1" w:rsidRPr="00722C19" w:rsidRDefault="00BC4BA1" w:rsidP="00BC4BA1">
      <w:pPr>
        <w:pStyle w:val="BodyTextMain"/>
        <w:rPr>
          <w:lang w:val="en-GB"/>
        </w:rPr>
      </w:pPr>
    </w:p>
    <w:p w14:paraId="0F0FBD0F" w14:textId="77777777" w:rsidR="00293837" w:rsidRDefault="00293837" w:rsidP="00E95133">
      <w:pPr>
        <w:pStyle w:val="Casehead1"/>
        <w:keepNext/>
        <w:rPr>
          <w:lang w:val="en-GB"/>
        </w:rPr>
      </w:pPr>
    </w:p>
    <w:p w14:paraId="2DBC7BE3" w14:textId="2B138569" w:rsidR="00BC4BA1" w:rsidRPr="00722C19" w:rsidRDefault="0063121B" w:rsidP="00E95133">
      <w:pPr>
        <w:pStyle w:val="Casehead1"/>
        <w:keepNext/>
        <w:rPr>
          <w:lang w:val="en-GB"/>
        </w:rPr>
      </w:pPr>
      <w:r>
        <w:rPr>
          <w:lang w:val="en-GB"/>
        </w:rPr>
        <w:t>Moving Forward</w:t>
      </w:r>
    </w:p>
    <w:p w14:paraId="32E971A8" w14:textId="77777777" w:rsidR="00BC4BA1" w:rsidRPr="00722C19" w:rsidRDefault="00BC4BA1" w:rsidP="00E95133">
      <w:pPr>
        <w:pStyle w:val="BodyTextMain"/>
        <w:keepNext/>
        <w:rPr>
          <w:lang w:val="en-GB"/>
        </w:rPr>
      </w:pPr>
    </w:p>
    <w:p w14:paraId="3A1E6B7A" w14:textId="20C2EAD7" w:rsidR="00BC4BA1" w:rsidRPr="00722C19" w:rsidRDefault="00BC4BA1" w:rsidP="00E95133">
      <w:pPr>
        <w:pStyle w:val="BodyTextMain"/>
        <w:keepNext/>
        <w:rPr>
          <w:lang w:val="en-GB"/>
        </w:rPr>
      </w:pPr>
      <w:r w:rsidRPr="00722C19">
        <w:rPr>
          <w:lang w:val="en-GB"/>
        </w:rPr>
        <w:t xml:space="preserve">Facing a shift in preferences, new technology, and disruptive entrants, Disney </w:t>
      </w:r>
      <w:r w:rsidR="002A3017">
        <w:rPr>
          <w:lang w:val="en-GB"/>
        </w:rPr>
        <w:t>needed</w:t>
      </w:r>
      <w:r w:rsidR="002A3017" w:rsidRPr="00722C19">
        <w:rPr>
          <w:lang w:val="en-GB"/>
        </w:rPr>
        <w:t xml:space="preserve"> </w:t>
      </w:r>
      <w:r w:rsidRPr="00722C19">
        <w:rPr>
          <w:lang w:val="en-GB"/>
        </w:rPr>
        <w:t>to weigh a vast array of alternative strategies to sustain long</w:t>
      </w:r>
      <w:r w:rsidR="002A3017">
        <w:rPr>
          <w:lang w:val="en-GB"/>
        </w:rPr>
        <w:t>-</w:t>
      </w:r>
      <w:r w:rsidRPr="00722C19">
        <w:rPr>
          <w:lang w:val="en-GB"/>
        </w:rPr>
        <w:t xml:space="preserve">run profitability. Its content had been critical to the success of traditional MVPDs, Hulu, and Netflix. Should it exert its power as kingmaker to hasten or impede the demise of the traditional </w:t>
      </w:r>
      <w:proofErr w:type="spellStart"/>
      <w:r w:rsidRPr="00722C19">
        <w:rPr>
          <w:lang w:val="en-GB"/>
        </w:rPr>
        <w:t>pay-TV</w:t>
      </w:r>
      <w:proofErr w:type="spellEnd"/>
      <w:r w:rsidRPr="00722C19">
        <w:rPr>
          <w:lang w:val="en-GB"/>
        </w:rPr>
        <w:t xml:space="preserve"> bundle, </w:t>
      </w:r>
      <w:r w:rsidRPr="00722C19">
        <w:rPr>
          <w:color w:val="000000"/>
          <w:lang w:val="en-GB"/>
        </w:rPr>
        <w:t xml:space="preserve">where its content had resided for decades? Should it continue to </w:t>
      </w:r>
      <w:r w:rsidR="0063121B">
        <w:rPr>
          <w:color w:val="000000"/>
          <w:lang w:val="en-GB"/>
        </w:rPr>
        <w:t>navigate the relationship</w:t>
      </w:r>
      <w:r w:rsidRPr="00722C19">
        <w:rPr>
          <w:color w:val="000000"/>
          <w:lang w:val="en-GB"/>
        </w:rPr>
        <w:t xml:space="preserve"> between partner and competitor with legacy media companies and </w:t>
      </w:r>
      <w:r w:rsidRPr="00722C19">
        <w:rPr>
          <w:lang w:val="en-GB"/>
        </w:rPr>
        <w:t>well-financed tech firms?</w:t>
      </w:r>
      <w:r w:rsidR="00976B9F" w:rsidRPr="00722C19">
        <w:rPr>
          <w:lang w:val="en-GB"/>
        </w:rPr>
        <w:t xml:space="preserve"> </w:t>
      </w:r>
      <w:r w:rsidRPr="00722C19">
        <w:rPr>
          <w:lang w:val="en-GB"/>
        </w:rPr>
        <w:t xml:space="preserve">Or, should Disney push aside all gatekeepers and </w:t>
      </w:r>
      <w:r w:rsidR="002E2813">
        <w:rPr>
          <w:lang w:val="en-GB"/>
        </w:rPr>
        <w:t>deliver</w:t>
      </w:r>
      <w:r w:rsidR="002E2813" w:rsidRPr="00722C19">
        <w:rPr>
          <w:lang w:val="en-GB"/>
        </w:rPr>
        <w:t xml:space="preserve"> </w:t>
      </w:r>
      <w:r w:rsidRPr="00722C19">
        <w:rPr>
          <w:lang w:val="en-GB"/>
        </w:rPr>
        <w:t>its stories directly to consumers?</w:t>
      </w:r>
    </w:p>
    <w:p w14:paraId="74F9733A" w14:textId="61948DEE" w:rsidR="00F12E68" w:rsidRPr="00722C19" w:rsidRDefault="00F12E68">
      <w:pPr>
        <w:spacing w:after="200" w:line="276" w:lineRule="auto"/>
        <w:rPr>
          <w:lang w:val="en-GB"/>
        </w:rPr>
      </w:pPr>
      <w:r w:rsidRPr="00722C19">
        <w:rPr>
          <w:lang w:val="en-GB"/>
        </w:rPr>
        <w:br w:type="page"/>
      </w:r>
    </w:p>
    <w:p w14:paraId="69A0EEE6" w14:textId="6E894E3D" w:rsidR="002541E5" w:rsidRPr="00722C19" w:rsidRDefault="002541E5" w:rsidP="00B61C32">
      <w:pPr>
        <w:pStyle w:val="ExhibitHeading"/>
        <w:rPr>
          <w:lang w:val="en-GB"/>
        </w:rPr>
      </w:pPr>
      <w:r w:rsidRPr="00722C19">
        <w:rPr>
          <w:lang w:val="en-GB"/>
        </w:rPr>
        <w:lastRenderedPageBreak/>
        <w:t xml:space="preserve">EXHIBIT 1: STRUCTURE OF THE </w:t>
      </w:r>
      <w:r w:rsidR="00455CAF">
        <w:rPr>
          <w:lang w:val="en-GB"/>
        </w:rPr>
        <w:t>US</w:t>
      </w:r>
      <w:r w:rsidR="00301947" w:rsidRPr="00722C19">
        <w:rPr>
          <w:lang w:val="en-GB"/>
        </w:rPr>
        <w:t xml:space="preserve"> </w:t>
      </w:r>
      <w:r w:rsidRPr="00722C19">
        <w:rPr>
          <w:lang w:val="en-GB"/>
        </w:rPr>
        <w:t>MEDIA INDUSTRY</w:t>
      </w:r>
    </w:p>
    <w:p w14:paraId="143F43FC" w14:textId="77777777" w:rsidR="00B61C32" w:rsidRPr="001F30BF" w:rsidRDefault="00B61C32" w:rsidP="001F30BF">
      <w:pPr>
        <w:pStyle w:val="ExhibitText"/>
      </w:pPr>
    </w:p>
    <w:tbl>
      <w:tblPr>
        <w:tblStyle w:val="TableGrid"/>
        <w:tblW w:w="9269" w:type="dxa"/>
        <w:jc w:val="center"/>
        <w:tblLayout w:type="fixed"/>
        <w:tblLook w:val="04A0" w:firstRow="1" w:lastRow="0" w:firstColumn="1" w:lastColumn="0" w:noHBand="0" w:noVBand="1"/>
      </w:tblPr>
      <w:tblGrid>
        <w:gridCol w:w="1165"/>
        <w:gridCol w:w="1082"/>
        <w:gridCol w:w="1466"/>
        <w:gridCol w:w="1192"/>
        <w:gridCol w:w="1291"/>
        <w:gridCol w:w="1365"/>
        <w:gridCol w:w="810"/>
        <w:gridCol w:w="898"/>
      </w:tblGrid>
      <w:tr w:rsidR="002541E5" w:rsidRPr="00054D13" w14:paraId="4B5B0A28" w14:textId="77777777" w:rsidTr="007269AA">
        <w:trPr>
          <w:trHeight w:val="81"/>
          <w:jc w:val="center"/>
        </w:trPr>
        <w:tc>
          <w:tcPr>
            <w:tcW w:w="1165" w:type="dxa"/>
            <w:vMerge w:val="restart"/>
            <w:noWrap/>
            <w:vAlign w:val="center"/>
            <w:hideMark/>
          </w:tcPr>
          <w:p w14:paraId="5DF9E9B6" w14:textId="77777777" w:rsidR="002541E5" w:rsidRPr="001F30BF" w:rsidRDefault="002541E5" w:rsidP="007269AA">
            <w:pPr>
              <w:pStyle w:val="ExhibitText"/>
              <w:jc w:val="left"/>
              <w:rPr>
                <w:b/>
                <w:sz w:val="18"/>
                <w:szCs w:val="18"/>
                <w:lang w:val="en-GB"/>
              </w:rPr>
            </w:pPr>
            <w:r w:rsidRPr="001F30BF">
              <w:rPr>
                <w:b/>
                <w:sz w:val="18"/>
                <w:szCs w:val="18"/>
                <w:lang w:val="en-GB"/>
              </w:rPr>
              <w:t>Media Company</w:t>
            </w:r>
          </w:p>
        </w:tc>
        <w:tc>
          <w:tcPr>
            <w:tcW w:w="2548" w:type="dxa"/>
            <w:gridSpan w:val="2"/>
            <w:hideMark/>
          </w:tcPr>
          <w:p w14:paraId="5787C422" w14:textId="77777777" w:rsidR="002541E5" w:rsidRPr="001F30BF" w:rsidRDefault="002541E5" w:rsidP="002541E5">
            <w:pPr>
              <w:pStyle w:val="ExhibitText"/>
              <w:jc w:val="center"/>
              <w:rPr>
                <w:b/>
                <w:sz w:val="18"/>
                <w:szCs w:val="18"/>
                <w:lang w:val="en-GB"/>
              </w:rPr>
            </w:pPr>
            <w:r w:rsidRPr="001F30BF">
              <w:rPr>
                <w:b/>
                <w:sz w:val="18"/>
                <w:szCs w:val="18"/>
                <w:lang w:val="en-GB"/>
              </w:rPr>
              <w:t>Content Production</w:t>
            </w:r>
          </w:p>
        </w:tc>
        <w:tc>
          <w:tcPr>
            <w:tcW w:w="3848" w:type="dxa"/>
            <w:gridSpan w:val="3"/>
            <w:noWrap/>
            <w:hideMark/>
          </w:tcPr>
          <w:p w14:paraId="0E7C1E1A" w14:textId="77777777" w:rsidR="002541E5" w:rsidRPr="001F30BF" w:rsidRDefault="002541E5" w:rsidP="002541E5">
            <w:pPr>
              <w:pStyle w:val="ExhibitText"/>
              <w:jc w:val="center"/>
              <w:rPr>
                <w:b/>
                <w:sz w:val="18"/>
                <w:szCs w:val="18"/>
                <w:lang w:val="en-GB"/>
              </w:rPr>
            </w:pPr>
            <w:r w:rsidRPr="001F30BF">
              <w:rPr>
                <w:b/>
                <w:sz w:val="18"/>
                <w:szCs w:val="18"/>
                <w:lang w:val="en-GB"/>
              </w:rPr>
              <w:t>Aggregation</w:t>
            </w:r>
          </w:p>
        </w:tc>
        <w:tc>
          <w:tcPr>
            <w:tcW w:w="1708" w:type="dxa"/>
            <w:gridSpan w:val="2"/>
            <w:noWrap/>
            <w:hideMark/>
          </w:tcPr>
          <w:p w14:paraId="4A9B8571" w14:textId="77777777" w:rsidR="002541E5" w:rsidRPr="001F30BF" w:rsidRDefault="002541E5" w:rsidP="002541E5">
            <w:pPr>
              <w:pStyle w:val="ExhibitText"/>
              <w:jc w:val="center"/>
              <w:rPr>
                <w:b/>
                <w:sz w:val="18"/>
                <w:szCs w:val="18"/>
                <w:lang w:val="en-GB"/>
              </w:rPr>
            </w:pPr>
            <w:r w:rsidRPr="001F30BF">
              <w:rPr>
                <w:b/>
                <w:sz w:val="18"/>
                <w:szCs w:val="18"/>
                <w:lang w:val="en-GB"/>
              </w:rPr>
              <w:t>Distribution</w:t>
            </w:r>
          </w:p>
        </w:tc>
      </w:tr>
      <w:tr w:rsidR="002541E5" w:rsidRPr="00054D13" w14:paraId="70D8AD86" w14:textId="77777777" w:rsidTr="007269AA">
        <w:trPr>
          <w:trHeight w:val="212"/>
          <w:jc w:val="center"/>
        </w:trPr>
        <w:tc>
          <w:tcPr>
            <w:tcW w:w="1165" w:type="dxa"/>
            <w:vMerge/>
            <w:hideMark/>
          </w:tcPr>
          <w:p w14:paraId="7EA16CA8" w14:textId="77777777" w:rsidR="002541E5" w:rsidRPr="001F30BF" w:rsidRDefault="002541E5" w:rsidP="002541E5">
            <w:pPr>
              <w:pStyle w:val="ExhibitText"/>
              <w:jc w:val="left"/>
              <w:rPr>
                <w:sz w:val="18"/>
                <w:szCs w:val="18"/>
                <w:lang w:val="en-GB"/>
              </w:rPr>
            </w:pPr>
          </w:p>
        </w:tc>
        <w:tc>
          <w:tcPr>
            <w:tcW w:w="1082" w:type="dxa"/>
            <w:vAlign w:val="center"/>
            <w:hideMark/>
          </w:tcPr>
          <w:p w14:paraId="11D257DA" w14:textId="77777777" w:rsidR="002541E5" w:rsidRPr="001F30BF" w:rsidRDefault="002541E5" w:rsidP="007269AA">
            <w:pPr>
              <w:pStyle w:val="ExhibitText"/>
              <w:jc w:val="center"/>
              <w:rPr>
                <w:sz w:val="18"/>
                <w:szCs w:val="18"/>
                <w:lang w:val="en-GB"/>
              </w:rPr>
            </w:pPr>
            <w:r w:rsidRPr="001F30BF">
              <w:rPr>
                <w:sz w:val="18"/>
                <w:szCs w:val="18"/>
                <w:lang w:val="en-GB"/>
              </w:rPr>
              <w:t>TV</w:t>
            </w:r>
          </w:p>
        </w:tc>
        <w:tc>
          <w:tcPr>
            <w:tcW w:w="1466" w:type="dxa"/>
            <w:vAlign w:val="center"/>
            <w:hideMark/>
          </w:tcPr>
          <w:p w14:paraId="4D81128C" w14:textId="77777777" w:rsidR="002541E5" w:rsidRPr="001F30BF" w:rsidRDefault="002541E5" w:rsidP="007269AA">
            <w:pPr>
              <w:pStyle w:val="ExhibitText"/>
              <w:jc w:val="center"/>
              <w:rPr>
                <w:sz w:val="18"/>
                <w:szCs w:val="18"/>
                <w:lang w:val="en-GB"/>
              </w:rPr>
            </w:pPr>
            <w:r w:rsidRPr="001F30BF">
              <w:rPr>
                <w:sz w:val="18"/>
                <w:szCs w:val="18"/>
                <w:lang w:val="en-GB"/>
              </w:rPr>
              <w:t>Movies</w:t>
            </w:r>
          </w:p>
        </w:tc>
        <w:tc>
          <w:tcPr>
            <w:tcW w:w="1192" w:type="dxa"/>
            <w:vAlign w:val="center"/>
            <w:hideMark/>
          </w:tcPr>
          <w:p w14:paraId="6BB16238" w14:textId="77777777" w:rsidR="002541E5" w:rsidRPr="001F30BF" w:rsidRDefault="002541E5" w:rsidP="007269AA">
            <w:pPr>
              <w:pStyle w:val="ExhibitText"/>
              <w:jc w:val="center"/>
              <w:rPr>
                <w:sz w:val="18"/>
                <w:szCs w:val="18"/>
                <w:lang w:val="en-GB"/>
              </w:rPr>
            </w:pPr>
            <w:r w:rsidRPr="001F30BF">
              <w:rPr>
                <w:sz w:val="18"/>
                <w:szCs w:val="18"/>
                <w:lang w:val="en-GB"/>
              </w:rPr>
              <w:t>Broadcast Network</w:t>
            </w:r>
          </w:p>
        </w:tc>
        <w:tc>
          <w:tcPr>
            <w:tcW w:w="1291" w:type="dxa"/>
            <w:vAlign w:val="center"/>
            <w:hideMark/>
          </w:tcPr>
          <w:p w14:paraId="0F11E4A0" w14:textId="77777777" w:rsidR="002541E5" w:rsidRPr="001F30BF" w:rsidRDefault="002541E5" w:rsidP="007269AA">
            <w:pPr>
              <w:pStyle w:val="ExhibitText"/>
              <w:jc w:val="center"/>
              <w:rPr>
                <w:sz w:val="18"/>
                <w:szCs w:val="18"/>
                <w:lang w:val="en-GB"/>
              </w:rPr>
            </w:pPr>
            <w:r w:rsidRPr="001F30BF">
              <w:rPr>
                <w:sz w:val="18"/>
                <w:szCs w:val="18"/>
                <w:lang w:val="en-GB"/>
              </w:rPr>
              <w:t>Major Cable Networks</w:t>
            </w:r>
          </w:p>
        </w:tc>
        <w:tc>
          <w:tcPr>
            <w:tcW w:w="1365" w:type="dxa"/>
            <w:vAlign w:val="center"/>
            <w:hideMark/>
          </w:tcPr>
          <w:p w14:paraId="3C7C7F5A" w14:textId="77777777" w:rsidR="002541E5" w:rsidRPr="001F30BF" w:rsidRDefault="002541E5" w:rsidP="007269AA">
            <w:pPr>
              <w:pStyle w:val="ExhibitText"/>
              <w:jc w:val="center"/>
              <w:rPr>
                <w:sz w:val="18"/>
                <w:szCs w:val="18"/>
                <w:lang w:val="en-GB"/>
              </w:rPr>
            </w:pPr>
            <w:r w:rsidRPr="001F30BF">
              <w:rPr>
                <w:sz w:val="18"/>
                <w:szCs w:val="18"/>
                <w:lang w:val="en-GB"/>
              </w:rPr>
              <w:t>Number of TV Stations – owned</w:t>
            </w:r>
          </w:p>
        </w:tc>
        <w:tc>
          <w:tcPr>
            <w:tcW w:w="810" w:type="dxa"/>
            <w:noWrap/>
            <w:vAlign w:val="center"/>
            <w:hideMark/>
          </w:tcPr>
          <w:p w14:paraId="0F2E8680" w14:textId="77777777" w:rsidR="002541E5" w:rsidRPr="001F30BF" w:rsidRDefault="002541E5" w:rsidP="007269AA">
            <w:pPr>
              <w:pStyle w:val="ExhibitText"/>
              <w:jc w:val="center"/>
              <w:rPr>
                <w:sz w:val="18"/>
                <w:szCs w:val="18"/>
                <w:lang w:val="en-GB"/>
              </w:rPr>
            </w:pPr>
            <w:r w:rsidRPr="001F30BF">
              <w:rPr>
                <w:sz w:val="18"/>
                <w:szCs w:val="18"/>
                <w:lang w:val="en-GB"/>
              </w:rPr>
              <w:t>MVPD</w:t>
            </w:r>
          </w:p>
        </w:tc>
        <w:tc>
          <w:tcPr>
            <w:tcW w:w="898" w:type="dxa"/>
            <w:noWrap/>
            <w:vAlign w:val="center"/>
            <w:hideMark/>
          </w:tcPr>
          <w:p w14:paraId="06EA9812" w14:textId="77777777" w:rsidR="002541E5" w:rsidRPr="001F30BF" w:rsidRDefault="002541E5" w:rsidP="007269AA">
            <w:pPr>
              <w:pStyle w:val="ExhibitText"/>
              <w:jc w:val="center"/>
              <w:rPr>
                <w:sz w:val="18"/>
                <w:szCs w:val="18"/>
                <w:lang w:val="en-GB"/>
              </w:rPr>
            </w:pPr>
            <w:r w:rsidRPr="001F30BF">
              <w:rPr>
                <w:sz w:val="18"/>
                <w:szCs w:val="18"/>
                <w:lang w:val="en-GB"/>
              </w:rPr>
              <w:t>OVD</w:t>
            </w:r>
          </w:p>
        </w:tc>
      </w:tr>
      <w:tr w:rsidR="002541E5" w:rsidRPr="00054D13" w14:paraId="56CC976B" w14:textId="77777777" w:rsidTr="007269AA">
        <w:trPr>
          <w:trHeight w:val="344"/>
          <w:jc w:val="center"/>
        </w:trPr>
        <w:tc>
          <w:tcPr>
            <w:tcW w:w="1165" w:type="dxa"/>
            <w:noWrap/>
            <w:vAlign w:val="center"/>
            <w:hideMark/>
          </w:tcPr>
          <w:p w14:paraId="4385D65B" w14:textId="3DE4BCF4" w:rsidR="002541E5" w:rsidRPr="001F30BF" w:rsidRDefault="002541E5" w:rsidP="007269AA">
            <w:pPr>
              <w:pStyle w:val="ExhibitText"/>
              <w:jc w:val="left"/>
              <w:rPr>
                <w:sz w:val="18"/>
                <w:szCs w:val="18"/>
                <w:lang w:val="en-GB"/>
              </w:rPr>
            </w:pPr>
            <w:r w:rsidRPr="001F30BF">
              <w:rPr>
                <w:sz w:val="18"/>
                <w:szCs w:val="18"/>
                <w:lang w:val="en-GB"/>
              </w:rPr>
              <w:t>The Walt Disney Company</w:t>
            </w:r>
          </w:p>
        </w:tc>
        <w:tc>
          <w:tcPr>
            <w:tcW w:w="1082" w:type="dxa"/>
            <w:noWrap/>
            <w:vAlign w:val="center"/>
            <w:hideMark/>
          </w:tcPr>
          <w:p w14:paraId="007D3176" w14:textId="77777777" w:rsidR="002541E5" w:rsidRPr="001F30BF" w:rsidRDefault="002541E5" w:rsidP="007269AA">
            <w:pPr>
              <w:pStyle w:val="ExhibitText"/>
              <w:jc w:val="center"/>
              <w:rPr>
                <w:sz w:val="18"/>
                <w:szCs w:val="18"/>
                <w:lang w:val="en-GB"/>
              </w:rPr>
            </w:pPr>
            <w:r w:rsidRPr="001F30BF">
              <w:rPr>
                <w:sz w:val="18"/>
                <w:szCs w:val="18"/>
                <w:lang w:val="en-GB"/>
              </w:rPr>
              <w:t>ABC Studios</w:t>
            </w:r>
          </w:p>
        </w:tc>
        <w:tc>
          <w:tcPr>
            <w:tcW w:w="1466" w:type="dxa"/>
            <w:vAlign w:val="center"/>
            <w:hideMark/>
          </w:tcPr>
          <w:p w14:paraId="5DDF2B85" w14:textId="291A2966" w:rsidR="002541E5" w:rsidRPr="001F30BF" w:rsidRDefault="002541E5" w:rsidP="007269AA">
            <w:pPr>
              <w:pStyle w:val="ExhibitText"/>
              <w:jc w:val="center"/>
              <w:rPr>
                <w:sz w:val="18"/>
                <w:szCs w:val="18"/>
                <w:lang w:val="en-GB"/>
              </w:rPr>
            </w:pPr>
            <w:r w:rsidRPr="001F30BF">
              <w:rPr>
                <w:sz w:val="18"/>
                <w:szCs w:val="18"/>
                <w:lang w:val="en-GB"/>
              </w:rPr>
              <w:t>Walt Disney Pictures, Pixar, Marvel</w:t>
            </w:r>
            <w:r w:rsidR="000108F7" w:rsidRPr="001F30BF">
              <w:rPr>
                <w:sz w:val="18"/>
                <w:szCs w:val="18"/>
                <w:lang w:val="en-GB"/>
              </w:rPr>
              <w:t xml:space="preserve"> Studios</w:t>
            </w:r>
            <w:r w:rsidRPr="001F30BF">
              <w:rPr>
                <w:sz w:val="18"/>
                <w:szCs w:val="18"/>
                <w:lang w:val="en-GB"/>
              </w:rPr>
              <w:t xml:space="preserve">, </w:t>
            </w:r>
            <w:proofErr w:type="spellStart"/>
            <w:r w:rsidRPr="001F30BF">
              <w:rPr>
                <w:sz w:val="18"/>
                <w:szCs w:val="18"/>
                <w:lang w:val="en-GB"/>
              </w:rPr>
              <w:t>Lucas</w:t>
            </w:r>
            <w:r w:rsidR="00710EF4" w:rsidRPr="001F30BF">
              <w:rPr>
                <w:sz w:val="18"/>
                <w:szCs w:val="18"/>
                <w:lang w:val="en-GB"/>
              </w:rPr>
              <w:t>f</w:t>
            </w:r>
            <w:r w:rsidRPr="001F30BF">
              <w:rPr>
                <w:sz w:val="18"/>
                <w:szCs w:val="18"/>
                <w:lang w:val="en-GB"/>
              </w:rPr>
              <w:t>ilm</w:t>
            </w:r>
            <w:proofErr w:type="spellEnd"/>
            <w:r w:rsidR="000108F7" w:rsidRPr="001F30BF">
              <w:rPr>
                <w:sz w:val="18"/>
                <w:szCs w:val="18"/>
                <w:lang w:val="en-GB"/>
              </w:rPr>
              <w:t xml:space="preserve"> Ltd.</w:t>
            </w:r>
          </w:p>
        </w:tc>
        <w:tc>
          <w:tcPr>
            <w:tcW w:w="1192" w:type="dxa"/>
            <w:vAlign w:val="center"/>
            <w:hideMark/>
          </w:tcPr>
          <w:p w14:paraId="55957B3D" w14:textId="77777777" w:rsidR="002541E5" w:rsidRPr="001F30BF" w:rsidRDefault="002541E5" w:rsidP="007269AA">
            <w:pPr>
              <w:pStyle w:val="ExhibitText"/>
              <w:jc w:val="center"/>
              <w:rPr>
                <w:sz w:val="18"/>
                <w:szCs w:val="18"/>
                <w:lang w:val="en-GB"/>
              </w:rPr>
            </w:pPr>
            <w:r w:rsidRPr="001F30BF">
              <w:rPr>
                <w:sz w:val="18"/>
                <w:szCs w:val="18"/>
                <w:lang w:val="en-GB"/>
              </w:rPr>
              <w:t>ABC</w:t>
            </w:r>
          </w:p>
        </w:tc>
        <w:tc>
          <w:tcPr>
            <w:tcW w:w="1291" w:type="dxa"/>
            <w:vAlign w:val="center"/>
            <w:hideMark/>
          </w:tcPr>
          <w:p w14:paraId="62A5A402" w14:textId="77777777" w:rsidR="002541E5" w:rsidRPr="001F30BF" w:rsidRDefault="002541E5" w:rsidP="007269AA">
            <w:pPr>
              <w:pStyle w:val="ExhibitText"/>
              <w:jc w:val="center"/>
              <w:rPr>
                <w:sz w:val="18"/>
                <w:szCs w:val="18"/>
                <w:lang w:val="en-GB"/>
              </w:rPr>
            </w:pPr>
            <w:r w:rsidRPr="001F30BF">
              <w:rPr>
                <w:sz w:val="18"/>
                <w:szCs w:val="18"/>
                <w:lang w:val="en-GB"/>
              </w:rPr>
              <w:t>The Disney Channel, ESPN, Freeform</w:t>
            </w:r>
          </w:p>
        </w:tc>
        <w:tc>
          <w:tcPr>
            <w:tcW w:w="1365" w:type="dxa"/>
            <w:noWrap/>
            <w:vAlign w:val="center"/>
            <w:hideMark/>
          </w:tcPr>
          <w:p w14:paraId="0791BA32" w14:textId="77777777" w:rsidR="002541E5" w:rsidRPr="001F30BF" w:rsidRDefault="002541E5" w:rsidP="007269AA">
            <w:pPr>
              <w:pStyle w:val="ExhibitText"/>
              <w:jc w:val="center"/>
              <w:rPr>
                <w:sz w:val="18"/>
                <w:szCs w:val="18"/>
                <w:lang w:val="en-GB"/>
              </w:rPr>
            </w:pPr>
            <w:r w:rsidRPr="001F30BF">
              <w:rPr>
                <w:sz w:val="18"/>
                <w:szCs w:val="18"/>
                <w:lang w:val="en-GB"/>
              </w:rPr>
              <w:t>8</w:t>
            </w:r>
          </w:p>
        </w:tc>
        <w:tc>
          <w:tcPr>
            <w:tcW w:w="810" w:type="dxa"/>
            <w:noWrap/>
            <w:vAlign w:val="center"/>
            <w:hideMark/>
          </w:tcPr>
          <w:p w14:paraId="7CA0BEFE" w14:textId="77777777" w:rsidR="002541E5" w:rsidRPr="001F30BF" w:rsidRDefault="002541E5" w:rsidP="007269AA">
            <w:pPr>
              <w:pStyle w:val="ExhibitText"/>
              <w:jc w:val="center"/>
              <w:rPr>
                <w:sz w:val="18"/>
                <w:szCs w:val="18"/>
                <w:lang w:val="en-GB"/>
              </w:rPr>
            </w:pPr>
            <w:r w:rsidRPr="001F30BF">
              <w:rPr>
                <w:sz w:val="18"/>
                <w:szCs w:val="18"/>
                <w:lang w:val="en-GB"/>
              </w:rPr>
              <w:t>No</w:t>
            </w:r>
          </w:p>
        </w:tc>
        <w:tc>
          <w:tcPr>
            <w:tcW w:w="898" w:type="dxa"/>
            <w:noWrap/>
            <w:vAlign w:val="center"/>
            <w:hideMark/>
          </w:tcPr>
          <w:p w14:paraId="3DCC0445" w14:textId="77777777" w:rsidR="002541E5" w:rsidRPr="001F30BF" w:rsidRDefault="002541E5" w:rsidP="007269AA">
            <w:pPr>
              <w:pStyle w:val="ExhibitText"/>
              <w:jc w:val="center"/>
              <w:rPr>
                <w:sz w:val="18"/>
                <w:szCs w:val="18"/>
                <w:lang w:val="en-GB"/>
              </w:rPr>
            </w:pPr>
            <w:r w:rsidRPr="001F30BF">
              <w:rPr>
                <w:sz w:val="18"/>
                <w:szCs w:val="18"/>
                <w:lang w:val="en-GB"/>
              </w:rPr>
              <w:t>Hulu</w:t>
            </w:r>
          </w:p>
        </w:tc>
      </w:tr>
      <w:tr w:rsidR="002541E5" w:rsidRPr="00054D13" w14:paraId="0943D7AE" w14:textId="77777777" w:rsidTr="007269AA">
        <w:trPr>
          <w:trHeight w:val="411"/>
          <w:jc w:val="center"/>
        </w:trPr>
        <w:tc>
          <w:tcPr>
            <w:tcW w:w="1165" w:type="dxa"/>
            <w:noWrap/>
            <w:vAlign w:val="center"/>
            <w:hideMark/>
          </w:tcPr>
          <w:p w14:paraId="01D9C13C" w14:textId="3F1FC2BF" w:rsidR="002541E5" w:rsidRPr="001F30BF" w:rsidRDefault="002541E5" w:rsidP="007269AA">
            <w:pPr>
              <w:pStyle w:val="ExhibitText"/>
              <w:jc w:val="left"/>
              <w:rPr>
                <w:sz w:val="18"/>
                <w:szCs w:val="18"/>
                <w:lang w:val="en-GB"/>
              </w:rPr>
            </w:pPr>
            <w:r w:rsidRPr="001F30BF">
              <w:rPr>
                <w:sz w:val="18"/>
                <w:szCs w:val="18"/>
                <w:lang w:val="en-GB"/>
              </w:rPr>
              <w:t>Comcast</w:t>
            </w:r>
          </w:p>
        </w:tc>
        <w:tc>
          <w:tcPr>
            <w:tcW w:w="1082" w:type="dxa"/>
            <w:vAlign w:val="center"/>
            <w:hideMark/>
          </w:tcPr>
          <w:p w14:paraId="19D6DAB7" w14:textId="77777777" w:rsidR="002541E5" w:rsidRPr="001F30BF" w:rsidRDefault="002541E5" w:rsidP="007269AA">
            <w:pPr>
              <w:pStyle w:val="ExhibitText"/>
              <w:jc w:val="center"/>
              <w:rPr>
                <w:sz w:val="18"/>
                <w:szCs w:val="18"/>
                <w:lang w:val="en-GB"/>
              </w:rPr>
            </w:pPr>
            <w:r w:rsidRPr="001F30BF">
              <w:rPr>
                <w:sz w:val="18"/>
                <w:szCs w:val="18"/>
                <w:lang w:val="en-GB"/>
              </w:rPr>
              <w:t>NBC Studios</w:t>
            </w:r>
          </w:p>
        </w:tc>
        <w:tc>
          <w:tcPr>
            <w:tcW w:w="1466" w:type="dxa"/>
            <w:vAlign w:val="center"/>
            <w:hideMark/>
          </w:tcPr>
          <w:p w14:paraId="62914FA2" w14:textId="77777777" w:rsidR="002541E5" w:rsidRPr="001F30BF" w:rsidRDefault="002541E5" w:rsidP="007269AA">
            <w:pPr>
              <w:pStyle w:val="ExhibitText"/>
              <w:jc w:val="center"/>
              <w:rPr>
                <w:sz w:val="18"/>
                <w:szCs w:val="18"/>
                <w:lang w:val="en-GB"/>
              </w:rPr>
            </w:pPr>
            <w:r w:rsidRPr="001F30BF">
              <w:rPr>
                <w:sz w:val="18"/>
                <w:szCs w:val="18"/>
                <w:lang w:val="en-GB"/>
              </w:rPr>
              <w:t>Universal Pictures, Illumination, Focus Features</w:t>
            </w:r>
          </w:p>
        </w:tc>
        <w:tc>
          <w:tcPr>
            <w:tcW w:w="1192" w:type="dxa"/>
            <w:vAlign w:val="center"/>
            <w:hideMark/>
          </w:tcPr>
          <w:p w14:paraId="7BA8F0AF" w14:textId="77777777" w:rsidR="002541E5" w:rsidRPr="001F30BF" w:rsidRDefault="002541E5" w:rsidP="007269AA">
            <w:pPr>
              <w:pStyle w:val="ExhibitText"/>
              <w:jc w:val="center"/>
              <w:rPr>
                <w:sz w:val="18"/>
                <w:szCs w:val="18"/>
                <w:lang w:val="en-GB"/>
              </w:rPr>
            </w:pPr>
            <w:r w:rsidRPr="001F30BF">
              <w:rPr>
                <w:sz w:val="18"/>
                <w:szCs w:val="18"/>
                <w:lang w:val="en-GB"/>
              </w:rPr>
              <w:t xml:space="preserve">NBC, </w:t>
            </w:r>
            <w:proofErr w:type="spellStart"/>
            <w:r w:rsidRPr="001F30BF">
              <w:rPr>
                <w:sz w:val="18"/>
                <w:szCs w:val="18"/>
                <w:lang w:val="en-GB"/>
              </w:rPr>
              <w:t>Telemundo</w:t>
            </w:r>
            <w:proofErr w:type="spellEnd"/>
          </w:p>
        </w:tc>
        <w:tc>
          <w:tcPr>
            <w:tcW w:w="1291" w:type="dxa"/>
            <w:vAlign w:val="center"/>
            <w:hideMark/>
          </w:tcPr>
          <w:p w14:paraId="1B266CED" w14:textId="77777777" w:rsidR="002541E5" w:rsidRPr="001F30BF" w:rsidRDefault="002541E5" w:rsidP="007269AA">
            <w:pPr>
              <w:pStyle w:val="ExhibitText"/>
              <w:jc w:val="center"/>
              <w:rPr>
                <w:sz w:val="18"/>
                <w:szCs w:val="18"/>
                <w:lang w:val="en-GB"/>
              </w:rPr>
            </w:pPr>
            <w:r w:rsidRPr="001F30BF">
              <w:rPr>
                <w:sz w:val="18"/>
                <w:szCs w:val="18"/>
                <w:lang w:val="en-GB"/>
              </w:rPr>
              <w:t xml:space="preserve">USA, MSNBC, CNBC, E!, </w:t>
            </w:r>
            <w:proofErr w:type="spellStart"/>
            <w:r w:rsidRPr="001F30BF">
              <w:rPr>
                <w:sz w:val="18"/>
                <w:szCs w:val="18"/>
                <w:lang w:val="en-GB"/>
              </w:rPr>
              <w:t>Syfy</w:t>
            </w:r>
            <w:proofErr w:type="spellEnd"/>
            <w:r w:rsidRPr="001F30BF">
              <w:rPr>
                <w:sz w:val="18"/>
                <w:szCs w:val="18"/>
                <w:lang w:val="en-GB"/>
              </w:rPr>
              <w:t>, Bravo, NBC Sports, Golf Channel</w:t>
            </w:r>
          </w:p>
        </w:tc>
        <w:tc>
          <w:tcPr>
            <w:tcW w:w="1365" w:type="dxa"/>
            <w:vAlign w:val="center"/>
            <w:hideMark/>
          </w:tcPr>
          <w:p w14:paraId="2C2D839C" w14:textId="77777777" w:rsidR="002541E5" w:rsidRPr="001F30BF" w:rsidRDefault="002541E5" w:rsidP="007269AA">
            <w:pPr>
              <w:pStyle w:val="ExhibitText"/>
              <w:jc w:val="center"/>
              <w:rPr>
                <w:sz w:val="18"/>
                <w:szCs w:val="18"/>
                <w:lang w:val="en-GB"/>
              </w:rPr>
            </w:pPr>
            <w:r w:rsidRPr="001F30BF">
              <w:rPr>
                <w:sz w:val="18"/>
                <w:szCs w:val="18"/>
                <w:lang w:val="en-GB"/>
              </w:rPr>
              <w:t>29</w:t>
            </w:r>
          </w:p>
          <w:p w14:paraId="691EC465" w14:textId="77777777" w:rsidR="002541E5" w:rsidRPr="001F30BF" w:rsidRDefault="002541E5" w:rsidP="007269AA">
            <w:pPr>
              <w:pStyle w:val="ExhibitText"/>
              <w:jc w:val="center"/>
              <w:rPr>
                <w:sz w:val="18"/>
                <w:szCs w:val="18"/>
                <w:lang w:val="en-GB"/>
              </w:rPr>
            </w:pPr>
            <w:r w:rsidRPr="001F30BF">
              <w:rPr>
                <w:sz w:val="18"/>
                <w:szCs w:val="18"/>
                <w:lang w:val="en-GB"/>
              </w:rPr>
              <w:t xml:space="preserve">NBC </w:t>
            </w:r>
            <w:proofErr w:type="spellStart"/>
            <w:r w:rsidRPr="001F30BF">
              <w:rPr>
                <w:sz w:val="18"/>
                <w:szCs w:val="18"/>
                <w:lang w:val="en-GB"/>
              </w:rPr>
              <w:t>Telemundo</w:t>
            </w:r>
            <w:proofErr w:type="spellEnd"/>
          </w:p>
        </w:tc>
        <w:tc>
          <w:tcPr>
            <w:tcW w:w="810" w:type="dxa"/>
            <w:noWrap/>
            <w:vAlign w:val="center"/>
            <w:hideMark/>
          </w:tcPr>
          <w:p w14:paraId="5C6156E4" w14:textId="77777777" w:rsidR="002541E5" w:rsidRPr="001F30BF" w:rsidRDefault="002541E5" w:rsidP="007269AA">
            <w:pPr>
              <w:pStyle w:val="ExhibitText"/>
              <w:jc w:val="center"/>
              <w:rPr>
                <w:sz w:val="18"/>
                <w:szCs w:val="18"/>
                <w:lang w:val="en-GB"/>
              </w:rPr>
            </w:pPr>
            <w:proofErr w:type="spellStart"/>
            <w:r w:rsidRPr="001F30BF">
              <w:rPr>
                <w:sz w:val="18"/>
                <w:szCs w:val="18"/>
                <w:lang w:val="en-GB"/>
              </w:rPr>
              <w:t>Xfinity</w:t>
            </w:r>
            <w:proofErr w:type="spellEnd"/>
          </w:p>
        </w:tc>
        <w:tc>
          <w:tcPr>
            <w:tcW w:w="898" w:type="dxa"/>
            <w:noWrap/>
            <w:vAlign w:val="center"/>
            <w:hideMark/>
          </w:tcPr>
          <w:p w14:paraId="1D4F60DE" w14:textId="77777777" w:rsidR="002541E5" w:rsidRPr="001F30BF" w:rsidRDefault="002541E5" w:rsidP="007269AA">
            <w:pPr>
              <w:pStyle w:val="ExhibitText"/>
              <w:jc w:val="center"/>
              <w:rPr>
                <w:sz w:val="18"/>
                <w:szCs w:val="18"/>
                <w:lang w:val="en-GB"/>
              </w:rPr>
            </w:pPr>
            <w:r w:rsidRPr="001F30BF">
              <w:rPr>
                <w:sz w:val="18"/>
                <w:szCs w:val="18"/>
                <w:lang w:val="en-GB"/>
              </w:rPr>
              <w:t>Hulu</w:t>
            </w:r>
          </w:p>
        </w:tc>
      </w:tr>
      <w:tr w:rsidR="002541E5" w:rsidRPr="00054D13" w14:paraId="12BA0E01" w14:textId="77777777" w:rsidTr="007269AA">
        <w:trPr>
          <w:trHeight w:val="411"/>
          <w:jc w:val="center"/>
        </w:trPr>
        <w:tc>
          <w:tcPr>
            <w:tcW w:w="1165" w:type="dxa"/>
            <w:noWrap/>
            <w:vAlign w:val="center"/>
            <w:hideMark/>
          </w:tcPr>
          <w:p w14:paraId="0AB5D614" w14:textId="713657BE" w:rsidR="002541E5" w:rsidRPr="001F30BF" w:rsidRDefault="002541E5" w:rsidP="007269AA">
            <w:pPr>
              <w:pStyle w:val="ExhibitText"/>
              <w:jc w:val="left"/>
              <w:rPr>
                <w:sz w:val="18"/>
                <w:szCs w:val="18"/>
                <w:lang w:val="en-GB"/>
              </w:rPr>
            </w:pPr>
            <w:r w:rsidRPr="001F30BF">
              <w:rPr>
                <w:sz w:val="18"/>
                <w:szCs w:val="18"/>
                <w:lang w:val="en-GB"/>
              </w:rPr>
              <w:t>CBS Corporation</w:t>
            </w:r>
          </w:p>
        </w:tc>
        <w:tc>
          <w:tcPr>
            <w:tcW w:w="1082" w:type="dxa"/>
            <w:vAlign w:val="center"/>
            <w:hideMark/>
          </w:tcPr>
          <w:p w14:paraId="7CE262A7" w14:textId="77777777" w:rsidR="002541E5" w:rsidRPr="001F30BF" w:rsidRDefault="002541E5" w:rsidP="007269AA">
            <w:pPr>
              <w:pStyle w:val="ExhibitText"/>
              <w:jc w:val="center"/>
              <w:rPr>
                <w:sz w:val="18"/>
                <w:szCs w:val="18"/>
                <w:lang w:val="en-GB"/>
              </w:rPr>
            </w:pPr>
            <w:r w:rsidRPr="001F30BF">
              <w:rPr>
                <w:sz w:val="18"/>
                <w:szCs w:val="18"/>
                <w:lang w:val="en-GB"/>
              </w:rPr>
              <w:t>CBS Television Studios</w:t>
            </w:r>
          </w:p>
        </w:tc>
        <w:tc>
          <w:tcPr>
            <w:tcW w:w="1466" w:type="dxa"/>
            <w:vAlign w:val="center"/>
            <w:hideMark/>
          </w:tcPr>
          <w:p w14:paraId="13EF9303" w14:textId="77777777" w:rsidR="002541E5" w:rsidRPr="001F30BF" w:rsidRDefault="002541E5" w:rsidP="007269AA">
            <w:pPr>
              <w:pStyle w:val="ExhibitText"/>
              <w:jc w:val="center"/>
              <w:rPr>
                <w:sz w:val="18"/>
                <w:szCs w:val="18"/>
                <w:lang w:val="en-GB"/>
              </w:rPr>
            </w:pPr>
            <w:r w:rsidRPr="001F30BF">
              <w:rPr>
                <w:sz w:val="18"/>
                <w:szCs w:val="18"/>
                <w:lang w:val="en-GB"/>
              </w:rPr>
              <w:t>CBS Films</w:t>
            </w:r>
          </w:p>
        </w:tc>
        <w:tc>
          <w:tcPr>
            <w:tcW w:w="1192" w:type="dxa"/>
            <w:vAlign w:val="center"/>
            <w:hideMark/>
          </w:tcPr>
          <w:p w14:paraId="68E794C2" w14:textId="77777777" w:rsidR="002541E5" w:rsidRPr="001F30BF" w:rsidRDefault="002541E5" w:rsidP="007269AA">
            <w:pPr>
              <w:pStyle w:val="ExhibitText"/>
              <w:jc w:val="center"/>
              <w:rPr>
                <w:sz w:val="18"/>
                <w:szCs w:val="18"/>
                <w:lang w:val="en-GB"/>
              </w:rPr>
            </w:pPr>
            <w:r w:rsidRPr="001F30BF">
              <w:rPr>
                <w:sz w:val="18"/>
                <w:szCs w:val="18"/>
                <w:lang w:val="en-GB"/>
              </w:rPr>
              <w:t>CBS, The CW</w:t>
            </w:r>
          </w:p>
        </w:tc>
        <w:tc>
          <w:tcPr>
            <w:tcW w:w="1291" w:type="dxa"/>
            <w:vAlign w:val="center"/>
            <w:hideMark/>
          </w:tcPr>
          <w:p w14:paraId="1742B8EF" w14:textId="77777777" w:rsidR="002541E5" w:rsidRPr="001F30BF" w:rsidRDefault="002541E5" w:rsidP="007269AA">
            <w:pPr>
              <w:pStyle w:val="ExhibitText"/>
              <w:jc w:val="center"/>
              <w:rPr>
                <w:sz w:val="18"/>
                <w:szCs w:val="18"/>
                <w:lang w:val="en-GB"/>
              </w:rPr>
            </w:pPr>
            <w:r w:rsidRPr="001F30BF">
              <w:rPr>
                <w:sz w:val="18"/>
                <w:szCs w:val="18"/>
                <w:lang w:val="en-GB"/>
              </w:rPr>
              <w:t>Showtime, CBS Sports Network, Smithsonian Channel</w:t>
            </w:r>
          </w:p>
        </w:tc>
        <w:tc>
          <w:tcPr>
            <w:tcW w:w="1365" w:type="dxa"/>
            <w:vAlign w:val="center"/>
            <w:hideMark/>
          </w:tcPr>
          <w:p w14:paraId="75BD7639" w14:textId="77777777" w:rsidR="002541E5" w:rsidRPr="001F30BF" w:rsidRDefault="002541E5" w:rsidP="007269AA">
            <w:pPr>
              <w:pStyle w:val="ExhibitText"/>
              <w:jc w:val="center"/>
              <w:rPr>
                <w:sz w:val="18"/>
                <w:szCs w:val="18"/>
                <w:lang w:val="en-GB"/>
              </w:rPr>
            </w:pPr>
            <w:r w:rsidRPr="001F30BF">
              <w:rPr>
                <w:sz w:val="18"/>
                <w:szCs w:val="18"/>
                <w:lang w:val="en-GB"/>
              </w:rPr>
              <w:t>29</w:t>
            </w:r>
          </w:p>
          <w:p w14:paraId="006D5AE7" w14:textId="7CBB8014" w:rsidR="002541E5" w:rsidRPr="001F30BF" w:rsidRDefault="002541E5" w:rsidP="007269AA">
            <w:pPr>
              <w:pStyle w:val="ExhibitText"/>
              <w:jc w:val="center"/>
              <w:rPr>
                <w:sz w:val="18"/>
                <w:szCs w:val="18"/>
                <w:lang w:val="en-GB"/>
              </w:rPr>
            </w:pPr>
            <w:r w:rsidRPr="001F30BF">
              <w:rPr>
                <w:sz w:val="18"/>
                <w:szCs w:val="18"/>
                <w:lang w:val="en-GB"/>
              </w:rPr>
              <w:t>CBS</w:t>
            </w:r>
          </w:p>
          <w:p w14:paraId="7E44FC7F" w14:textId="36ABFF7F" w:rsidR="002541E5" w:rsidRPr="001F30BF" w:rsidRDefault="002541E5" w:rsidP="007269AA">
            <w:pPr>
              <w:pStyle w:val="ExhibitText"/>
              <w:jc w:val="center"/>
              <w:rPr>
                <w:sz w:val="18"/>
                <w:szCs w:val="18"/>
                <w:lang w:val="en-GB"/>
              </w:rPr>
            </w:pPr>
            <w:r w:rsidRPr="001F30BF">
              <w:rPr>
                <w:sz w:val="18"/>
                <w:szCs w:val="18"/>
                <w:lang w:val="en-GB"/>
              </w:rPr>
              <w:t>The CW</w:t>
            </w:r>
          </w:p>
        </w:tc>
        <w:tc>
          <w:tcPr>
            <w:tcW w:w="810" w:type="dxa"/>
            <w:noWrap/>
            <w:vAlign w:val="center"/>
            <w:hideMark/>
          </w:tcPr>
          <w:p w14:paraId="37979743" w14:textId="77777777" w:rsidR="002541E5" w:rsidRPr="001F30BF" w:rsidRDefault="002541E5" w:rsidP="007269AA">
            <w:pPr>
              <w:pStyle w:val="ExhibitText"/>
              <w:jc w:val="center"/>
              <w:rPr>
                <w:sz w:val="18"/>
                <w:szCs w:val="18"/>
                <w:lang w:val="en-GB"/>
              </w:rPr>
            </w:pPr>
            <w:r w:rsidRPr="001F30BF">
              <w:rPr>
                <w:sz w:val="18"/>
                <w:szCs w:val="18"/>
                <w:lang w:val="en-GB"/>
              </w:rPr>
              <w:t>No</w:t>
            </w:r>
          </w:p>
        </w:tc>
        <w:tc>
          <w:tcPr>
            <w:tcW w:w="898" w:type="dxa"/>
            <w:vAlign w:val="center"/>
            <w:hideMark/>
          </w:tcPr>
          <w:p w14:paraId="4D92C5C6" w14:textId="77777777" w:rsidR="002541E5" w:rsidRPr="001F30BF" w:rsidRDefault="002541E5" w:rsidP="007269AA">
            <w:pPr>
              <w:pStyle w:val="ExhibitText"/>
              <w:jc w:val="center"/>
              <w:rPr>
                <w:sz w:val="18"/>
                <w:szCs w:val="18"/>
                <w:lang w:val="en-GB"/>
              </w:rPr>
            </w:pPr>
            <w:r w:rsidRPr="001F30BF">
              <w:rPr>
                <w:sz w:val="18"/>
                <w:szCs w:val="18"/>
                <w:lang w:val="en-GB"/>
              </w:rPr>
              <w:t>CBS All Access</w:t>
            </w:r>
          </w:p>
        </w:tc>
      </w:tr>
      <w:tr w:rsidR="002541E5" w:rsidRPr="00054D13" w14:paraId="7B07AF7F" w14:textId="77777777" w:rsidTr="007269AA">
        <w:trPr>
          <w:trHeight w:val="246"/>
          <w:jc w:val="center"/>
        </w:trPr>
        <w:tc>
          <w:tcPr>
            <w:tcW w:w="1165" w:type="dxa"/>
            <w:noWrap/>
            <w:vAlign w:val="center"/>
            <w:hideMark/>
          </w:tcPr>
          <w:p w14:paraId="06B80460" w14:textId="38A1BFB2" w:rsidR="002541E5" w:rsidRPr="001F30BF" w:rsidRDefault="002541E5" w:rsidP="007269AA">
            <w:pPr>
              <w:pStyle w:val="ExhibitText"/>
              <w:jc w:val="left"/>
              <w:rPr>
                <w:sz w:val="18"/>
                <w:szCs w:val="18"/>
                <w:lang w:val="en-GB"/>
              </w:rPr>
            </w:pPr>
            <w:r w:rsidRPr="001F30BF">
              <w:rPr>
                <w:sz w:val="18"/>
                <w:szCs w:val="18"/>
                <w:lang w:val="en-GB"/>
              </w:rPr>
              <w:t>21st Century Fox</w:t>
            </w:r>
          </w:p>
        </w:tc>
        <w:tc>
          <w:tcPr>
            <w:tcW w:w="1082" w:type="dxa"/>
            <w:vAlign w:val="center"/>
            <w:hideMark/>
          </w:tcPr>
          <w:p w14:paraId="5C8C7957" w14:textId="77777777" w:rsidR="002541E5" w:rsidRPr="001F30BF" w:rsidRDefault="002541E5" w:rsidP="007269AA">
            <w:pPr>
              <w:pStyle w:val="ExhibitText"/>
              <w:jc w:val="center"/>
              <w:rPr>
                <w:sz w:val="18"/>
                <w:szCs w:val="18"/>
                <w:lang w:val="en-GB"/>
              </w:rPr>
            </w:pPr>
            <w:r w:rsidRPr="001F30BF">
              <w:rPr>
                <w:sz w:val="18"/>
                <w:szCs w:val="18"/>
                <w:lang w:val="en-GB"/>
              </w:rPr>
              <w:t>20th Century Fox Television, Fox21 Television Studios</w:t>
            </w:r>
          </w:p>
        </w:tc>
        <w:tc>
          <w:tcPr>
            <w:tcW w:w="1466" w:type="dxa"/>
            <w:vAlign w:val="center"/>
            <w:hideMark/>
          </w:tcPr>
          <w:p w14:paraId="1417EDBA" w14:textId="77777777" w:rsidR="002541E5" w:rsidRPr="001F30BF" w:rsidRDefault="002541E5" w:rsidP="007269AA">
            <w:pPr>
              <w:pStyle w:val="ExhibitText"/>
              <w:jc w:val="center"/>
              <w:rPr>
                <w:sz w:val="18"/>
                <w:szCs w:val="18"/>
                <w:lang w:val="en-GB"/>
              </w:rPr>
            </w:pPr>
            <w:r w:rsidRPr="001F30BF">
              <w:rPr>
                <w:sz w:val="18"/>
                <w:szCs w:val="18"/>
                <w:lang w:val="en-GB"/>
              </w:rPr>
              <w:t>20th Century Fox Film</w:t>
            </w:r>
          </w:p>
        </w:tc>
        <w:tc>
          <w:tcPr>
            <w:tcW w:w="1192" w:type="dxa"/>
            <w:vAlign w:val="center"/>
            <w:hideMark/>
          </w:tcPr>
          <w:p w14:paraId="7507BA5B" w14:textId="77777777" w:rsidR="002541E5" w:rsidRPr="001F30BF" w:rsidRDefault="002541E5" w:rsidP="007269AA">
            <w:pPr>
              <w:pStyle w:val="ExhibitText"/>
              <w:jc w:val="center"/>
              <w:rPr>
                <w:sz w:val="18"/>
                <w:szCs w:val="18"/>
                <w:lang w:val="en-GB"/>
              </w:rPr>
            </w:pPr>
            <w:r w:rsidRPr="001F30BF">
              <w:rPr>
                <w:sz w:val="18"/>
                <w:szCs w:val="18"/>
                <w:lang w:val="en-GB"/>
              </w:rPr>
              <w:t>FOX</w:t>
            </w:r>
          </w:p>
        </w:tc>
        <w:tc>
          <w:tcPr>
            <w:tcW w:w="1291" w:type="dxa"/>
            <w:vAlign w:val="center"/>
            <w:hideMark/>
          </w:tcPr>
          <w:p w14:paraId="44852154" w14:textId="77777777" w:rsidR="002541E5" w:rsidRPr="001F30BF" w:rsidRDefault="002541E5" w:rsidP="007269AA">
            <w:pPr>
              <w:pStyle w:val="ExhibitText"/>
              <w:jc w:val="center"/>
              <w:rPr>
                <w:sz w:val="18"/>
                <w:szCs w:val="18"/>
                <w:lang w:val="en-GB"/>
              </w:rPr>
            </w:pPr>
            <w:r w:rsidRPr="001F30BF">
              <w:rPr>
                <w:sz w:val="18"/>
                <w:szCs w:val="18"/>
                <w:lang w:val="en-GB"/>
              </w:rPr>
              <w:t>Fox News, Fox Sports, Fox Business</w:t>
            </w:r>
          </w:p>
        </w:tc>
        <w:tc>
          <w:tcPr>
            <w:tcW w:w="1365" w:type="dxa"/>
            <w:noWrap/>
            <w:vAlign w:val="center"/>
            <w:hideMark/>
          </w:tcPr>
          <w:p w14:paraId="425C7F7D" w14:textId="77777777" w:rsidR="002541E5" w:rsidRPr="001F30BF" w:rsidRDefault="002541E5" w:rsidP="007269AA">
            <w:pPr>
              <w:pStyle w:val="ExhibitText"/>
              <w:jc w:val="center"/>
              <w:rPr>
                <w:sz w:val="18"/>
                <w:szCs w:val="18"/>
                <w:lang w:val="en-GB"/>
              </w:rPr>
            </w:pPr>
            <w:r w:rsidRPr="001F30BF">
              <w:rPr>
                <w:sz w:val="18"/>
                <w:szCs w:val="18"/>
                <w:lang w:val="en-GB"/>
              </w:rPr>
              <w:t>28</w:t>
            </w:r>
          </w:p>
          <w:p w14:paraId="7193AE6E" w14:textId="77777777" w:rsidR="002541E5" w:rsidRPr="001F30BF" w:rsidRDefault="002541E5" w:rsidP="007269AA">
            <w:pPr>
              <w:pStyle w:val="ExhibitText"/>
              <w:jc w:val="center"/>
              <w:rPr>
                <w:sz w:val="18"/>
                <w:szCs w:val="18"/>
                <w:lang w:val="en-GB"/>
              </w:rPr>
            </w:pPr>
            <w:r w:rsidRPr="001F30BF">
              <w:rPr>
                <w:sz w:val="18"/>
                <w:szCs w:val="18"/>
                <w:lang w:val="en-GB"/>
              </w:rPr>
              <w:t>FOX</w:t>
            </w:r>
          </w:p>
          <w:p w14:paraId="4997B1DD" w14:textId="77777777" w:rsidR="002541E5" w:rsidRPr="001F30BF" w:rsidRDefault="002541E5" w:rsidP="007269AA">
            <w:pPr>
              <w:pStyle w:val="ExhibitText"/>
              <w:jc w:val="center"/>
              <w:rPr>
                <w:sz w:val="18"/>
                <w:szCs w:val="18"/>
                <w:lang w:val="en-GB"/>
              </w:rPr>
            </w:pPr>
            <w:proofErr w:type="spellStart"/>
            <w:r w:rsidRPr="001F30BF">
              <w:rPr>
                <w:sz w:val="18"/>
                <w:szCs w:val="18"/>
                <w:lang w:val="en-GB"/>
              </w:rPr>
              <w:t>MyNetworkTV</w:t>
            </w:r>
            <w:proofErr w:type="spellEnd"/>
          </w:p>
        </w:tc>
        <w:tc>
          <w:tcPr>
            <w:tcW w:w="810" w:type="dxa"/>
            <w:noWrap/>
            <w:vAlign w:val="center"/>
            <w:hideMark/>
          </w:tcPr>
          <w:p w14:paraId="5B8F4785" w14:textId="77777777" w:rsidR="002541E5" w:rsidRPr="001F30BF" w:rsidRDefault="002541E5" w:rsidP="007269AA">
            <w:pPr>
              <w:pStyle w:val="ExhibitText"/>
              <w:jc w:val="center"/>
              <w:rPr>
                <w:sz w:val="18"/>
                <w:szCs w:val="18"/>
                <w:lang w:val="en-GB"/>
              </w:rPr>
            </w:pPr>
            <w:r w:rsidRPr="001F30BF">
              <w:rPr>
                <w:sz w:val="18"/>
                <w:szCs w:val="18"/>
                <w:lang w:val="en-GB"/>
              </w:rPr>
              <w:t>No</w:t>
            </w:r>
          </w:p>
        </w:tc>
        <w:tc>
          <w:tcPr>
            <w:tcW w:w="898" w:type="dxa"/>
            <w:noWrap/>
            <w:vAlign w:val="center"/>
            <w:hideMark/>
          </w:tcPr>
          <w:p w14:paraId="22B7AA29" w14:textId="77777777" w:rsidR="002541E5" w:rsidRPr="001F30BF" w:rsidRDefault="002541E5" w:rsidP="007269AA">
            <w:pPr>
              <w:pStyle w:val="ExhibitText"/>
              <w:jc w:val="center"/>
              <w:rPr>
                <w:sz w:val="18"/>
                <w:szCs w:val="18"/>
                <w:lang w:val="en-GB"/>
              </w:rPr>
            </w:pPr>
            <w:r w:rsidRPr="001F30BF">
              <w:rPr>
                <w:sz w:val="18"/>
                <w:szCs w:val="18"/>
                <w:lang w:val="en-GB"/>
              </w:rPr>
              <w:t>Hulu</w:t>
            </w:r>
          </w:p>
        </w:tc>
      </w:tr>
    </w:tbl>
    <w:p w14:paraId="70E49BB6" w14:textId="2558B331" w:rsidR="002541E5" w:rsidRPr="001F30BF" w:rsidRDefault="002541E5" w:rsidP="001F30BF">
      <w:pPr>
        <w:pStyle w:val="ExhibitText"/>
      </w:pPr>
    </w:p>
    <w:p w14:paraId="56DF2858" w14:textId="13E5335C" w:rsidR="002541E5" w:rsidRPr="00722C19" w:rsidRDefault="002541E5" w:rsidP="002541E5">
      <w:pPr>
        <w:pStyle w:val="Footnote"/>
        <w:rPr>
          <w:lang w:val="en-GB"/>
        </w:rPr>
      </w:pPr>
      <w:r w:rsidRPr="00722C19">
        <w:rPr>
          <w:lang w:val="en-GB"/>
        </w:rPr>
        <w:t xml:space="preserve">Note: </w:t>
      </w:r>
      <w:r w:rsidR="000108F7">
        <w:rPr>
          <w:lang w:val="en-GB"/>
        </w:rPr>
        <w:t xml:space="preserve">MVPD = multi-channel video programming distributor; OVD = online video distribution; </w:t>
      </w:r>
      <w:r w:rsidRPr="00722C19">
        <w:rPr>
          <w:lang w:val="en-GB"/>
        </w:rPr>
        <w:t>The CW was a 50/50 joint venture with Warner Brothers Entertainment</w:t>
      </w:r>
      <w:r w:rsidR="000770A6">
        <w:rPr>
          <w:lang w:val="en-GB"/>
        </w:rPr>
        <w:t>.</w:t>
      </w:r>
    </w:p>
    <w:p w14:paraId="43161B95" w14:textId="733767C7" w:rsidR="002541E5" w:rsidRPr="00722C19" w:rsidRDefault="002541E5" w:rsidP="002541E5">
      <w:pPr>
        <w:pStyle w:val="Footnote"/>
        <w:rPr>
          <w:lang w:val="en-GB"/>
        </w:rPr>
      </w:pPr>
      <w:r w:rsidRPr="00722C19">
        <w:rPr>
          <w:lang w:val="en-GB"/>
        </w:rPr>
        <w:t>Source:</w:t>
      </w:r>
      <w:r w:rsidR="000770A6">
        <w:rPr>
          <w:lang w:val="en-GB"/>
        </w:rPr>
        <w:t xml:space="preserve"> </w:t>
      </w:r>
      <w:r w:rsidRPr="00722C19">
        <w:rPr>
          <w:lang w:val="en-GB"/>
        </w:rPr>
        <w:t xml:space="preserve">The Walt Disney Company, </w:t>
      </w:r>
      <w:r w:rsidR="000770A6">
        <w:rPr>
          <w:lang w:val="en-GB"/>
        </w:rPr>
        <w:t>“</w:t>
      </w:r>
      <w:r w:rsidRPr="00722C19">
        <w:rPr>
          <w:lang w:val="en-GB"/>
        </w:rPr>
        <w:t xml:space="preserve">Form 10-K for </w:t>
      </w:r>
      <w:r w:rsidR="000770A6">
        <w:rPr>
          <w:lang w:val="en-GB"/>
        </w:rPr>
        <w:t>F</w:t>
      </w:r>
      <w:r w:rsidRPr="00722C19">
        <w:rPr>
          <w:lang w:val="en-GB"/>
        </w:rPr>
        <w:t xml:space="preserve">iscal </w:t>
      </w:r>
      <w:r w:rsidR="000770A6">
        <w:rPr>
          <w:lang w:val="en-GB"/>
        </w:rPr>
        <w:t>Y</w:t>
      </w:r>
      <w:r w:rsidRPr="00722C19">
        <w:rPr>
          <w:lang w:val="en-GB"/>
        </w:rPr>
        <w:t xml:space="preserve">ear </w:t>
      </w:r>
      <w:r w:rsidR="000770A6">
        <w:rPr>
          <w:lang w:val="en-GB"/>
        </w:rPr>
        <w:t>E</w:t>
      </w:r>
      <w:r w:rsidRPr="00722C19">
        <w:rPr>
          <w:lang w:val="en-GB"/>
        </w:rPr>
        <w:t>nded September 30, 2017,</w:t>
      </w:r>
      <w:r w:rsidR="000770A6">
        <w:rPr>
          <w:lang w:val="en-GB"/>
        </w:rPr>
        <w:t xml:space="preserve">” accessed June 21, 2018, </w:t>
      </w:r>
      <w:r w:rsidRPr="00722C19">
        <w:rPr>
          <w:lang w:val="en-GB"/>
        </w:rPr>
        <w:t xml:space="preserve"> www.sec.gov/Archives/edgar/data/1001039/000100103917000198/fy2017_q4x10k.htm; Comcast Corp</w:t>
      </w:r>
      <w:r w:rsidR="00912838">
        <w:rPr>
          <w:lang w:val="en-GB"/>
        </w:rPr>
        <w:t>oration</w:t>
      </w:r>
      <w:r w:rsidRPr="00722C19">
        <w:rPr>
          <w:lang w:val="en-GB"/>
        </w:rPr>
        <w:t xml:space="preserve">, </w:t>
      </w:r>
      <w:r w:rsidR="00912838">
        <w:rPr>
          <w:lang w:val="en-GB"/>
        </w:rPr>
        <w:t>“</w:t>
      </w:r>
      <w:r w:rsidRPr="00722C19">
        <w:rPr>
          <w:lang w:val="en-GB"/>
        </w:rPr>
        <w:t xml:space="preserve">Form 10-K for </w:t>
      </w:r>
      <w:r w:rsidR="00912838">
        <w:rPr>
          <w:lang w:val="en-GB"/>
        </w:rPr>
        <w:t>F</w:t>
      </w:r>
      <w:r w:rsidRPr="00722C19">
        <w:rPr>
          <w:lang w:val="en-GB"/>
        </w:rPr>
        <w:t xml:space="preserve">iscal </w:t>
      </w:r>
      <w:r w:rsidR="00912838">
        <w:rPr>
          <w:lang w:val="en-GB"/>
        </w:rPr>
        <w:t>Y</w:t>
      </w:r>
      <w:r w:rsidRPr="00722C19">
        <w:rPr>
          <w:lang w:val="en-GB"/>
        </w:rPr>
        <w:t xml:space="preserve">ear </w:t>
      </w:r>
      <w:r w:rsidR="00912838">
        <w:rPr>
          <w:lang w:val="en-GB"/>
        </w:rPr>
        <w:t>E</w:t>
      </w:r>
      <w:r w:rsidRPr="00722C19">
        <w:rPr>
          <w:lang w:val="en-GB"/>
        </w:rPr>
        <w:t>nded December 31, 2017,</w:t>
      </w:r>
      <w:r w:rsidR="00912838">
        <w:rPr>
          <w:lang w:val="en-GB"/>
        </w:rPr>
        <w:t>”</w:t>
      </w:r>
      <w:r w:rsidRPr="00722C19">
        <w:rPr>
          <w:lang w:val="en-GB"/>
        </w:rPr>
        <w:t xml:space="preserve"> </w:t>
      </w:r>
      <w:r w:rsidR="00912838">
        <w:rPr>
          <w:lang w:val="en-GB"/>
        </w:rPr>
        <w:t xml:space="preserve">accessed June </w:t>
      </w:r>
      <w:r w:rsidR="005E2B82">
        <w:rPr>
          <w:lang w:val="en-GB"/>
        </w:rPr>
        <w:t>21</w:t>
      </w:r>
      <w:r w:rsidR="000108F7">
        <w:rPr>
          <w:lang w:val="en-GB"/>
        </w:rPr>
        <w:t xml:space="preserve">, </w:t>
      </w:r>
      <w:r w:rsidR="00912838">
        <w:rPr>
          <w:lang w:val="en-GB"/>
        </w:rPr>
        <w:t xml:space="preserve">2018, </w:t>
      </w:r>
      <w:r w:rsidRPr="00722C19">
        <w:rPr>
          <w:lang w:val="en-GB"/>
        </w:rPr>
        <w:t xml:space="preserve">www.cmcsa.com/static-files/111ba611-eb85-4edc-9000-3907c84697d8; CBS Corporation, </w:t>
      </w:r>
      <w:r w:rsidR="00912838">
        <w:rPr>
          <w:lang w:val="en-GB"/>
        </w:rPr>
        <w:t>“</w:t>
      </w:r>
      <w:r w:rsidRPr="00722C19">
        <w:rPr>
          <w:lang w:val="en-GB"/>
        </w:rPr>
        <w:t xml:space="preserve">Form 10-K for </w:t>
      </w:r>
      <w:r w:rsidR="00912838">
        <w:rPr>
          <w:lang w:val="en-GB"/>
        </w:rPr>
        <w:t>F</w:t>
      </w:r>
      <w:r w:rsidRPr="00722C19">
        <w:rPr>
          <w:lang w:val="en-GB"/>
        </w:rPr>
        <w:t xml:space="preserve">iscal </w:t>
      </w:r>
      <w:r w:rsidR="00912838">
        <w:rPr>
          <w:lang w:val="en-GB"/>
        </w:rPr>
        <w:t>Y</w:t>
      </w:r>
      <w:r w:rsidRPr="00722C19">
        <w:rPr>
          <w:lang w:val="en-GB"/>
        </w:rPr>
        <w:t xml:space="preserve">ear </w:t>
      </w:r>
      <w:r w:rsidR="00912838">
        <w:rPr>
          <w:lang w:val="en-GB"/>
        </w:rPr>
        <w:t>E</w:t>
      </w:r>
      <w:r w:rsidRPr="00722C19">
        <w:rPr>
          <w:lang w:val="en-GB"/>
        </w:rPr>
        <w:t>nded December 31, 2017,</w:t>
      </w:r>
      <w:r w:rsidR="00912838">
        <w:rPr>
          <w:lang w:val="en-GB"/>
        </w:rPr>
        <w:t xml:space="preserve">” accessed June </w:t>
      </w:r>
      <w:r w:rsidR="005E2B82">
        <w:rPr>
          <w:lang w:val="en-GB"/>
        </w:rPr>
        <w:t>21</w:t>
      </w:r>
      <w:r w:rsidR="000108F7">
        <w:rPr>
          <w:lang w:val="en-GB"/>
        </w:rPr>
        <w:t xml:space="preserve">, </w:t>
      </w:r>
      <w:r w:rsidR="00912838">
        <w:rPr>
          <w:lang w:val="en-GB"/>
        </w:rPr>
        <w:t>2018,</w:t>
      </w:r>
      <w:r w:rsidRPr="00722C19">
        <w:rPr>
          <w:lang w:val="en-GB"/>
        </w:rPr>
        <w:t xml:space="preserve"> https://investors.cbscorporation.com/static-files/7dc89334-6521-4fe8-9fb4-59b2981f654b; Twenty-First Century Fox, Inc., </w:t>
      </w:r>
      <w:r w:rsidR="00912838">
        <w:rPr>
          <w:lang w:val="en-GB"/>
        </w:rPr>
        <w:t>“</w:t>
      </w:r>
      <w:r w:rsidRPr="00722C19">
        <w:rPr>
          <w:lang w:val="en-GB"/>
        </w:rPr>
        <w:t xml:space="preserve">Form 10-K for </w:t>
      </w:r>
      <w:r w:rsidR="00912838">
        <w:rPr>
          <w:lang w:val="en-GB"/>
        </w:rPr>
        <w:t>F</w:t>
      </w:r>
      <w:r w:rsidRPr="00722C19">
        <w:rPr>
          <w:lang w:val="en-GB"/>
        </w:rPr>
        <w:t xml:space="preserve">iscal </w:t>
      </w:r>
      <w:r w:rsidR="00912838">
        <w:rPr>
          <w:lang w:val="en-GB"/>
        </w:rPr>
        <w:t>Y</w:t>
      </w:r>
      <w:r w:rsidRPr="00722C19">
        <w:rPr>
          <w:lang w:val="en-GB"/>
        </w:rPr>
        <w:t xml:space="preserve">ear </w:t>
      </w:r>
      <w:r w:rsidR="00912838">
        <w:rPr>
          <w:lang w:val="en-GB"/>
        </w:rPr>
        <w:t>E</w:t>
      </w:r>
      <w:r w:rsidRPr="00722C19">
        <w:rPr>
          <w:lang w:val="en-GB"/>
        </w:rPr>
        <w:t>nded June 30, 2017,</w:t>
      </w:r>
      <w:r w:rsidR="00912838">
        <w:rPr>
          <w:lang w:val="en-GB"/>
        </w:rPr>
        <w:t xml:space="preserve">” accessed June </w:t>
      </w:r>
      <w:r w:rsidR="005E2B82">
        <w:rPr>
          <w:lang w:val="en-GB"/>
        </w:rPr>
        <w:t>21</w:t>
      </w:r>
      <w:r w:rsidR="000108F7">
        <w:rPr>
          <w:lang w:val="en-GB"/>
        </w:rPr>
        <w:t xml:space="preserve">, </w:t>
      </w:r>
      <w:r w:rsidR="00912838">
        <w:rPr>
          <w:lang w:val="en-GB"/>
        </w:rPr>
        <w:t>2018,</w:t>
      </w:r>
      <w:r w:rsidRPr="00722C19">
        <w:rPr>
          <w:lang w:val="en-GB"/>
        </w:rPr>
        <w:t xml:space="preserve"> http://investor.21cf.com/node/7971/html.</w:t>
      </w:r>
    </w:p>
    <w:p w14:paraId="1B9CCA8C" w14:textId="0C83D2D1" w:rsidR="00B61C32" w:rsidRPr="00054D13" w:rsidRDefault="00B61C32" w:rsidP="00054D13">
      <w:pPr>
        <w:pStyle w:val="ExhibitText"/>
        <w:rPr>
          <w:sz w:val="18"/>
          <w:szCs w:val="16"/>
          <w:lang w:val="en-GB"/>
        </w:rPr>
      </w:pPr>
    </w:p>
    <w:p w14:paraId="383B5BFE" w14:textId="18A60B01" w:rsidR="001F30BF" w:rsidRDefault="001F30BF">
      <w:pPr>
        <w:spacing w:after="200" w:line="276" w:lineRule="auto"/>
        <w:rPr>
          <w:rFonts w:ascii="Arial" w:hAnsi="Arial" w:cs="Arial"/>
          <w:sz w:val="18"/>
          <w:szCs w:val="16"/>
          <w:lang w:val="en-GB"/>
        </w:rPr>
      </w:pPr>
      <w:r>
        <w:rPr>
          <w:sz w:val="18"/>
          <w:szCs w:val="16"/>
          <w:lang w:val="en-GB"/>
        </w:rPr>
        <w:br w:type="page"/>
      </w:r>
    </w:p>
    <w:p w14:paraId="004AD0B7" w14:textId="72BC0997" w:rsidR="002541E5" w:rsidRPr="00722C19" w:rsidRDefault="002541E5" w:rsidP="002541E5">
      <w:pPr>
        <w:jc w:val="center"/>
        <w:rPr>
          <w:sz w:val="22"/>
          <w:szCs w:val="22"/>
          <w:lang w:val="en-GB"/>
        </w:rPr>
      </w:pPr>
      <w:r w:rsidRPr="00722C19">
        <w:rPr>
          <w:rStyle w:val="ExhibitHeadingChar"/>
          <w:lang w:val="en-GB"/>
        </w:rPr>
        <w:lastRenderedPageBreak/>
        <w:t>EXHIBIT 2: SPORTS NETWORKS PROGRAMMING FEES</w:t>
      </w:r>
    </w:p>
    <w:p w14:paraId="5135AD2F" w14:textId="77777777" w:rsidR="002541E5" w:rsidRPr="001F30BF" w:rsidRDefault="002541E5" w:rsidP="001F30BF">
      <w:pPr>
        <w:pStyle w:val="ExhibitText"/>
        <w:rPr>
          <w:sz w:val="18"/>
        </w:rPr>
      </w:pPr>
    </w:p>
    <w:tbl>
      <w:tblPr>
        <w:tblStyle w:val="TableGrid"/>
        <w:tblW w:w="7735" w:type="dxa"/>
        <w:jc w:val="center"/>
        <w:tblLook w:val="04A0" w:firstRow="1" w:lastRow="0" w:firstColumn="1" w:lastColumn="0" w:noHBand="0" w:noVBand="1"/>
      </w:tblPr>
      <w:tblGrid>
        <w:gridCol w:w="1980"/>
        <w:gridCol w:w="2160"/>
        <w:gridCol w:w="3595"/>
      </w:tblGrid>
      <w:tr w:rsidR="002541E5" w:rsidRPr="001F30BF" w14:paraId="0DF3084F" w14:textId="77777777" w:rsidTr="001F30BF">
        <w:trPr>
          <w:trHeight w:val="455"/>
          <w:jc w:val="center"/>
        </w:trPr>
        <w:tc>
          <w:tcPr>
            <w:tcW w:w="1980" w:type="dxa"/>
            <w:noWrap/>
            <w:hideMark/>
          </w:tcPr>
          <w:p w14:paraId="5C8155AB" w14:textId="77777777" w:rsidR="002541E5" w:rsidRPr="001F30BF" w:rsidRDefault="002541E5" w:rsidP="00722C19">
            <w:pPr>
              <w:pStyle w:val="ExhibitText"/>
              <w:jc w:val="center"/>
              <w:rPr>
                <w:b/>
                <w:lang w:val="en-GB"/>
              </w:rPr>
            </w:pPr>
            <w:r w:rsidRPr="001F30BF">
              <w:rPr>
                <w:b/>
                <w:lang w:val="en-GB"/>
              </w:rPr>
              <w:t>Network</w:t>
            </w:r>
          </w:p>
        </w:tc>
        <w:tc>
          <w:tcPr>
            <w:tcW w:w="2160" w:type="dxa"/>
            <w:hideMark/>
          </w:tcPr>
          <w:p w14:paraId="68C0630D" w14:textId="79E39011" w:rsidR="002541E5" w:rsidRPr="001F30BF" w:rsidRDefault="002541E5" w:rsidP="00722C19">
            <w:pPr>
              <w:pStyle w:val="ExhibitText"/>
              <w:jc w:val="center"/>
              <w:rPr>
                <w:b/>
                <w:lang w:val="en-GB"/>
              </w:rPr>
            </w:pPr>
            <w:r w:rsidRPr="001F30BF">
              <w:rPr>
                <w:b/>
                <w:lang w:val="en-GB"/>
              </w:rPr>
              <w:t>Mo</w:t>
            </w:r>
            <w:r w:rsidR="00B978DF" w:rsidRPr="001F30BF">
              <w:rPr>
                <w:b/>
                <w:lang w:val="en-GB"/>
              </w:rPr>
              <w:t>nthly</w:t>
            </w:r>
            <w:r w:rsidRPr="001F30BF">
              <w:rPr>
                <w:b/>
                <w:lang w:val="en-GB"/>
              </w:rPr>
              <w:t xml:space="preserve"> Subscriber Fees ($)</w:t>
            </w:r>
          </w:p>
        </w:tc>
        <w:tc>
          <w:tcPr>
            <w:tcW w:w="3595" w:type="dxa"/>
          </w:tcPr>
          <w:p w14:paraId="49424237" w14:textId="77777777" w:rsidR="002541E5" w:rsidRPr="001F30BF" w:rsidRDefault="002541E5" w:rsidP="00722C19">
            <w:pPr>
              <w:pStyle w:val="ExhibitText"/>
              <w:jc w:val="center"/>
              <w:rPr>
                <w:b/>
                <w:lang w:val="en-GB"/>
              </w:rPr>
            </w:pPr>
            <w:r w:rsidRPr="001F30BF">
              <w:rPr>
                <w:b/>
                <w:lang w:val="en-GB"/>
              </w:rPr>
              <w:t>Channels</w:t>
            </w:r>
          </w:p>
        </w:tc>
      </w:tr>
      <w:tr w:rsidR="002541E5" w:rsidRPr="001F30BF" w14:paraId="5966815B" w14:textId="77777777" w:rsidTr="001F30BF">
        <w:trPr>
          <w:trHeight w:val="225"/>
          <w:jc w:val="center"/>
        </w:trPr>
        <w:tc>
          <w:tcPr>
            <w:tcW w:w="1980" w:type="dxa"/>
            <w:noWrap/>
            <w:hideMark/>
          </w:tcPr>
          <w:p w14:paraId="3F926763" w14:textId="77777777" w:rsidR="002541E5" w:rsidRPr="001F30BF" w:rsidRDefault="002541E5" w:rsidP="002541E5">
            <w:pPr>
              <w:pStyle w:val="ExhibitText"/>
              <w:rPr>
                <w:lang w:val="en-GB"/>
              </w:rPr>
            </w:pPr>
            <w:r w:rsidRPr="001F30BF">
              <w:rPr>
                <w:lang w:val="en-GB"/>
              </w:rPr>
              <w:t>ESPN</w:t>
            </w:r>
          </w:p>
        </w:tc>
        <w:tc>
          <w:tcPr>
            <w:tcW w:w="2160" w:type="dxa"/>
            <w:noWrap/>
            <w:hideMark/>
          </w:tcPr>
          <w:p w14:paraId="6E950CA4" w14:textId="77777777" w:rsidR="002541E5" w:rsidRPr="001F30BF" w:rsidRDefault="002541E5" w:rsidP="00336CA4">
            <w:pPr>
              <w:pStyle w:val="ExhibitText"/>
              <w:jc w:val="center"/>
              <w:rPr>
                <w:lang w:val="en-GB"/>
              </w:rPr>
            </w:pPr>
            <w:r w:rsidRPr="001F30BF">
              <w:rPr>
                <w:lang w:val="en-GB"/>
              </w:rPr>
              <w:t>9.06</w:t>
            </w:r>
          </w:p>
        </w:tc>
        <w:tc>
          <w:tcPr>
            <w:tcW w:w="3595" w:type="dxa"/>
          </w:tcPr>
          <w:p w14:paraId="6712DAF3" w14:textId="77777777" w:rsidR="002541E5" w:rsidRPr="001F30BF" w:rsidRDefault="002541E5" w:rsidP="002541E5">
            <w:pPr>
              <w:pStyle w:val="ExhibitText"/>
              <w:rPr>
                <w:lang w:val="es-US"/>
              </w:rPr>
            </w:pPr>
            <w:r w:rsidRPr="001F30BF">
              <w:rPr>
                <w:lang w:val="es-US"/>
              </w:rPr>
              <w:t>ESPN, ESPN2, ESPNU, SEC Network</w:t>
            </w:r>
          </w:p>
        </w:tc>
      </w:tr>
      <w:tr w:rsidR="002541E5" w:rsidRPr="001F30BF" w14:paraId="5B7F008A" w14:textId="77777777" w:rsidTr="001F30BF">
        <w:trPr>
          <w:trHeight w:val="225"/>
          <w:jc w:val="center"/>
        </w:trPr>
        <w:tc>
          <w:tcPr>
            <w:tcW w:w="1980" w:type="dxa"/>
            <w:noWrap/>
            <w:hideMark/>
          </w:tcPr>
          <w:p w14:paraId="4C7D5B2C" w14:textId="77777777" w:rsidR="002541E5" w:rsidRPr="001F30BF" w:rsidRDefault="002541E5" w:rsidP="002541E5">
            <w:pPr>
              <w:pStyle w:val="ExhibitText"/>
              <w:rPr>
                <w:lang w:val="en-GB"/>
              </w:rPr>
            </w:pPr>
            <w:r w:rsidRPr="001F30BF">
              <w:rPr>
                <w:lang w:val="en-GB"/>
              </w:rPr>
              <w:t>FOX Sports</w:t>
            </w:r>
          </w:p>
        </w:tc>
        <w:tc>
          <w:tcPr>
            <w:tcW w:w="2160" w:type="dxa"/>
            <w:noWrap/>
            <w:hideMark/>
          </w:tcPr>
          <w:p w14:paraId="001F7C08" w14:textId="77777777" w:rsidR="002541E5" w:rsidRPr="001F30BF" w:rsidRDefault="002541E5" w:rsidP="00336CA4">
            <w:pPr>
              <w:pStyle w:val="ExhibitText"/>
              <w:jc w:val="center"/>
              <w:rPr>
                <w:lang w:val="en-GB"/>
              </w:rPr>
            </w:pPr>
            <w:r w:rsidRPr="001F30BF">
              <w:rPr>
                <w:lang w:val="en-GB"/>
              </w:rPr>
              <w:t>1.86</w:t>
            </w:r>
          </w:p>
        </w:tc>
        <w:tc>
          <w:tcPr>
            <w:tcW w:w="3595" w:type="dxa"/>
          </w:tcPr>
          <w:p w14:paraId="52E5F89A" w14:textId="77777777" w:rsidR="002541E5" w:rsidRPr="001F30BF" w:rsidRDefault="002541E5" w:rsidP="002541E5">
            <w:pPr>
              <w:pStyle w:val="ExhibitText"/>
              <w:rPr>
                <w:lang w:val="en-GB"/>
              </w:rPr>
            </w:pPr>
            <w:r w:rsidRPr="001F30BF">
              <w:rPr>
                <w:lang w:val="en-GB"/>
              </w:rPr>
              <w:t>FS1, FS2, Big Ten Network</w:t>
            </w:r>
          </w:p>
        </w:tc>
      </w:tr>
      <w:tr w:rsidR="002541E5" w:rsidRPr="001F30BF" w14:paraId="0D3D29E6" w14:textId="77777777" w:rsidTr="001F30BF">
        <w:trPr>
          <w:trHeight w:val="225"/>
          <w:jc w:val="center"/>
        </w:trPr>
        <w:tc>
          <w:tcPr>
            <w:tcW w:w="1980" w:type="dxa"/>
            <w:noWrap/>
            <w:hideMark/>
          </w:tcPr>
          <w:p w14:paraId="32449922" w14:textId="77777777" w:rsidR="002541E5" w:rsidRPr="001F30BF" w:rsidRDefault="002541E5" w:rsidP="002541E5">
            <w:pPr>
              <w:pStyle w:val="ExhibitText"/>
              <w:rPr>
                <w:lang w:val="en-GB"/>
              </w:rPr>
            </w:pPr>
            <w:r w:rsidRPr="001F30BF">
              <w:rPr>
                <w:lang w:val="en-GB"/>
              </w:rPr>
              <w:t>NFL Network</w:t>
            </w:r>
          </w:p>
        </w:tc>
        <w:tc>
          <w:tcPr>
            <w:tcW w:w="2160" w:type="dxa"/>
            <w:noWrap/>
            <w:hideMark/>
          </w:tcPr>
          <w:p w14:paraId="0CB36F84" w14:textId="77777777" w:rsidR="002541E5" w:rsidRPr="001F30BF" w:rsidRDefault="002541E5" w:rsidP="00336CA4">
            <w:pPr>
              <w:pStyle w:val="ExhibitText"/>
              <w:jc w:val="center"/>
              <w:rPr>
                <w:lang w:val="en-GB"/>
              </w:rPr>
            </w:pPr>
            <w:r w:rsidRPr="001F30BF">
              <w:rPr>
                <w:lang w:val="en-GB"/>
              </w:rPr>
              <w:t>1.39</w:t>
            </w:r>
          </w:p>
        </w:tc>
        <w:tc>
          <w:tcPr>
            <w:tcW w:w="3595" w:type="dxa"/>
          </w:tcPr>
          <w:p w14:paraId="5AC9DD57" w14:textId="77777777" w:rsidR="002541E5" w:rsidRPr="001F30BF" w:rsidRDefault="002541E5" w:rsidP="002541E5">
            <w:pPr>
              <w:pStyle w:val="ExhibitText"/>
              <w:rPr>
                <w:lang w:val="en-GB"/>
              </w:rPr>
            </w:pPr>
          </w:p>
        </w:tc>
      </w:tr>
      <w:tr w:rsidR="002541E5" w:rsidRPr="001F30BF" w14:paraId="220DBB18" w14:textId="77777777" w:rsidTr="001F30BF">
        <w:trPr>
          <w:trHeight w:val="225"/>
          <w:jc w:val="center"/>
        </w:trPr>
        <w:tc>
          <w:tcPr>
            <w:tcW w:w="1980" w:type="dxa"/>
            <w:noWrap/>
            <w:hideMark/>
          </w:tcPr>
          <w:p w14:paraId="7E7D277B" w14:textId="77777777" w:rsidR="002541E5" w:rsidRPr="001F30BF" w:rsidRDefault="002541E5" w:rsidP="002541E5">
            <w:pPr>
              <w:pStyle w:val="ExhibitText"/>
              <w:rPr>
                <w:lang w:val="en-GB"/>
              </w:rPr>
            </w:pPr>
            <w:r w:rsidRPr="001F30BF">
              <w:rPr>
                <w:lang w:val="en-GB"/>
              </w:rPr>
              <w:t>NBC Sports</w:t>
            </w:r>
          </w:p>
        </w:tc>
        <w:tc>
          <w:tcPr>
            <w:tcW w:w="2160" w:type="dxa"/>
            <w:noWrap/>
            <w:hideMark/>
          </w:tcPr>
          <w:p w14:paraId="22608C1A" w14:textId="77777777" w:rsidR="002541E5" w:rsidRPr="001F30BF" w:rsidRDefault="002541E5" w:rsidP="00336CA4">
            <w:pPr>
              <w:pStyle w:val="ExhibitText"/>
              <w:jc w:val="center"/>
              <w:rPr>
                <w:lang w:val="en-GB"/>
              </w:rPr>
            </w:pPr>
            <w:r w:rsidRPr="001F30BF">
              <w:rPr>
                <w:lang w:val="en-GB"/>
              </w:rPr>
              <w:t>0.68</w:t>
            </w:r>
          </w:p>
        </w:tc>
        <w:tc>
          <w:tcPr>
            <w:tcW w:w="3595" w:type="dxa"/>
          </w:tcPr>
          <w:p w14:paraId="6CEB8301" w14:textId="77777777" w:rsidR="002541E5" w:rsidRPr="001F30BF" w:rsidRDefault="002541E5" w:rsidP="002541E5">
            <w:pPr>
              <w:pStyle w:val="ExhibitText"/>
              <w:rPr>
                <w:lang w:val="en-GB"/>
              </w:rPr>
            </w:pPr>
            <w:r w:rsidRPr="001F30BF">
              <w:rPr>
                <w:lang w:val="en-GB"/>
              </w:rPr>
              <w:t>NBCSN, Golf Channel</w:t>
            </w:r>
          </w:p>
        </w:tc>
      </w:tr>
      <w:tr w:rsidR="002541E5" w:rsidRPr="001F30BF" w14:paraId="334E464E" w14:textId="77777777" w:rsidTr="001F30BF">
        <w:trPr>
          <w:trHeight w:val="225"/>
          <w:jc w:val="center"/>
        </w:trPr>
        <w:tc>
          <w:tcPr>
            <w:tcW w:w="1980" w:type="dxa"/>
            <w:noWrap/>
            <w:hideMark/>
          </w:tcPr>
          <w:p w14:paraId="03CF59C5" w14:textId="77777777" w:rsidR="002541E5" w:rsidRPr="001F30BF" w:rsidRDefault="002541E5" w:rsidP="002541E5">
            <w:pPr>
              <w:pStyle w:val="ExhibitText"/>
              <w:rPr>
                <w:lang w:val="en-GB"/>
              </w:rPr>
            </w:pPr>
            <w:r w:rsidRPr="001F30BF">
              <w:rPr>
                <w:lang w:val="en-GB"/>
              </w:rPr>
              <w:t>NBA TV</w:t>
            </w:r>
          </w:p>
        </w:tc>
        <w:tc>
          <w:tcPr>
            <w:tcW w:w="2160" w:type="dxa"/>
            <w:noWrap/>
            <w:hideMark/>
          </w:tcPr>
          <w:p w14:paraId="44B38A12" w14:textId="77777777" w:rsidR="002541E5" w:rsidRPr="001F30BF" w:rsidRDefault="002541E5" w:rsidP="00336CA4">
            <w:pPr>
              <w:pStyle w:val="ExhibitText"/>
              <w:jc w:val="center"/>
              <w:rPr>
                <w:lang w:val="en-GB"/>
              </w:rPr>
            </w:pPr>
            <w:r w:rsidRPr="001F30BF">
              <w:rPr>
                <w:lang w:val="en-GB"/>
              </w:rPr>
              <w:t>0.30</w:t>
            </w:r>
          </w:p>
        </w:tc>
        <w:tc>
          <w:tcPr>
            <w:tcW w:w="3595" w:type="dxa"/>
          </w:tcPr>
          <w:p w14:paraId="36C4B486" w14:textId="77777777" w:rsidR="002541E5" w:rsidRPr="001F30BF" w:rsidRDefault="002541E5" w:rsidP="002541E5">
            <w:pPr>
              <w:pStyle w:val="ExhibitText"/>
              <w:rPr>
                <w:lang w:val="en-GB"/>
              </w:rPr>
            </w:pPr>
          </w:p>
        </w:tc>
      </w:tr>
      <w:tr w:rsidR="002541E5" w:rsidRPr="001F30BF" w14:paraId="59300F22" w14:textId="77777777" w:rsidTr="001F30BF">
        <w:trPr>
          <w:trHeight w:val="225"/>
          <w:jc w:val="center"/>
        </w:trPr>
        <w:tc>
          <w:tcPr>
            <w:tcW w:w="1980" w:type="dxa"/>
            <w:noWrap/>
            <w:hideMark/>
          </w:tcPr>
          <w:p w14:paraId="5CEBFF11" w14:textId="77777777" w:rsidR="002541E5" w:rsidRPr="001F30BF" w:rsidRDefault="002541E5" w:rsidP="002541E5">
            <w:pPr>
              <w:pStyle w:val="ExhibitText"/>
              <w:rPr>
                <w:lang w:val="en-GB"/>
              </w:rPr>
            </w:pPr>
            <w:r w:rsidRPr="001F30BF">
              <w:rPr>
                <w:lang w:val="en-GB"/>
              </w:rPr>
              <w:t>MLB Network</w:t>
            </w:r>
          </w:p>
        </w:tc>
        <w:tc>
          <w:tcPr>
            <w:tcW w:w="2160" w:type="dxa"/>
            <w:noWrap/>
            <w:hideMark/>
          </w:tcPr>
          <w:p w14:paraId="64A51C1F" w14:textId="77777777" w:rsidR="002541E5" w:rsidRPr="001F30BF" w:rsidRDefault="002541E5" w:rsidP="00336CA4">
            <w:pPr>
              <w:pStyle w:val="ExhibitText"/>
              <w:jc w:val="center"/>
              <w:rPr>
                <w:lang w:val="en-GB"/>
              </w:rPr>
            </w:pPr>
            <w:r w:rsidRPr="001F30BF">
              <w:rPr>
                <w:lang w:val="en-GB"/>
              </w:rPr>
              <w:t>0.28</w:t>
            </w:r>
          </w:p>
        </w:tc>
        <w:tc>
          <w:tcPr>
            <w:tcW w:w="3595" w:type="dxa"/>
          </w:tcPr>
          <w:p w14:paraId="2D34AF26" w14:textId="77777777" w:rsidR="002541E5" w:rsidRPr="001F30BF" w:rsidRDefault="002541E5" w:rsidP="002541E5">
            <w:pPr>
              <w:pStyle w:val="ExhibitText"/>
              <w:rPr>
                <w:lang w:val="en-GB"/>
              </w:rPr>
            </w:pPr>
          </w:p>
        </w:tc>
      </w:tr>
      <w:tr w:rsidR="002541E5" w:rsidRPr="001F30BF" w14:paraId="10039107" w14:textId="77777777" w:rsidTr="001F30BF">
        <w:trPr>
          <w:trHeight w:val="225"/>
          <w:jc w:val="center"/>
        </w:trPr>
        <w:tc>
          <w:tcPr>
            <w:tcW w:w="1980" w:type="dxa"/>
            <w:noWrap/>
            <w:hideMark/>
          </w:tcPr>
          <w:p w14:paraId="23C16C63" w14:textId="77777777" w:rsidR="002541E5" w:rsidRPr="001F30BF" w:rsidRDefault="002541E5" w:rsidP="002541E5">
            <w:pPr>
              <w:pStyle w:val="ExhibitText"/>
              <w:rPr>
                <w:lang w:val="en-GB"/>
              </w:rPr>
            </w:pPr>
            <w:r w:rsidRPr="001F30BF">
              <w:rPr>
                <w:lang w:val="en-GB"/>
              </w:rPr>
              <w:t>CBS Sports</w:t>
            </w:r>
          </w:p>
        </w:tc>
        <w:tc>
          <w:tcPr>
            <w:tcW w:w="2160" w:type="dxa"/>
            <w:noWrap/>
            <w:hideMark/>
          </w:tcPr>
          <w:p w14:paraId="4E67CE0F" w14:textId="77777777" w:rsidR="002541E5" w:rsidRPr="001F30BF" w:rsidRDefault="002541E5" w:rsidP="00336CA4">
            <w:pPr>
              <w:pStyle w:val="ExhibitText"/>
              <w:jc w:val="center"/>
              <w:rPr>
                <w:lang w:val="en-GB"/>
              </w:rPr>
            </w:pPr>
            <w:r w:rsidRPr="001F30BF">
              <w:rPr>
                <w:lang w:val="en-GB"/>
              </w:rPr>
              <w:t>0.26</w:t>
            </w:r>
          </w:p>
        </w:tc>
        <w:tc>
          <w:tcPr>
            <w:tcW w:w="3595" w:type="dxa"/>
          </w:tcPr>
          <w:p w14:paraId="7F58E2D9" w14:textId="77777777" w:rsidR="002541E5" w:rsidRPr="001F30BF" w:rsidRDefault="002541E5" w:rsidP="002541E5">
            <w:pPr>
              <w:pStyle w:val="ExhibitText"/>
              <w:rPr>
                <w:lang w:val="en-GB"/>
              </w:rPr>
            </w:pPr>
          </w:p>
        </w:tc>
      </w:tr>
      <w:tr w:rsidR="002541E5" w:rsidRPr="001F30BF" w14:paraId="0E6E31CA" w14:textId="77777777" w:rsidTr="001F30BF">
        <w:trPr>
          <w:trHeight w:val="225"/>
          <w:jc w:val="center"/>
        </w:trPr>
        <w:tc>
          <w:tcPr>
            <w:tcW w:w="1980" w:type="dxa"/>
            <w:noWrap/>
            <w:hideMark/>
          </w:tcPr>
          <w:p w14:paraId="73DF661F" w14:textId="77777777" w:rsidR="002541E5" w:rsidRPr="001F30BF" w:rsidRDefault="002541E5" w:rsidP="002541E5">
            <w:pPr>
              <w:pStyle w:val="ExhibitText"/>
              <w:rPr>
                <w:lang w:val="en-GB"/>
              </w:rPr>
            </w:pPr>
            <w:r w:rsidRPr="001F30BF">
              <w:rPr>
                <w:lang w:val="en-GB"/>
              </w:rPr>
              <w:t>Tennis Channel</w:t>
            </w:r>
          </w:p>
        </w:tc>
        <w:tc>
          <w:tcPr>
            <w:tcW w:w="2160" w:type="dxa"/>
            <w:noWrap/>
            <w:hideMark/>
          </w:tcPr>
          <w:p w14:paraId="5C5DB663" w14:textId="77777777" w:rsidR="002541E5" w:rsidRPr="001F30BF" w:rsidRDefault="002541E5" w:rsidP="00336CA4">
            <w:pPr>
              <w:pStyle w:val="ExhibitText"/>
              <w:jc w:val="center"/>
              <w:rPr>
                <w:lang w:val="en-GB"/>
              </w:rPr>
            </w:pPr>
            <w:r w:rsidRPr="001F30BF">
              <w:rPr>
                <w:lang w:val="en-GB"/>
              </w:rPr>
              <w:t>0.15</w:t>
            </w:r>
          </w:p>
        </w:tc>
        <w:tc>
          <w:tcPr>
            <w:tcW w:w="3595" w:type="dxa"/>
          </w:tcPr>
          <w:p w14:paraId="122AC903" w14:textId="77777777" w:rsidR="002541E5" w:rsidRPr="001F30BF" w:rsidRDefault="002541E5" w:rsidP="002541E5">
            <w:pPr>
              <w:pStyle w:val="ExhibitText"/>
              <w:rPr>
                <w:lang w:val="en-GB"/>
              </w:rPr>
            </w:pPr>
          </w:p>
        </w:tc>
      </w:tr>
      <w:tr w:rsidR="002541E5" w:rsidRPr="001F30BF" w14:paraId="34930AB4" w14:textId="77777777" w:rsidTr="001F30BF">
        <w:trPr>
          <w:trHeight w:val="225"/>
          <w:jc w:val="center"/>
        </w:trPr>
        <w:tc>
          <w:tcPr>
            <w:tcW w:w="1980" w:type="dxa"/>
            <w:noWrap/>
            <w:hideMark/>
          </w:tcPr>
          <w:p w14:paraId="3478C09D" w14:textId="77777777" w:rsidR="002541E5" w:rsidRPr="001F30BF" w:rsidRDefault="002541E5" w:rsidP="002541E5">
            <w:pPr>
              <w:pStyle w:val="ExhibitText"/>
              <w:rPr>
                <w:lang w:val="en-GB"/>
              </w:rPr>
            </w:pPr>
            <w:r w:rsidRPr="001F30BF">
              <w:rPr>
                <w:lang w:val="en-GB"/>
              </w:rPr>
              <w:t xml:space="preserve">Univision </w:t>
            </w:r>
            <w:proofErr w:type="spellStart"/>
            <w:r w:rsidRPr="001F30BF">
              <w:rPr>
                <w:lang w:val="en-GB"/>
              </w:rPr>
              <w:t>Deportes</w:t>
            </w:r>
            <w:proofErr w:type="spellEnd"/>
          </w:p>
        </w:tc>
        <w:tc>
          <w:tcPr>
            <w:tcW w:w="2160" w:type="dxa"/>
            <w:noWrap/>
            <w:hideMark/>
          </w:tcPr>
          <w:p w14:paraId="178223A6" w14:textId="77777777" w:rsidR="002541E5" w:rsidRPr="001F30BF" w:rsidRDefault="002541E5" w:rsidP="00336CA4">
            <w:pPr>
              <w:pStyle w:val="ExhibitText"/>
              <w:jc w:val="center"/>
              <w:rPr>
                <w:lang w:val="en-GB"/>
              </w:rPr>
            </w:pPr>
            <w:r w:rsidRPr="001F30BF">
              <w:rPr>
                <w:lang w:val="en-GB"/>
              </w:rPr>
              <w:t>0.14</w:t>
            </w:r>
          </w:p>
        </w:tc>
        <w:tc>
          <w:tcPr>
            <w:tcW w:w="3595" w:type="dxa"/>
          </w:tcPr>
          <w:p w14:paraId="769E5E42" w14:textId="77777777" w:rsidR="002541E5" w:rsidRPr="001F30BF" w:rsidRDefault="002541E5" w:rsidP="002541E5">
            <w:pPr>
              <w:pStyle w:val="ExhibitText"/>
              <w:rPr>
                <w:lang w:val="en-GB"/>
              </w:rPr>
            </w:pPr>
          </w:p>
        </w:tc>
      </w:tr>
    </w:tbl>
    <w:p w14:paraId="080E77A2" w14:textId="77777777" w:rsidR="002541E5" w:rsidRPr="001F30BF" w:rsidRDefault="002541E5" w:rsidP="001F30BF">
      <w:pPr>
        <w:pStyle w:val="ExhibitText"/>
        <w:rPr>
          <w:sz w:val="18"/>
        </w:rPr>
      </w:pPr>
    </w:p>
    <w:p w14:paraId="2E1025F8" w14:textId="51BA0F65" w:rsidR="002541E5" w:rsidRPr="00722C19" w:rsidRDefault="00FD0944" w:rsidP="00FD0944">
      <w:pPr>
        <w:pStyle w:val="Footnote"/>
        <w:rPr>
          <w:spacing w:val="-4"/>
          <w:lang w:val="en-GB"/>
        </w:rPr>
      </w:pPr>
      <w:r w:rsidRPr="00722C19">
        <w:rPr>
          <w:spacing w:val="-4"/>
          <w:lang w:val="en-GB"/>
        </w:rPr>
        <w:t xml:space="preserve">Note: </w:t>
      </w:r>
      <w:r w:rsidR="002541E5" w:rsidRPr="00722C19">
        <w:rPr>
          <w:spacing w:val="-4"/>
          <w:lang w:val="en-GB"/>
        </w:rPr>
        <w:t xml:space="preserve">DirecTV agreed to pay the </w:t>
      </w:r>
      <w:r w:rsidR="00B978DF">
        <w:rPr>
          <w:spacing w:val="-4"/>
          <w:lang w:val="en-GB"/>
        </w:rPr>
        <w:t>National Football League (</w:t>
      </w:r>
      <w:r w:rsidR="002541E5" w:rsidRPr="00722C19">
        <w:rPr>
          <w:spacing w:val="-4"/>
          <w:lang w:val="en-GB"/>
        </w:rPr>
        <w:t>NFL</w:t>
      </w:r>
      <w:r w:rsidR="00B978DF">
        <w:rPr>
          <w:spacing w:val="-4"/>
          <w:lang w:val="en-GB"/>
        </w:rPr>
        <w:t>)</w:t>
      </w:r>
      <w:r w:rsidR="002541E5" w:rsidRPr="00722C19">
        <w:rPr>
          <w:spacing w:val="-4"/>
          <w:lang w:val="en-GB"/>
        </w:rPr>
        <w:t xml:space="preserve"> $1.5 billion annually through 2022 for the exclusive rights to the NFL’s Sunday Ticket.</w:t>
      </w:r>
      <w:r w:rsidRPr="00722C19">
        <w:rPr>
          <w:spacing w:val="-4"/>
          <w:lang w:val="en-GB"/>
        </w:rPr>
        <w:t xml:space="preserve"> In June 2017, DirecTV and the NFL won a class</w:t>
      </w:r>
      <w:r w:rsidR="00B978DF">
        <w:rPr>
          <w:spacing w:val="-4"/>
          <w:lang w:val="en-GB"/>
        </w:rPr>
        <w:t>-</w:t>
      </w:r>
      <w:r w:rsidRPr="00722C19">
        <w:rPr>
          <w:spacing w:val="-4"/>
          <w:lang w:val="en-GB"/>
        </w:rPr>
        <w:t>action suit in which plaintiffs had alleged that the 32 NFL teams unlawfully agreed not to compete with each other in the market for nationally televised NFL football games and instead pooled their broadcasts and assigned the exclusive right to market them. Moreover, they alleged that the NFL and DirecTV had an unlawful distribution agreement that allowed DirecTV to charge supra-competitive prices for the NFL Sunday Package.</w:t>
      </w:r>
    </w:p>
    <w:p w14:paraId="453E80F8" w14:textId="06F9FF9A" w:rsidR="00FD0944" w:rsidRDefault="00FD0944" w:rsidP="00FD0944">
      <w:pPr>
        <w:pStyle w:val="Footnote"/>
        <w:rPr>
          <w:spacing w:val="-4"/>
          <w:lang w:val="en-GB"/>
        </w:rPr>
      </w:pPr>
      <w:r w:rsidRPr="00722C19">
        <w:rPr>
          <w:spacing w:val="-4"/>
          <w:lang w:val="en-GB"/>
        </w:rPr>
        <w:t xml:space="preserve">Source: Cork Gaines, “Cable and Satellite TV Customers Pay More than $9.00 Per Month for ESPN Networks Whether They Watch Them or Not,” </w:t>
      </w:r>
      <w:r w:rsidRPr="00722C19">
        <w:rPr>
          <w:i/>
          <w:spacing w:val="-4"/>
          <w:lang w:val="en-GB"/>
        </w:rPr>
        <w:t>Business Insider</w:t>
      </w:r>
      <w:r w:rsidRPr="00722C19">
        <w:rPr>
          <w:spacing w:val="-4"/>
          <w:lang w:val="en-GB"/>
        </w:rPr>
        <w:t xml:space="preserve">, March 7, 2017, accessed June 21, 2018, </w:t>
      </w:r>
      <w:r w:rsidR="00054D13" w:rsidRPr="00054D13">
        <w:rPr>
          <w:spacing w:val="-4"/>
          <w:lang w:val="en-GB"/>
        </w:rPr>
        <w:t>www.businessinsider.com/cable-satellite-tv-sub-fees-espn-networks-2017-3</w:t>
      </w:r>
      <w:r w:rsidRPr="00722C19">
        <w:rPr>
          <w:spacing w:val="-4"/>
          <w:lang w:val="en-GB"/>
        </w:rPr>
        <w:t>.</w:t>
      </w:r>
    </w:p>
    <w:p w14:paraId="45E30292" w14:textId="555EF087" w:rsidR="00054D13" w:rsidRPr="001F30BF" w:rsidRDefault="00054D13" w:rsidP="001F30BF">
      <w:pPr>
        <w:pStyle w:val="ExhibitText"/>
        <w:rPr>
          <w:sz w:val="18"/>
          <w:lang w:val="en-GB"/>
        </w:rPr>
      </w:pPr>
    </w:p>
    <w:p w14:paraId="363E42B6" w14:textId="77777777" w:rsidR="001F30BF" w:rsidRPr="001F30BF" w:rsidRDefault="001F30BF" w:rsidP="001F30BF">
      <w:pPr>
        <w:pStyle w:val="ExhibitText"/>
        <w:rPr>
          <w:sz w:val="18"/>
          <w:lang w:val="en-GB"/>
        </w:rPr>
      </w:pPr>
    </w:p>
    <w:p w14:paraId="1736A43E" w14:textId="51817FE0" w:rsidR="002541E5" w:rsidRPr="00722C19" w:rsidRDefault="002541E5" w:rsidP="00B61C32">
      <w:pPr>
        <w:pStyle w:val="ExhibitText"/>
        <w:jc w:val="center"/>
        <w:rPr>
          <w:lang w:val="en-GB"/>
        </w:rPr>
      </w:pPr>
      <w:r w:rsidRPr="00722C19">
        <w:rPr>
          <w:rStyle w:val="ExhibitHeadingChar"/>
          <w:lang w:val="en-GB"/>
        </w:rPr>
        <w:t>EXHIBIT 3: MVPD AND BROADBAND MARKET CONCENTRATION</w:t>
      </w:r>
      <w:r w:rsidR="00B978DF">
        <w:rPr>
          <w:rStyle w:val="ExhibitHeadingChar"/>
          <w:lang w:val="en-GB"/>
        </w:rPr>
        <w:t>,</w:t>
      </w:r>
      <w:r w:rsidRPr="00722C19">
        <w:rPr>
          <w:rStyle w:val="ExhibitHeadingChar"/>
          <w:lang w:val="en-GB"/>
        </w:rPr>
        <w:t xml:space="preserve"> 2017</w:t>
      </w:r>
    </w:p>
    <w:p w14:paraId="2647ACAD" w14:textId="4B9DCB21" w:rsidR="002541E5" w:rsidRPr="00722C19" w:rsidRDefault="002541E5" w:rsidP="00B61C32">
      <w:pPr>
        <w:pStyle w:val="ExhibitText"/>
        <w:rPr>
          <w:lang w:val="en-GB"/>
        </w:rPr>
      </w:pPr>
    </w:p>
    <w:tbl>
      <w:tblPr>
        <w:tblStyle w:val="TableGrid"/>
        <w:tblW w:w="8550" w:type="dxa"/>
        <w:jc w:val="center"/>
        <w:tblLook w:val="04A0" w:firstRow="1" w:lastRow="0" w:firstColumn="1" w:lastColumn="0" w:noHBand="0" w:noVBand="1"/>
      </w:tblPr>
      <w:tblGrid>
        <w:gridCol w:w="2896"/>
        <w:gridCol w:w="938"/>
        <w:gridCol w:w="486"/>
        <w:gridCol w:w="1170"/>
        <w:gridCol w:w="1530"/>
        <w:gridCol w:w="1530"/>
      </w:tblGrid>
      <w:tr w:rsidR="00B61C32" w:rsidRPr="008224C6" w14:paraId="15BDF988" w14:textId="77777777" w:rsidTr="00FB2DFF">
        <w:trPr>
          <w:trHeight w:val="441"/>
          <w:jc w:val="center"/>
        </w:trPr>
        <w:tc>
          <w:tcPr>
            <w:tcW w:w="2896" w:type="dxa"/>
            <w:noWrap/>
            <w:hideMark/>
          </w:tcPr>
          <w:p w14:paraId="26B82DA2" w14:textId="77777777" w:rsidR="002541E5" w:rsidRPr="00722C19" w:rsidRDefault="002541E5" w:rsidP="00631FD5">
            <w:pPr>
              <w:pStyle w:val="ExhibitText"/>
              <w:jc w:val="center"/>
              <w:rPr>
                <w:b/>
                <w:lang w:val="en-GB"/>
              </w:rPr>
            </w:pPr>
            <w:r w:rsidRPr="00722C19">
              <w:rPr>
                <w:b/>
                <w:lang w:val="en-GB"/>
              </w:rPr>
              <w:t>Firm</w:t>
            </w:r>
          </w:p>
        </w:tc>
        <w:tc>
          <w:tcPr>
            <w:tcW w:w="1424" w:type="dxa"/>
            <w:gridSpan w:val="2"/>
            <w:hideMark/>
          </w:tcPr>
          <w:p w14:paraId="3016C3A4" w14:textId="2798AAA8" w:rsidR="00631FD5" w:rsidRPr="00722C19" w:rsidRDefault="002541E5" w:rsidP="00631FD5">
            <w:pPr>
              <w:pStyle w:val="ExhibitText"/>
              <w:jc w:val="center"/>
              <w:rPr>
                <w:b/>
                <w:lang w:val="en-GB"/>
              </w:rPr>
            </w:pPr>
            <w:proofErr w:type="spellStart"/>
            <w:r w:rsidRPr="00722C19">
              <w:rPr>
                <w:b/>
                <w:lang w:val="en-GB"/>
              </w:rPr>
              <w:t>Pay-TV</w:t>
            </w:r>
            <w:proofErr w:type="spellEnd"/>
          </w:p>
          <w:p w14:paraId="02BB6FF4" w14:textId="14AF9C95" w:rsidR="002541E5" w:rsidRPr="00722C19" w:rsidRDefault="002541E5" w:rsidP="00631FD5">
            <w:pPr>
              <w:pStyle w:val="ExhibitText"/>
              <w:jc w:val="center"/>
              <w:rPr>
                <w:b/>
                <w:lang w:val="en-GB"/>
              </w:rPr>
            </w:pPr>
            <w:r w:rsidRPr="00722C19">
              <w:rPr>
                <w:b/>
                <w:lang w:val="en-GB"/>
              </w:rPr>
              <w:t>(000)</w:t>
            </w:r>
          </w:p>
        </w:tc>
        <w:tc>
          <w:tcPr>
            <w:tcW w:w="1170" w:type="dxa"/>
            <w:hideMark/>
          </w:tcPr>
          <w:p w14:paraId="6BC29DC8" w14:textId="77777777" w:rsidR="002541E5" w:rsidRPr="00722C19" w:rsidRDefault="002541E5" w:rsidP="00631FD5">
            <w:pPr>
              <w:pStyle w:val="ExhibitText"/>
              <w:jc w:val="center"/>
              <w:rPr>
                <w:b/>
                <w:lang w:val="en-GB"/>
              </w:rPr>
            </w:pPr>
            <w:r w:rsidRPr="00722C19">
              <w:rPr>
                <w:b/>
                <w:lang w:val="en-GB"/>
              </w:rPr>
              <w:t>Market Share (%)</w:t>
            </w:r>
          </w:p>
        </w:tc>
        <w:tc>
          <w:tcPr>
            <w:tcW w:w="1530" w:type="dxa"/>
            <w:hideMark/>
          </w:tcPr>
          <w:p w14:paraId="6CCFF230" w14:textId="26D7C07B" w:rsidR="00631FD5" w:rsidRPr="00722C19" w:rsidRDefault="002541E5" w:rsidP="00631FD5">
            <w:pPr>
              <w:pStyle w:val="ExhibitText"/>
              <w:jc w:val="center"/>
              <w:rPr>
                <w:b/>
                <w:lang w:val="en-GB"/>
              </w:rPr>
            </w:pPr>
            <w:r w:rsidRPr="00722C19">
              <w:rPr>
                <w:b/>
                <w:lang w:val="en-GB"/>
              </w:rPr>
              <w:t>Broadband</w:t>
            </w:r>
          </w:p>
          <w:p w14:paraId="242C0011" w14:textId="303498A0" w:rsidR="002541E5" w:rsidRPr="00722C19" w:rsidRDefault="002541E5" w:rsidP="00631FD5">
            <w:pPr>
              <w:pStyle w:val="ExhibitText"/>
              <w:jc w:val="center"/>
              <w:rPr>
                <w:b/>
                <w:lang w:val="en-GB"/>
              </w:rPr>
            </w:pPr>
            <w:r w:rsidRPr="00722C19">
              <w:rPr>
                <w:b/>
                <w:lang w:val="en-GB"/>
              </w:rPr>
              <w:t>(000)</w:t>
            </w:r>
          </w:p>
        </w:tc>
        <w:tc>
          <w:tcPr>
            <w:tcW w:w="1530" w:type="dxa"/>
            <w:hideMark/>
          </w:tcPr>
          <w:p w14:paraId="470B40B3" w14:textId="77777777" w:rsidR="002541E5" w:rsidRPr="00722C19" w:rsidRDefault="002541E5" w:rsidP="00631FD5">
            <w:pPr>
              <w:pStyle w:val="ExhibitText"/>
              <w:jc w:val="center"/>
              <w:rPr>
                <w:b/>
                <w:lang w:val="en-GB"/>
              </w:rPr>
            </w:pPr>
            <w:r w:rsidRPr="00722C19">
              <w:rPr>
                <w:b/>
                <w:lang w:val="en-GB"/>
              </w:rPr>
              <w:t>Market Share (%)</w:t>
            </w:r>
          </w:p>
        </w:tc>
      </w:tr>
      <w:tr w:rsidR="00B61C32" w:rsidRPr="008224C6" w14:paraId="4225ADCA" w14:textId="77777777" w:rsidTr="004A26FA">
        <w:trPr>
          <w:trHeight w:val="219"/>
          <w:jc w:val="center"/>
        </w:trPr>
        <w:tc>
          <w:tcPr>
            <w:tcW w:w="2896" w:type="dxa"/>
            <w:noWrap/>
            <w:hideMark/>
          </w:tcPr>
          <w:p w14:paraId="341A9C77" w14:textId="77777777" w:rsidR="002541E5" w:rsidRPr="00722C19" w:rsidRDefault="002541E5" w:rsidP="00B61C32">
            <w:pPr>
              <w:pStyle w:val="ExhibitText"/>
              <w:rPr>
                <w:lang w:val="en-GB"/>
              </w:rPr>
            </w:pPr>
            <w:r w:rsidRPr="00722C19">
              <w:rPr>
                <w:lang w:val="en-GB"/>
              </w:rPr>
              <w:t>Comcast</w:t>
            </w:r>
          </w:p>
        </w:tc>
        <w:tc>
          <w:tcPr>
            <w:tcW w:w="1424" w:type="dxa"/>
            <w:gridSpan w:val="2"/>
            <w:noWrap/>
            <w:vAlign w:val="center"/>
            <w:hideMark/>
          </w:tcPr>
          <w:p w14:paraId="7BF154B2" w14:textId="1927AEB1" w:rsidR="002541E5" w:rsidRPr="00722C19" w:rsidRDefault="00FB2DFF" w:rsidP="004A26FA">
            <w:pPr>
              <w:pStyle w:val="ExhibitText"/>
              <w:tabs>
                <w:tab w:val="right" w:pos="952"/>
              </w:tabs>
              <w:jc w:val="right"/>
              <w:rPr>
                <w:lang w:val="en-GB"/>
              </w:rPr>
            </w:pPr>
            <w:r>
              <w:rPr>
                <w:lang w:val="en-GB"/>
              </w:rPr>
              <w:tab/>
            </w:r>
            <w:r w:rsidR="002541E5" w:rsidRPr="00722C19">
              <w:rPr>
                <w:lang w:val="en-GB"/>
              </w:rPr>
              <w:t>22,357</w:t>
            </w:r>
          </w:p>
        </w:tc>
        <w:tc>
          <w:tcPr>
            <w:tcW w:w="1170" w:type="dxa"/>
            <w:noWrap/>
            <w:vAlign w:val="center"/>
            <w:hideMark/>
          </w:tcPr>
          <w:p w14:paraId="744B3E33" w14:textId="1BC97801" w:rsidR="002541E5" w:rsidRPr="00722C19" w:rsidRDefault="00FB2DFF" w:rsidP="004A26FA">
            <w:pPr>
              <w:pStyle w:val="ExhibitText"/>
              <w:tabs>
                <w:tab w:val="right" w:pos="698"/>
              </w:tabs>
              <w:jc w:val="right"/>
              <w:rPr>
                <w:lang w:val="en-GB"/>
              </w:rPr>
            </w:pPr>
            <w:r>
              <w:rPr>
                <w:lang w:val="en-GB"/>
              </w:rPr>
              <w:tab/>
            </w:r>
            <w:r w:rsidR="002541E5" w:rsidRPr="00722C19">
              <w:rPr>
                <w:lang w:val="en-GB"/>
              </w:rPr>
              <w:t>23.0</w:t>
            </w:r>
          </w:p>
        </w:tc>
        <w:tc>
          <w:tcPr>
            <w:tcW w:w="1530" w:type="dxa"/>
            <w:noWrap/>
            <w:vAlign w:val="center"/>
            <w:hideMark/>
          </w:tcPr>
          <w:p w14:paraId="059E2F61" w14:textId="3F5DD83B" w:rsidR="002541E5" w:rsidRPr="00722C19" w:rsidRDefault="00FB2DFF" w:rsidP="004A26FA">
            <w:pPr>
              <w:pStyle w:val="ExhibitText"/>
              <w:tabs>
                <w:tab w:val="right" w:pos="970"/>
              </w:tabs>
              <w:jc w:val="right"/>
              <w:rPr>
                <w:lang w:val="en-GB"/>
              </w:rPr>
            </w:pPr>
            <w:r>
              <w:rPr>
                <w:lang w:val="en-GB"/>
              </w:rPr>
              <w:tab/>
            </w:r>
            <w:r w:rsidR="002541E5" w:rsidRPr="006446B8">
              <w:rPr>
                <w:lang w:val="en-GB"/>
              </w:rPr>
              <w:t>25,869</w:t>
            </w:r>
          </w:p>
        </w:tc>
        <w:tc>
          <w:tcPr>
            <w:tcW w:w="1530" w:type="dxa"/>
            <w:noWrap/>
            <w:vAlign w:val="center"/>
            <w:hideMark/>
          </w:tcPr>
          <w:p w14:paraId="208C51AA" w14:textId="77777777" w:rsidR="002541E5" w:rsidRPr="00722C19" w:rsidRDefault="002541E5" w:rsidP="004A26FA">
            <w:pPr>
              <w:pStyle w:val="ExhibitText"/>
              <w:tabs>
                <w:tab w:val="decimal" w:pos="700"/>
              </w:tabs>
              <w:jc w:val="right"/>
              <w:rPr>
                <w:lang w:val="en-GB"/>
              </w:rPr>
            </w:pPr>
            <w:r w:rsidRPr="00722C19">
              <w:rPr>
                <w:lang w:val="en-GB"/>
              </w:rPr>
              <w:t>25.9</w:t>
            </w:r>
          </w:p>
        </w:tc>
      </w:tr>
      <w:tr w:rsidR="00B61C32" w:rsidRPr="008224C6" w14:paraId="1C23C06C" w14:textId="77777777" w:rsidTr="004A26FA">
        <w:trPr>
          <w:trHeight w:val="219"/>
          <w:jc w:val="center"/>
        </w:trPr>
        <w:tc>
          <w:tcPr>
            <w:tcW w:w="2896" w:type="dxa"/>
            <w:noWrap/>
            <w:hideMark/>
          </w:tcPr>
          <w:p w14:paraId="50E87DBD" w14:textId="77777777" w:rsidR="000108F7" w:rsidRDefault="002541E5" w:rsidP="00B978DF">
            <w:pPr>
              <w:pStyle w:val="ExhibitText"/>
              <w:jc w:val="left"/>
              <w:rPr>
                <w:lang w:val="en-GB"/>
              </w:rPr>
            </w:pPr>
            <w:r w:rsidRPr="00722C19">
              <w:rPr>
                <w:lang w:val="en-GB"/>
              </w:rPr>
              <w:t xml:space="preserve">DirecTV </w:t>
            </w:r>
          </w:p>
          <w:p w14:paraId="3A88FFB7" w14:textId="7013A716" w:rsidR="002541E5" w:rsidRPr="00722C19" w:rsidRDefault="002541E5" w:rsidP="00722C19">
            <w:pPr>
              <w:pStyle w:val="ExhibitText"/>
              <w:jc w:val="left"/>
              <w:rPr>
                <w:lang w:val="en-GB"/>
              </w:rPr>
            </w:pPr>
            <w:r w:rsidRPr="00722C19">
              <w:rPr>
                <w:lang w:val="en-GB"/>
              </w:rPr>
              <w:t>(incl</w:t>
            </w:r>
            <w:r w:rsidR="000108F7">
              <w:rPr>
                <w:lang w:val="en-GB"/>
              </w:rPr>
              <w:t>uding</w:t>
            </w:r>
            <w:r w:rsidRPr="00722C19">
              <w:rPr>
                <w:lang w:val="en-GB"/>
              </w:rPr>
              <w:t xml:space="preserve"> DirecTV NOW)*</w:t>
            </w:r>
          </w:p>
        </w:tc>
        <w:tc>
          <w:tcPr>
            <w:tcW w:w="1424" w:type="dxa"/>
            <w:gridSpan w:val="2"/>
            <w:noWrap/>
            <w:vAlign w:val="center"/>
            <w:hideMark/>
          </w:tcPr>
          <w:p w14:paraId="34C6E773" w14:textId="58CDDDE7" w:rsidR="002541E5" w:rsidRPr="00722C19" w:rsidRDefault="00FB2DFF" w:rsidP="004A26FA">
            <w:pPr>
              <w:pStyle w:val="ExhibitText"/>
              <w:tabs>
                <w:tab w:val="right" w:pos="952"/>
              </w:tabs>
              <w:jc w:val="right"/>
              <w:rPr>
                <w:lang w:val="en-GB"/>
              </w:rPr>
            </w:pPr>
            <w:r>
              <w:rPr>
                <w:lang w:val="en-GB"/>
              </w:rPr>
              <w:tab/>
            </w:r>
            <w:r w:rsidR="002541E5" w:rsidRPr="00722C19">
              <w:rPr>
                <w:lang w:val="en-GB"/>
              </w:rPr>
              <w:t>21,613</w:t>
            </w:r>
          </w:p>
        </w:tc>
        <w:tc>
          <w:tcPr>
            <w:tcW w:w="1170" w:type="dxa"/>
            <w:noWrap/>
            <w:vAlign w:val="center"/>
            <w:hideMark/>
          </w:tcPr>
          <w:p w14:paraId="4DA9E3B2" w14:textId="01E8B4F0" w:rsidR="002541E5" w:rsidRPr="00722C19" w:rsidRDefault="00FB2DFF" w:rsidP="004A26FA">
            <w:pPr>
              <w:pStyle w:val="ExhibitText"/>
              <w:tabs>
                <w:tab w:val="right" w:pos="698"/>
              </w:tabs>
              <w:jc w:val="right"/>
              <w:rPr>
                <w:lang w:val="en-GB"/>
              </w:rPr>
            </w:pPr>
            <w:r>
              <w:rPr>
                <w:lang w:val="en-GB"/>
              </w:rPr>
              <w:tab/>
            </w:r>
            <w:r w:rsidR="002541E5" w:rsidRPr="006446B8">
              <w:rPr>
                <w:lang w:val="en-GB"/>
              </w:rPr>
              <w:t>22.3</w:t>
            </w:r>
          </w:p>
        </w:tc>
        <w:tc>
          <w:tcPr>
            <w:tcW w:w="1530" w:type="dxa"/>
            <w:noWrap/>
            <w:vAlign w:val="center"/>
            <w:hideMark/>
          </w:tcPr>
          <w:p w14:paraId="0990F0FE" w14:textId="77777777" w:rsidR="002541E5" w:rsidRPr="00722C19" w:rsidRDefault="002541E5" w:rsidP="004A26FA">
            <w:pPr>
              <w:pStyle w:val="ExhibitText"/>
              <w:tabs>
                <w:tab w:val="right" w:pos="970"/>
              </w:tabs>
              <w:jc w:val="right"/>
              <w:rPr>
                <w:lang w:val="en-GB"/>
              </w:rPr>
            </w:pPr>
          </w:p>
        </w:tc>
        <w:tc>
          <w:tcPr>
            <w:tcW w:w="1530" w:type="dxa"/>
            <w:noWrap/>
            <w:vAlign w:val="center"/>
            <w:hideMark/>
          </w:tcPr>
          <w:p w14:paraId="187A0523" w14:textId="77777777" w:rsidR="002541E5" w:rsidRPr="00722C19" w:rsidRDefault="002541E5" w:rsidP="004A26FA">
            <w:pPr>
              <w:pStyle w:val="ExhibitText"/>
              <w:tabs>
                <w:tab w:val="decimal" w:pos="700"/>
              </w:tabs>
              <w:jc w:val="right"/>
              <w:rPr>
                <w:lang w:val="en-GB"/>
              </w:rPr>
            </w:pPr>
          </w:p>
        </w:tc>
      </w:tr>
      <w:tr w:rsidR="00B61C32" w:rsidRPr="008224C6" w14:paraId="12A48C36" w14:textId="77777777" w:rsidTr="004A26FA">
        <w:trPr>
          <w:trHeight w:val="219"/>
          <w:jc w:val="center"/>
        </w:trPr>
        <w:tc>
          <w:tcPr>
            <w:tcW w:w="2896" w:type="dxa"/>
            <w:noWrap/>
            <w:hideMark/>
          </w:tcPr>
          <w:p w14:paraId="2299A543" w14:textId="77777777" w:rsidR="002541E5" w:rsidRPr="00722C19" w:rsidRDefault="002541E5" w:rsidP="00B61C32">
            <w:pPr>
              <w:pStyle w:val="ExhibitText"/>
              <w:rPr>
                <w:lang w:val="en-GB"/>
              </w:rPr>
            </w:pPr>
            <w:r w:rsidRPr="00722C19">
              <w:rPr>
                <w:lang w:val="en-GB"/>
              </w:rPr>
              <w:t>Charter</w:t>
            </w:r>
          </w:p>
        </w:tc>
        <w:tc>
          <w:tcPr>
            <w:tcW w:w="1424" w:type="dxa"/>
            <w:gridSpan w:val="2"/>
            <w:noWrap/>
            <w:vAlign w:val="center"/>
            <w:hideMark/>
          </w:tcPr>
          <w:p w14:paraId="7B65AD63" w14:textId="1AAA37F7" w:rsidR="002541E5" w:rsidRPr="00722C19" w:rsidRDefault="00FB2DFF" w:rsidP="004A26FA">
            <w:pPr>
              <w:pStyle w:val="ExhibitText"/>
              <w:tabs>
                <w:tab w:val="right" w:pos="952"/>
              </w:tabs>
              <w:jc w:val="right"/>
              <w:rPr>
                <w:lang w:val="en-GB"/>
              </w:rPr>
            </w:pPr>
            <w:r>
              <w:rPr>
                <w:lang w:val="en-GB"/>
              </w:rPr>
              <w:tab/>
            </w:r>
            <w:r w:rsidR="002541E5" w:rsidRPr="00722C19">
              <w:rPr>
                <w:lang w:val="en-GB"/>
              </w:rPr>
              <w:t>16,997</w:t>
            </w:r>
          </w:p>
        </w:tc>
        <w:tc>
          <w:tcPr>
            <w:tcW w:w="1170" w:type="dxa"/>
            <w:noWrap/>
            <w:vAlign w:val="center"/>
            <w:hideMark/>
          </w:tcPr>
          <w:p w14:paraId="06B9BC0F" w14:textId="0781143D" w:rsidR="002541E5" w:rsidRPr="00722C19" w:rsidRDefault="00FB2DFF" w:rsidP="004A26FA">
            <w:pPr>
              <w:pStyle w:val="ExhibitText"/>
              <w:tabs>
                <w:tab w:val="right" w:pos="698"/>
              </w:tabs>
              <w:jc w:val="right"/>
              <w:rPr>
                <w:lang w:val="en-GB"/>
              </w:rPr>
            </w:pPr>
            <w:r>
              <w:rPr>
                <w:lang w:val="en-GB"/>
              </w:rPr>
              <w:tab/>
            </w:r>
            <w:r w:rsidR="002541E5" w:rsidRPr="00722C19">
              <w:rPr>
                <w:lang w:val="en-GB"/>
              </w:rPr>
              <w:t>17.5</w:t>
            </w:r>
          </w:p>
        </w:tc>
        <w:tc>
          <w:tcPr>
            <w:tcW w:w="1530" w:type="dxa"/>
            <w:noWrap/>
            <w:vAlign w:val="center"/>
            <w:hideMark/>
          </w:tcPr>
          <w:p w14:paraId="1E704020" w14:textId="084E00A8" w:rsidR="002541E5" w:rsidRPr="00722C19" w:rsidRDefault="00FB2DFF" w:rsidP="004A26FA">
            <w:pPr>
              <w:pStyle w:val="ExhibitText"/>
              <w:tabs>
                <w:tab w:val="right" w:pos="970"/>
              </w:tabs>
              <w:jc w:val="right"/>
              <w:rPr>
                <w:lang w:val="en-GB"/>
              </w:rPr>
            </w:pPr>
            <w:r>
              <w:rPr>
                <w:lang w:val="en-GB"/>
              </w:rPr>
              <w:tab/>
            </w:r>
            <w:r w:rsidR="002541E5" w:rsidRPr="006446B8">
              <w:rPr>
                <w:lang w:val="en-GB"/>
              </w:rPr>
              <w:t>23,903</w:t>
            </w:r>
          </w:p>
        </w:tc>
        <w:tc>
          <w:tcPr>
            <w:tcW w:w="1530" w:type="dxa"/>
            <w:noWrap/>
            <w:vAlign w:val="center"/>
            <w:hideMark/>
          </w:tcPr>
          <w:p w14:paraId="5358D9B3" w14:textId="77777777" w:rsidR="002541E5" w:rsidRPr="00722C19" w:rsidRDefault="002541E5" w:rsidP="004A26FA">
            <w:pPr>
              <w:pStyle w:val="ExhibitText"/>
              <w:tabs>
                <w:tab w:val="decimal" w:pos="700"/>
              </w:tabs>
              <w:jc w:val="right"/>
              <w:rPr>
                <w:lang w:val="en-GB"/>
              </w:rPr>
            </w:pPr>
            <w:r w:rsidRPr="00722C19">
              <w:rPr>
                <w:lang w:val="en-GB"/>
              </w:rPr>
              <w:t>23.9</w:t>
            </w:r>
          </w:p>
        </w:tc>
      </w:tr>
      <w:tr w:rsidR="00B61C32" w:rsidRPr="008224C6" w14:paraId="60F08C1C" w14:textId="77777777" w:rsidTr="004A26FA">
        <w:trPr>
          <w:trHeight w:val="219"/>
          <w:jc w:val="center"/>
        </w:trPr>
        <w:tc>
          <w:tcPr>
            <w:tcW w:w="2896" w:type="dxa"/>
            <w:noWrap/>
            <w:hideMark/>
          </w:tcPr>
          <w:p w14:paraId="4DA3A179" w14:textId="3CFDFAB7" w:rsidR="002541E5" w:rsidRPr="00722C19" w:rsidRDefault="002541E5" w:rsidP="00B61C32">
            <w:pPr>
              <w:pStyle w:val="ExhibitText"/>
              <w:rPr>
                <w:lang w:val="en-GB"/>
              </w:rPr>
            </w:pPr>
            <w:r w:rsidRPr="00722C19">
              <w:rPr>
                <w:lang w:val="en-GB"/>
              </w:rPr>
              <w:t>Dish TV (incl</w:t>
            </w:r>
            <w:r w:rsidR="00B978DF">
              <w:rPr>
                <w:lang w:val="en-GB"/>
              </w:rPr>
              <w:t>uding</w:t>
            </w:r>
            <w:r w:rsidRPr="00722C19">
              <w:rPr>
                <w:lang w:val="en-GB"/>
              </w:rPr>
              <w:t xml:space="preserve"> Sling TV)</w:t>
            </w:r>
          </w:p>
        </w:tc>
        <w:tc>
          <w:tcPr>
            <w:tcW w:w="1424" w:type="dxa"/>
            <w:gridSpan w:val="2"/>
            <w:noWrap/>
            <w:vAlign w:val="center"/>
            <w:hideMark/>
          </w:tcPr>
          <w:p w14:paraId="19767F18" w14:textId="15022617" w:rsidR="002541E5" w:rsidRPr="00722C19" w:rsidRDefault="00FB2DFF" w:rsidP="004A26FA">
            <w:pPr>
              <w:pStyle w:val="ExhibitText"/>
              <w:tabs>
                <w:tab w:val="right" w:pos="952"/>
              </w:tabs>
              <w:jc w:val="right"/>
              <w:rPr>
                <w:lang w:val="en-GB"/>
              </w:rPr>
            </w:pPr>
            <w:r>
              <w:rPr>
                <w:lang w:val="en-GB"/>
              </w:rPr>
              <w:tab/>
            </w:r>
            <w:r w:rsidR="002541E5" w:rsidRPr="00722C19">
              <w:rPr>
                <w:lang w:val="en-GB"/>
              </w:rPr>
              <w:t>13,242</w:t>
            </w:r>
          </w:p>
        </w:tc>
        <w:tc>
          <w:tcPr>
            <w:tcW w:w="1170" w:type="dxa"/>
            <w:noWrap/>
            <w:vAlign w:val="center"/>
            <w:hideMark/>
          </w:tcPr>
          <w:p w14:paraId="71F670EA" w14:textId="407EA691" w:rsidR="002541E5" w:rsidRPr="00722C19" w:rsidRDefault="00FB2DFF" w:rsidP="004A26FA">
            <w:pPr>
              <w:pStyle w:val="ExhibitText"/>
              <w:tabs>
                <w:tab w:val="right" w:pos="698"/>
              </w:tabs>
              <w:jc w:val="right"/>
              <w:rPr>
                <w:lang w:val="en-GB"/>
              </w:rPr>
            </w:pPr>
            <w:r>
              <w:rPr>
                <w:lang w:val="en-GB"/>
              </w:rPr>
              <w:tab/>
            </w:r>
            <w:r w:rsidR="002541E5" w:rsidRPr="006446B8">
              <w:rPr>
                <w:lang w:val="en-GB"/>
              </w:rPr>
              <w:t>13.7</w:t>
            </w:r>
          </w:p>
        </w:tc>
        <w:tc>
          <w:tcPr>
            <w:tcW w:w="1530" w:type="dxa"/>
            <w:noWrap/>
            <w:vAlign w:val="center"/>
            <w:hideMark/>
          </w:tcPr>
          <w:p w14:paraId="1656BFDD" w14:textId="77777777" w:rsidR="002541E5" w:rsidRPr="00722C19" w:rsidRDefault="002541E5" w:rsidP="004A26FA">
            <w:pPr>
              <w:pStyle w:val="ExhibitText"/>
              <w:tabs>
                <w:tab w:val="right" w:pos="970"/>
              </w:tabs>
              <w:jc w:val="right"/>
              <w:rPr>
                <w:lang w:val="en-GB"/>
              </w:rPr>
            </w:pPr>
          </w:p>
        </w:tc>
        <w:tc>
          <w:tcPr>
            <w:tcW w:w="1530" w:type="dxa"/>
            <w:noWrap/>
            <w:vAlign w:val="center"/>
            <w:hideMark/>
          </w:tcPr>
          <w:p w14:paraId="190B48B2" w14:textId="77777777" w:rsidR="002541E5" w:rsidRPr="00722C19" w:rsidRDefault="002541E5" w:rsidP="004A26FA">
            <w:pPr>
              <w:pStyle w:val="ExhibitText"/>
              <w:tabs>
                <w:tab w:val="decimal" w:pos="700"/>
              </w:tabs>
              <w:jc w:val="right"/>
              <w:rPr>
                <w:lang w:val="en-GB"/>
              </w:rPr>
            </w:pPr>
            <w:r w:rsidRPr="00722C19">
              <w:rPr>
                <w:lang w:val="en-GB"/>
              </w:rPr>
              <w:t xml:space="preserve"> </w:t>
            </w:r>
          </w:p>
        </w:tc>
      </w:tr>
      <w:tr w:rsidR="00B61C32" w:rsidRPr="008224C6" w14:paraId="77ED5BF2" w14:textId="77777777" w:rsidTr="004A26FA">
        <w:trPr>
          <w:trHeight w:val="219"/>
          <w:jc w:val="center"/>
        </w:trPr>
        <w:tc>
          <w:tcPr>
            <w:tcW w:w="2896" w:type="dxa"/>
            <w:noWrap/>
            <w:hideMark/>
          </w:tcPr>
          <w:p w14:paraId="073BF7E6" w14:textId="77777777" w:rsidR="002541E5" w:rsidRPr="00722C19" w:rsidRDefault="002541E5" w:rsidP="00B61C32">
            <w:pPr>
              <w:pStyle w:val="ExhibitText"/>
              <w:rPr>
                <w:lang w:val="en-GB"/>
              </w:rPr>
            </w:pPr>
            <w:r w:rsidRPr="00722C19">
              <w:rPr>
                <w:lang w:val="en-GB"/>
              </w:rPr>
              <w:t>Verizon FiOS</w:t>
            </w:r>
          </w:p>
        </w:tc>
        <w:tc>
          <w:tcPr>
            <w:tcW w:w="1424" w:type="dxa"/>
            <w:gridSpan w:val="2"/>
            <w:noWrap/>
            <w:vAlign w:val="center"/>
            <w:hideMark/>
          </w:tcPr>
          <w:p w14:paraId="22A1F159" w14:textId="727AF7B5" w:rsidR="002541E5" w:rsidRPr="00722C19" w:rsidRDefault="00FB2DFF" w:rsidP="004A26FA">
            <w:pPr>
              <w:pStyle w:val="ExhibitText"/>
              <w:tabs>
                <w:tab w:val="right" w:pos="952"/>
              </w:tabs>
              <w:jc w:val="right"/>
              <w:rPr>
                <w:lang w:val="en-GB"/>
              </w:rPr>
            </w:pPr>
            <w:r>
              <w:rPr>
                <w:lang w:val="en-GB"/>
              </w:rPr>
              <w:tab/>
            </w:r>
            <w:r w:rsidR="002541E5" w:rsidRPr="00722C19">
              <w:rPr>
                <w:lang w:val="en-GB"/>
              </w:rPr>
              <w:t>4,619</w:t>
            </w:r>
          </w:p>
        </w:tc>
        <w:tc>
          <w:tcPr>
            <w:tcW w:w="1170" w:type="dxa"/>
            <w:noWrap/>
            <w:vAlign w:val="center"/>
            <w:hideMark/>
          </w:tcPr>
          <w:p w14:paraId="39B49F0D" w14:textId="44215AAB" w:rsidR="002541E5" w:rsidRPr="00722C19" w:rsidRDefault="00FB2DFF" w:rsidP="004A26FA">
            <w:pPr>
              <w:pStyle w:val="ExhibitText"/>
              <w:tabs>
                <w:tab w:val="right" w:pos="698"/>
              </w:tabs>
              <w:jc w:val="right"/>
              <w:rPr>
                <w:lang w:val="en-GB"/>
              </w:rPr>
            </w:pPr>
            <w:r>
              <w:rPr>
                <w:lang w:val="en-GB"/>
              </w:rPr>
              <w:tab/>
            </w:r>
            <w:r w:rsidR="002541E5" w:rsidRPr="00722C19">
              <w:rPr>
                <w:lang w:val="en-GB"/>
              </w:rPr>
              <w:t>4.8</w:t>
            </w:r>
          </w:p>
        </w:tc>
        <w:tc>
          <w:tcPr>
            <w:tcW w:w="1530" w:type="dxa"/>
            <w:noWrap/>
            <w:vAlign w:val="center"/>
            <w:hideMark/>
          </w:tcPr>
          <w:p w14:paraId="614686A5" w14:textId="0CBE3893" w:rsidR="002541E5" w:rsidRPr="00722C19" w:rsidRDefault="00FB2DFF" w:rsidP="004A26FA">
            <w:pPr>
              <w:pStyle w:val="ExhibitText"/>
              <w:tabs>
                <w:tab w:val="right" w:pos="970"/>
              </w:tabs>
              <w:jc w:val="right"/>
              <w:rPr>
                <w:lang w:val="en-GB"/>
              </w:rPr>
            </w:pPr>
            <w:r>
              <w:rPr>
                <w:lang w:val="en-GB"/>
              </w:rPr>
              <w:tab/>
            </w:r>
            <w:r w:rsidR="002541E5" w:rsidRPr="006446B8">
              <w:rPr>
                <w:lang w:val="en-GB"/>
              </w:rPr>
              <w:t>6,959</w:t>
            </w:r>
          </w:p>
        </w:tc>
        <w:tc>
          <w:tcPr>
            <w:tcW w:w="1530" w:type="dxa"/>
            <w:noWrap/>
            <w:vAlign w:val="center"/>
            <w:hideMark/>
          </w:tcPr>
          <w:p w14:paraId="69A8485F" w14:textId="77777777" w:rsidR="002541E5" w:rsidRPr="00722C19" w:rsidRDefault="002541E5" w:rsidP="004A26FA">
            <w:pPr>
              <w:pStyle w:val="ExhibitText"/>
              <w:tabs>
                <w:tab w:val="decimal" w:pos="700"/>
              </w:tabs>
              <w:jc w:val="right"/>
              <w:rPr>
                <w:lang w:val="en-GB"/>
              </w:rPr>
            </w:pPr>
            <w:r w:rsidRPr="00722C19">
              <w:rPr>
                <w:lang w:val="en-GB"/>
              </w:rPr>
              <w:t>7.0</w:t>
            </w:r>
          </w:p>
        </w:tc>
      </w:tr>
      <w:tr w:rsidR="00B61C32" w:rsidRPr="008224C6" w14:paraId="310E936A" w14:textId="77777777" w:rsidTr="004A26FA">
        <w:trPr>
          <w:trHeight w:val="219"/>
          <w:jc w:val="center"/>
        </w:trPr>
        <w:tc>
          <w:tcPr>
            <w:tcW w:w="2896" w:type="dxa"/>
            <w:noWrap/>
            <w:hideMark/>
          </w:tcPr>
          <w:p w14:paraId="67ED4148" w14:textId="77777777" w:rsidR="002541E5" w:rsidRPr="00722C19" w:rsidRDefault="002541E5" w:rsidP="00B61C32">
            <w:pPr>
              <w:pStyle w:val="ExhibitText"/>
              <w:rPr>
                <w:lang w:val="en-GB"/>
              </w:rPr>
            </w:pPr>
            <w:r w:rsidRPr="00722C19">
              <w:rPr>
                <w:lang w:val="en-GB"/>
              </w:rPr>
              <w:t>AT&amp;T U-verse</w:t>
            </w:r>
          </w:p>
        </w:tc>
        <w:tc>
          <w:tcPr>
            <w:tcW w:w="1424" w:type="dxa"/>
            <w:gridSpan w:val="2"/>
            <w:noWrap/>
            <w:vAlign w:val="center"/>
            <w:hideMark/>
          </w:tcPr>
          <w:p w14:paraId="13EE566E" w14:textId="3F2C384A" w:rsidR="002541E5" w:rsidRPr="00722C19" w:rsidRDefault="00FB2DFF" w:rsidP="004A26FA">
            <w:pPr>
              <w:pStyle w:val="ExhibitText"/>
              <w:tabs>
                <w:tab w:val="right" w:pos="952"/>
              </w:tabs>
              <w:jc w:val="right"/>
              <w:rPr>
                <w:lang w:val="en-GB"/>
              </w:rPr>
            </w:pPr>
            <w:r>
              <w:rPr>
                <w:lang w:val="en-GB"/>
              </w:rPr>
              <w:tab/>
            </w:r>
            <w:r w:rsidR="002541E5" w:rsidRPr="00722C19">
              <w:rPr>
                <w:lang w:val="en-GB"/>
              </w:rPr>
              <w:t>3,657</w:t>
            </w:r>
          </w:p>
        </w:tc>
        <w:tc>
          <w:tcPr>
            <w:tcW w:w="1170" w:type="dxa"/>
            <w:noWrap/>
            <w:vAlign w:val="center"/>
            <w:hideMark/>
          </w:tcPr>
          <w:p w14:paraId="39766352" w14:textId="72BE3858" w:rsidR="002541E5" w:rsidRPr="00722C19" w:rsidRDefault="00FB2DFF" w:rsidP="004A26FA">
            <w:pPr>
              <w:pStyle w:val="ExhibitText"/>
              <w:tabs>
                <w:tab w:val="right" w:pos="698"/>
              </w:tabs>
              <w:jc w:val="right"/>
              <w:rPr>
                <w:lang w:val="en-GB"/>
              </w:rPr>
            </w:pPr>
            <w:r>
              <w:rPr>
                <w:lang w:val="en-GB"/>
              </w:rPr>
              <w:tab/>
            </w:r>
            <w:r w:rsidR="002541E5" w:rsidRPr="00722C19">
              <w:rPr>
                <w:lang w:val="en-GB"/>
              </w:rPr>
              <w:t>3.8</w:t>
            </w:r>
          </w:p>
        </w:tc>
        <w:tc>
          <w:tcPr>
            <w:tcW w:w="1530" w:type="dxa"/>
            <w:noWrap/>
            <w:vAlign w:val="center"/>
            <w:hideMark/>
          </w:tcPr>
          <w:p w14:paraId="0DCD24D2" w14:textId="2477EF06" w:rsidR="002541E5" w:rsidRPr="00722C19" w:rsidRDefault="00FB2DFF" w:rsidP="004A26FA">
            <w:pPr>
              <w:pStyle w:val="ExhibitText"/>
              <w:tabs>
                <w:tab w:val="right" w:pos="970"/>
              </w:tabs>
              <w:jc w:val="right"/>
              <w:rPr>
                <w:lang w:val="en-GB"/>
              </w:rPr>
            </w:pPr>
            <w:r>
              <w:rPr>
                <w:lang w:val="en-GB"/>
              </w:rPr>
              <w:tab/>
            </w:r>
            <w:r w:rsidR="002541E5" w:rsidRPr="006446B8">
              <w:rPr>
                <w:lang w:val="en-GB"/>
              </w:rPr>
              <w:t>15,719</w:t>
            </w:r>
          </w:p>
        </w:tc>
        <w:tc>
          <w:tcPr>
            <w:tcW w:w="1530" w:type="dxa"/>
            <w:noWrap/>
            <w:vAlign w:val="center"/>
            <w:hideMark/>
          </w:tcPr>
          <w:p w14:paraId="120A5293" w14:textId="77777777" w:rsidR="002541E5" w:rsidRPr="00722C19" w:rsidRDefault="002541E5" w:rsidP="004A26FA">
            <w:pPr>
              <w:pStyle w:val="ExhibitText"/>
              <w:tabs>
                <w:tab w:val="decimal" w:pos="700"/>
              </w:tabs>
              <w:jc w:val="right"/>
              <w:rPr>
                <w:lang w:val="en-GB"/>
              </w:rPr>
            </w:pPr>
            <w:r w:rsidRPr="00722C19">
              <w:rPr>
                <w:lang w:val="en-GB"/>
              </w:rPr>
              <w:t>15.7</w:t>
            </w:r>
          </w:p>
        </w:tc>
      </w:tr>
      <w:tr w:rsidR="00B61C32" w:rsidRPr="008224C6" w14:paraId="5CD3702E" w14:textId="77777777" w:rsidTr="004A26FA">
        <w:trPr>
          <w:trHeight w:val="219"/>
          <w:jc w:val="center"/>
        </w:trPr>
        <w:tc>
          <w:tcPr>
            <w:tcW w:w="2896" w:type="dxa"/>
            <w:noWrap/>
            <w:hideMark/>
          </w:tcPr>
          <w:p w14:paraId="173A2453" w14:textId="77777777" w:rsidR="002541E5" w:rsidRPr="00722C19" w:rsidRDefault="002541E5" w:rsidP="00B61C32">
            <w:pPr>
              <w:pStyle w:val="ExhibitText"/>
              <w:rPr>
                <w:lang w:val="en-GB"/>
              </w:rPr>
            </w:pPr>
            <w:r w:rsidRPr="00722C19">
              <w:rPr>
                <w:lang w:val="en-GB"/>
              </w:rPr>
              <w:t>Altice</w:t>
            </w:r>
          </w:p>
        </w:tc>
        <w:tc>
          <w:tcPr>
            <w:tcW w:w="1424" w:type="dxa"/>
            <w:gridSpan w:val="2"/>
            <w:noWrap/>
            <w:vAlign w:val="center"/>
            <w:hideMark/>
          </w:tcPr>
          <w:p w14:paraId="2C903D53" w14:textId="619409D2" w:rsidR="002541E5" w:rsidRPr="00722C19" w:rsidRDefault="00FB2DFF" w:rsidP="004A26FA">
            <w:pPr>
              <w:pStyle w:val="ExhibitText"/>
              <w:tabs>
                <w:tab w:val="right" w:pos="952"/>
              </w:tabs>
              <w:jc w:val="right"/>
              <w:rPr>
                <w:lang w:val="en-GB"/>
              </w:rPr>
            </w:pPr>
            <w:r>
              <w:rPr>
                <w:lang w:val="en-GB"/>
              </w:rPr>
              <w:tab/>
            </w:r>
            <w:r w:rsidR="002541E5" w:rsidRPr="00722C19">
              <w:rPr>
                <w:lang w:val="en-GB"/>
              </w:rPr>
              <w:t>3,406</w:t>
            </w:r>
          </w:p>
        </w:tc>
        <w:tc>
          <w:tcPr>
            <w:tcW w:w="1170" w:type="dxa"/>
            <w:noWrap/>
            <w:vAlign w:val="center"/>
            <w:hideMark/>
          </w:tcPr>
          <w:p w14:paraId="348D6355" w14:textId="68CFA3E3" w:rsidR="002541E5" w:rsidRPr="00722C19" w:rsidRDefault="00FB2DFF" w:rsidP="004A26FA">
            <w:pPr>
              <w:pStyle w:val="ExhibitText"/>
              <w:tabs>
                <w:tab w:val="right" w:pos="698"/>
              </w:tabs>
              <w:jc w:val="right"/>
              <w:rPr>
                <w:lang w:val="en-GB"/>
              </w:rPr>
            </w:pPr>
            <w:r>
              <w:rPr>
                <w:lang w:val="en-GB"/>
              </w:rPr>
              <w:tab/>
            </w:r>
            <w:r w:rsidR="002541E5" w:rsidRPr="00722C19">
              <w:rPr>
                <w:lang w:val="en-GB"/>
              </w:rPr>
              <w:t>3.5</w:t>
            </w:r>
          </w:p>
        </w:tc>
        <w:tc>
          <w:tcPr>
            <w:tcW w:w="1530" w:type="dxa"/>
            <w:noWrap/>
            <w:vAlign w:val="center"/>
            <w:hideMark/>
          </w:tcPr>
          <w:p w14:paraId="2F2886FA" w14:textId="79973E10" w:rsidR="002541E5" w:rsidRPr="00722C19" w:rsidRDefault="00FB2DFF" w:rsidP="004A26FA">
            <w:pPr>
              <w:pStyle w:val="ExhibitText"/>
              <w:tabs>
                <w:tab w:val="right" w:pos="970"/>
              </w:tabs>
              <w:jc w:val="right"/>
              <w:rPr>
                <w:lang w:val="en-GB"/>
              </w:rPr>
            </w:pPr>
            <w:r>
              <w:rPr>
                <w:lang w:val="en-GB"/>
              </w:rPr>
              <w:tab/>
            </w:r>
            <w:r w:rsidR="002541E5" w:rsidRPr="006446B8">
              <w:rPr>
                <w:lang w:val="en-GB"/>
              </w:rPr>
              <w:t>4,046</w:t>
            </w:r>
          </w:p>
        </w:tc>
        <w:tc>
          <w:tcPr>
            <w:tcW w:w="1530" w:type="dxa"/>
            <w:noWrap/>
            <w:vAlign w:val="center"/>
            <w:hideMark/>
          </w:tcPr>
          <w:p w14:paraId="40CEE928" w14:textId="77777777" w:rsidR="002541E5" w:rsidRPr="00722C19" w:rsidRDefault="002541E5" w:rsidP="004A26FA">
            <w:pPr>
              <w:pStyle w:val="ExhibitText"/>
              <w:tabs>
                <w:tab w:val="decimal" w:pos="700"/>
              </w:tabs>
              <w:jc w:val="right"/>
              <w:rPr>
                <w:lang w:val="en-GB"/>
              </w:rPr>
            </w:pPr>
            <w:r w:rsidRPr="00722C19">
              <w:rPr>
                <w:lang w:val="en-GB"/>
              </w:rPr>
              <w:t>4.0</w:t>
            </w:r>
          </w:p>
        </w:tc>
      </w:tr>
      <w:tr w:rsidR="00B61C32" w:rsidRPr="008224C6" w14:paraId="4A6E5B57" w14:textId="77777777" w:rsidTr="004A26FA">
        <w:trPr>
          <w:trHeight w:val="219"/>
          <w:jc w:val="center"/>
        </w:trPr>
        <w:tc>
          <w:tcPr>
            <w:tcW w:w="2896" w:type="dxa"/>
            <w:noWrap/>
            <w:hideMark/>
          </w:tcPr>
          <w:p w14:paraId="36838DF2" w14:textId="77777777" w:rsidR="002541E5" w:rsidRPr="00722C19" w:rsidRDefault="002541E5" w:rsidP="00B61C32">
            <w:pPr>
              <w:pStyle w:val="ExhibitText"/>
              <w:rPr>
                <w:lang w:val="en-GB"/>
              </w:rPr>
            </w:pPr>
            <w:r w:rsidRPr="00722C19">
              <w:rPr>
                <w:lang w:val="en-GB"/>
              </w:rPr>
              <w:t>Frontier</w:t>
            </w:r>
          </w:p>
        </w:tc>
        <w:tc>
          <w:tcPr>
            <w:tcW w:w="1424" w:type="dxa"/>
            <w:gridSpan w:val="2"/>
            <w:noWrap/>
            <w:vAlign w:val="center"/>
            <w:hideMark/>
          </w:tcPr>
          <w:p w14:paraId="6FE952B4" w14:textId="386B9ABF" w:rsidR="002541E5" w:rsidRPr="00722C19" w:rsidRDefault="00FB2DFF" w:rsidP="004A26FA">
            <w:pPr>
              <w:pStyle w:val="ExhibitText"/>
              <w:tabs>
                <w:tab w:val="right" w:pos="952"/>
              </w:tabs>
              <w:jc w:val="right"/>
              <w:rPr>
                <w:lang w:val="en-GB"/>
              </w:rPr>
            </w:pPr>
            <w:r>
              <w:rPr>
                <w:lang w:val="en-GB"/>
              </w:rPr>
              <w:tab/>
            </w:r>
            <w:r w:rsidR="002541E5" w:rsidRPr="00722C19">
              <w:rPr>
                <w:lang w:val="en-GB"/>
              </w:rPr>
              <w:t>961</w:t>
            </w:r>
          </w:p>
        </w:tc>
        <w:tc>
          <w:tcPr>
            <w:tcW w:w="1170" w:type="dxa"/>
            <w:noWrap/>
            <w:vAlign w:val="center"/>
            <w:hideMark/>
          </w:tcPr>
          <w:p w14:paraId="6516C2C4" w14:textId="7227500C" w:rsidR="002541E5" w:rsidRPr="00722C19" w:rsidRDefault="00FB2DFF" w:rsidP="004A26FA">
            <w:pPr>
              <w:pStyle w:val="ExhibitText"/>
              <w:tabs>
                <w:tab w:val="right" w:pos="698"/>
              </w:tabs>
              <w:jc w:val="right"/>
              <w:rPr>
                <w:lang w:val="en-GB"/>
              </w:rPr>
            </w:pPr>
            <w:r>
              <w:rPr>
                <w:lang w:val="en-GB"/>
              </w:rPr>
              <w:tab/>
            </w:r>
            <w:r w:rsidR="002541E5" w:rsidRPr="00722C19">
              <w:rPr>
                <w:lang w:val="en-GB"/>
              </w:rPr>
              <w:t>1.0</w:t>
            </w:r>
          </w:p>
        </w:tc>
        <w:tc>
          <w:tcPr>
            <w:tcW w:w="1530" w:type="dxa"/>
            <w:noWrap/>
            <w:vAlign w:val="center"/>
            <w:hideMark/>
          </w:tcPr>
          <w:p w14:paraId="353AD150" w14:textId="5DFCA839" w:rsidR="002541E5" w:rsidRPr="00722C19" w:rsidRDefault="00FB2DFF" w:rsidP="004A26FA">
            <w:pPr>
              <w:pStyle w:val="ExhibitText"/>
              <w:tabs>
                <w:tab w:val="right" w:pos="970"/>
              </w:tabs>
              <w:jc w:val="right"/>
              <w:rPr>
                <w:lang w:val="en-GB"/>
              </w:rPr>
            </w:pPr>
            <w:r>
              <w:rPr>
                <w:lang w:val="en-GB"/>
              </w:rPr>
              <w:tab/>
            </w:r>
            <w:r w:rsidR="002541E5" w:rsidRPr="006446B8">
              <w:rPr>
                <w:lang w:val="en-GB"/>
              </w:rPr>
              <w:t>3,938</w:t>
            </w:r>
          </w:p>
        </w:tc>
        <w:tc>
          <w:tcPr>
            <w:tcW w:w="1530" w:type="dxa"/>
            <w:noWrap/>
            <w:vAlign w:val="center"/>
            <w:hideMark/>
          </w:tcPr>
          <w:p w14:paraId="2C7CCA6C" w14:textId="77777777" w:rsidR="002541E5" w:rsidRPr="00722C19" w:rsidRDefault="002541E5" w:rsidP="004A26FA">
            <w:pPr>
              <w:pStyle w:val="ExhibitText"/>
              <w:tabs>
                <w:tab w:val="decimal" w:pos="700"/>
              </w:tabs>
              <w:jc w:val="right"/>
              <w:rPr>
                <w:lang w:val="en-GB"/>
              </w:rPr>
            </w:pPr>
            <w:r w:rsidRPr="00722C19">
              <w:rPr>
                <w:lang w:val="en-GB"/>
              </w:rPr>
              <w:t>3.9</w:t>
            </w:r>
          </w:p>
        </w:tc>
      </w:tr>
      <w:tr w:rsidR="00B61C32" w:rsidRPr="008224C6" w14:paraId="75772C88" w14:textId="77777777" w:rsidTr="004A26FA">
        <w:trPr>
          <w:trHeight w:val="219"/>
          <w:jc w:val="center"/>
        </w:trPr>
        <w:tc>
          <w:tcPr>
            <w:tcW w:w="2896" w:type="dxa"/>
            <w:noWrap/>
            <w:hideMark/>
          </w:tcPr>
          <w:p w14:paraId="06B2E4BD" w14:textId="77777777" w:rsidR="002541E5" w:rsidRPr="00722C19" w:rsidRDefault="002541E5" w:rsidP="00B61C32">
            <w:pPr>
              <w:pStyle w:val="ExhibitText"/>
              <w:rPr>
                <w:lang w:val="en-GB"/>
              </w:rPr>
            </w:pPr>
            <w:r w:rsidRPr="00722C19">
              <w:rPr>
                <w:lang w:val="en-GB"/>
              </w:rPr>
              <w:t>Mediacom</w:t>
            </w:r>
          </w:p>
        </w:tc>
        <w:tc>
          <w:tcPr>
            <w:tcW w:w="1424" w:type="dxa"/>
            <w:gridSpan w:val="2"/>
            <w:noWrap/>
            <w:vAlign w:val="center"/>
            <w:hideMark/>
          </w:tcPr>
          <w:p w14:paraId="17FDC8C1" w14:textId="39283B61" w:rsidR="002541E5" w:rsidRPr="00722C19" w:rsidRDefault="00FB2DFF" w:rsidP="004A26FA">
            <w:pPr>
              <w:pStyle w:val="ExhibitText"/>
              <w:tabs>
                <w:tab w:val="right" w:pos="952"/>
              </w:tabs>
              <w:jc w:val="right"/>
              <w:rPr>
                <w:lang w:val="en-GB"/>
              </w:rPr>
            </w:pPr>
            <w:r>
              <w:rPr>
                <w:lang w:val="en-GB"/>
              </w:rPr>
              <w:tab/>
            </w:r>
            <w:r w:rsidR="002541E5" w:rsidRPr="00722C19">
              <w:rPr>
                <w:lang w:val="en-GB"/>
              </w:rPr>
              <w:t>821</w:t>
            </w:r>
          </w:p>
        </w:tc>
        <w:tc>
          <w:tcPr>
            <w:tcW w:w="1170" w:type="dxa"/>
            <w:noWrap/>
            <w:vAlign w:val="center"/>
            <w:hideMark/>
          </w:tcPr>
          <w:p w14:paraId="7E0B6063" w14:textId="2800129A" w:rsidR="002541E5" w:rsidRPr="00722C19" w:rsidRDefault="00FB2DFF" w:rsidP="004A26FA">
            <w:pPr>
              <w:pStyle w:val="ExhibitText"/>
              <w:tabs>
                <w:tab w:val="right" w:pos="698"/>
              </w:tabs>
              <w:jc w:val="right"/>
              <w:rPr>
                <w:lang w:val="en-GB"/>
              </w:rPr>
            </w:pPr>
            <w:r>
              <w:rPr>
                <w:lang w:val="en-GB"/>
              </w:rPr>
              <w:tab/>
            </w:r>
            <w:r w:rsidR="002541E5" w:rsidRPr="00722C19">
              <w:rPr>
                <w:lang w:val="en-GB"/>
              </w:rPr>
              <w:t>0.8</w:t>
            </w:r>
          </w:p>
        </w:tc>
        <w:tc>
          <w:tcPr>
            <w:tcW w:w="1530" w:type="dxa"/>
            <w:noWrap/>
            <w:vAlign w:val="center"/>
            <w:hideMark/>
          </w:tcPr>
          <w:p w14:paraId="157DB2B9" w14:textId="5503FCCB" w:rsidR="002541E5" w:rsidRPr="00722C19" w:rsidRDefault="00FB2DFF" w:rsidP="004A26FA">
            <w:pPr>
              <w:pStyle w:val="ExhibitText"/>
              <w:tabs>
                <w:tab w:val="right" w:pos="970"/>
              </w:tabs>
              <w:jc w:val="right"/>
              <w:rPr>
                <w:lang w:val="en-GB"/>
              </w:rPr>
            </w:pPr>
            <w:r>
              <w:rPr>
                <w:lang w:val="en-GB"/>
              </w:rPr>
              <w:tab/>
            </w:r>
            <w:r w:rsidR="002541E5" w:rsidRPr="006446B8">
              <w:rPr>
                <w:lang w:val="en-GB"/>
              </w:rPr>
              <w:t>1,209</w:t>
            </w:r>
          </w:p>
        </w:tc>
        <w:tc>
          <w:tcPr>
            <w:tcW w:w="1530" w:type="dxa"/>
            <w:noWrap/>
            <w:vAlign w:val="center"/>
            <w:hideMark/>
          </w:tcPr>
          <w:p w14:paraId="123E2752" w14:textId="77777777" w:rsidR="002541E5" w:rsidRPr="00722C19" w:rsidRDefault="002541E5" w:rsidP="004A26FA">
            <w:pPr>
              <w:pStyle w:val="ExhibitText"/>
              <w:tabs>
                <w:tab w:val="decimal" w:pos="700"/>
              </w:tabs>
              <w:jc w:val="right"/>
              <w:rPr>
                <w:lang w:val="en-GB"/>
              </w:rPr>
            </w:pPr>
            <w:r w:rsidRPr="00722C19">
              <w:rPr>
                <w:lang w:val="en-GB"/>
              </w:rPr>
              <w:t>1.2</w:t>
            </w:r>
          </w:p>
        </w:tc>
      </w:tr>
      <w:tr w:rsidR="00B61C32" w:rsidRPr="008224C6" w14:paraId="70539126" w14:textId="77777777" w:rsidTr="004A26FA">
        <w:trPr>
          <w:trHeight w:val="219"/>
          <w:jc w:val="center"/>
        </w:trPr>
        <w:tc>
          <w:tcPr>
            <w:tcW w:w="2896" w:type="dxa"/>
            <w:noWrap/>
            <w:hideMark/>
          </w:tcPr>
          <w:p w14:paraId="77F46300" w14:textId="77777777" w:rsidR="002541E5" w:rsidRPr="00722C19" w:rsidRDefault="002541E5" w:rsidP="00B61C32">
            <w:pPr>
              <w:pStyle w:val="ExhibitText"/>
              <w:rPr>
                <w:lang w:val="en-GB"/>
              </w:rPr>
            </w:pPr>
            <w:r w:rsidRPr="00722C19">
              <w:rPr>
                <w:lang w:val="en-GB"/>
              </w:rPr>
              <w:t>WOW (</w:t>
            </w:r>
            <w:proofErr w:type="spellStart"/>
            <w:r w:rsidRPr="00722C19">
              <w:rPr>
                <w:lang w:val="en-GB"/>
              </w:rPr>
              <w:t>overbuilder</w:t>
            </w:r>
            <w:proofErr w:type="spellEnd"/>
            <w:r w:rsidRPr="00722C19">
              <w:rPr>
                <w:lang w:val="en-GB"/>
              </w:rPr>
              <w:t>)</w:t>
            </w:r>
          </w:p>
        </w:tc>
        <w:tc>
          <w:tcPr>
            <w:tcW w:w="1424" w:type="dxa"/>
            <w:gridSpan w:val="2"/>
            <w:noWrap/>
            <w:vAlign w:val="center"/>
            <w:hideMark/>
          </w:tcPr>
          <w:p w14:paraId="7586F21B" w14:textId="0AC51C52" w:rsidR="002541E5" w:rsidRPr="00722C19" w:rsidRDefault="00FB2DFF" w:rsidP="004A26FA">
            <w:pPr>
              <w:pStyle w:val="ExhibitText"/>
              <w:tabs>
                <w:tab w:val="right" w:pos="952"/>
              </w:tabs>
              <w:jc w:val="right"/>
              <w:rPr>
                <w:lang w:val="en-GB"/>
              </w:rPr>
            </w:pPr>
            <w:r>
              <w:rPr>
                <w:lang w:val="en-GB"/>
              </w:rPr>
              <w:tab/>
            </w:r>
            <w:r w:rsidR="002541E5" w:rsidRPr="00722C19">
              <w:rPr>
                <w:lang w:val="en-GB"/>
              </w:rPr>
              <w:t>433</w:t>
            </w:r>
          </w:p>
        </w:tc>
        <w:tc>
          <w:tcPr>
            <w:tcW w:w="1170" w:type="dxa"/>
            <w:noWrap/>
            <w:vAlign w:val="center"/>
            <w:hideMark/>
          </w:tcPr>
          <w:p w14:paraId="5502E06E" w14:textId="0999B26A" w:rsidR="002541E5" w:rsidRPr="00722C19" w:rsidRDefault="00FB2DFF" w:rsidP="004A26FA">
            <w:pPr>
              <w:pStyle w:val="ExhibitText"/>
              <w:tabs>
                <w:tab w:val="right" w:pos="698"/>
              </w:tabs>
              <w:jc w:val="right"/>
              <w:rPr>
                <w:lang w:val="en-GB"/>
              </w:rPr>
            </w:pPr>
            <w:r>
              <w:rPr>
                <w:lang w:val="en-GB"/>
              </w:rPr>
              <w:tab/>
            </w:r>
            <w:r w:rsidR="002541E5" w:rsidRPr="00722C19">
              <w:rPr>
                <w:lang w:val="en-GB"/>
              </w:rPr>
              <w:t>0.4</w:t>
            </w:r>
          </w:p>
        </w:tc>
        <w:tc>
          <w:tcPr>
            <w:tcW w:w="1530" w:type="dxa"/>
            <w:noWrap/>
            <w:vAlign w:val="center"/>
            <w:hideMark/>
          </w:tcPr>
          <w:p w14:paraId="6A68C815" w14:textId="5E9C5FE4" w:rsidR="002541E5" w:rsidRPr="00722C19" w:rsidRDefault="00FB2DFF" w:rsidP="004A26FA">
            <w:pPr>
              <w:pStyle w:val="ExhibitText"/>
              <w:tabs>
                <w:tab w:val="right" w:pos="970"/>
              </w:tabs>
              <w:jc w:val="right"/>
              <w:rPr>
                <w:lang w:val="en-GB"/>
              </w:rPr>
            </w:pPr>
            <w:r>
              <w:rPr>
                <w:lang w:val="en-GB"/>
              </w:rPr>
              <w:tab/>
            </w:r>
            <w:r w:rsidR="002541E5" w:rsidRPr="006446B8">
              <w:rPr>
                <w:lang w:val="en-GB"/>
              </w:rPr>
              <w:t>733</w:t>
            </w:r>
          </w:p>
        </w:tc>
        <w:tc>
          <w:tcPr>
            <w:tcW w:w="1530" w:type="dxa"/>
            <w:noWrap/>
            <w:vAlign w:val="center"/>
            <w:hideMark/>
          </w:tcPr>
          <w:p w14:paraId="50D0AB97" w14:textId="77777777" w:rsidR="002541E5" w:rsidRPr="00722C19" w:rsidRDefault="002541E5" w:rsidP="004A26FA">
            <w:pPr>
              <w:pStyle w:val="ExhibitText"/>
              <w:tabs>
                <w:tab w:val="decimal" w:pos="700"/>
              </w:tabs>
              <w:jc w:val="right"/>
              <w:rPr>
                <w:lang w:val="en-GB"/>
              </w:rPr>
            </w:pPr>
            <w:r w:rsidRPr="00722C19">
              <w:rPr>
                <w:lang w:val="en-GB"/>
              </w:rPr>
              <w:t>0.7</w:t>
            </w:r>
          </w:p>
        </w:tc>
      </w:tr>
      <w:tr w:rsidR="00B61C32" w:rsidRPr="008224C6" w14:paraId="731A1904" w14:textId="77777777" w:rsidTr="004A26FA">
        <w:trPr>
          <w:trHeight w:val="219"/>
          <w:jc w:val="center"/>
        </w:trPr>
        <w:tc>
          <w:tcPr>
            <w:tcW w:w="2896" w:type="dxa"/>
            <w:noWrap/>
            <w:hideMark/>
          </w:tcPr>
          <w:p w14:paraId="50F46214" w14:textId="77777777" w:rsidR="002541E5" w:rsidRPr="00722C19" w:rsidRDefault="002541E5" w:rsidP="00B61C32">
            <w:pPr>
              <w:pStyle w:val="ExhibitText"/>
              <w:rPr>
                <w:lang w:val="en-GB"/>
              </w:rPr>
            </w:pPr>
            <w:r w:rsidRPr="00722C19">
              <w:rPr>
                <w:lang w:val="en-GB"/>
              </w:rPr>
              <w:t>CenturyLink</w:t>
            </w:r>
          </w:p>
        </w:tc>
        <w:tc>
          <w:tcPr>
            <w:tcW w:w="1424" w:type="dxa"/>
            <w:gridSpan w:val="2"/>
            <w:noWrap/>
            <w:vAlign w:val="center"/>
            <w:hideMark/>
          </w:tcPr>
          <w:p w14:paraId="4A637C19" w14:textId="77777777" w:rsidR="002541E5" w:rsidRPr="00722C19" w:rsidRDefault="002541E5" w:rsidP="004A26FA">
            <w:pPr>
              <w:pStyle w:val="ExhibitText"/>
              <w:tabs>
                <w:tab w:val="right" w:pos="952"/>
              </w:tabs>
              <w:jc w:val="right"/>
              <w:rPr>
                <w:lang w:val="en-GB"/>
              </w:rPr>
            </w:pPr>
          </w:p>
        </w:tc>
        <w:tc>
          <w:tcPr>
            <w:tcW w:w="1170" w:type="dxa"/>
            <w:noWrap/>
            <w:vAlign w:val="center"/>
            <w:hideMark/>
          </w:tcPr>
          <w:p w14:paraId="659C94F6" w14:textId="77777777" w:rsidR="002541E5" w:rsidRPr="00722C19" w:rsidRDefault="002541E5" w:rsidP="004A26FA">
            <w:pPr>
              <w:pStyle w:val="ExhibitText"/>
              <w:jc w:val="right"/>
              <w:rPr>
                <w:lang w:val="en-GB"/>
              </w:rPr>
            </w:pPr>
          </w:p>
        </w:tc>
        <w:tc>
          <w:tcPr>
            <w:tcW w:w="1530" w:type="dxa"/>
            <w:noWrap/>
            <w:vAlign w:val="center"/>
            <w:hideMark/>
          </w:tcPr>
          <w:p w14:paraId="430B7EF4" w14:textId="3136A5F4" w:rsidR="002541E5" w:rsidRPr="00722C19" w:rsidRDefault="00FB2DFF" w:rsidP="004A26FA">
            <w:pPr>
              <w:pStyle w:val="ExhibitText"/>
              <w:tabs>
                <w:tab w:val="right" w:pos="970"/>
              </w:tabs>
              <w:jc w:val="right"/>
              <w:rPr>
                <w:lang w:val="en-GB"/>
              </w:rPr>
            </w:pPr>
            <w:r>
              <w:rPr>
                <w:lang w:val="en-GB"/>
              </w:rPr>
              <w:tab/>
            </w:r>
            <w:r w:rsidR="002541E5" w:rsidRPr="006446B8">
              <w:rPr>
                <w:lang w:val="en-GB"/>
              </w:rPr>
              <w:t>5,662</w:t>
            </w:r>
          </w:p>
        </w:tc>
        <w:tc>
          <w:tcPr>
            <w:tcW w:w="1530" w:type="dxa"/>
            <w:noWrap/>
            <w:vAlign w:val="center"/>
            <w:hideMark/>
          </w:tcPr>
          <w:p w14:paraId="2B122B76" w14:textId="77777777" w:rsidR="002541E5" w:rsidRPr="00722C19" w:rsidRDefault="002541E5" w:rsidP="004A26FA">
            <w:pPr>
              <w:pStyle w:val="ExhibitText"/>
              <w:tabs>
                <w:tab w:val="decimal" w:pos="700"/>
              </w:tabs>
              <w:jc w:val="right"/>
              <w:rPr>
                <w:lang w:val="en-GB"/>
              </w:rPr>
            </w:pPr>
            <w:r w:rsidRPr="00722C19">
              <w:rPr>
                <w:lang w:val="en-GB"/>
              </w:rPr>
              <w:t>5.7</w:t>
            </w:r>
          </w:p>
        </w:tc>
      </w:tr>
      <w:tr w:rsidR="00B61C32" w:rsidRPr="008224C6" w14:paraId="580B8962" w14:textId="77777777" w:rsidTr="004A26FA">
        <w:trPr>
          <w:trHeight w:val="219"/>
          <w:jc w:val="center"/>
        </w:trPr>
        <w:tc>
          <w:tcPr>
            <w:tcW w:w="2896" w:type="dxa"/>
            <w:noWrap/>
            <w:hideMark/>
          </w:tcPr>
          <w:p w14:paraId="4B3EB5C6" w14:textId="77777777" w:rsidR="002541E5" w:rsidRPr="00722C19" w:rsidRDefault="002541E5" w:rsidP="00B61C32">
            <w:pPr>
              <w:pStyle w:val="ExhibitText"/>
              <w:rPr>
                <w:lang w:val="en-GB"/>
              </w:rPr>
            </w:pPr>
            <w:r w:rsidRPr="00722C19">
              <w:rPr>
                <w:lang w:val="en-GB"/>
              </w:rPr>
              <w:t>Windstream</w:t>
            </w:r>
          </w:p>
        </w:tc>
        <w:tc>
          <w:tcPr>
            <w:tcW w:w="1424" w:type="dxa"/>
            <w:gridSpan w:val="2"/>
            <w:noWrap/>
            <w:vAlign w:val="center"/>
            <w:hideMark/>
          </w:tcPr>
          <w:p w14:paraId="3FD04891" w14:textId="77777777" w:rsidR="002541E5" w:rsidRPr="00722C19" w:rsidRDefault="002541E5" w:rsidP="004A26FA">
            <w:pPr>
              <w:pStyle w:val="ExhibitText"/>
              <w:tabs>
                <w:tab w:val="right" w:pos="952"/>
              </w:tabs>
              <w:jc w:val="right"/>
              <w:rPr>
                <w:lang w:val="en-GB"/>
              </w:rPr>
            </w:pPr>
            <w:r w:rsidRPr="00722C19">
              <w:rPr>
                <w:lang w:val="en-GB"/>
              </w:rPr>
              <w:t> </w:t>
            </w:r>
          </w:p>
        </w:tc>
        <w:tc>
          <w:tcPr>
            <w:tcW w:w="1170" w:type="dxa"/>
            <w:noWrap/>
            <w:vAlign w:val="center"/>
            <w:hideMark/>
          </w:tcPr>
          <w:p w14:paraId="347CC223" w14:textId="2EE8A017" w:rsidR="002541E5" w:rsidRPr="00722C19" w:rsidRDefault="002541E5" w:rsidP="004A26FA">
            <w:pPr>
              <w:pStyle w:val="ExhibitText"/>
              <w:jc w:val="right"/>
              <w:rPr>
                <w:lang w:val="en-GB"/>
              </w:rPr>
            </w:pPr>
          </w:p>
        </w:tc>
        <w:tc>
          <w:tcPr>
            <w:tcW w:w="1530" w:type="dxa"/>
            <w:noWrap/>
            <w:vAlign w:val="center"/>
            <w:hideMark/>
          </w:tcPr>
          <w:p w14:paraId="31307BED" w14:textId="0903FC8D" w:rsidR="002541E5" w:rsidRPr="00722C19" w:rsidRDefault="00FB2DFF" w:rsidP="004A26FA">
            <w:pPr>
              <w:pStyle w:val="ExhibitText"/>
              <w:tabs>
                <w:tab w:val="right" w:pos="970"/>
              </w:tabs>
              <w:jc w:val="right"/>
              <w:rPr>
                <w:lang w:val="en-GB"/>
              </w:rPr>
            </w:pPr>
            <w:r>
              <w:rPr>
                <w:lang w:val="en-GB"/>
              </w:rPr>
              <w:tab/>
            </w:r>
            <w:r w:rsidR="002541E5" w:rsidRPr="006446B8">
              <w:rPr>
                <w:lang w:val="en-GB"/>
              </w:rPr>
              <w:t>1,007</w:t>
            </w:r>
          </w:p>
        </w:tc>
        <w:tc>
          <w:tcPr>
            <w:tcW w:w="1530" w:type="dxa"/>
            <w:noWrap/>
            <w:vAlign w:val="center"/>
            <w:hideMark/>
          </w:tcPr>
          <w:p w14:paraId="2C0F0A51" w14:textId="77777777" w:rsidR="002541E5" w:rsidRPr="00722C19" w:rsidRDefault="002541E5" w:rsidP="004A26FA">
            <w:pPr>
              <w:pStyle w:val="ExhibitText"/>
              <w:tabs>
                <w:tab w:val="decimal" w:pos="700"/>
              </w:tabs>
              <w:jc w:val="right"/>
              <w:rPr>
                <w:lang w:val="en-GB"/>
              </w:rPr>
            </w:pPr>
            <w:r w:rsidRPr="00722C19">
              <w:rPr>
                <w:lang w:val="en-GB"/>
              </w:rPr>
              <w:t>1.0</w:t>
            </w:r>
          </w:p>
        </w:tc>
      </w:tr>
      <w:tr w:rsidR="00B61C32" w:rsidRPr="008224C6" w14:paraId="4105A8C9" w14:textId="77777777" w:rsidTr="004A26FA">
        <w:trPr>
          <w:trHeight w:val="219"/>
          <w:jc w:val="center"/>
        </w:trPr>
        <w:tc>
          <w:tcPr>
            <w:tcW w:w="2896" w:type="dxa"/>
            <w:noWrap/>
            <w:hideMark/>
          </w:tcPr>
          <w:p w14:paraId="4DA26B23" w14:textId="3BD2B6CF" w:rsidR="002541E5" w:rsidRPr="00722C19" w:rsidRDefault="002541E5" w:rsidP="00B61C32">
            <w:pPr>
              <w:pStyle w:val="ExhibitText"/>
              <w:rPr>
                <w:lang w:val="en-GB"/>
              </w:rPr>
            </w:pPr>
            <w:r w:rsidRPr="00722C19">
              <w:rPr>
                <w:lang w:val="en-GB"/>
              </w:rPr>
              <w:t>Subscribers</w:t>
            </w:r>
          </w:p>
        </w:tc>
        <w:tc>
          <w:tcPr>
            <w:tcW w:w="1424" w:type="dxa"/>
            <w:gridSpan w:val="2"/>
            <w:noWrap/>
            <w:vAlign w:val="center"/>
            <w:hideMark/>
          </w:tcPr>
          <w:p w14:paraId="6AF50530" w14:textId="2902CBEF" w:rsidR="002541E5" w:rsidRPr="00722C19" w:rsidRDefault="002541E5" w:rsidP="004A26FA">
            <w:pPr>
              <w:pStyle w:val="ExhibitText"/>
              <w:tabs>
                <w:tab w:val="right" w:pos="952"/>
              </w:tabs>
              <w:jc w:val="right"/>
              <w:rPr>
                <w:lang w:val="en-GB"/>
              </w:rPr>
            </w:pPr>
            <w:r w:rsidRPr="00722C19">
              <w:rPr>
                <w:lang w:val="en-GB"/>
              </w:rPr>
              <w:t xml:space="preserve"> </w:t>
            </w:r>
          </w:p>
        </w:tc>
        <w:tc>
          <w:tcPr>
            <w:tcW w:w="1170" w:type="dxa"/>
            <w:noWrap/>
            <w:vAlign w:val="center"/>
            <w:hideMark/>
          </w:tcPr>
          <w:p w14:paraId="54D4FCB8" w14:textId="2D526B99" w:rsidR="002541E5" w:rsidRPr="00722C19" w:rsidRDefault="002541E5" w:rsidP="004A26FA">
            <w:pPr>
              <w:pStyle w:val="ExhibitText"/>
              <w:jc w:val="right"/>
              <w:rPr>
                <w:lang w:val="en-GB"/>
              </w:rPr>
            </w:pPr>
          </w:p>
        </w:tc>
        <w:tc>
          <w:tcPr>
            <w:tcW w:w="1530" w:type="dxa"/>
            <w:noWrap/>
            <w:vAlign w:val="center"/>
            <w:hideMark/>
          </w:tcPr>
          <w:p w14:paraId="09F00978" w14:textId="6DB5BC77" w:rsidR="002541E5" w:rsidRPr="00722C19" w:rsidRDefault="002541E5" w:rsidP="004A26FA">
            <w:pPr>
              <w:pStyle w:val="ExhibitText"/>
              <w:tabs>
                <w:tab w:val="right" w:pos="970"/>
              </w:tabs>
              <w:jc w:val="right"/>
              <w:rPr>
                <w:lang w:val="en-GB"/>
              </w:rPr>
            </w:pPr>
            <w:r w:rsidRPr="00722C19">
              <w:rPr>
                <w:lang w:val="en-GB"/>
              </w:rPr>
              <w:t xml:space="preserve"> </w:t>
            </w:r>
          </w:p>
        </w:tc>
        <w:tc>
          <w:tcPr>
            <w:tcW w:w="1530" w:type="dxa"/>
            <w:noWrap/>
            <w:vAlign w:val="center"/>
            <w:hideMark/>
          </w:tcPr>
          <w:p w14:paraId="58A80647" w14:textId="77777777" w:rsidR="002541E5" w:rsidRPr="00722C19" w:rsidRDefault="002541E5" w:rsidP="004A26FA">
            <w:pPr>
              <w:pStyle w:val="ExhibitText"/>
              <w:jc w:val="right"/>
              <w:rPr>
                <w:lang w:val="en-GB"/>
              </w:rPr>
            </w:pPr>
            <w:r w:rsidRPr="00722C19">
              <w:rPr>
                <w:lang w:val="en-GB"/>
              </w:rPr>
              <w:t xml:space="preserve"> </w:t>
            </w:r>
          </w:p>
        </w:tc>
      </w:tr>
      <w:tr w:rsidR="00B61C32" w:rsidRPr="008224C6" w14:paraId="7B76B920" w14:textId="77777777" w:rsidTr="004A26FA">
        <w:trPr>
          <w:trHeight w:val="219"/>
          <w:jc w:val="center"/>
        </w:trPr>
        <w:tc>
          <w:tcPr>
            <w:tcW w:w="2896" w:type="dxa"/>
            <w:noWrap/>
            <w:hideMark/>
          </w:tcPr>
          <w:p w14:paraId="1128FC71" w14:textId="6A540739" w:rsidR="002541E5" w:rsidRPr="00722C19" w:rsidRDefault="00FB2DFF" w:rsidP="00FB2DFF">
            <w:pPr>
              <w:pStyle w:val="ExhibitText"/>
              <w:tabs>
                <w:tab w:val="left" w:pos="158"/>
              </w:tabs>
              <w:rPr>
                <w:lang w:val="en-GB"/>
              </w:rPr>
            </w:pPr>
            <w:r>
              <w:rPr>
                <w:lang w:val="en-GB"/>
              </w:rPr>
              <w:tab/>
            </w:r>
            <w:r w:rsidR="002541E5" w:rsidRPr="00722C19">
              <w:rPr>
                <w:lang w:val="en-GB"/>
              </w:rPr>
              <w:t>Top 4</w:t>
            </w:r>
          </w:p>
        </w:tc>
        <w:tc>
          <w:tcPr>
            <w:tcW w:w="1424" w:type="dxa"/>
            <w:gridSpan w:val="2"/>
            <w:noWrap/>
            <w:vAlign w:val="center"/>
            <w:hideMark/>
          </w:tcPr>
          <w:p w14:paraId="6C693139" w14:textId="688F2E84" w:rsidR="002541E5" w:rsidRPr="00722C19" w:rsidRDefault="00FB2DFF" w:rsidP="004A26FA">
            <w:pPr>
              <w:pStyle w:val="ExhibitText"/>
              <w:tabs>
                <w:tab w:val="right" w:pos="952"/>
              </w:tabs>
              <w:jc w:val="right"/>
              <w:rPr>
                <w:lang w:val="en-GB"/>
              </w:rPr>
            </w:pPr>
            <w:r>
              <w:rPr>
                <w:lang w:val="en-GB"/>
              </w:rPr>
              <w:tab/>
            </w:r>
            <w:r w:rsidR="002541E5" w:rsidRPr="00722C19">
              <w:rPr>
                <w:lang w:val="en-GB"/>
              </w:rPr>
              <w:t>74,209</w:t>
            </w:r>
          </w:p>
        </w:tc>
        <w:tc>
          <w:tcPr>
            <w:tcW w:w="1170" w:type="dxa"/>
            <w:noWrap/>
            <w:vAlign w:val="center"/>
            <w:hideMark/>
          </w:tcPr>
          <w:p w14:paraId="1A923E10" w14:textId="11A6BB24" w:rsidR="002541E5" w:rsidRPr="00722C19" w:rsidRDefault="00FB2DFF" w:rsidP="004A26FA">
            <w:pPr>
              <w:pStyle w:val="ExhibitText"/>
              <w:tabs>
                <w:tab w:val="right" w:pos="698"/>
              </w:tabs>
              <w:jc w:val="right"/>
              <w:rPr>
                <w:lang w:val="en-GB"/>
              </w:rPr>
            </w:pPr>
            <w:r>
              <w:rPr>
                <w:lang w:val="en-GB"/>
              </w:rPr>
              <w:tab/>
            </w:r>
            <w:r w:rsidR="002541E5" w:rsidRPr="00722C19">
              <w:rPr>
                <w:lang w:val="en-GB"/>
              </w:rPr>
              <w:t>76.5%</w:t>
            </w:r>
          </w:p>
        </w:tc>
        <w:tc>
          <w:tcPr>
            <w:tcW w:w="1530" w:type="dxa"/>
            <w:noWrap/>
            <w:vAlign w:val="center"/>
            <w:hideMark/>
          </w:tcPr>
          <w:p w14:paraId="7763A415" w14:textId="31073BF1" w:rsidR="002541E5" w:rsidRPr="00722C19" w:rsidRDefault="002541E5" w:rsidP="004A26FA">
            <w:pPr>
              <w:pStyle w:val="ExhibitText"/>
              <w:tabs>
                <w:tab w:val="right" w:pos="970"/>
              </w:tabs>
              <w:jc w:val="right"/>
              <w:rPr>
                <w:lang w:val="en-GB"/>
              </w:rPr>
            </w:pPr>
            <w:r w:rsidRPr="00722C19">
              <w:rPr>
                <w:lang w:val="en-GB"/>
              </w:rPr>
              <w:t>72,450</w:t>
            </w:r>
          </w:p>
        </w:tc>
        <w:tc>
          <w:tcPr>
            <w:tcW w:w="1530" w:type="dxa"/>
            <w:noWrap/>
            <w:vAlign w:val="center"/>
            <w:hideMark/>
          </w:tcPr>
          <w:p w14:paraId="449AA347" w14:textId="77777777" w:rsidR="002541E5" w:rsidRPr="00722C19" w:rsidRDefault="002541E5" w:rsidP="004A26FA">
            <w:pPr>
              <w:pStyle w:val="ExhibitText"/>
              <w:tabs>
                <w:tab w:val="decimal" w:pos="700"/>
              </w:tabs>
              <w:jc w:val="right"/>
              <w:rPr>
                <w:lang w:val="en-GB"/>
              </w:rPr>
            </w:pPr>
            <w:r w:rsidRPr="00722C19">
              <w:rPr>
                <w:lang w:val="en-GB"/>
              </w:rPr>
              <w:t>72.5%</w:t>
            </w:r>
          </w:p>
        </w:tc>
      </w:tr>
      <w:tr w:rsidR="00B61C32" w:rsidRPr="008224C6" w14:paraId="03770413" w14:textId="77777777" w:rsidTr="004A26FA">
        <w:trPr>
          <w:trHeight w:val="219"/>
          <w:jc w:val="center"/>
        </w:trPr>
        <w:tc>
          <w:tcPr>
            <w:tcW w:w="2896" w:type="dxa"/>
            <w:noWrap/>
            <w:hideMark/>
          </w:tcPr>
          <w:p w14:paraId="14A8F4C4" w14:textId="705B7712" w:rsidR="002541E5" w:rsidRPr="00722C19" w:rsidRDefault="00FB2DFF" w:rsidP="00FB2DFF">
            <w:pPr>
              <w:pStyle w:val="ExhibitText"/>
              <w:tabs>
                <w:tab w:val="left" w:pos="158"/>
              </w:tabs>
              <w:rPr>
                <w:lang w:val="en-GB"/>
              </w:rPr>
            </w:pPr>
            <w:r>
              <w:rPr>
                <w:lang w:val="en-GB"/>
              </w:rPr>
              <w:tab/>
            </w:r>
            <w:r w:rsidR="002541E5" w:rsidRPr="00722C19">
              <w:rPr>
                <w:lang w:val="en-GB"/>
              </w:rPr>
              <w:t>Top 10**</w:t>
            </w:r>
          </w:p>
        </w:tc>
        <w:tc>
          <w:tcPr>
            <w:tcW w:w="1424" w:type="dxa"/>
            <w:gridSpan w:val="2"/>
            <w:noWrap/>
            <w:vAlign w:val="center"/>
            <w:hideMark/>
          </w:tcPr>
          <w:p w14:paraId="30C2CBA9" w14:textId="5BC90C28" w:rsidR="002541E5" w:rsidRPr="00722C19" w:rsidRDefault="00FB2DFF" w:rsidP="004A26FA">
            <w:pPr>
              <w:pStyle w:val="ExhibitText"/>
              <w:tabs>
                <w:tab w:val="right" w:pos="952"/>
              </w:tabs>
              <w:jc w:val="right"/>
              <w:rPr>
                <w:lang w:val="en-GB"/>
              </w:rPr>
            </w:pPr>
            <w:r>
              <w:rPr>
                <w:lang w:val="en-GB"/>
              </w:rPr>
              <w:tab/>
            </w:r>
            <w:r w:rsidR="002541E5" w:rsidRPr="00722C19">
              <w:rPr>
                <w:lang w:val="en-GB"/>
              </w:rPr>
              <w:t>88,106</w:t>
            </w:r>
          </w:p>
        </w:tc>
        <w:tc>
          <w:tcPr>
            <w:tcW w:w="1170" w:type="dxa"/>
            <w:noWrap/>
            <w:vAlign w:val="center"/>
            <w:hideMark/>
          </w:tcPr>
          <w:p w14:paraId="3C0BDEAC" w14:textId="4E9E07F3" w:rsidR="002541E5" w:rsidRPr="00722C19" w:rsidRDefault="00FB2DFF" w:rsidP="004A26FA">
            <w:pPr>
              <w:pStyle w:val="ExhibitText"/>
              <w:tabs>
                <w:tab w:val="right" w:pos="698"/>
              </w:tabs>
              <w:jc w:val="right"/>
              <w:rPr>
                <w:lang w:val="en-GB"/>
              </w:rPr>
            </w:pPr>
            <w:r>
              <w:rPr>
                <w:lang w:val="en-GB"/>
              </w:rPr>
              <w:tab/>
            </w:r>
            <w:r w:rsidR="002541E5" w:rsidRPr="00722C19">
              <w:rPr>
                <w:lang w:val="en-GB"/>
              </w:rPr>
              <w:t>90.8%</w:t>
            </w:r>
          </w:p>
        </w:tc>
        <w:tc>
          <w:tcPr>
            <w:tcW w:w="1530" w:type="dxa"/>
            <w:noWrap/>
            <w:vAlign w:val="center"/>
            <w:hideMark/>
          </w:tcPr>
          <w:p w14:paraId="2E6A42E1" w14:textId="7729AC40" w:rsidR="002541E5" w:rsidRPr="00722C19" w:rsidRDefault="002541E5" w:rsidP="004A26FA">
            <w:pPr>
              <w:pStyle w:val="ExhibitText"/>
              <w:tabs>
                <w:tab w:val="right" w:pos="970"/>
              </w:tabs>
              <w:jc w:val="right"/>
              <w:rPr>
                <w:lang w:val="en-GB"/>
              </w:rPr>
            </w:pPr>
            <w:r w:rsidRPr="00722C19">
              <w:rPr>
                <w:lang w:val="en-GB"/>
              </w:rPr>
              <w:t>89,045</w:t>
            </w:r>
          </w:p>
        </w:tc>
        <w:tc>
          <w:tcPr>
            <w:tcW w:w="1530" w:type="dxa"/>
            <w:noWrap/>
            <w:vAlign w:val="center"/>
            <w:hideMark/>
          </w:tcPr>
          <w:p w14:paraId="3D9475C6" w14:textId="77777777" w:rsidR="002541E5" w:rsidRPr="00722C19" w:rsidRDefault="002541E5" w:rsidP="004A26FA">
            <w:pPr>
              <w:pStyle w:val="ExhibitText"/>
              <w:tabs>
                <w:tab w:val="decimal" w:pos="700"/>
              </w:tabs>
              <w:jc w:val="right"/>
              <w:rPr>
                <w:lang w:val="en-GB"/>
              </w:rPr>
            </w:pPr>
            <w:r w:rsidRPr="00722C19">
              <w:rPr>
                <w:lang w:val="en-GB"/>
              </w:rPr>
              <w:t>89.0%</w:t>
            </w:r>
          </w:p>
        </w:tc>
      </w:tr>
      <w:tr w:rsidR="00B61C32" w:rsidRPr="008224C6" w14:paraId="6960BBEC" w14:textId="77777777" w:rsidTr="004A26FA">
        <w:trPr>
          <w:trHeight w:val="219"/>
          <w:jc w:val="center"/>
        </w:trPr>
        <w:tc>
          <w:tcPr>
            <w:tcW w:w="2896" w:type="dxa"/>
            <w:noWrap/>
            <w:hideMark/>
          </w:tcPr>
          <w:p w14:paraId="07E409E6" w14:textId="4528A505" w:rsidR="002541E5" w:rsidRPr="00722C19" w:rsidRDefault="00FB2DFF" w:rsidP="00FB2DFF">
            <w:pPr>
              <w:pStyle w:val="ExhibitText"/>
              <w:tabs>
                <w:tab w:val="left" w:pos="158"/>
              </w:tabs>
              <w:rPr>
                <w:lang w:val="en-GB"/>
              </w:rPr>
            </w:pPr>
            <w:r>
              <w:rPr>
                <w:lang w:val="en-GB"/>
              </w:rPr>
              <w:tab/>
            </w:r>
            <w:r w:rsidR="002541E5" w:rsidRPr="00722C19">
              <w:rPr>
                <w:lang w:val="en-GB"/>
              </w:rPr>
              <w:t>Estimated Total</w:t>
            </w:r>
          </w:p>
        </w:tc>
        <w:tc>
          <w:tcPr>
            <w:tcW w:w="1424" w:type="dxa"/>
            <w:gridSpan w:val="2"/>
            <w:noWrap/>
            <w:vAlign w:val="center"/>
            <w:hideMark/>
          </w:tcPr>
          <w:p w14:paraId="525C6A7C" w14:textId="2D5E8E93" w:rsidR="002541E5" w:rsidRPr="00722C19" w:rsidRDefault="00FB2DFF" w:rsidP="004A26FA">
            <w:pPr>
              <w:pStyle w:val="ExhibitText"/>
              <w:tabs>
                <w:tab w:val="right" w:pos="952"/>
              </w:tabs>
              <w:jc w:val="right"/>
              <w:rPr>
                <w:lang w:val="en-GB"/>
              </w:rPr>
            </w:pPr>
            <w:r>
              <w:rPr>
                <w:lang w:val="en-GB"/>
              </w:rPr>
              <w:tab/>
            </w:r>
            <w:r w:rsidR="002541E5" w:rsidRPr="00722C19">
              <w:rPr>
                <w:lang w:val="en-GB"/>
              </w:rPr>
              <w:t>97,005</w:t>
            </w:r>
          </w:p>
        </w:tc>
        <w:tc>
          <w:tcPr>
            <w:tcW w:w="1170" w:type="dxa"/>
            <w:noWrap/>
            <w:vAlign w:val="center"/>
            <w:hideMark/>
          </w:tcPr>
          <w:p w14:paraId="3E6DFE26" w14:textId="77777777" w:rsidR="002541E5" w:rsidRPr="00722C19" w:rsidRDefault="002541E5" w:rsidP="004A26FA">
            <w:pPr>
              <w:pStyle w:val="ExhibitText"/>
              <w:jc w:val="right"/>
              <w:rPr>
                <w:lang w:val="en-GB"/>
              </w:rPr>
            </w:pPr>
          </w:p>
        </w:tc>
        <w:tc>
          <w:tcPr>
            <w:tcW w:w="1530" w:type="dxa"/>
            <w:noWrap/>
            <w:vAlign w:val="center"/>
            <w:hideMark/>
          </w:tcPr>
          <w:p w14:paraId="1CBBCF40" w14:textId="1489A86A" w:rsidR="002541E5" w:rsidRPr="00722C19" w:rsidRDefault="00765778" w:rsidP="004A26FA">
            <w:pPr>
              <w:pStyle w:val="ExhibitText"/>
              <w:tabs>
                <w:tab w:val="right" w:pos="970"/>
              </w:tabs>
              <w:jc w:val="right"/>
              <w:rPr>
                <w:lang w:val="en-GB"/>
              </w:rPr>
            </w:pPr>
            <w:r>
              <w:rPr>
                <w:lang w:val="en-GB"/>
              </w:rPr>
              <w:tab/>
            </w:r>
            <w:r w:rsidR="002541E5" w:rsidRPr="00722C19">
              <w:rPr>
                <w:lang w:val="en-GB"/>
              </w:rPr>
              <w:t>100,000</w:t>
            </w:r>
          </w:p>
        </w:tc>
        <w:tc>
          <w:tcPr>
            <w:tcW w:w="1530" w:type="dxa"/>
            <w:noWrap/>
            <w:vAlign w:val="center"/>
            <w:hideMark/>
          </w:tcPr>
          <w:p w14:paraId="6C0A7CC0" w14:textId="77777777" w:rsidR="002541E5" w:rsidRPr="006446B8" w:rsidRDefault="002541E5" w:rsidP="004A26FA">
            <w:pPr>
              <w:pStyle w:val="ExhibitText"/>
              <w:jc w:val="right"/>
              <w:rPr>
                <w:lang w:val="en-GB"/>
              </w:rPr>
            </w:pPr>
          </w:p>
        </w:tc>
      </w:tr>
      <w:tr w:rsidR="00B61C32" w:rsidRPr="008224C6" w14:paraId="13335E93" w14:textId="77777777" w:rsidTr="004A26FA">
        <w:trPr>
          <w:trHeight w:val="219"/>
          <w:jc w:val="center"/>
        </w:trPr>
        <w:tc>
          <w:tcPr>
            <w:tcW w:w="2896" w:type="dxa"/>
            <w:noWrap/>
            <w:hideMark/>
          </w:tcPr>
          <w:p w14:paraId="3F163569" w14:textId="1BB3F0D4" w:rsidR="002541E5" w:rsidRPr="00722C19" w:rsidRDefault="00FB2DFF" w:rsidP="00B61C32">
            <w:pPr>
              <w:pStyle w:val="ExhibitText"/>
              <w:rPr>
                <w:lang w:val="en-GB"/>
              </w:rPr>
            </w:pPr>
            <w:r>
              <w:rPr>
                <w:lang w:val="en-GB"/>
              </w:rPr>
              <w:tab/>
            </w:r>
            <w:r w:rsidR="002541E5" w:rsidRPr="00722C19">
              <w:rPr>
                <w:lang w:val="en-GB"/>
              </w:rPr>
              <w:t>HHI (minimum)</w:t>
            </w:r>
          </w:p>
        </w:tc>
        <w:tc>
          <w:tcPr>
            <w:tcW w:w="1424" w:type="dxa"/>
            <w:gridSpan w:val="2"/>
            <w:noWrap/>
            <w:vAlign w:val="center"/>
            <w:hideMark/>
          </w:tcPr>
          <w:p w14:paraId="520BCD78" w14:textId="77777777" w:rsidR="002541E5" w:rsidRPr="00722C19" w:rsidRDefault="002541E5" w:rsidP="004A26FA">
            <w:pPr>
              <w:pStyle w:val="ExhibitText"/>
              <w:jc w:val="right"/>
              <w:rPr>
                <w:lang w:val="en-GB"/>
              </w:rPr>
            </w:pPr>
          </w:p>
        </w:tc>
        <w:tc>
          <w:tcPr>
            <w:tcW w:w="1170" w:type="dxa"/>
            <w:noWrap/>
            <w:vAlign w:val="center"/>
            <w:hideMark/>
          </w:tcPr>
          <w:p w14:paraId="29D643A5" w14:textId="06871B03" w:rsidR="002541E5" w:rsidRPr="00722C19" w:rsidRDefault="002541E5" w:rsidP="004A26FA">
            <w:pPr>
              <w:pStyle w:val="ExhibitText"/>
              <w:jc w:val="right"/>
              <w:rPr>
                <w:lang w:val="en-GB"/>
              </w:rPr>
            </w:pPr>
            <w:r w:rsidRPr="00722C19">
              <w:rPr>
                <w:lang w:val="en-GB"/>
              </w:rPr>
              <w:t>1,572</w:t>
            </w:r>
          </w:p>
        </w:tc>
        <w:tc>
          <w:tcPr>
            <w:tcW w:w="1530" w:type="dxa"/>
            <w:noWrap/>
            <w:vAlign w:val="center"/>
            <w:hideMark/>
          </w:tcPr>
          <w:p w14:paraId="1BEDDC9F" w14:textId="77777777" w:rsidR="002541E5" w:rsidRPr="00722C19" w:rsidRDefault="002541E5" w:rsidP="004A26FA">
            <w:pPr>
              <w:pStyle w:val="ExhibitText"/>
              <w:jc w:val="right"/>
              <w:rPr>
                <w:lang w:val="en-GB"/>
              </w:rPr>
            </w:pPr>
          </w:p>
        </w:tc>
        <w:tc>
          <w:tcPr>
            <w:tcW w:w="1530" w:type="dxa"/>
            <w:noWrap/>
            <w:vAlign w:val="center"/>
            <w:hideMark/>
          </w:tcPr>
          <w:p w14:paraId="0F3584C6" w14:textId="00A0BC9D" w:rsidR="002541E5" w:rsidRPr="00722C19" w:rsidRDefault="002541E5" w:rsidP="004A26FA">
            <w:pPr>
              <w:pStyle w:val="ExhibitText"/>
              <w:jc w:val="right"/>
              <w:rPr>
                <w:lang w:val="en-GB"/>
              </w:rPr>
            </w:pPr>
            <w:r w:rsidRPr="00722C19">
              <w:rPr>
                <w:lang w:val="en-GB"/>
              </w:rPr>
              <w:t>1,603</w:t>
            </w:r>
          </w:p>
        </w:tc>
      </w:tr>
      <w:tr w:rsidR="00B61C32" w:rsidRPr="008224C6" w14:paraId="17B6846B" w14:textId="77777777" w:rsidTr="004A26FA">
        <w:trPr>
          <w:trHeight w:val="219"/>
          <w:jc w:val="center"/>
        </w:trPr>
        <w:tc>
          <w:tcPr>
            <w:tcW w:w="2896" w:type="dxa"/>
            <w:noWrap/>
            <w:hideMark/>
          </w:tcPr>
          <w:p w14:paraId="34BFDB2F" w14:textId="77777777" w:rsidR="002541E5" w:rsidRPr="00722C19" w:rsidRDefault="002541E5" w:rsidP="00B61C32">
            <w:pPr>
              <w:pStyle w:val="ExhibitText"/>
              <w:rPr>
                <w:lang w:val="en-GB"/>
              </w:rPr>
            </w:pPr>
          </w:p>
        </w:tc>
        <w:tc>
          <w:tcPr>
            <w:tcW w:w="1424" w:type="dxa"/>
            <w:gridSpan w:val="2"/>
            <w:noWrap/>
            <w:vAlign w:val="center"/>
            <w:hideMark/>
          </w:tcPr>
          <w:p w14:paraId="3F48733D" w14:textId="77777777" w:rsidR="002541E5" w:rsidRPr="00722C19" w:rsidRDefault="002541E5" w:rsidP="004A26FA">
            <w:pPr>
              <w:pStyle w:val="ExhibitText"/>
              <w:jc w:val="right"/>
              <w:rPr>
                <w:lang w:val="en-GB"/>
              </w:rPr>
            </w:pPr>
          </w:p>
        </w:tc>
        <w:tc>
          <w:tcPr>
            <w:tcW w:w="1170" w:type="dxa"/>
            <w:noWrap/>
            <w:vAlign w:val="center"/>
            <w:hideMark/>
          </w:tcPr>
          <w:p w14:paraId="5979CAD8" w14:textId="77777777" w:rsidR="002541E5" w:rsidRPr="00722C19" w:rsidRDefault="002541E5" w:rsidP="004A26FA">
            <w:pPr>
              <w:pStyle w:val="ExhibitText"/>
              <w:jc w:val="right"/>
              <w:rPr>
                <w:lang w:val="en-GB"/>
              </w:rPr>
            </w:pPr>
          </w:p>
        </w:tc>
        <w:tc>
          <w:tcPr>
            <w:tcW w:w="1530" w:type="dxa"/>
            <w:noWrap/>
            <w:vAlign w:val="center"/>
            <w:hideMark/>
          </w:tcPr>
          <w:p w14:paraId="30679896" w14:textId="77777777" w:rsidR="002541E5" w:rsidRPr="00722C19" w:rsidRDefault="002541E5" w:rsidP="004A26FA">
            <w:pPr>
              <w:pStyle w:val="ExhibitText"/>
              <w:jc w:val="right"/>
              <w:rPr>
                <w:lang w:val="en-GB"/>
              </w:rPr>
            </w:pPr>
          </w:p>
        </w:tc>
        <w:tc>
          <w:tcPr>
            <w:tcW w:w="1530" w:type="dxa"/>
            <w:noWrap/>
            <w:vAlign w:val="center"/>
            <w:hideMark/>
          </w:tcPr>
          <w:p w14:paraId="11557D59" w14:textId="77777777" w:rsidR="002541E5" w:rsidRPr="00722C19" w:rsidRDefault="002541E5" w:rsidP="004A26FA">
            <w:pPr>
              <w:pStyle w:val="ExhibitText"/>
              <w:jc w:val="right"/>
              <w:rPr>
                <w:lang w:val="en-GB"/>
              </w:rPr>
            </w:pPr>
          </w:p>
        </w:tc>
      </w:tr>
      <w:tr w:rsidR="00B61C32" w:rsidRPr="008224C6" w14:paraId="4F83D2C2" w14:textId="77777777" w:rsidTr="00FB2DFF">
        <w:trPr>
          <w:trHeight w:val="219"/>
          <w:jc w:val="center"/>
        </w:trPr>
        <w:tc>
          <w:tcPr>
            <w:tcW w:w="3834" w:type="dxa"/>
            <w:gridSpan w:val="2"/>
            <w:noWrap/>
            <w:hideMark/>
          </w:tcPr>
          <w:p w14:paraId="5002C27B" w14:textId="77777777" w:rsidR="002541E5" w:rsidRPr="00722C19" w:rsidRDefault="002541E5" w:rsidP="00B61C32">
            <w:pPr>
              <w:pStyle w:val="ExhibitText"/>
              <w:rPr>
                <w:lang w:val="en-GB"/>
              </w:rPr>
            </w:pPr>
            <w:r w:rsidRPr="00722C19">
              <w:rPr>
                <w:lang w:val="en-GB"/>
              </w:rPr>
              <w:t>* Acquired by AT&amp;T in 2015</w:t>
            </w:r>
          </w:p>
        </w:tc>
        <w:tc>
          <w:tcPr>
            <w:tcW w:w="486" w:type="dxa"/>
            <w:noWrap/>
            <w:hideMark/>
          </w:tcPr>
          <w:p w14:paraId="14EBB8B6" w14:textId="77777777" w:rsidR="002541E5" w:rsidRPr="00722C19" w:rsidRDefault="002541E5" w:rsidP="00B61C32">
            <w:pPr>
              <w:pStyle w:val="ExhibitText"/>
              <w:rPr>
                <w:lang w:val="en-GB"/>
              </w:rPr>
            </w:pPr>
          </w:p>
        </w:tc>
        <w:tc>
          <w:tcPr>
            <w:tcW w:w="1170" w:type="dxa"/>
            <w:noWrap/>
            <w:hideMark/>
          </w:tcPr>
          <w:p w14:paraId="3219D14B" w14:textId="77777777" w:rsidR="002541E5" w:rsidRPr="00722C19" w:rsidRDefault="002541E5" w:rsidP="00B61C32">
            <w:pPr>
              <w:pStyle w:val="ExhibitText"/>
              <w:rPr>
                <w:lang w:val="en-GB"/>
              </w:rPr>
            </w:pPr>
          </w:p>
        </w:tc>
        <w:tc>
          <w:tcPr>
            <w:tcW w:w="1530" w:type="dxa"/>
            <w:noWrap/>
            <w:hideMark/>
          </w:tcPr>
          <w:p w14:paraId="237F0669" w14:textId="77777777" w:rsidR="002541E5" w:rsidRPr="00722C19" w:rsidRDefault="002541E5" w:rsidP="00B61C32">
            <w:pPr>
              <w:pStyle w:val="ExhibitText"/>
              <w:rPr>
                <w:lang w:val="en-GB"/>
              </w:rPr>
            </w:pPr>
          </w:p>
        </w:tc>
        <w:tc>
          <w:tcPr>
            <w:tcW w:w="1530" w:type="dxa"/>
            <w:noWrap/>
            <w:hideMark/>
          </w:tcPr>
          <w:p w14:paraId="5B25ADA7" w14:textId="77777777" w:rsidR="002541E5" w:rsidRPr="00722C19" w:rsidRDefault="002541E5" w:rsidP="00B61C32">
            <w:pPr>
              <w:pStyle w:val="ExhibitText"/>
              <w:rPr>
                <w:lang w:val="en-GB"/>
              </w:rPr>
            </w:pPr>
          </w:p>
        </w:tc>
      </w:tr>
      <w:tr w:rsidR="00B61C32" w:rsidRPr="008224C6" w14:paraId="2248FF79" w14:textId="77777777" w:rsidTr="00FB2DFF">
        <w:trPr>
          <w:trHeight w:val="219"/>
          <w:jc w:val="center"/>
        </w:trPr>
        <w:tc>
          <w:tcPr>
            <w:tcW w:w="7020" w:type="dxa"/>
            <w:gridSpan w:val="5"/>
            <w:noWrap/>
            <w:hideMark/>
          </w:tcPr>
          <w:p w14:paraId="0F393652" w14:textId="07862703" w:rsidR="002541E5" w:rsidRPr="00722C19" w:rsidRDefault="002541E5" w:rsidP="00B61C32">
            <w:pPr>
              <w:pStyle w:val="ExhibitText"/>
              <w:rPr>
                <w:lang w:val="en-GB"/>
              </w:rPr>
            </w:pPr>
            <w:r w:rsidRPr="00722C19">
              <w:rPr>
                <w:lang w:val="en-GB"/>
              </w:rPr>
              <w:t>** Excludes numbers for privately</w:t>
            </w:r>
            <w:r w:rsidR="00B978DF">
              <w:rPr>
                <w:lang w:val="en-GB"/>
              </w:rPr>
              <w:t xml:space="preserve"> </w:t>
            </w:r>
            <w:r w:rsidRPr="00722C19">
              <w:rPr>
                <w:lang w:val="en-GB"/>
              </w:rPr>
              <w:t>held Cox Communications</w:t>
            </w:r>
          </w:p>
        </w:tc>
        <w:tc>
          <w:tcPr>
            <w:tcW w:w="1530" w:type="dxa"/>
            <w:noWrap/>
            <w:hideMark/>
          </w:tcPr>
          <w:p w14:paraId="20E5931A" w14:textId="77777777" w:rsidR="002541E5" w:rsidRPr="00722C19" w:rsidRDefault="002541E5" w:rsidP="00B61C32">
            <w:pPr>
              <w:pStyle w:val="ExhibitText"/>
              <w:rPr>
                <w:lang w:val="en-GB"/>
              </w:rPr>
            </w:pPr>
          </w:p>
        </w:tc>
      </w:tr>
    </w:tbl>
    <w:p w14:paraId="657D932E" w14:textId="254AEE2E" w:rsidR="002541E5" w:rsidRPr="001F30BF" w:rsidRDefault="002541E5" w:rsidP="00B61C32">
      <w:pPr>
        <w:pStyle w:val="ExhibitText"/>
        <w:rPr>
          <w:sz w:val="16"/>
          <w:lang w:val="en-GB"/>
        </w:rPr>
      </w:pPr>
    </w:p>
    <w:p w14:paraId="46A032AD" w14:textId="5926984A" w:rsidR="00B61C32" w:rsidRPr="00722C19" w:rsidRDefault="00B61C32" w:rsidP="00B61C32">
      <w:pPr>
        <w:pStyle w:val="Footnote"/>
        <w:rPr>
          <w:spacing w:val="-4"/>
          <w:lang w:val="en-GB"/>
        </w:rPr>
      </w:pPr>
      <w:r w:rsidRPr="00722C19">
        <w:rPr>
          <w:spacing w:val="-4"/>
          <w:lang w:val="en-GB"/>
        </w:rPr>
        <w:t>Note: In 1985, the CR4 was 28 and the HHI was less than 500</w:t>
      </w:r>
      <w:r w:rsidR="00B978DF">
        <w:rPr>
          <w:spacing w:val="-4"/>
          <w:lang w:val="en-GB"/>
        </w:rPr>
        <w:t xml:space="preserve">; MVPD = multi-channel video programming distributor; HHI = </w:t>
      </w:r>
      <w:proofErr w:type="spellStart"/>
      <w:r w:rsidR="00B978DF">
        <w:rPr>
          <w:spacing w:val="-4"/>
          <w:lang w:val="en-GB"/>
        </w:rPr>
        <w:t>Herfindahl</w:t>
      </w:r>
      <w:proofErr w:type="spellEnd"/>
      <w:r w:rsidR="00B978DF">
        <w:rPr>
          <w:spacing w:val="-4"/>
          <w:lang w:val="en-GB"/>
        </w:rPr>
        <w:t>–Hirschman Index</w:t>
      </w:r>
      <w:r w:rsidR="00FB2DFF">
        <w:rPr>
          <w:spacing w:val="-4"/>
          <w:lang w:val="en-GB"/>
        </w:rPr>
        <w:t>; CR4 = four-firm concentration ratio</w:t>
      </w:r>
      <w:r w:rsidRPr="00722C19">
        <w:rPr>
          <w:spacing w:val="-4"/>
          <w:lang w:val="en-GB"/>
        </w:rPr>
        <w:t>.</w:t>
      </w:r>
    </w:p>
    <w:p w14:paraId="479EB69E" w14:textId="63DF9911" w:rsidR="001F30BF" w:rsidRDefault="00B61C32" w:rsidP="001F30BF">
      <w:pPr>
        <w:pStyle w:val="Footnote"/>
        <w:rPr>
          <w:spacing w:val="-4"/>
          <w:lang w:val="en-GB"/>
        </w:rPr>
      </w:pPr>
      <w:r w:rsidRPr="00722C19">
        <w:rPr>
          <w:spacing w:val="-4"/>
          <w:lang w:val="en-GB"/>
        </w:rPr>
        <w:t xml:space="preserve">Source: </w:t>
      </w:r>
      <w:proofErr w:type="spellStart"/>
      <w:r w:rsidRPr="00722C19">
        <w:rPr>
          <w:spacing w:val="-4"/>
          <w:lang w:val="en-GB"/>
        </w:rPr>
        <w:t>Leich</w:t>
      </w:r>
      <w:r w:rsidR="00334CF0">
        <w:rPr>
          <w:spacing w:val="-4"/>
          <w:lang w:val="en-GB"/>
        </w:rPr>
        <w:t>t</w:t>
      </w:r>
      <w:r w:rsidRPr="00722C19">
        <w:rPr>
          <w:spacing w:val="-4"/>
          <w:lang w:val="en-GB"/>
        </w:rPr>
        <w:t>man</w:t>
      </w:r>
      <w:proofErr w:type="spellEnd"/>
      <w:r w:rsidRPr="00722C19">
        <w:rPr>
          <w:spacing w:val="-4"/>
          <w:lang w:val="en-GB"/>
        </w:rPr>
        <w:t xml:space="preserve"> Research Group, “2.1 Million Added Broadband </w:t>
      </w:r>
      <w:r w:rsidR="00FB2DFF">
        <w:rPr>
          <w:spacing w:val="-4"/>
          <w:lang w:val="en-GB"/>
        </w:rPr>
        <w:t>f</w:t>
      </w:r>
      <w:r w:rsidRPr="00722C19">
        <w:rPr>
          <w:spacing w:val="-4"/>
          <w:lang w:val="en-GB"/>
        </w:rPr>
        <w:t xml:space="preserve">rom Top Providers in 2017,” </w:t>
      </w:r>
      <w:r w:rsidR="00334CF0">
        <w:rPr>
          <w:spacing w:val="-4"/>
          <w:lang w:val="en-GB"/>
        </w:rPr>
        <w:t xml:space="preserve">press release, </w:t>
      </w:r>
      <w:r w:rsidRPr="00722C19">
        <w:rPr>
          <w:spacing w:val="-4"/>
          <w:lang w:val="en-GB"/>
        </w:rPr>
        <w:t xml:space="preserve">March 13, 2018, accessed June 21, 2018, www.leichtmanresearch.com/2-1-million-added-broadband-from-top-providers-in-2017/; </w:t>
      </w:r>
      <w:proofErr w:type="spellStart"/>
      <w:r w:rsidRPr="00722C19">
        <w:rPr>
          <w:spacing w:val="-4"/>
          <w:lang w:val="en-GB"/>
        </w:rPr>
        <w:t>Leichtman</w:t>
      </w:r>
      <w:proofErr w:type="spellEnd"/>
      <w:r w:rsidRPr="00722C19">
        <w:rPr>
          <w:spacing w:val="-4"/>
          <w:lang w:val="en-GB"/>
        </w:rPr>
        <w:t xml:space="preserve"> Research Group, “Major </w:t>
      </w:r>
      <w:proofErr w:type="spellStart"/>
      <w:r w:rsidRPr="00722C19">
        <w:rPr>
          <w:spacing w:val="-4"/>
          <w:lang w:val="en-GB"/>
        </w:rPr>
        <w:t>Pay-TV</w:t>
      </w:r>
      <w:proofErr w:type="spellEnd"/>
      <w:r w:rsidRPr="00722C19">
        <w:rPr>
          <w:spacing w:val="-4"/>
          <w:lang w:val="en-GB"/>
        </w:rPr>
        <w:t xml:space="preserve"> Providers Lost </w:t>
      </w:r>
      <w:r w:rsidR="00334CF0">
        <w:rPr>
          <w:spacing w:val="-4"/>
          <w:lang w:val="en-GB"/>
        </w:rPr>
        <w:t>a</w:t>
      </w:r>
      <w:r w:rsidRPr="00722C19">
        <w:rPr>
          <w:spacing w:val="-4"/>
          <w:lang w:val="en-GB"/>
        </w:rPr>
        <w:t xml:space="preserve">bout 1,495,000 Subscribers in 2017,” </w:t>
      </w:r>
      <w:r w:rsidR="00334CF0">
        <w:rPr>
          <w:spacing w:val="-4"/>
          <w:lang w:val="en-GB"/>
        </w:rPr>
        <w:t xml:space="preserve">press release, </w:t>
      </w:r>
      <w:r w:rsidRPr="00722C19">
        <w:rPr>
          <w:spacing w:val="-4"/>
          <w:lang w:val="en-GB"/>
        </w:rPr>
        <w:t xml:space="preserve">March 12, 2018, accessed June 21, 2018, </w:t>
      </w:r>
      <w:r w:rsidR="001F30BF" w:rsidRPr="001F30BF">
        <w:rPr>
          <w:spacing w:val="-4"/>
          <w:lang w:val="en-GB"/>
        </w:rPr>
        <w:t>www.leichtmanresearch.com/major-pay-tv-providers-lost-about-1495000-subscribers-in-2017/</w:t>
      </w:r>
      <w:r w:rsidRPr="00722C19">
        <w:rPr>
          <w:spacing w:val="-4"/>
          <w:lang w:val="en-GB"/>
        </w:rPr>
        <w:t>.</w:t>
      </w:r>
      <w:r w:rsidR="001F30BF">
        <w:rPr>
          <w:spacing w:val="-4"/>
          <w:lang w:val="en-GB"/>
        </w:rPr>
        <w:br w:type="page"/>
      </w:r>
    </w:p>
    <w:p w14:paraId="7544B9FD" w14:textId="5D420246" w:rsidR="002541E5" w:rsidRPr="00722C19" w:rsidRDefault="002541E5" w:rsidP="002541E5">
      <w:pPr>
        <w:pStyle w:val="NoSpacing"/>
        <w:jc w:val="center"/>
        <w:rPr>
          <w:rStyle w:val="ExhibitHeadingChar"/>
          <w:rFonts w:eastAsia="Calibri"/>
          <w:lang w:val="en-GB"/>
        </w:rPr>
      </w:pPr>
      <w:r w:rsidRPr="00722C19">
        <w:rPr>
          <w:rStyle w:val="ExhibitHeadingChar"/>
          <w:rFonts w:eastAsia="Calibri"/>
          <w:lang w:val="en-GB"/>
        </w:rPr>
        <w:lastRenderedPageBreak/>
        <w:t>EXHIBIT 4: THE WALT DISNEY COMPANY FINANCIALS</w:t>
      </w:r>
      <w:r w:rsidR="00334CF0">
        <w:rPr>
          <w:rStyle w:val="ExhibitHeadingChar"/>
          <w:rFonts w:eastAsia="Calibri"/>
          <w:lang w:val="en-GB"/>
        </w:rPr>
        <w:t>,</w:t>
      </w:r>
      <w:r w:rsidRPr="00722C19">
        <w:rPr>
          <w:rStyle w:val="ExhibitHeadingChar"/>
          <w:rFonts w:eastAsia="Calibri"/>
          <w:lang w:val="en-GB"/>
        </w:rPr>
        <w:t xml:space="preserve"> 2008</w:t>
      </w:r>
      <w:r w:rsidR="00765778">
        <w:rPr>
          <w:rStyle w:val="ExhibitHeadingChar"/>
          <w:rFonts w:eastAsia="Calibri"/>
          <w:lang w:val="en-GB"/>
        </w:rPr>
        <w:t>–</w:t>
      </w:r>
      <w:r w:rsidRPr="00722C19">
        <w:rPr>
          <w:rStyle w:val="ExhibitHeadingChar"/>
          <w:rFonts w:eastAsia="Calibri"/>
          <w:lang w:val="en-GB"/>
        </w:rPr>
        <w:t>2017</w:t>
      </w:r>
      <w:r w:rsidR="00B419C5">
        <w:rPr>
          <w:rStyle w:val="ExhibitHeadingChar"/>
          <w:rFonts w:eastAsia="Calibri"/>
          <w:lang w:val="en-GB"/>
        </w:rPr>
        <w:t xml:space="preserve"> (US$ millions)</w:t>
      </w:r>
    </w:p>
    <w:p w14:paraId="1E2CA8FC" w14:textId="77777777" w:rsidR="00B61C32" w:rsidRPr="00722C19" w:rsidRDefault="00B61C32" w:rsidP="00B61C32">
      <w:pPr>
        <w:pStyle w:val="ExhibitText"/>
        <w:rPr>
          <w:lang w:val="en-GB"/>
        </w:rPr>
      </w:pPr>
    </w:p>
    <w:tbl>
      <w:tblPr>
        <w:tblStyle w:val="TableGrid"/>
        <w:tblW w:w="9291" w:type="dxa"/>
        <w:tblLayout w:type="fixed"/>
        <w:tblLook w:val="04A0" w:firstRow="1" w:lastRow="0" w:firstColumn="1" w:lastColumn="0" w:noHBand="0" w:noVBand="1"/>
      </w:tblPr>
      <w:tblGrid>
        <w:gridCol w:w="1181"/>
        <w:gridCol w:w="811"/>
        <w:gridCol w:w="811"/>
        <w:gridCol w:w="811"/>
        <w:gridCol w:w="811"/>
        <w:gridCol w:w="811"/>
        <w:gridCol w:w="811"/>
        <w:gridCol w:w="811"/>
        <w:gridCol w:w="811"/>
        <w:gridCol w:w="811"/>
        <w:gridCol w:w="811"/>
      </w:tblGrid>
      <w:tr w:rsidR="00812F25" w:rsidRPr="008224C6" w14:paraId="2D38FC36" w14:textId="77777777" w:rsidTr="003E5E8B">
        <w:trPr>
          <w:trHeight w:val="260"/>
        </w:trPr>
        <w:tc>
          <w:tcPr>
            <w:tcW w:w="1181" w:type="dxa"/>
          </w:tcPr>
          <w:p w14:paraId="45ADA5F8" w14:textId="747A700F" w:rsidR="00B61C32" w:rsidRPr="00722C19" w:rsidRDefault="00B61C32" w:rsidP="00812F25">
            <w:pPr>
              <w:pStyle w:val="ExhibitText"/>
              <w:jc w:val="center"/>
              <w:rPr>
                <w:b/>
                <w:spacing w:val="-6"/>
                <w:sz w:val="16"/>
                <w:szCs w:val="15"/>
                <w:lang w:val="en-GB"/>
              </w:rPr>
            </w:pPr>
          </w:p>
        </w:tc>
        <w:tc>
          <w:tcPr>
            <w:tcW w:w="811" w:type="dxa"/>
            <w:vAlign w:val="center"/>
          </w:tcPr>
          <w:p w14:paraId="31C50485"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2017</w:t>
            </w:r>
          </w:p>
        </w:tc>
        <w:tc>
          <w:tcPr>
            <w:tcW w:w="811" w:type="dxa"/>
            <w:vAlign w:val="center"/>
          </w:tcPr>
          <w:p w14:paraId="6E4B2B98"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2016</w:t>
            </w:r>
          </w:p>
        </w:tc>
        <w:tc>
          <w:tcPr>
            <w:tcW w:w="811" w:type="dxa"/>
            <w:vAlign w:val="center"/>
          </w:tcPr>
          <w:p w14:paraId="54D458C8"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2015</w:t>
            </w:r>
          </w:p>
        </w:tc>
        <w:tc>
          <w:tcPr>
            <w:tcW w:w="811" w:type="dxa"/>
            <w:vAlign w:val="center"/>
          </w:tcPr>
          <w:p w14:paraId="715EE684"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2014</w:t>
            </w:r>
          </w:p>
        </w:tc>
        <w:tc>
          <w:tcPr>
            <w:tcW w:w="811" w:type="dxa"/>
            <w:vAlign w:val="center"/>
          </w:tcPr>
          <w:p w14:paraId="60BE4B70"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2013</w:t>
            </w:r>
          </w:p>
        </w:tc>
        <w:tc>
          <w:tcPr>
            <w:tcW w:w="811" w:type="dxa"/>
            <w:vAlign w:val="center"/>
          </w:tcPr>
          <w:p w14:paraId="7F6100B1"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2012</w:t>
            </w:r>
          </w:p>
        </w:tc>
        <w:tc>
          <w:tcPr>
            <w:tcW w:w="811" w:type="dxa"/>
            <w:vAlign w:val="center"/>
          </w:tcPr>
          <w:p w14:paraId="476493EA"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2011</w:t>
            </w:r>
          </w:p>
        </w:tc>
        <w:tc>
          <w:tcPr>
            <w:tcW w:w="811" w:type="dxa"/>
            <w:vAlign w:val="center"/>
          </w:tcPr>
          <w:p w14:paraId="788B5D88"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2010</w:t>
            </w:r>
          </w:p>
        </w:tc>
        <w:tc>
          <w:tcPr>
            <w:tcW w:w="811" w:type="dxa"/>
            <w:vAlign w:val="center"/>
          </w:tcPr>
          <w:p w14:paraId="15902F55"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2009</w:t>
            </w:r>
          </w:p>
        </w:tc>
        <w:tc>
          <w:tcPr>
            <w:tcW w:w="811" w:type="dxa"/>
            <w:vAlign w:val="center"/>
          </w:tcPr>
          <w:p w14:paraId="57748C58" w14:textId="77777777" w:rsidR="00B61C32" w:rsidRPr="00722C19" w:rsidRDefault="00B61C32" w:rsidP="003E5E8B">
            <w:pPr>
              <w:pStyle w:val="ExhibitText"/>
              <w:jc w:val="center"/>
              <w:rPr>
                <w:b/>
                <w:spacing w:val="-6"/>
                <w:sz w:val="16"/>
                <w:szCs w:val="15"/>
                <w:lang w:val="en-GB"/>
              </w:rPr>
            </w:pPr>
            <w:r w:rsidRPr="00722C19">
              <w:rPr>
                <w:b/>
                <w:spacing w:val="-6"/>
                <w:sz w:val="16"/>
                <w:szCs w:val="15"/>
                <w:lang w:val="en-GB"/>
              </w:rPr>
              <w:t>2008</w:t>
            </w:r>
          </w:p>
        </w:tc>
      </w:tr>
      <w:tr w:rsidR="00812F25" w:rsidRPr="008224C6" w14:paraId="51368D7E" w14:textId="77777777" w:rsidTr="00722C19">
        <w:trPr>
          <w:trHeight w:val="246"/>
        </w:trPr>
        <w:tc>
          <w:tcPr>
            <w:tcW w:w="1181" w:type="dxa"/>
          </w:tcPr>
          <w:p w14:paraId="7E308133"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Segment Revenues</w:t>
            </w:r>
          </w:p>
        </w:tc>
        <w:tc>
          <w:tcPr>
            <w:tcW w:w="811" w:type="dxa"/>
          </w:tcPr>
          <w:p w14:paraId="25D97CB6" w14:textId="77777777" w:rsidR="00B61C32" w:rsidRPr="00722C19" w:rsidRDefault="00B61C32" w:rsidP="00812F25">
            <w:pPr>
              <w:pStyle w:val="ExhibitText"/>
              <w:jc w:val="left"/>
              <w:rPr>
                <w:spacing w:val="-6"/>
                <w:sz w:val="16"/>
                <w:szCs w:val="15"/>
                <w:lang w:val="en-GB"/>
              </w:rPr>
            </w:pPr>
          </w:p>
        </w:tc>
        <w:tc>
          <w:tcPr>
            <w:tcW w:w="811" w:type="dxa"/>
          </w:tcPr>
          <w:p w14:paraId="23921D46"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 xml:space="preserve"> </w:t>
            </w:r>
          </w:p>
        </w:tc>
        <w:tc>
          <w:tcPr>
            <w:tcW w:w="811" w:type="dxa"/>
          </w:tcPr>
          <w:p w14:paraId="3779C106" w14:textId="77777777" w:rsidR="00B61C32" w:rsidRPr="00722C19" w:rsidRDefault="00B61C32" w:rsidP="00812F25">
            <w:pPr>
              <w:pStyle w:val="ExhibitText"/>
              <w:jc w:val="left"/>
              <w:rPr>
                <w:spacing w:val="-6"/>
                <w:sz w:val="16"/>
                <w:szCs w:val="15"/>
                <w:lang w:val="en-GB"/>
              </w:rPr>
            </w:pPr>
          </w:p>
        </w:tc>
        <w:tc>
          <w:tcPr>
            <w:tcW w:w="811" w:type="dxa"/>
          </w:tcPr>
          <w:p w14:paraId="54EEDEAB" w14:textId="77777777" w:rsidR="00B61C32" w:rsidRPr="00722C19" w:rsidRDefault="00B61C32" w:rsidP="00812F25">
            <w:pPr>
              <w:pStyle w:val="ExhibitText"/>
              <w:jc w:val="left"/>
              <w:rPr>
                <w:spacing w:val="-6"/>
                <w:sz w:val="16"/>
                <w:szCs w:val="15"/>
                <w:lang w:val="en-GB"/>
              </w:rPr>
            </w:pPr>
          </w:p>
        </w:tc>
        <w:tc>
          <w:tcPr>
            <w:tcW w:w="811" w:type="dxa"/>
          </w:tcPr>
          <w:p w14:paraId="6AE117A4" w14:textId="77777777" w:rsidR="00B61C32" w:rsidRPr="00722C19" w:rsidRDefault="00B61C32" w:rsidP="00812F25">
            <w:pPr>
              <w:pStyle w:val="ExhibitText"/>
              <w:jc w:val="left"/>
              <w:rPr>
                <w:spacing w:val="-6"/>
                <w:sz w:val="16"/>
                <w:szCs w:val="15"/>
                <w:lang w:val="en-GB"/>
              </w:rPr>
            </w:pPr>
          </w:p>
        </w:tc>
        <w:tc>
          <w:tcPr>
            <w:tcW w:w="811" w:type="dxa"/>
          </w:tcPr>
          <w:p w14:paraId="5854E065" w14:textId="77777777" w:rsidR="00B61C32" w:rsidRPr="00722C19" w:rsidRDefault="00B61C32" w:rsidP="00812F25">
            <w:pPr>
              <w:pStyle w:val="ExhibitText"/>
              <w:jc w:val="left"/>
              <w:rPr>
                <w:spacing w:val="-6"/>
                <w:sz w:val="16"/>
                <w:szCs w:val="15"/>
                <w:lang w:val="en-GB"/>
              </w:rPr>
            </w:pPr>
          </w:p>
        </w:tc>
        <w:tc>
          <w:tcPr>
            <w:tcW w:w="811" w:type="dxa"/>
          </w:tcPr>
          <w:p w14:paraId="4B31593C" w14:textId="77777777" w:rsidR="00B61C32" w:rsidRPr="00722C19" w:rsidRDefault="00B61C32" w:rsidP="00812F25">
            <w:pPr>
              <w:pStyle w:val="ExhibitText"/>
              <w:jc w:val="left"/>
              <w:rPr>
                <w:spacing w:val="-6"/>
                <w:sz w:val="16"/>
                <w:szCs w:val="15"/>
                <w:lang w:val="en-GB"/>
              </w:rPr>
            </w:pPr>
          </w:p>
        </w:tc>
        <w:tc>
          <w:tcPr>
            <w:tcW w:w="811" w:type="dxa"/>
          </w:tcPr>
          <w:p w14:paraId="3F3924C5" w14:textId="77777777" w:rsidR="00B61C32" w:rsidRPr="00722C19" w:rsidRDefault="00B61C32" w:rsidP="00812F25">
            <w:pPr>
              <w:pStyle w:val="ExhibitText"/>
              <w:jc w:val="left"/>
              <w:rPr>
                <w:spacing w:val="-6"/>
                <w:sz w:val="16"/>
                <w:szCs w:val="15"/>
                <w:lang w:val="en-GB"/>
              </w:rPr>
            </w:pPr>
          </w:p>
        </w:tc>
        <w:tc>
          <w:tcPr>
            <w:tcW w:w="811" w:type="dxa"/>
          </w:tcPr>
          <w:p w14:paraId="0E446878" w14:textId="77777777" w:rsidR="00B61C32" w:rsidRPr="00722C19" w:rsidRDefault="00B61C32" w:rsidP="00812F25">
            <w:pPr>
              <w:pStyle w:val="ExhibitText"/>
              <w:jc w:val="left"/>
              <w:rPr>
                <w:spacing w:val="-6"/>
                <w:sz w:val="16"/>
                <w:szCs w:val="15"/>
                <w:lang w:val="en-GB"/>
              </w:rPr>
            </w:pPr>
          </w:p>
        </w:tc>
        <w:tc>
          <w:tcPr>
            <w:tcW w:w="811" w:type="dxa"/>
          </w:tcPr>
          <w:p w14:paraId="71688155" w14:textId="77777777" w:rsidR="00B61C32" w:rsidRPr="00722C19" w:rsidRDefault="00B61C32" w:rsidP="00812F25">
            <w:pPr>
              <w:pStyle w:val="ExhibitText"/>
              <w:jc w:val="left"/>
              <w:rPr>
                <w:spacing w:val="-6"/>
                <w:sz w:val="16"/>
                <w:szCs w:val="15"/>
                <w:lang w:val="en-GB"/>
              </w:rPr>
            </w:pPr>
          </w:p>
        </w:tc>
      </w:tr>
      <w:tr w:rsidR="00812F25" w:rsidRPr="008224C6" w14:paraId="1B2DE75A" w14:textId="77777777" w:rsidTr="003E5E8B">
        <w:trPr>
          <w:trHeight w:val="363"/>
        </w:trPr>
        <w:tc>
          <w:tcPr>
            <w:tcW w:w="1181" w:type="dxa"/>
          </w:tcPr>
          <w:p w14:paraId="34DEFF1A"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Media Networks</w:t>
            </w:r>
          </w:p>
        </w:tc>
        <w:tc>
          <w:tcPr>
            <w:tcW w:w="811" w:type="dxa"/>
            <w:vAlign w:val="center"/>
          </w:tcPr>
          <w:p w14:paraId="69ED6A99" w14:textId="12EABB05"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23,510</w:t>
            </w:r>
          </w:p>
        </w:tc>
        <w:tc>
          <w:tcPr>
            <w:tcW w:w="811" w:type="dxa"/>
            <w:vAlign w:val="center"/>
          </w:tcPr>
          <w:p w14:paraId="541F6DD6" w14:textId="57BD2E32"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23,689</w:t>
            </w:r>
          </w:p>
        </w:tc>
        <w:tc>
          <w:tcPr>
            <w:tcW w:w="811" w:type="dxa"/>
            <w:vAlign w:val="center"/>
          </w:tcPr>
          <w:p w14:paraId="54C5870E" w14:textId="77BB7DD1"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23,264</w:t>
            </w:r>
          </w:p>
        </w:tc>
        <w:tc>
          <w:tcPr>
            <w:tcW w:w="811" w:type="dxa"/>
            <w:vAlign w:val="center"/>
          </w:tcPr>
          <w:p w14:paraId="38DAF589" w14:textId="19FD4833"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21,152</w:t>
            </w:r>
          </w:p>
        </w:tc>
        <w:tc>
          <w:tcPr>
            <w:tcW w:w="811" w:type="dxa"/>
            <w:vAlign w:val="center"/>
          </w:tcPr>
          <w:p w14:paraId="430A4D41" w14:textId="25AC293D"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20,356</w:t>
            </w:r>
          </w:p>
        </w:tc>
        <w:tc>
          <w:tcPr>
            <w:tcW w:w="811" w:type="dxa"/>
            <w:vAlign w:val="center"/>
          </w:tcPr>
          <w:p w14:paraId="7D429133" w14:textId="328056CD"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19,436</w:t>
            </w:r>
          </w:p>
        </w:tc>
        <w:tc>
          <w:tcPr>
            <w:tcW w:w="811" w:type="dxa"/>
            <w:vAlign w:val="center"/>
          </w:tcPr>
          <w:p w14:paraId="7DC94284" w14:textId="58DDF884"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18,714</w:t>
            </w:r>
          </w:p>
        </w:tc>
        <w:tc>
          <w:tcPr>
            <w:tcW w:w="811" w:type="dxa"/>
            <w:vAlign w:val="center"/>
          </w:tcPr>
          <w:p w14:paraId="2D09BEDC" w14:textId="2C5C03E1"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17,162</w:t>
            </w:r>
          </w:p>
        </w:tc>
        <w:tc>
          <w:tcPr>
            <w:tcW w:w="811" w:type="dxa"/>
            <w:vAlign w:val="center"/>
          </w:tcPr>
          <w:p w14:paraId="69EBCFF7" w14:textId="50F3F12F"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16,209</w:t>
            </w:r>
          </w:p>
        </w:tc>
        <w:tc>
          <w:tcPr>
            <w:tcW w:w="811" w:type="dxa"/>
            <w:vAlign w:val="center"/>
          </w:tcPr>
          <w:p w14:paraId="169632F7" w14:textId="19015EDF"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15,857</w:t>
            </w:r>
          </w:p>
        </w:tc>
      </w:tr>
      <w:tr w:rsidR="00812F25" w:rsidRPr="008224C6" w14:paraId="0C0C6EF1" w14:textId="77777777" w:rsidTr="003E5E8B">
        <w:trPr>
          <w:trHeight w:val="369"/>
        </w:trPr>
        <w:tc>
          <w:tcPr>
            <w:tcW w:w="1181" w:type="dxa"/>
          </w:tcPr>
          <w:p w14:paraId="4B113552"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Parks and Recreation</w:t>
            </w:r>
          </w:p>
        </w:tc>
        <w:tc>
          <w:tcPr>
            <w:tcW w:w="811" w:type="dxa"/>
            <w:vAlign w:val="center"/>
          </w:tcPr>
          <w:p w14:paraId="6E376B85" w14:textId="62F65569"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18,415</w:t>
            </w:r>
          </w:p>
        </w:tc>
        <w:tc>
          <w:tcPr>
            <w:tcW w:w="811" w:type="dxa"/>
            <w:vAlign w:val="center"/>
          </w:tcPr>
          <w:p w14:paraId="5F24BA43" w14:textId="06F443B6"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16,974</w:t>
            </w:r>
          </w:p>
        </w:tc>
        <w:tc>
          <w:tcPr>
            <w:tcW w:w="811" w:type="dxa"/>
            <w:vAlign w:val="center"/>
          </w:tcPr>
          <w:p w14:paraId="1F0A7A61" w14:textId="07240AC6"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16,162</w:t>
            </w:r>
          </w:p>
        </w:tc>
        <w:tc>
          <w:tcPr>
            <w:tcW w:w="811" w:type="dxa"/>
            <w:vAlign w:val="center"/>
          </w:tcPr>
          <w:p w14:paraId="70058D23" w14:textId="562A9728"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15,099</w:t>
            </w:r>
          </w:p>
        </w:tc>
        <w:tc>
          <w:tcPr>
            <w:tcW w:w="811" w:type="dxa"/>
            <w:vAlign w:val="center"/>
          </w:tcPr>
          <w:p w14:paraId="200476DF" w14:textId="2A25EB05"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14,087</w:t>
            </w:r>
          </w:p>
        </w:tc>
        <w:tc>
          <w:tcPr>
            <w:tcW w:w="811" w:type="dxa"/>
            <w:vAlign w:val="center"/>
          </w:tcPr>
          <w:p w14:paraId="665105ED" w14:textId="56E8C2DD"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12,920</w:t>
            </w:r>
          </w:p>
        </w:tc>
        <w:tc>
          <w:tcPr>
            <w:tcW w:w="811" w:type="dxa"/>
            <w:vAlign w:val="center"/>
          </w:tcPr>
          <w:p w14:paraId="4D5D48C9" w14:textId="274D167A"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11,797</w:t>
            </w:r>
          </w:p>
        </w:tc>
        <w:tc>
          <w:tcPr>
            <w:tcW w:w="811" w:type="dxa"/>
            <w:vAlign w:val="center"/>
          </w:tcPr>
          <w:p w14:paraId="0EBE323F" w14:textId="0F4FB6A6"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10,761</w:t>
            </w:r>
          </w:p>
        </w:tc>
        <w:tc>
          <w:tcPr>
            <w:tcW w:w="811" w:type="dxa"/>
            <w:vAlign w:val="center"/>
          </w:tcPr>
          <w:p w14:paraId="319A4B97" w14:textId="63A30426"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10,667</w:t>
            </w:r>
          </w:p>
        </w:tc>
        <w:tc>
          <w:tcPr>
            <w:tcW w:w="811" w:type="dxa"/>
            <w:vAlign w:val="center"/>
          </w:tcPr>
          <w:p w14:paraId="0752BC3F" w14:textId="0AF670DF"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11,504</w:t>
            </w:r>
          </w:p>
        </w:tc>
      </w:tr>
      <w:tr w:rsidR="00812F25" w:rsidRPr="008224C6" w14:paraId="692D34BA" w14:textId="77777777" w:rsidTr="003E5E8B">
        <w:trPr>
          <w:trHeight w:val="246"/>
        </w:trPr>
        <w:tc>
          <w:tcPr>
            <w:tcW w:w="1181" w:type="dxa"/>
          </w:tcPr>
          <w:p w14:paraId="5408D3EA"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Studio Entertainment</w:t>
            </w:r>
          </w:p>
        </w:tc>
        <w:tc>
          <w:tcPr>
            <w:tcW w:w="811" w:type="dxa"/>
            <w:vAlign w:val="center"/>
          </w:tcPr>
          <w:p w14:paraId="71B692F8" w14:textId="347BED98"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8,379</w:t>
            </w:r>
          </w:p>
        </w:tc>
        <w:tc>
          <w:tcPr>
            <w:tcW w:w="811" w:type="dxa"/>
            <w:vAlign w:val="center"/>
          </w:tcPr>
          <w:p w14:paraId="04312191" w14:textId="260F481D"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9,441</w:t>
            </w:r>
          </w:p>
        </w:tc>
        <w:tc>
          <w:tcPr>
            <w:tcW w:w="811" w:type="dxa"/>
            <w:vAlign w:val="center"/>
          </w:tcPr>
          <w:p w14:paraId="6BE179AF" w14:textId="151A747F"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7,366</w:t>
            </w:r>
          </w:p>
        </w:tc>
        <w:tc>
          <w:tcPr>
            <w:tcW w:w="811" w:type="dxa"/>
            <w:vAlign w:val="center"/>
          </w:tcPr>
          <w:p w14:paraId="44062FC0" w14:textId="72ABE86D"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7,278</w:t>
            </w:r>
          </w:p>
        </w:tc>
        <w:tc>
          <w:tcPr>
            <w:tcW w:w="811" w:type="dxa"/>
            <w:vAlign w:val="center"/>
          </w:tcPr>
          <w:p w14:paraId="3C62B849" w14:textId="223DF018"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 xml:space="preserve">  5,979</w:t>
            </w:r>
          </w:p>
        </w:tc>
        <w:tc>
          <w:tcPr>
            <w:tcW w:w="811" w:type="dxa"/>
            <w:vAlign w:val="center"/>
          </w:tcPr>
          <w:p w14:paraId="324492B3" w14:textId="1B7C2E09"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5,825</w:t>
            </w:r>
          </w:p>
        </w:tc>
        <w:tc>
          <w:tcPr>
            <w:tcW w:w="811" w:type="dxa"/>
            <w:vAlign w:val="center"/>
          </w:tcPr>
          <w:p w14:paraId="0BBCB020" w14:textId="7286066B"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6,351</w:t>
            </w:r>
          </w:p>
        </w:tc>
        <w:tc>
          <w:tcPr>
            <w:tcW w:w="811" w:type="dxa"/>
            <w:vAlign w:val="center"/>
          </w:tcPr>
          <w:p w14:paraId="60BD7FF5" w14:textId="27614E85"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6,701</w:t>
            </w:r>
          </w:p>
        </w:tc>
        <w:tc>
          <w:tcPr>
            <w:tcW w:w="811" w:type="dxa"/>
            <w:vAlign w:val="center"/>
          </w:tcPr>
          <w:p w14:paraId="60E2CD04" w14:textId="3402A32A"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 xml:space="preserve">  6,136</w:t>
            </w:r>
          </w:p>
        </w:tc>
        <w:tc>
          <w:tcPr>
            <w:tcW w:w="811" w:type="dxa"/>
            <w:vAlign w:val="center"/>
          </w:tcPr>
          <w:p w14:paraId="77E00BAF" w14:textId="5DB596DB"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7,348</w:t>
            </w:r>
          </w:p>
        </w:tc>
      </w:tr>
      <w:tr w:rsidR="00812F25" w:rsidRPr="008224C6" w14:paraId="2CF783F3" w14:textId="77777777" w:rsidTr="003E5E8B">
        <w:trPr>
          <w:trHeight w:val="239"/>
        </w:trPr>
        <w:tc>
          <w:tcPr>
            <w:tcW w:w="1181" w:type="dxa"/>
          </w:tcPr>
          <w:p w14:paraId="064CC307"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Consumer Products &amp; IM</w:t>
            </w:r>
          </w:p>
        </w:tc>
        <w:tc>
          <w:tcPr>
            <w:tcW w:w="811" w:type="dxa"/>
            <w:vAlign w:val="center"/>
          </w:tcPr>
          <w:p w14:paraId="49E295E5" w14:textId="044D6AB4"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4,833</w:t>
            </w:r>
          </w:p>
        </w:tc>
        <w:tc>
          <w:tcPr>
            <w:tcW w:w="811" w:type="dxa"/>
            <w:vAlign w:val="center"/>
          </w:tcPr>
          <w:p w14:paraId="149D4E6E" w14:textId="1B86CB8C"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5,528</w:t>
            </w:r>
          </w:p>
        </w:tc>
        <w:tc>
          <w:tcPr>
            <w:tcW w:w="811" w:type="dxa"/>
            <w:vAlign w:val="center"/>
          </w:tcPr>
          <w:p w14:paraId="71D69C70" w14:textId="74ED4AE1"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5,673</w:t>
            </w:r>
          </w:p>
        </w:tc>
        <w:tc>
          <w:tcPr>
            <w:tcW w:w="811" w:type="dxa"/>
            <w:vAlign w:val="center"/>
          </w:tcPr>
          <w:p w14:paraId="513C63A8" w14:textId="58C964F9"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5,284</w:t>
            </w:r>
          </w:p>
        </w:tc>
        <w:tc>
          <w:tcPr>
            <w:tcW w:w="811" w:type="dxa"/>
            <w:vAlign w:val="center"/>
          </w:tcPr>
          <w:p w14:paraId="14C7FE53" w14:textId="49D460CA"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 xml:space="preserve">  4,619</w:t>
            </w:r>
          </w:p>
        </w:tc>
        <w:tc>
          <w:tcPr>
            <w:tcW w:w="811" w:type="dxa"/>
            <w:vAlign w:val="center"/>
          </w:tcPr>
          <w:p w14:paraId="577464E8" w14:textId="4A3A79DD"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4,097</w:t>
            </w:r>
          </w:p>
        </w:tc>
        <w:tc>
          <w:tcPr>
            <w:tcW w:w="811" w:type="dxa"/>
            <w:vAlign w:val="center"/>
          </w:tcPr>
          <w:p w14:paraId="274FFF4F" w14:textId="1C2E65E5"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4,031</w:t>
            </w:r>
          </w:p>
        </w:tc>
        <w:tc>
          <w:tcPr>
            <w:tcW w:w="811" w:type="dxa"/>
            <w:vAlign w:val="center"/>
          </w:tcPr>
          <w:p w14:paraId="43024A2C" w14:textId="77777777"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3,439</w:t>
            </w:r>
          </w:p>
        </w:tc>
        <w:tc>
          <w:tcPr>
            <w:tcW w:w="811" w:type="dxa"/>
            <w:vAlign w:val="center"/>
          </w:tcPr>
          <w:p w14:paraId="49E456F8" w14:textId="77777777"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 xml:space="preserve">  3,137</w:t>
            </w:r>
          </w:p>
        </w:tc>
        <w:tc>
          <w:tcPr>
            <w:tcW w:w="811" w:type="dxa"/>
            <w:vAlign w:val="center"/>
          </w:tcPr>
          <w:p w14:paraId="57E951E4" w14:textId="3B87BB20"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3,134</w:t>
            </w:r>
          </w:p>
        </w:tc>
      </w:tr>
      <w:tr w:rsidR="00812F25" w:rsidRPr="008224C6" w14:paraId="0292C4CB" w14:textId="77777777" w:rsidTr="003E5E8B">
        <w:trPr>
          <w:trHeight w:val="256"/>
        </w:trPr>
        <w:tc>
          <w:tcPr>
            <w:tcW w:w="1181" w:type="dxa"/>
          </w:tcPr>
          <w:p w14:paraId="2E8DDF3D" w14:textId="05BA31F8" w:rsidR="00B61C32" w:rsidRPr="00722C19" w:rsidRDefault="00B61C32" w:rsidP="00812F25">
            <w:pPr>
              <w:pStyle w:val="ExhibitText"/>
              <w:rPr>
                <w:b/>
                <w:spacing w:val="-6"/>
                <w:sz w:val="16"/>
                <w:szCs w:val="15"/>
                <w:lang w:val="en-GB"/>
              </w:rPr>
            </w:pPr>
            <w:r w:rsidRPr="006446B8">
              <w:rPr>
                <w:b/>
                <w:spacing w:val="-6"/>
                <w:sz w:val="16"/>
                <w:szCs w:val="15"/>
                <w:lang w:val="en-GB"/>
              </w:rPr>
              <w:t>Total Revenues</w:t>
            </w:r>
          </w:p>
        </w:tc>
        <w:tc>
          <w:tcPr>
            <w:tcW w:w="811" w:type="dxa"/>
            <w:vAlign w:val="center"/>
          </w:tcPr>
          <w:p w14:paraId="13B9F876" w14:textId="255DE738" w:rsidR="00B61C32" w:rsidRPr="00722C19" w:rsidRDefault="00B61C32" w:rsidP="003E5E8B">
            <w:pPr>
              <w:pStyle w:val="ExhibitText"/>
              <w:tabs>
                <w:tab w:val="decimal" w:pos="504"/>
              </w:tabs>
              <w:jc w:val="right"/>
              <w:rPr>
                <w:b/>
                <w:spacing w:val="-6"/>
                <w:sz w:val="16"/>
                <w:szCs w:val="15"/>
                <w:lang w:val="en-GB"/>
              </w:rPr>
            </w:pPr>
            <w:r w:rsidRPr="00722C19">
              <w:rPr>
                <w:b/>
                <w:spacing w:val="-6"/>
                <w:sz w:val="16"/>
                <w:szCs w:val="15"/>
                <w:lang w:val="en-GB"/>
              </w:rPr>
              <w:t>55,137</w:t>
            </w:r>
          </w:p>
        </w:tc>
        <w:tc>
          <w:tcPr>
            <w:tcW w:w="811" w:type="dxa"/>
            <w:vAlign w:val="center"/>
          </w:tcPr>
          <w:p w14:paraId="607D7D6A" w14:textId="3A979516" w:rsidR="00B61C32" w:rsidRPr="00722C19" w:rsidRDefault="00B61C32" w:rsidP="003E5E8B">
            <w:pPr>
              <w:pStyle w:val="ExhibitText"/>
              <w:tabs>
                <w:tab w:val="decimal" w:pos="498"/>
              </w:tabs>
              <w:jc w:val="right"/>
              <w:rPr>
                <w:b/>
                <w:spacing w:val="-6"/>
                <w:sz w:val="16"/>
                <w:szCs w:val="15"/>
                <w:lang w:val="en-GB"/>
              </w:rPr>
            </w:pPr>
            <w:r w:rsidRPr="00722C19">
              <w:rPr>
                <w:b/>
                <w:spacing w:val="-6"/>
                <w:sz w:val="16"/>
                <w:szCs w:val="15"/>
                <w:lang w:val="en-GB"/>
              </w:rPr>
              <w:t>55,632</w:t>
            </w:r>
          </w:p>
        </w:tc>
        <w:tc>
          <w:tcPr>
            <w:tcW w:w="811" w:type="dxa"/>
            <w:vAlign w:val="center"/>
          </w:tcPr>
          <w:p w14:paraId="49412E57" w14:textId="43F0791E" w:rsidR="00B61C32" w:rsidRPr="00722C19" w:rsidRDefault="00B61C32" w:rsidP="003E5E8B">
            <w:pPr>
              <w:pStyle w:val="ExhibitText"/>
              <w:tabs>
                <w:tab w:val="decimal" w:pos="484"/>
              </w:tabs>
              <w:jc w:val="right"/>
              <w:rPr>
                <w:b/>
                <w:spacing w:val="-6"/>
                <w:sz w:val="16"/>
                <w:szCs w:val="15"/>
                <w:lang w:val="en-GB"/>
              </w:rPr>
            </w:pPr>
            <w:r w:rsidRPr="00722C19">
              <w:rPr>
                <w:b/>
                <w:spacing w:val="-6"/>
                <w:sz w:val="16"/>
                <w:szCs w:val="15"/>
                <w:lang w:val="en-GB"/>
              </w:rPr>
              <w:t>52,465</w:t>
            </w:r>
          </w:p>
        </w:tc>
        <w:tc>
          <w:tcPr>
            <w:tcW w:w="811" w:type="dxa"/>
            <w:vAlign w:val="center"/>
          </w:tcPr>
          <w:p w14:paraId="649B897C" w14:textId="62560758" w:rsidR="00B61C32" w:rsidRPr="00722C19" w:rsidRDefault="00B61C32" w:rsidP="003E5E8B">
            <w:pPr>
              <w:pStyle w:val="ExhibitText"/>
              <w:tabs>
                <w:tab w:val="decimal" w:pos="478"/>
              </w:tabs>
              <w:jc w:val="right"/>
              <w:rPr>
                <w:b/>
                <w:spacing w:val="-6"/>
                <w:sz w:val="16"/>
                <w:szCs w:val="15"/>
                <w:lang w:val="en-GB"/>
              </w:rPr>
            </w:pPr>
            <w:r w:rsidRPr="00722C19">
              <w:rPr>
                <w:b/>
                <w:spacing w:val="-6"/>
                <w:sz w:val="16"/>
                <w:szCs w:val="15"/>
                <w:lang w:val="en-GB"/>
              </w:rPr>
              <w:t>48,813</w:t>
            </w:r>
          </w:p>
        </w:tc>
        <w:tc>
          <w:tcPr>
            <w:tcW w:w="811" w:type="dxa"/>
            <w:vAlign w:val="center"/>
          </w:tcPr>
          <w:p w14:paraId="3DF637A2" w14:textId="7BD51242" w:rsidR="00B61C32" w:rsidRPr="00722C19" w:rsidRDefault="00B61C32" w:rsidP="003E5E8B">
            <w:pPr>
              <w:pStyle w:val="ExhibitText"/>
              <w:tabs>
                <w:tab w:val="decimal" w:pos="464"/>
              </w:tabs>
              <w:jc w:val="right"/>
              <w:rPr>
                <w:b/>
                <w:spacing w:val="-6"/>
                <w:sz w:val="16"/>
                <w:szCs w:val="15"/>
                <w:lang w:val="en-GB"/>
              </w:rPr>
            </w:pPr>
            <w:r w:rsidRPr="00722C19">
              <w:rPr>
                <w:b/>
                <w:spacing w:val="-6"/>
                <w:sz w:val="16"/>
                <w:szCs w:val="15"/>
                <w:lang w:val="en-GB"/>
              </w:rPr>
              <w:t>45,041</w:t>
            </w:r>
          </w:p>
        </w:tc>
        <w:tc>
          <w:tcPr>
            <w:tcW w:w="811" w:type="dxa"/>
            <w:vAlign w:val="center"/>
          </w:tcPr>
          <w:p w14:paraId="29C116AC" w14:textId="626F06E2" w:rsidR="00B61C32" w:rsidRPr="00722C19" w:rsidRDefault="00B61C32" w:rsidP="003E5E8B">
            <w:pPr>
              <w:pStyle w:val="ExhibitText"/>
              <w:tabs>
                <w:tab w:val="decimal" w:pos="456"/>
              </w:tabs>
              <w:jc w:val="right"/>
              <w:rPr>
                <w:b/>
                <w:spacing w:val="-6"/>
                <w:sz w:val="16"/>
                <w:szCs w:val="15"/>
                <w:lang w:val="en-GB"/>
              </w:rPr>
            </w:pPr>
            <w:r w:rsidRPr="00722C19">
              <w:rPr>
                <w:b/>
                <w:spacing w:val="-6"/>
                <w:sz w:val="16"/>
                <w:szCs w:val="15"/>
                <w:lang w:val="en-GB"/>
              </w:rPr>
              <w:t>42,278</w:t>
            </w:r>
          </w:p>
        </w:tc>
        <w:tc>
          <w:tcPr>
            <w:tcW w:w="811" w:type="dxa"/>
            <w:vAlign w:val="center"/>
          </w:tcPr>
          <w:p w14:paraId="6F8F8FA3" w14:textId="3ED02992" w:rsidR="00B61C32" w:rsidRPr="00722C19" w:rsidRDefault="00B61C32" w:rsidP="003E5E8B">
            <w:pPr>
              <w:pStyle w:val="ExhibitText"/>
              <w:tabs>
                <w:tab w:val="decimal" w:pos="540"/>
              </w:tabs>
              <w:jc w:val="right"/>
              <w:rPr>
                <w:b/>
                <w:spacing w:val="-6"/>
                <w:sz w:val="16"/>
                <w:szCs w:val="15"/>
                <w:lang w:val="en-GB"/>
              </w:rPr>
            </w:pPr>
            <w:r w:rsidRPr="00722C19">
              <w:rPr>
                <w:b/>
                <w:spacing w:val="-6"/>
                <w:sz w:val="16"/>
                <w:szCs w:val="15"/>
                <w:lang w:val="en-GB"/>
              </w:rPr>
              <w:t>40,893</w:t>
            </w:r>
          </w:p>
        </w:tc>
        <w:tc>
          <w:tcPr>
            <w:tcW w:w="811" w:type="dxa"/>
            <w:vAlign w:val="center"/>
          </w:tcPr>
          <w:p w14:paraId="7186412B" w14:textId="23178ADA" w:rsidR="00B61C32" w:rsidRPr="00722C19" w:rsidRDefault="00B61C32" w:rsidP="003E5E8B">
            <w:pPr>
              <w:pStyle w:val="ExhibitText"/>
              <w:tabs>
                <w:tab w:val="decimal" w:pos="528"/>
              </w:tabs>
              <w:jc w:val="right"/>
              <w:rPr>
                <w:b/>
                <w:spacing w:val="-6"/>
                <w:sz w:val="16"/>
                <w:szCs w:val="15"/>
                <w:lang w:val="en-GB"/>
              </w:rPr>
            </w:pPr>
            <w:r w:rsidRPr="00722C19">
              <w:rPr>
                <w:b/>
                <w:spacing w:val="-6"/>
                <w:sz w:val="16"/>
                <w:szCs w:val="15"/>
                <w:lang w:val="en-GB"/>
              </w:rPr>
              <w:t>38,063</w:t>
            </w:r>
          </w:p>
        </w:tc>
        <w:tc>
          <w:tcPr>
            <w:tcW w:w="811" w:type="dxa"/>
            <w:vAlign w:val="center"/>
          </w:tcPr>
          <w:p w14:paraId="467F109F" w14:textId="55344EB0" w:rsidR="00B61C32" w:rsidRPr="00722C19" w:rsidRDefault="00B61C32" w:rsidP="003E5E8B">
            <w:pPr>
              <w:pStyle w:val="ExhibitText"/>
              <w:tabs>
                <w:tab w:val="decimal" w:pos="514"/>
              </w:tabs>
              <w:jc w:val="right"/>
              <w:rPr>
                <w:b/>
                <w:spacing w:val="-6"/>
                <w:sz w:val="16"/>
                <w:szCs w:val="15"/>
                <w:lang w:val="en-GB"/>
              </w:rPr>
            </w:pPr>
            <w:r w:rsidRPr="00722C19">
              <w:rPr>
                <w:b/>
                <w:spacing w:val="-6"/>
                <w:sz w:val="16"/>
                <w:szCs w:val="15"/>
                <w:lang w:val="en-GB"/>
              </w:rPr>
              <w:t>36,149</w:t>
            </w:r>
          </w:p>
        </w:tc>
        <w:tc>
          <w:tcPr>
            <w:tcW w:w="811" w:type="dxa"/>
            <w:vAlign w:val="center"/>
          </w:tcPr>
          <w:p w14:paraId="13AD834C" w14:textId="31BB4D15" w:rsidR="00B61C32" w:rsidRPr="00722C19" w:rsidRDefault="00B61C32" w:rsidP="003E5E8B">
            <w:pPr>
              <w:pStyle w:val="ExhibitText"/>
              <w:tabs>
                <w:tab w:val="decimal" w:pos="418"/>
              </w:tabs>
              <w:jc w:val="right"/>
              <w:rPr>
                <w:b/>
                <w:spacing w:val="-6"/>
                <w:sz w:val="16"/>
                <w:szCs w:val="15"/>
                <w:lang w:val="en-GB"/>
              </w:rPr>
            </w:pPr>
            <w:r w:rsidRPr="00722C19">
              <w:rPr>
                <w:b/>
                <w:spacing w:val="-6"/>
                <w:sz w:val="16"/>
                <w:szCs w:val="15"/>
                <w:lang w:val="en-GB"/>
              </w:rPr>
              <w:t>37,843</w:t>
            </w:r>
          </w:p>
        </w:tc>
      </w:tr>
      <w:tr w:rsidR="00812F25" w:rsidRPr="008224C6" w14:paraId="46A5751F" w14:textId="77777777" w:rsidTr="003E5E8B">
        <w:trPr>
          <w:trHeight w:val="369"/>
        </w:trPr>
        <w:tc>
          <w:tcPr>
            <w:tcW w:w="1181" w:type="dxa"/>
          </w:tcPr>
          <w:p w14:paraId="32983258"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Segment Operating Income</w:t>
            </w:r>
          </w:p>
        </w:tc>
        <w:tc>
          <w:tcPr>
            <w:tcW w:w="811" w:type="dxa"/>
            <w:vAlign w:val="center"/>
          </w:tcPr>
          <w:p w14:paraId="13D039CE" w14:textId="77777777" w:rsidR="00B61C32" w:rsidRPr="00722C19" w:rsidRDefault="00B61C32" w:rsidP="003E5E8B">
            <w:pPr>
              <w:pStyle w:val="ExhibitText"/>
              <w:tabs>
                <w:tab w:val="decimal" w:pos="504"/>
              </w:tabs>
              <w:jc w:val="right"/>
              <w:rPr>
                <w:spacing w:val="-6"/>
                <w:sz w:val="16"/>
                <w:szCs w:val="15"/>
                <w:lang w:val="en-GB"/>
              </w:rPr>
            </w:pPr>
          </w:p>
        </w:tc>
        <w:tc>
          <w:tcPr>
            <w:tcW w:w="811" w:type="dxa"/>
            <w:vAlign w:val="center"/>
          </w:tcPr>
          <w:p w14:paraId="36465387" w14:textId="77777777" w:rsidR="00B61C32" w:rsidRPr="00722C19" w:rsidRDefault="00B61C32" w:rsidP="003E5E8B">
            <w:pPr>
              <w:pStyle w:val="ExhibitText"/>
              <w:tabs>
                <w:tab w:val="decimal" w:pos="498"/>
              </w:tabs>
              <w:jc w:val="right"/>
              <w:rPr>
                <w:spacing w:val="-6"/>
                <w:sz w:val="16"/>
                <w:szCs w:val="15"/>
                <w:lang w:val="en-GB"/>
              </w:rPr>
            </w:pPr>
          </w:p>
        </w:tc>
        <w:tc>
          <w:tcPr>
            <w:tcW w:w="811" w:type="dxa"/>
            <w:vAlign w:val="center"/>
          </w:tcPr>
          <w:p w14:paraId="42FF24A8" w14:textId="77777777" w:rsidR="00B61C32" w:rsidRPr="00722C19" w:rsidRDefault="00B61C32" w:rsidP="003E5E8B">
            <w:pPr>
              <w:pStyle w:val="ExhibitText"/>
              <w:tabs>
                <w:tab w:val="decimal" w:pos="484"/>
              </w:tabs>
              <w:jc w:val="right"/>
              <w:rPr>
                <w:spacing w:val="-6"/>
                <w:sz w:val="16"/>
                <w:szCs w:val="15"/>
                <w:lang w:val="en-GB"/>
              </w:rPr>
            </w:pPr>
          </w:p>
        </w:tc>
        <w:tc>
          <w:tcPr>
            <w:tcW w:w="811" w:type="dxa"/>
            <w:vAlign w:val="center"/>
          </w:tcPr>
          <w:p w14:paraId="512E06DD" w14:textId="77777777" w:rsidR="00B61C32" w:rsidRPr="00722C19" w:rsidRDefault="00B61C32" w:rsidP="003E5E8B">
            <w:pPr>
              <w:pStyle w:val="ExhibitText"/>
              <w:tabs>
                <w:tab w:val="decimal" w:pos="478"/>
              </w:tabs>
              <w:jc w:val="right"/>
              <w:rPr>
                <w:spacing w:val="-6"/>
                <w:sz w:val="16"/>
                <w:szCs w:val="15"/>
                <w:lang w:val="en-GB"/>
              </w:rPr>
            </w:pPr>
          </w:p>
        </w:tc>
        <w:tc>
          <w:tcPr>
            <w:tcW w:w="811" w:type="dxa"/>
            <w:vAlign w:val="center"/>
          </w:tcPr>
          <w:p w14:paraId="6DCA3136" w14:textId="77777777" w:rsidR="00B61C32" w:rsidRPr="00722C19" w:rsidRDefault="00B61C32" w:rsidP="003E5E8B">
            <w:pPr>
              <w:pStyle w:val="ExhibitText"/>
              <w:tabs>
                <w:tab w:val="decimal" w:pos="374"/>
              </w:tabs>
              <w:jc w:val="right"/>
              <w:rPr>
                <w:spacing w:val="-6"/>
                <w:sz w:val="16"/>
                <w:szCs w:val="15"/>
                <w:lang w:val="en-GB"/>
              </w:rPr>
            </w:pPr>
          </w:p>
        </w:tc>
        <w:tc>
          <w:tcPr>
            <w:tcW w:w="811" w:type="dxa"/>
            <w:vAlign w:val="center"/>
          </w:tcPr>
          <w:p w14:paraId="00CED829" w14:textId="77777777" w:rsidR="00B61C32" w:rsidRPr="00722C19" w:rsidRDefault="00B61C32" w:rsidP="003E5E8B">
            <w:pPr>
              <w:pStyle w:val="ExhibitText"/>
              <w:tabs>
                <w:tab w:val="decimal" w:pos="456"/>
              </w:tabs>
              <w:jc w:val="right"/>
              <w:rPr>
                <w:spacing w:val="-6"/>
                <w:sz w:val="16"/>
                <w:szCs w:val="15"/>
                <w:lang w:val="en-GB"/>
              </w:rPr>
            </w:pPr>
          </w:p>
        </w:tc>
        <w:tc>
          <w:tcPr>
            <w:tcW w:w="811" w:type="dxa"/>
            <w:vAlign w:val="center"/>
          </w:tcPr>
          <w:p w14:paraId="1A4753F8" w14:textId="77777777" w:rsidR="00B61C32" w:rsidRPr="00722C19" w:rsidRDefault="00B61C32" w:rsidP="003E5E8B">
            <w:pPr>
              <w:pStyle w:val="ExhibitText"/>
              <w:tabs>
                <w:tab w:val="decimal" w:pos="540"/>
              </w:tabs>
              <w:jc w:val="right"/>
              <w:rPr>
                <w:spacing w:val="-6"/>
                <w:sz w:val="16"/>
                <w:szCs w:val="15"/>
                <w:lang w:val="en-GB"/>
              </w:rPr>
            </w:pPr>
          </w:p>
        </w:tc>
        <w:tc>
          <w:tcPr>
            <w:tcW w:w="811" w:type="dxa"/>
            <w:vAlign w:val="center"/>
          </w:tcPr>
          <w:p w14:paraId="3D6D17FA" w14:textId="77777777" w:rsidR="00B61C32" w:rsidRPr="00722C19" w:rsidRDefault="00B61C32" w:rsidP="003E5E8B">
            <w:pPr>
              <w:pStyle w:val="ExhibitText"/>
              <w:tabs>
                <w:tab w:val="decimal" w:pos="528"/>
              </w:tabs>
              <w:jc w:val="right"/>
              <w:rPr>
                <w:spacing w:val="-6"/>
                <w:sz w:val="16"/>
                <w:szCs w:val="15"/>
                <w:lang w:val="en-GB"/>
              </w:rPr>
            </w:pPr>
          </w:p>
        </w:tc>
        <w:tc>
          <w:tcPr>
            <w:tcW w:w="811" w:type="dxa"/>
            <w:vAlign w:val="center"/>
          </w:tcPr>
          <w:p w14:paraId="1D3DB0B8" w14:textId="77777777" w:rsidR="00B61C32" w:rsidRPr="00722C19" w:rsidRDefault="00B61C32" w:rsidP="003E5E8B">
            <w:pPr>
              <w:pStyle w:val="ExhibitText"/>
              <w:tabs>
                <w:tab w:val="decimal" w:pos="514"/>
              </w:tabs>
              <w:jc w:val="right"/>
              <w:rPr>
                <w:spacing w:val="-6"/>
                <w:sz w:val="16"/>
                <w:szCs w:val="15"/>
                <w:lang w:val="en-GB"/>
              </w:rPr>
            </w:pPr>
          </w:p>
        </w:tc>
        <w:tc>
          <w:tcPr>
            <w:tcW w:w="811" w:type="dxa"/>
            <w:vAlign w:val="center"/>
          </w:tcPr>
          <w:p w14:paraId="62B14B5F" w14:textId="700DBA70" w:rsidR="00B61C32" w:rsidRPr="00722C19" w:rsidRDefault="00B61C32" w:rsidP="003E5E8B">
            <w:pPr>
              <w:pStyle w:val="ExhibitText"/>
              <w:tabs>
                <w:tab w:val="decimal" w:pos="418"/>
              </w:tabs>
              <w:jc w:val="right"/>
              <w:rPr>
                <w:spacing w:val="-6"/>
                <w:sz w:val="16"/>
                <w:szCs w:val="15"/>
                <w:lang w:val="en-GB"/>
              </w:rPr>
            </w:pPr>
          </w:p>
        </w:tc>
      </w:tr>
      <w:tr w:rsidR="00812F25" w:rsidRPr="008224C6" w14:paraId="6BA212F8" w14:textId="77777777" w:rsidTr="003E5E8B">
        <w:trPr>
          <w:trHeight w:val="363"/>
        </w:trPr>
        <w:tc>
          <w:tcPr>
            <w:tcW w:w="1181" w:type="dxa"/>
          </w:tcPr>
          <w:p w14:paraId="548AF888"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Media Networks</w:t>
            </w:r>
          </w:p>
        </w:tc>
        <w:tc>
          <w:tcPr>
            <w:tcW w:w="811" w:type="dxa"/>
            <w:vAlign w:val="center"/>
          </w:tcPr>
          <w:p w14:paraId="726D642D" w14:textId="4150E81B"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6,902</w:t>
            </w:r>
          </w:p>
        </w:tc>
        <w:tc>
          <w:tcPr>
            <w:tcW w:w="811" w:type="dxa"/>
            <w:vAlign w:val="center"/>
          </w:tcPr>
          <w:p w14:paraId="69A90C54" w14:textId="4D90ECBF"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7,755</w:t>
            </w:r>
          </w:p>
        </w:tc>
        <w:tc>
          <w:tcPr>
            <w:tcW w:w="811" w:type="dxa"/>
            <w:vAlign w:val="center"/>
          </w:tcPr>
          <w:p w14:paraId="154AE7A2" w14:textId="5035C1CD"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7,793</w:t>
            </w:r>
          </w:p>
        </w:tc>
        <w:tc>
          <w:tcPr>
            <w:tcW w:w="811" w:type="dxa"/>
            <w:vAlign w:val="center"/>
          </w:tcPr>
          <w:p w14:paraId="75A4E1A7" w14:textId="475C95B0"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7,321</w:t>
            </w:r>
          </w:p>
        </w:tc>
        <w:tc>
          <w:tcPr>
            <w:tcW w:w="811" w:type="dxa"/>
            <w:vAlign w:val="center"/>
          </w:tcPr>
          <w:p w14:paraId="5171BF86" w14:textId="1AF4D739"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6,818</w:t>
            </w:r>
          </w:p>
        </w:tc>
        <w:tc>
          <w:tcPr>
            <w:tcW w:w="811" w:type="dxa"/>
            <w:vAlign w:val="center"/>
          </w:tcPr>
          <w:p w14:paraId="13CD5B43" w14:textId="236542D5"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6,619</w:t>
            </w:r>
          </w:p>
        </w:tc>
        <w:tc>
          <w:tcPr>
            <w:tcW w:w="811" w:type="dxa"/>
            <w:vAlign w:val="center"/>
          </w:tcPr>
          <w:p w14:paraId="4832DC2D" w14:textId="23089152"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6,146</w:t>
            </w:r>
          </w:p>
        </w:tc>
        <w:tc>
          <w:tcPr>
            <w:tcW w:w="811" w:type="dxa"/>
            <w:vAlign w:val="center"/>
          </w:tcPr>
          <w:p w14:paraId="62358516" w14:textId="350F0FBD"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5,132</w:t>
            </w:r>
          </w:p>
        </w:tc>
        <w:tc>
          <w:tcPr>
            <w:tcW w:w="811" w:type="dxa"/>
            <w:vAlign w:val="center"/>
          </w:tcPr>
          <w:p w14:paraId="3A3F758F" w14:textId="73A648DA"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4,765</w:t>
            </w:r>
          </w:p>
        </w:tc>
        <w:tc>
          <w:tcPr>
            <w:tcW w:w="811" w:type="dxa"/>
            <w:vAlign w:val="center"/>
          </w:tcPr>
          <w:p w14:paraId="2F8DBD40" w14:textId="136747A7"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4,981</w:t>
            </w:r>
          </w:p>
        </w:tc>
      </w:tr>
      <w:tr w:rsidR="00812F25" w:rsidRPr="008224C6" w14:paraId="0D8A9020" w14:textId="77777777" w:rsidTr="003E5E8B">
        <w:trPr>
          <w:trHeight w:val="369"/>
        </w:trPr>
        <w:tc>
          <w:tcPr>
            <w:tcW w:w="1181" w:type="dxa"/>
          </w:tcPr>
          <w:p w14:paraId="43BEA250"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Parks and Recreation</w:t>
            </w:r>
          </w:p>
        </w:tc>
        <w:tc>
          <w:tcPr>
            <w:tcW w:w="811" w:type="dxa"/>
            <w:vAlign w:val="center"/>
          </w:tcPr>
          <w:p w14:paraId="0365B866" w14:textId="6F4DF6A9"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3,774</w:t>
            </w:r>
          </w:p>
        </w:tc>
        <w:tc>
          <w:tcPr>
            <w:tcW w:w="811" w:type="dxa"/>
            <w:vAlign w:val="center"/>
          </w:tcPr>
          <w:p w14:paraId="705FD2A8" w14:textId="7E6BA152"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3,298</w:t>
            </w:r>
          </w:p>
        </w:tc>
        <w:tc>
          <w:tcPr>
            <w:tcW w:w="811" w:type="dxa"/>
            <w:vAlign w:val="center"/>
          </w:tcPr>
          <w:p w14:paraId="27215A50" w14:textId="43F441FD"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3,031</w:t>
            </w:r>
          </w:p>
        </w:tc>
        <w:tc>
          <w:tcPr>
            <w:tcW w:w="811" w:type="dxa"/>
            <w:vAlign w:val="center"/>
          </w:tcPr>
          <w:p w14:paraId="45927C77" w14:textId="5160B3B8"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2,663</w:t>
            </w:r>
          </w:p>
        </w:tc>
        <w:tc>
          <w:tcPr>
            <w:tcW w:w="811" w:type="dxa"/>
            <w:vAlign w:val="center"/>
          </w:tcPr>
          <w:p w14:paraId="1FBDAD0F" w14:textId="5D58664B"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2,220</w:t>
            </w:r>
          </w:p>
        </w:tc>
        <w:tc>
          <w:tcPr>
            <w:tcW w:w="811" w:type="dxa"/>
            <w:vAlign w:val="center"/>
          </w:tcPr>
          <w:p w14:paraId="4AA4EB65" w14:textId="75C49D72"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1,902</w:t>
            </w:r>
          </w:p>
        </w:tc>
        <w:tc>
          <w:tcPr>
            <w:tcW w:w="811" w:type="dxa"/>
            <w:vAlign w:val="center"/>
          </w:tcPr>
          <w:p w14:paraId="33E75E74" w14:textId="451645FD"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1,553</w:t>
            </w:r>
          </w:p>
        </w:tc>
        <w:tc>
          <w:tcPr>
            <w:tcW w:w="811" w:type="dxa"/>
            <w:vAlign w:val="center"/>
          </w:tcPr>
          <w:p w14:paraId="4E1F5D09" w14:textId="699BBFF6"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1,318</w:t>
            </w:r>
          </w:p>
        </w:tc>
        <w:tc>
          <w:tcPr>
            <w:tcW w:w="811" w:type="dxa"/>
            <w:vAlign w:val="center"/>
          </w:tcPr>
          <w:p w14:paraId="2440F465" w14:textId="71EAB479"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1,418</w:t>
            </w:r>
          </w:p>
        </w:tc>
        <w:tc>
          <w:tcPr>
            <w:tcW w:w="811" w:type="dxa"/>
            <w:vAlign w:val="center"/>
          </w:tcPr>
          <w:p w14:paraId="6AEC7D29" w14:textId="1605D704"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1,897</w:t>
            </w:r>
          </w:p>
        </w:tc>
      </w:tr>
      <w:tr w:rsidR="00812F25" w:rsidRPr="008224C6" w14:paraId="7A1EEC81" w14:textId="77777777" w:rsidTr="003E5E8B">
        <w:trPr>
          <w:trHeight w:val="363"/>
        </w:trPr>
        <w:tc>
          <w:tcPr>
            <w:tcW w:w="1181" w:type="dxa"/>
          </w:tcPr>
          <w:p w14:paraId="17C7C36A"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Studio Entertainment</w:t>
            </w:r>
          </w:p>
        </w:tc>
        <w:tc>
          <w:tcPr>
            <w:tcW w:w="811" w:type="dxa"/>
            <w:vAlign w:val="center"/>
          </w:tcPr>
          <w:p w14:paraId="65A07E4A" w14:textId="1DF21DDD"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2,355</w:t>
            </w:r>
          </w:p>
        </w:tc>
        <w:tc>
          <w:tcPr>
            <w:tcW w:w="811" w:type="dxa"/>
            <w:vAlign w:val="center"/>
          </w:tcPr>
          <w:p w14:paraId="5919D358" w14:textId="0153162D"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2,703</w:t>
            </w:r>
          </w:p>
        </w:tc>
        <w:tc>
          <w:tcPr>
            <w:tcW w:w="811" w:type="dxa"/>
            <w:vAlign w:val="center"/>
          </w:tcPr>
          <w:p w14:paraId="4ECDB77A" w14:textId="28D286CC"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1,973</w:t>
            </w:r>
          </w:p>
        </w:tc>
        <w:tc>
          <w:tcPr>
            <w:tcW w:w="811" w:type="dxa"/>
            <w:vAlign w:val="center"/>
          </w:tcPr>
          <w:p w14:paraId="45049B5C" w14:textId="2613C84C"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1,549</w:t>
            </w:r>
          </w:p>
        </w:tc>
        <w:tc>
          <w:tcPr>
            <w:tcW w:w="811" w:type="dxa"/>
            <w:vAlign w:val="center"/>
          </w:tcPr>
          <w:p w14:paraId="5CC902AB" w14:textId="3DF16A0B"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661</w:t>
            </w:r>
          </w:p>
        </w:tc>
        <w:tc>
          <w:tcPr>
            <w:tcW w:w="811" w:type="dxa"/>
            <w:vAlign w:val="center"/>
          </w:tcPr>
          <w:p w14:paraId="267849B1" w14:textId="455378DC"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722</w:t>
            </w:r>
          </w:p>
        </w:tc>
        <w:tc>
          <w:tcPr>
            <w:tcW w:w="811" w:type="dxa"/>
            <w:vAlign w:val="center"/>
          </w:tcPr>
          <w:p w14:paraId="6FAFD088" w14:textId="1BF529A5"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618</w:t>
            </w:r>
          </w:p>
        </w:tc>
        <w:tc>
          <w:tcPr>
            <w:tcW w:w="811" w:type="dxa"/>
            <w:vAlign w:val="center"/>
          </w:tcPr>
          <w:p w14:paraId="46DFEB51" w14:textId="031BF3C5"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693</w:t>
            </w:r>
          </w:p>
        </w:tc>
        <w:tc>
          <w:tcPr>
            <w:tcW w:w="811" w:type="dxa"/>
            <w:vAlign w:val="center"/>
          </w:tcPr>
          <w:p w14:paraId="17534A49" w14:textId="6109885C"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175</w:t>
            </w:r>
          </w:p>
        </w:tc>
        <w:tc>
          <w:tcPr>
            <w:tcW w:w="811" w:type="dxa"/>
            <w:vAlign w:val="center"/>
          </w:tcPr>
          <w:p w14:paraId="71558D69" w14:textId="21080F14"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1,086</w:t>
            </w:r>
          </w:p>
        </w:tc>
      </w:tr>
      <w:tr w:rsidR="00812F25" w:rsidRPr="008224C6" w14:paraId="571C37C4" w14:textId="77777777" w:rsidTr="003E5E8B">
        <w:trPr>
          <w:trHeight w:val="369"/>
        </w:trPr>
        <w:tc>
          <w:tcPr>
            <w:tcW w:w="1181" w:type="dxa"/>
          </w:tcPr>
          <w:p w14:paraId="0F63F858"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Consumer Products &amp; IM</w:t>
            </w:r>
          </w:p>
        </w:tc>
        <w:tc>
          <w:tcPr>
            <w:tcW w:w="811" w:type="dxa"/>
            <w:vAlign w:val="center"/>
          </w:tcPr>
          <w:p w14:paraId="093AF59B" w14:textId="664EC99A"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1,744</w:t>
            </w:r>
          </w:p>
        </w:tc>
        <w:tc>
          <w:tcPr>
            <w:tcW w:w="811" w:type="dxa"/>
            <w:vAlign w:val="center"/>
          </w:tcPr>
          <w:p w14:paraId="35ECE02D" w14:textId="7500C44F"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1,965</w:t>
            </w:r>
          </w:p>
        </w:tc>
        <w:tc>
          <w:tcPr>
            <w:tcW w:w="811" w:type="dxa"/>
            <w:vAlign w:val="center"/>
          </w:tcPr>
          <w:p w14:paraId="5B60DFE9" w14:textId="77B19EB2"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1,884</w:t>
            </w:r>
          </w:p>
        </w:tc>
        <w:tc>
          <w:tcPr>
            <w:tcW w:w="811" w:type="dxa"/>
            <w:vAlign w:val="center"/>
          </w:tcPr>
          <w:p w14:paraId="2E7AC503" w14:textId="50AD27CE"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1,472</w:t>
            </w:r>
          </w:p>
        </w:tc>
        <w:tc>
          <w:tcPr>
            <w:tcW w:w="811" w:type="dxa"/>
            <w:vAlign w:val="center"/>
          </w:tcPr>
          <w:p w14:paraId="36E4D5FD" w14:textId="375FF589"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1,025</w:t>
            </w:r>
          </w:p>
        </w:tc>
        <w:tc>
          <w:tcPr>
            <w:tcW w:w="811" w:type="dxa"/>
            <w:vAlign w:val="center"/>
          </w:tcPr>
          <w:p w14:paraId="03F212D8" w14:textId="3FF54F72"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721</w:t>
            </w:r>
          </w:p>
        </w:tc>
        <w:tc>
          <w:tcPr>
            <w:tcW w:w="811" w:type="dxa"/>
            <w:vAlign w:val="center"/>
          </w:tcPr>
          <w:p w14:paraId="78C9AA54" w14:textId="19B87748"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508</w:t>
            </w:r>
          </w:p>
        </w:tc>
        <w:tc>
          <w:tcPr>
            <w:tcW w:w="811" w:type="dxa"/>
            <w:vAlign w:val="center"/>
          </w:tcPr>
          <w:p w14:paraId="6B984BC1" w14:textId="55620E2D"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443</w:t>
            </w:r>
          </w:p>
        </w:tc>
        <w:tc>
          <w:tcPr>
            <w:tcW w:w="811" w:type="dxa"/>
            <w:vAlign w:val="center"/>
          </w:tcPr>
          <w:p w14:paraId="4C9F130A" w14:textId="4D30A167"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314</w:t>
            </w:r>
          </w:p>
        </w:tc>
        <w:tc>
          <w:tcPr>
            <w:tcW w:w="811" w:type="dxa"/>
            <w:vAlign w:val="center"/>
          </w:tcPr>
          <w:p w14:paraId="0DAA3E14" w14:textId="5FE6D419"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520</w:t>
            </w:r>
          </w:p>
        </w:tc>
      </w:tr>
      <w:tr w:rsidR="00812F25" w:rsidRPr="008224C6" w14:paraId="1D355298" w14:textId="77777777" w:rsidTr="003E5E8B">
        <w:trPr>
          <w:trHeight w:val="369"/>
        </w:trPr>
        <w:tc>
          <w:tcPr>
            <w:tcW w:w="1181" w:type="dxa"/>
          </w:tcPr>
          <w:p w14:paraId="70944460" w14:textId="3A5CE00C" w:rsidR="00B61C32" w:rsidRPr="00722C19" w:rsidRDefault="00B61C32" w:rsidP="00812F25">
            <w:pPr>
              <w:pStyle w:val="ExhibitText"/>
              <w:jc w:val="left"/>
              <w:rPr>
                <w:b/>
                <w:spacing w:val="-6"/>
                <w:sz w:val="16"/>
                <w:szCs w:val="15"/>
                <w:lang w:val="en-GB"/>
              </w:rPr>
            </w:pPr>
            <w:r w:rsidRPr="006446B8">
              <w:rPr>
                <w:b/>
                <w:spacing w:val="-6"/>
                <w:sz w:val="16"/>
                <w:szCs w:val="15"/>
                <w:lang w:val="en-GB"/>
              </w:rPr>
              <w:t>Operating Income</w:t>
            </w:r>
          </w:p>
        </w:tc>
        <w:tc>
          <w:tcPr>
            <w:tcW w:w="811" w:type="dxa"/>
            <w:vAlign w:val="center"/>
          </w:tcPr>
          <w:p w14:paraId="030FFF7B" w14:textId="2B9389DC" w:rsidR="00B61C32" w:rsidRPr="00722C19" w:rsidRDefault="00B61C32" w:rsidP="003E5E8B">
            <w:pPr>
              <w:pStyle w:val="ExhibitText"/>
              <w:tabs>
                <w:tab w:val="decimal" w:pos="504"/>
              </w:tabs>
              <w:jc w:val="right"/>
              <w:rPr>
                <w:b/>
                <w:spacing w:val="-6"/>
                <w:sz w:val="16"/>
                <w:szCs w:val="15"/>
                <w:lang w:val="en-GB"/>
              </w:rPr>
            </w:pPr>
            <w:r w:rsidRPr="00722C19">
              <w:rPr>
                <w:b/>
                <w:spacing w:val="-6"/>
                <w:sz w:val="16"/>
                <w:szCs w:val="15"/>
                <w:lang w:val="en-GB"/>
              </w:rPr>
              <w:t>14,775</w:t>
            </w:r>
          </w:p>
        </w:tc>
        <w:tc>
          <w:tcPr>
            <w:tcW w:w="811" w:type="dxa"/>
            <w:vAlign w:val="center"/>
          </w:tcPr>
          <w:p w14:paraId="17C8B4AE" w14:textId="0BB8BACD" w:rsidR="00B61C32" w:rsidRPr="00722C19" w:rsidRDefault="00B61C32" w:rsidP="003E5E8B">
            <w:pPr>
              <w:pStyle w:val="ExhibitText"/>
              <w:tabs>
                <w:tab w:val="decimal" w:pos="498"/>
              </w:tabs>
              <w:jc w:val="right"/>
              <w:rPr>
                <w:b/>
                <w:spacing w:val="-6"/>
                <w:sz w:val="16"/>
                <w:szCs w:val="15"/>
                <w:lang w:val="en-GB"/>
              </w:rPr>
            </w:pPr>
            <w:r w:rsidRPr="00722C19">
              <w:rPr>
                <w:b/>
                <w:spacing w:val="-6"/>
                <w:sz w:val="16"/>
                <w:szCs w:val="15"/>
                <w:lang w:val="en-GB"/>
              </w:rPr>
              <w:t>15,721</w:t>
            </w:r>
          </w:p>
        </w:tc>
        <w:tc>
          <w:tcPr>
            <w:tcW w:w="811" w:type="dxa"/>
            <w:vAlign w:val="center"/>
          </w:tcPr>
          <w:p w14:paraId="09C82406" w14:textId="22DA4E41" w:rsidR="00B61C32" w:rsidRPr="00722C19" w:rsidRDefault="00B61C32" w:rsidP="003E5E8B">
            <w:pPr>
              <w:pStyle w:val="ExhibitText"/>
              <w:tabs>
                <w:tab w:val="decimal" w:pos="484"/>
              </w:tabs>
              <w:jc w:val="right"/>
              <w:rPr>
                <w:b/>
                <w:spacing w:val="-6"/>
                <w:sz w:val="16"/>
                <w:szCs w:val="15"/>
                <w:lang w:val="en-GB"/>
              </w:rPr>
            </w:pPr>
            <w:r w:rsidRPr="00722C19">
              <w:rPr>
                <w:b/>
                <w:spacing w:val="-6"/>
                <w:sz w:val="16"/>
                <w:szCs w:val="15"/>
                <w:lang w:val="en-GB"/>
              </w:rPr>
              <w:t>14,681</w:t>
            </w:r>
          </w:p>
        </w:tc>
        <w:tc>
          <w:tcPr>
            <w:tcW w:w="811" w:type="dxa"/>
            <w:vAlign w:val="center"/>
          </w:tcPr>
          <w:p w14:paraId="5E1AB61F" w14:textId="77777777" w:rsidR="00B61C32" w:rsidRPr="00722C19" w:rsidRDefault="00B61C32" w:rsidP="003E5E8B">
            <w:pPr>
              <w:pStyle w:val="ExhibitText"/>
              <w:tabs>
                <w:tab w:val="decimal" w:pos="478"/>
              </w:tabs>
              <w:jc w:val="right"/>
              <w:rPr>
                <w:b/>
                <w:spacing w:val="-6"/>
                <w:sz w:val="16"/>
                <w:szCs w:val="15"/>
                <w:lang w:val="en-GB"/>
              </w:rPr>
            </w:pPr>
            <w:r w:rsidRPr="00722C19">
              <w:rPr>
                <w:b/>
                <w:spacing w:val="-6"/>
                <w:sz w:val="16"/>
                <w:szCs w:val="15"/>
                <w:lang w:val="en-GB"/>
              </w:rPr>
              <w:t>13,005</w:t>
            </w:r>
          </w:p>
        </w:tc>
        <w:tc>
          <w:tcPr>
            <w:tcW w:w="811" w:type="dxa"/>
            <w:vAlign w:val="center"/>
          </w:tcPr>
          <w:p w14:paraId="41C9A917" w14:textId="0C1BB149" w:rsidR="00B61C32" w:rsidRPr="00722C19" w:rsidRDefault="00B61C32" w:rsidP="003E5E8B">
            <w:pPr>
              <w:pStyle w:val="ExhibitText"/>
              <w:tabs>
                <w:tab w:val="decimal" w:pos="464"/>
              </w:tabs>
              <w:jc w:val="right"/>
              <w:rPr>
                <w:b/>
                <w:spacing w:val="-6"/>
                <w:sz w:val="16"/>
                <w:szCs w:val="15"/>
                <w:lang w:val="en-GB"/>
              </w:rPr>
            </w:pPr>
            <w:r w:rsidRPr="00722C19">
              <w:rPr>
                <w:b/>
                <w:spacing w:val="-6"/>
                <w:sz w:val="16"/>
                <w:szCs w:val="15"/>
                <w:lang w:val="en-GB"/>
              </w:rPr>
              <w:t>10,724</w:t>
            </w:r>
          </w:p>
        </w:tc>
        <w:tc>
          <w:tcPr>
            <w:tcW w:w="811" w:type="dxa"/>
            <w:vAlign w:val="center"/>
          </w:tcPr>
          <w:p w14:paraId="7068AB6C" w14:textId="73F4D5A3" w:rsidR="00B61C32" w:rsidRPr="00722C19" w:rsidRDefault="00B61C32" w:rsidP="003E5E8B">
            <w:pPr>
              <w:pStyle w:val="ExhibitText"/>
              <w:tabs>
                <w:tab w:val="decimal" w:pos="456"/>
              </w:tabs>
              <w:jc w:val="right"/>
              <w:rPr>
                <w:b/>
                <w:spacing w:val="-6"/>
                <w:sz w:val="16"/>
                <w:szCs w:val="15"/>
                <w:lang w:val="en-GB"/>
              </w:rPr>
            </w:pPr>
            <w:r w:rsidRPr="00722C19">
              <w:rPr>
                <w:b/>
                <w:spacing w:val="-6"/>
                <w:sz w:val="16"/>
                <w:szCs w:val="15"/>
                <w:lang w:val="en-GB"/>
              </w:rPr>
              <w:t>9,964</w:t>
            </w:r>
          </w:p>
        </w:tc>
        <w:tc>
          <w:tcPr>
            <w:tcW w:w="811" w:type="dxa"/>
            <w:vAlign w:val="center"/>
          </w:tcPr>
          <w:p w14:paraId="7A8546CA" w14:textId="6C5B2525" w:rsidR="00B61C32" w:rsidRPr="00722C19" w:rsidRDefault="00B61C32" w:rsidP="003E5E8B">
            <w:pPr>
              <w:pStyle w:val="ExhibitText"/>
              <w:tabs>
                <w:tab w:val="decimal" w:pos="540"/>
              </w:tabs>
              <w:jc w:val="right"/>
              <w:rPr>
                <w:b/>
                <w:spacing w:val="-6"/>
                <w:sz w:val="16"/>
                <w:szCs w:val="15"/>
                <w:lang w:val="en-GB"/>
              </w:rPr>
            </w:pPr>
            <w:r w:rsidRPr="00722C19">
              <w:rPr>
                <w:b/>
                <w:spacing w:val="-6"/>
                <w:sz w:val="16"/>
                <w:szCs w:val="15"/>
                <w:lang w:val="en-GB"/>
              </w:rPr>
              <w:t>8,825</w:t>
            </w:r>
          </w:p>
        </w:tc>
        <w:tc>
          <w:tcPr>
            <w:tcW w:w="811" w:type="dxa"/>
            <w:vAlign w:val="center"/>
          </w:tcPr>
          <w:p w14:paraId="65F9BDA0" w14:textId="6FB29286" w:rsidR="00B61C32" w:rsidRPr="00722C19" w:rsidRDefault="00B61C32" w:rsidP="003E5E8B">
            <w:pPr>
              <w:pStyle w:val="ExhibitText"/>
              <w:tabs>
                <w:tab w:val="decimal" w:pos="528"/>
              </w:tabs>
              <w:jc w:val="right"/>
              <w:rPr>
                <w:b/>
                <w:spacing w:val="-6"/>
                <w:sz w:val="16"/>
                <w:szCs w:val="15"/>
                <w:lang w:val="en-GB"/>
              </w:rPr>
            </w:pPr>
            <w:r w:rsidRPr="00722C19">
              <w:rPr>
                <w:b/>
                <w:spacing w:val="-6"/>
                <w:sz w:val="16"/>
                <w:szCs w:val="15"/>
                <w:lang w:val="en-GB"/>
              </w:rPr>
              <w:t>7,586</w:t>
            </w:r>
          </w:p>
        </w:tc>
        <w:tc>
          <w:tcPr>
            <w:tcW w:w="811" w:type="dxa"/>
            <w:vAlign w:val="center"/>
          </w:tcPr>
          <w:p w14:paraId="38EC81E9" w14:textId="2728FBAA" w:rsidR="00B61C32" w:rsidRPr="00722C19" w:rsidRDefault="00B61C32" w:rsidP="003E5E8B">
            <w:pPr>
              <w:pStyle w:val="ExhibitText"/>
              <w:tabs>
                <w:tab w:val="decimal" w:pos="514"/>
              </w:tabs>
              <w:jc w:val="right"/>
              <w:rPr>
                <w:b/>
                <w:spacing w:val="-6"/>
                <w:sz w:val="16"/>
                <w:szCs w:val="15"/>
                <w:lang w:val="en-GB"/>
              </w:rPr>
            </w:pPr>
            <w:r w:rsidRPr="00722C19">
              <w:rPr>
                <w:b/>
                <w:spacing w:val="-6"/>
                <w:sz w:val="16"/>
                <w:szCs w:val="15"/>
                <w:lang w:val="en-GB"/>
              </w:rPr>
              <w:t>6,672</w:t>
            </w:r>
          </w:p>
        </w:tc>
        <w:tc>
          <w:tcPr>
            <w:tcW w:w="811" w:type="dxa"/>
            <w:vAlign w:val="center"/>
          </w:tcPr>
          <w:p w14:paraId="644098DD" w14:textId="76C90533" w:rsidR="00B61C32" w:rsidRPr="00722C19" w:rsidRDefault="00B61C32" w:rsidP="003E5E8B">
            <w:pPr>
              <w:pStyle w:val="ExhibitText"/>
              <w:tabs>
                <w:tab w:val="decimal" w:pos="418"/>
              </w:tabs>
              <w:jc w:val="right"/>
              <w:rPr>
                <w:b/>
                <w:spacing w:val="-6"/>
                <w:sz w:val="16"/>
                <w:szCs w:val="15"/>
                <w:lang w:val="en-GB"/>
              </w:rPr>
            </w:pPr>
            <w:r w:rsidRPr="00722C19">
              <w:rPr>
                <w:b/>
                <w:spacing w:val="-6"/>
                <w:sz w:val="16"/>
                <w:szCs w:val="15"/>
                <w:lang w:val="en-GB"/>
              </w:rPr>
              <w:t>8,484</w:t>
            </w:r>
          </w:p>
        </w:tc>
      </w:tr>
      <w:tr w:rsidR="00812F25" w:rsidRPr="008224C6" w14:paraId="2D9D9193" w14:textId="77777777" w:rsidTr="003E5E8B">
        <w:trPr>
          <w:trHeight w:val="246"/>
        </w:trPr>
        <w:tc>
          <w:tcPr>
            <w:tcW w:w="1181" w:type="dxa"/>
          </w:tcPr>
          <w:p w14:paraId="7D6F729E" w14:textId="77777777" w:rsidR="00B61C32" w:rsidRPr="00722C19" w:rsidRDefault="00B61C32" w:rsidP="00812F25">
            <w:pPr>
              <w:pStyle w:val="ExhibitText"/>
              <w:jc w:val="left"/>
              <w:rPr>
                <w:b/>
                <w:spacing w:val="-6"/>
                <w:sz w:val="16"/>
                <w:szCs w:val="15"/>
                <w:lang w:val="en-GB"/>
              </w:rPr>
            </w:pPr>
            <w:r w:rsidRPr="006446B8">
              <w:rPr>
                <w:b/>
                <w:spacing w:val="-6"/>
                <w:sz w:val="16"/>
                <w:szCs w:val="15"/>
                <w:lang w:val="en-GB"/>
              </w:rPr>
              <w:t>MEDIA NETWORKS</w:t>
            </w:r>
          </w:p>
        </w:tc>
        <w:tc>
          <w:tcPr>
            <w:tcW w:w="811" w:type="dxa"/>
            <w:vAlign w:val="center"/>
          </w:tcPr>
          <w:p w14:paraId="378D13A1"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2017</w:t>
            </w:r>
          </w:p>
        </w:tc>
        <w:tc>
          <w:tcPr>
            <w:tcW w:w="811" w:type="dxa"/>
            <w:vAlign w:val="center"/>
          </w:tcPr>
          <w:p w14:paraId="3A36E79F"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2016</w:t>
            </w:r>
          </w:p>
        </w:tc>
        <w:tc>
          <w:tcPr>
            <w:tcW w:w="811" w:type="dxa"/>
            <w:vAlign w:val="center"/>
          </w:tcPr>
          <w:p w14:paraId="67609A52"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2015</w:t>
            </w:r>
          </w:p>
        </w:tc>
        <w:tc>
          <w:tcPr>
            <w:tcW w:w="811" w:type="dxa"/>
            <w:vAlign w:val="center"/>
          </w:tcPr>
          <w:p w14:paraId="000D3AA6"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2014</w:t>
            </w:r>
          </w:p>
        </w:tc>
        <w:tc>
          <w:tcPr>
            <w:tcW w:w="811" w:type="dxa"/>
            <w:vAlign w:val="center"/>
          </w:tcPr>
          <w:p w14:paraId="168F9347"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2013</w:t>
            </w:r>
          </w:p>
        </w:tc>
        <w:tc>
          <w:tcPr>
            <w:tcW w:w="811" w:type="dxa"/>
            <w:vAlign w:val="center"/>
          </w:tcPr>
          <w:p w14:paraId="1D11BB47"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2012</w:t>
            </w:r>
          </w:p>
        </w:tc>
        <w:tc>
          <w:tcPr>
            <w:tcW w:w="811" w:type="dxa"/>
            <w:vAlign w:val="center"/>
          </w:tcPr>
          <w:p w14:paraId="4C4A4191"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2011</w:t>
            </w:r>
          </w:p>
        </w:tc>
        <w:tc>
          <w:tcPr>
            <w:tcW w:w="811" w:type="dxa"/>
            <w:vAlign w:val="center"/>
          </w:tcPr>
          <w:p w14:paraId="57C236D5"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2010</w:t>
            </w:r>
          </w:p>
        </w:tc>
        <w:tc>
          <w:tcPr>
            <w:tcW w:w="811" w:type="dxa"/>
            <w:vAlign w:val="center"/>
          </w:tcPr>
          <w:p w14:paraId="50BE7D71"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2009</w:t>
            </w:r>
          </w:p>
        </w:tc>
        <w:tc>
          <w:tcPr>
            <w:tcW w:w="811" w:type="dxa"/>
            <w:vAlign w:val="center"/>
          </w:tcPr>
          <w:p w14:paraId="36DF3FC1" w14:textId="77777777" w:rsidR="00B61C32" w:rsidRPr="00722C19" w:rsidRDefault="00B61C32" w:rsidP="003E5E8B">
            <w:pPr>
              <w:pStyle w:val="ExhibitText"/>
              <w:jc w:val="right"/>
              <w:rPr>
                <w:b/>
                <w:spacing w:val="-6"/>
                <w:sz w:val="16"/>
                <w:szCs w:val="15"/>
                <w:lang w:val="en-GB"/>
              </w:rPr>
            </w:pPr>
            <w:r w:rsidRPr="00722C19">
              <w:rPr>
                <w:b/>
                <w:spacing w:val="-6"/>
                <w:sz w:val="16"/>
                <w:szCs w:val="15"/>
                <w:lang w:val="en-GB"/>
              </w:rPr>
              <w:t>2008</w:t>
            </w:r>
          </w:p>
        </w:tc>
      </w:tr>
      <w:tr w:rsidR="00812F25" w:rsidRPr="008224C6" w14:paraId="75ABB44E" w14:textId="77777777" w:rsidTr="003E5E8B">
        <w:trPr>
          <w:trHeight w:val="122"/>
        </w:trPr>
        <w:tc>
          <w:tcPr>
            <w:tcW w:w="1181" w:type="dxa"/>
          </w:tcPr>
          <w:p w14:paraId="10E692AA"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Revenues</w:t>
            </w:r>
          </w:p>
        </w:tc>
        <w:tc>
          <w:tcPr>
            <w:tcW w:w="811" w:type="dxa"/>
            <w:vAlign w:val="center"/>
          </w:tcPr>
          <w:p w14:paraId="78954A90" w14:textId="2E189BF1" w:rsidR="00B61C32" w:rsidRPr="00722C19" w:rsidRDefault="00B61C32" w:rsidP="003E5E8B">
            <w:pPr>
              <w:pStyle w:val="ExhibitText"/>
              <w:jc w:val="right"/>
              <w:rPr>
                <w:spacing w:val="-6"/>
                <w:sz w:val="16"/>
                <w:szCs w:val="15"/>
                <w:lang w:val="en-GB"/>
              </w:rPr>
            </w:pPr>
          </w:p>
        </w:tc>
        <w:tc>
          <w:tcPr>
            <w:tcW w:w="811" w:type="dxa"/>
            <w:vAlign w:val="center"/>
          </w:tcPr>
          <w:p w14:paraId="125A691B" w14:textId="6C112372" w:rsidR="00B61C32" w:rsidRPr="00722C19" w:rsidRDefault="00B61C32" w:rsidP="003E5E8B">
            <w:pPr>
              <w:pStyle w:val="ExhibitText"/>
              <w:jc w:val="right"/>
              <w:rPr>
                <w:spacing w:val="-6"/>
                <w:sz w:val="16"/>
                <w:szCs w:val="15"/>
                <w:lang w:val="en-GB"/>
              </w:rPr>
            </w:pPr>
          </w:p>
        </w:tc>
        <w:tc>
          <w:tcPr>
            <w:tcW w:w="811" w:type="dxa"/>
            <w:vAlign w:val="center"/>
          </w:tcPr>
          <w:p w14:paraId="317EEEC7" w14:textId="6DE09AE3" w:rsidR="00B61C32" w:rsidRPr="00722C19" w:rsidRDefault="00B61C32" w:rsidP="003E5E8B">
            <w:pPr>
              <w:pStyle w:val="ExhibitText"/>
              <w:jc w:val="right"/>
              <w:rPr>
                <w:spacing w:val="-6"/>
                <w:sz w:val="16"/>
                <w:szCs w:val="15"/>
                <w:lang w:val="en-GB"/>
              </w:rPr>
            </w:pPr>
          </w:p>
        </w:tc>
        <w:tc>
          <w:tcPr>
            <w:tcW w:w="811" w:type="dxa"/>
            <w:vAlign w:val="center"/>
          </w:tcPr>
          <w:p w14:paraId="6D9B0415" w14:textId="17A414BC" w:rsidR="00B61C32" w:rsidRPr="00722C19" w:rsidRDefault="00B61C32" w:rsidP="003E5E8B">
            <w:pPr>
              <w:pStyle w:val="ExhibitText"/>
              <w:jc w:val="right"/>
              <w:rPr>
                <w:spacing w:val="-6"/>
                <w:sz w:val="16"/>
                <w:szCs w:val="15"/>
                <w:lang w:val="en-GB"/>
              </w:rPr>
            </w:pPr>
          </w:p>
        </w:tc>
        <w:tc>
          <w:tcPr>
            <w:tcW w:w="811" w:type="dxa"/>
            <w:vAlign w:val="center"/>
          </w:tcPr>
          <w:p w14:paraId="6EF897E1" w14:textId="4F1E149B" w:rsidR="00B61C32" w:rsidRPr="00722C19" w:rsidRDefault="00B61C32" w:rsidP="003E5E8B">
            <w:pPr>
              <w:pStyle w:val="ExhibitText"/>
              <w:jc w:val="right"/>
              <w:rPr>
                <w:spacing w:val="-6"/>
                <w:sz w:val="16"/>
                <w:szCs w:val="15"/>
                <w:lang w:val="en-GB"/>
              </w:rPr>
            </w:pPr>
          </w:p>
        </w:tc>
        <w:tc>
          <w:tcPr>
            <w:tcW w:w="811" w:type="dxa"/>
            <w:vAlign w:val="center"/>
          </w:tcPr>
          <w:p w14:paraId="51E7957D" w14:textId="65935752" w:rsidR="00B61C32" w:rsidRPr="00722C19" w:rsidRDefault="00B61C32" w:rsidP="003E5E8B">
            <w:pPr>
              <w:pStyle w:val="ExhibitText"/>
              <w:jc w:val="right"/>
              <w:rPr>
                <w:spacing w:val="-6"/>
                <w:sz w:val="16"/>
                <w:szCs w:val="15"/>
                <w:lang w:val="en-GB"/>
              </w:rPr>
            </w:pPr>
          </w:p>
        </w:tc>
        <w:tc>
          <w:tcPr>
            <w:tcW w:w="811" w:type="dxa"/>
            <w:vAlign w:val="center"/>
          </w:tcPr>
          <w:p w14:paraId="3C5EB4E7" w14:textId="17060CE9" w:rsidR="00B61C32" w:rsidRPr="00722C19" w:rsidRDefault="00B61C32" w:rsidP="003E5E8B">
            <w:pPr>
              <w:pStyle w:val="ExhibitText"/>
              <w:jc w:val="right"/>
              <w:rPr>
                <w:spacing w:val="-6"/>
                <w:sz w:val="16"/>
                <w:szCs w:val="15"/>
                <w:lang w:val="en-GB"/>
              </w:rPr>
            </w:pPr>
          </w:p>
        </w:tc>
        <w:tc>
          <w:tcPr>
            <w:tcW w:w="811" w:type="dxa"/>
            <w:vAlign w:val="center"/>
          </w:tcPr>
          <w:p w14:paraId="184EC941" w14:textId="77777777" w:rsidR="00B61C32" w:rsidRPr="00722C19" w:rsidRDefault="00B61C32" w:rsidP="003E5E8B">
            <w:pPr>
              <w:pStyle w:val="ExhibitText"/>
              <w:jc w:val="right"/>
              <w:rPr>
                <w:spacing w:val="-6"/>
                <w:sz w:val="16"/>
                <w:szCs w:val="15"/>
                <w:lang w:val="en-GB"/>
              </w:rPr>
            </w:pPr>
          </w:p>
        </w:tc>
        <w:tc>
          <w:tcPr>
            <w:tcW w:w="811" w:type="dxa"/>
            <w:vAlign w:val="center"/>
          </w:tcPr>
          <w:p w14:paraId="218B7318" w14:textId="77777777" w:rsidR="00B61C32" w:rsidRPr="00722C19" w:rsidRDefault="00B61C32" w:rsidP="003E5E8B">
            <w:pPr>
              <w:pStyle w:val="ExhibitText"/>
              <w:jc w:val="right"/>
              <w:rPr>
                <w:spacing w:val="-6"/>
                <w:sz w:val="16"/>
                <w:szCs w:val="15"/>
                <w:lang w:val="en-GB"/>
              </w:rPr>
            </w:pPr>
          </w:p>
        </w:tc>
        <w:tc>
          <w:tcPr>
            <w:tcW w:w="811" w:type="dxa"/>
            <w:vAlign w:val="center"/>
          </w:tcPr>
          <w:p w14:paraId="7DCB2732" w14:textId="77777777" w:rsidR="00B61C32" w:rsidRPr="00722C19" w:rsidRDefault="00B61C32" w:rsidP="003E5E8B">
            <w:pPr>
              <w:pStyle w:val="ExhibitText"/>
              <w:jc w:val="right"/>
              <w:rPr>
                <w:spacing w:val="-6"/>
                <w:sz w:val="16"/>
                <w:szCs w:val="15"/>
                <w:lang w:val="en-GB"/>
              </w:rPr>
            </w:pPr>
          </w:p>
        </w:tc>
      </w:tr>
      <w:tr w:rsidR="00812F25" w:rsidRPr="008224C6" w14:paraId="2D94CFFE" w14:textId="77777777" w:rsidTr="003E5E8B">
        <w:trPr>
          <w:trHeight w:val="201"/>
        </w:trPr>
        <w:tc>
          <w:tcPr>
            <w:tcW w:w="1181" w:type="dxa"/>
          </w:tcPr>
          <w:p w14:paraId="5730FA03"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Affiliate fees</w:t>
            </w:r>
          </w:p>
        </w:tc>
        <w:tc>
          <w:tcPr>
            <w:tcW w:w="811" w:type="dxa"/>
            <w:vAlign w:val="center"/>
          </w:tcPr>
          <w:p w14:paraId="0CF431AA" w14:textId="4638253F"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12,659</w:t>
            </w:r>
          </w:p>
        </w:tc>
        <w:tc>
          <w:tcPr>
            <w:tcW w:w="811" w:type="dxa"/>
            <w:vAlign w:val="center"/>
          </w:tcPr>
          <w:p w14:paraId="0F2201CE" w14:textId="77777777"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12,259</w:t>
            </w:r>
          </w:p>
        </w:tc>
        <w:tc>
          <w:tcPr>
            <w:tcW w:w="811" w:type="dxa"/>
            <w:vAlign w:val="center"/>
          </w:tcPr>
          <w:p w14:paraId="26ABF469" w14:textId="77777777"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12,029</w:t>
            </w:r>
          </w:p>
        </w:tc>
        <w:tc>
          <w:tcPr>
            <w:tcW w:w="811" w:type="dxa"/>
            <w:vAlign w:val="center"/>
          </w:tcPr>
          <w:p w14:paraId="2DCC18F1" w14:textId="44A6C309"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10,632</w:t>
            </w:r>
          </w:p>
        </w:tc>
        <w:tc>
          <w:tcPr>
            <w:tcW w:w="811" w:type="dxa"/>
            <w:vAlign w:val="center"/>
          </w:tcPr>
          <w:p w14:paraId="09E5A341" w14:textId="1E6EFDC5"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10,018</w:t>
            </w:r>
          </w:p>
        </w:tc>
        <w:tc>
          <w:tcPr>
            <w:tcW w:w="811" w:type="dxa"/>
            <w:vAlign w:val="center"/>
          </w:tcPr>
          <w:p w14:paraId="49B4B5F3" w14:textId="083DC3C8"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9,360</w:t>
            </w:r>
          </w:p>
        </w:tc>
        <w:tc>
          <w:tcPr>
            <w:tcW w:w="811" w:type="dxa"/>
            <w:vAlign w:val="center"/>
          </w:tcPr>
          <w:p w14:paraId="34B5141A" w14:textId="1AC30935"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8,837</w:t>
            </w:r>
          </w:p>
        </w:tc>
        <w:tc>
          <w:tcPr>
            <w:tcW w:w="811" w:type="dxa"/>
            <w:vAlign w:val="center"/>
          </w:tcPr>
          <w:p w14:paraId="21D107B5" w14:textId="219D5766"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8,082</w:t>
            </w:r>
          </w:p>
        </w:tc>
        <w:tc>
          <w:tcPr>
            <w:tcW w:w="811" w:type="dxa"/>
            <w:vAlign w:val="center"/>
          </w:tcPr>
          <w:p w14:paraId="6B21718F" w14:textId="024FEB58"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 xml:space="preserve">  7,407</w:t>
            </w:r>
          </w:p>
        </w:tc>
        <w:tc>
          <w:tcPr>
            <w:tcW w:w="811" w:type="dxa"/>
            <w:vAlign w:val="center"/>
          </w:tcPr>
          <w:p w14:paraId="7D0E6DBC" w14:textId="777B7C0C"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6,793</w:t>
            </w:r>
          </w:p>
        </w:tc>
      </w:tr>
      <w:tr w:rsidR="00812F25" w:rsidRPr="008224C6" w14:paraId="0A3950A3" w14:textId="77777777" w:rsidTr="003E5E8B">
        <w:trPr>
          <w:trHeight w:val="179"/>
        </w:trPr>
        <w:tc>
          <w:tcPr>
            <w:tcW w:w="1181" w:type="dxa"/>
          </w:tcPr>
          <w:p w14:paraId="40FBFF24" w14:textId="77777777" w:rsidR="00B61C32" w:rsidRPr="00722C19" w:rsidRDefault="00B61C32" w:rsidP="00812F25">
            <w:pPr>
              <w:pStyle w:val="ExhibitText"/>
              <w:jc w:val="left"/>
              <w:rPr>
                <w:spacing w:val="-6"/>
                <w:sz w:val="16"/>
                <w:szCs w:val="15"/>
                <w:lang w:val="en-GB"/>
              </w:rPr>
            </w:pPr>
            <w:r w:rsidRPr="006446B8">
              <w:rPr>
                <w:spacing w:val="-6"/>
                <w:sz w:val="16"/>
                <w:szCs w:val="15"/>
                <w:lang w:val="en-GB"/>
              </w:rPr>
              <w:t>Advertising</w:t>
            </w:r>
          </w:p>
        </w:tc>
        <w:tc>
          <w:tcPr>
            <w:tcW w:w="811" w:type="dxa"/>
            <w:vAlign w:val="center"/>
          </w:tcPr>
          <w:p w14:paraId="1E77E6F1" w14:textId="2A01A27A"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8,129</w:t>
            </w:r>
          </w:p>
        </w:tc>
        <w:tc>
          <w:tcPr>
            <w:tcW w:w="811" w:type="dxa"/>
            <w:vAlign w:val="center"/>
          </w:tcPr>
          <w:p w14:paraId="78E35D60" w14:textId="3935DB5F"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 xml:space="preserve">  8,509</w:t>
            </w:r>
          </w:p>
        </w:tc>
        <w:tc>
          <w:tcPr>
            <w:tcW w:w="811" w:type="dxa"/>
            <w:vAlign w:val="center"/>
          </w:tcPr>
          <w:p w14:paraId="4582240F" w14:textId="3731C2F7"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 xml:space="preserve">  8,361</w:t>
            </w:r>
          </w:p>
        </w:tc>
        <w:tc>
          <w:tcPr>
            <w:tcW w:w="811" w:type="dxa"/>
            <w:vAlign w:val="center"/>
          </w:tcPr>
          <w:p w14:paraId="2CAE3AC7" w14:textId="55B8480A"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 xml:space="preserve">  8,031</w:t>
            </w:r>
          </w:p>
        </w:tc>
        <w:tc>
          <w:tcPr>
            <w:tcW w:w="811" w:type="dxa"/>
            <w:vAlign w:val="center"/>
          </w:tcPr>
          <w:p w14:paraId="3311AA47" w14:textId="1F04DA5B"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 xml:space="preserve">  7,923</w:t>
            </w:r>
          </w:p>
        </w:tc>
        <w:tc>
          <w:tcPr>
            <w:tcW w:w="811" w:type="dxa"/>
            <w:vAlign w:val="center"/>
          </w:tcPr>
          <w:p w14:paraId="47BE324B" w14:textId="5EBC116F"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7,699</w:t>
            </w:r>
          </w:p>
        </w:tc>
        <w:tc>
          <w:tcPr>
            <w:tcW w:w="811" w:type="dxa"/>
            <w:vAlign w:val="center"/>
          </w:tcPr>
          <w:p w14:paraId="669C528B" w14:textId="77777777"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7,598</w:t>
            </w:r>
          </w:p>
        </w:tc>
        <w:tc>
          <w:tcPr>
            <w:tcW w:w="811" w:type="dxa"/>
            <w:vAlign w:val="center"/>
          </w:tcPr>
          <w:p w14:paraId="16177C89" w14:textId="0B61EAA3"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7,028</w:t>
            </w:r>
          </w:p>
        </w:tc>
        <w:tc>
          <w:tcPr>
            <w:tcW w:w="811" w:type="dxa"/>
            <w:vAlign w:val="center"/>
          </w:tcPr>
          <w:p w14:paraId="1E1145AD" w14:textId="0A2D311B"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 xml:space="preserve">  6,566</w:t>
            </w:r>
          </w:p>
        </w:tc>
        <w:tc>
          <w:tcPr>
            <w:tcW w:w="811" w:type="dxa"/>
            <w:vAlign w:val="center"/>
          </w:tcPr>
          <w:p w14:paraId="17AAB047" w14:textId="41D51665"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7,197</w:t>
            </w:r>
          </w:p>
        </w:tc>
      </w:tr>
      <w:tr w:rsidR="00812F25" w:rsidRPr="008224C6" w14:paraId="6E53FBE2" w14:textId="77777777" w:rsidTr="003E5E8B">
        <w:trPr>
          <w:trHeight w:val="369"/>
        </w:trPr>
        <w:tc>
          <w:tcPr>
            <w:tcW w:w="1181" w:type="dxa"/>
          </w:tcPr>
          <w:p w14:paraId="53D74392" w14:textId="717DF4A5" w:rsidR="00B61C32" w:rsidRPr="00722C19" w:rsidRDefault="00B61C32" w:rsidP="00812F25">
            <w:pPr>
              <w:pStyle w:val="ExhibitText"/>
              <w:jc w:val="left"/>
              <w:rPr>
                <w:spacing w:val="-6"/>
                <w:sz w:val="16"/>
                <w:szCs w:val="15"/>
                <w:lang w:val="en-GB"/>
              </w:rPr>
            </w:pPr>
            <w:r w:rsidRPr="00722C19">
              <w:rPr>
                <w:spacing w:val="-6"/>
                <w:sz w:val="16"/>
                <w:szCs w:val="15"/>
                <w:lang w:val="en-GB"/>
              </w:rPr>
              <w:t>Other (incl</w:t>
            </w:r>
            <w:r w:rsidR="00765778">
              <w:rPr>
                <w:spacing w:val="-6"/>
                <w:sz w:val="16"/>
                <w:szCs w:val="15"/>
                <w:lang w:val="en-GB"/>
              </w:rPr>
              <w:t>uding</w:t>
            </w:r>
            <w:r w:rsidRPr="00722C19">
              <w:rPr>
                <w:spacing w:val="-6"/>
                <w:sz w:val="16"/>
                <w:szCs w:val="15"/>
                <w:lang w:val="en-GB"/>
              </w:rPr>
              <w:t xml:space="preserve"> TV/SVOD distrib</w:t>
            </w:r>
            <w:r w:rsidR="00765778">
              <w:rPr>
                <w:spacing w:val="-6"/>
                <w:sz w:val="16"/>
                <w:szCs w:val="15"/>
                <w:lang w:val="en-GB"/>
              </w:rPr>
              <w:t>ution</w:t>
            </w:r>
            <w:r w:rsidRPr="006446B8">
              <w:rPr>
                <w:spacing w:val="-6"/>
                <w:sz w:val="16"/>
                <w:szCs w:val="15"/>
                <w:lang w:val="en-GB"/>
              </w:rPr>
              <w:t>)</w:t>
            </w:r>
          </w:p>
        </w:tc>
        <w:tc>
          <w:tcPr>
            <w:tcW w:w="811" w:type="dxa"/>
            <w:vAlign w:val="center"/>
          </w:tcPr>
          <w:p w14:paraId="04482763" w14:textId="4854E08F"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2,722</w:t>
            </w:r>
          </w:p>
        </w:tc>
        <w:tc>
          <w:tcPr>
            <w:tcW w:w="811" w:type="dxa"/>
            <w:vAlign w:val="center"/>
          </w:tcPr>
          <w:p w14:paraId="5F1BB14B" w14:textId="2B020563"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 xml:space="preserve">  2,921</w:t>
            </w:r>
          </w:p>
        </w:tc>
        <w:tc>
          <w:tcPr>
            <w:tcW w:w="811" w:type="dxa"/>
            <w:vAlign w:val="center"/>
          </w:tcPr>
          <w:p w14:paraId="446D6A28" w14:textId="68403662"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 xml:space="preserve">  2,874</w:t>
            </w:r>
          </w:p>
        </w:tc>
        <w:tc>
          <w:tcPr>
            <w:tcW w:w="811" w:type="dxa"/>
            <w:vAlign w:val="center"/>
          </w:tcPr>
          <w:p w14:paraId="348E4731" w14:textId="2D75130A"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 xml:space="preserve">  2,489</w:t>
            </w:r>
          </w:p>
        </w:tc>
        <w:tc>
          <w:tcPr>
            <w:tcW w:w="811" w:type="dxa"/>
            <w:vAlign w:val="center"/>
          </w:tcPr>
          <w:p w14:paraId="514DE14A" w14:textId="5B1862E8"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 xml:space="preserve">  2,415</w:t>
            </w:r>
          </w:p>
        </w:tc>
        <w:tc>
          <w:tcPr>
            <w:tcW w:w="811" w:type="dxa"/>
            <w:vAlign w:val="center"/>
          </w:tcPr>
          <w:p w14:paraId="33C8C074" w14:textId="733856BD"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2,377</w:t>
            </w:r>
          </w:p>
        </w:tc>
        <w:tc>
          <w:tcPr>
            <w:tcW w:w="811" w:type="dxa"/>
            <w:vAlign w:val="center"/>
          </w:tcPr>
          <w:p w14:paraId="378C038C" w14:textId="0D81D26A"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2,279</w:t>
            </w:r>
          </w:p>
        </w:tc>
        <w:tc>
          <w:tcPr>
            <w:tcW w:w="811" w:type="dxa"/>
            <w:vAlign w:val="center"/>
          </w:tcPr>
          <w:p w14:paraId="1170F0CC" w14:textId="4D091424"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2,052</w:t>
            </w:r>
          </w:p>
        </w:tc>
        <w:tc>
          <w:tcPr>
            <w:tcW w:w="811" w:type="dxa"/>
            <w:vAlign w:val="center"/>
          </w:tcPr>
          <w:p w14:paraId="34D27AE8" w14:textId="77777777"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 xml:space="preserve">  2,236</w:t>
            </w:r>
          </w:p>
        </w:tc>
        <w:tc>
          <w:tcPr>
            <w:tcW w:w="811" w:type="dxa"/>
            <w:vAlign w:val="center"/>
          </w:tcPr>
          <w:p w14:paraId="09C1E3FC" w14:textId="6E1B426E" w:rsidR="00B61C32" w:rsidRPr="00722C19" w:rsidRDefault="00B61C32" w:rsidP="003E5E8B">
            <w:pPr>
              <w:pStyle w:val="ExhibitText"/>
              <w:tabs>
                <w:tab w:val="decimal" w:pos="418"/>
              </w:tabs>
              <w:jc w:val="right"/>
              <w:rPr>
                <w:spacing w:val="-6"/>
                <w:sz w:val="16"/>
                <w:szCs w:val="15"/>
                <w:lang w:val="en-GB"/>
              </w:rPr>
            </w:pPr>
            <w:r w:rsidRPr="00722C19">
              <w:rPr>
                <w:spacing w:val="-6"/>
                <w:sz w:val="16"/>
                <w:szCs w:val="15"/>
                <w:lang w:val="en-GB"/>
              </w:rPr>
              <w:t xml:space="preserve">  1,867</w:t>
            </w:r>
          </w:p>
        </w:tc>
      </w:tr>
      <w:tr w:rsidR="00812F25" w:rsidRPr="008224C6" w14:paraId="4729E7A4" w14:textId="77777777" w:rsidTr="003E5E8B">
        <w:trPr>
          <w:trHeight w:val="369"/>
        </w:trPr>
        <w:tc>
          <w:tcPr>
            <w:tcW w:w="1181" w:type="dxa"/>
          </w:tcPr>
          <w:p w14:paraId="26F2F5EE" w14:textId="1829D43B" w:rsidR="00B61C32" w:rsidRPr="00722C19" w:rsidRDefault="00B61C32" w:rsidP="00812F25">
            <w:pPr>
              <w:pStyle w:val="ExhibitText"/>
              <w:jc w:val="left"/>
              <w:rPr>
                <w:b/>
                <w:spacing w:val="-6"/>
                <w:sz w:val="16"/>
                <w:szCs w:val="15"/>
                <w:lang w:val="en-GB"/>
              </w:rPr>
            </w:pPr>
            <w:r w:rsidRPr="006446B8">
              <w:rPr>
                <w:b/>
                <w:spacing w:val="-6"/>
                <w:sz w:val="16"/>
                <w:szCs w:val="15"/>
                <w:lang w:val="en-GB"/>
              </w:rPr>
              <w:t>Total Revenues</w:t>
            </w:r>
          </w:p>
        </w:tc>
        <w:tc>
          <w:tcPr>
            <w:tcW w:w="811" w:type="dxa"/>
            <w:vAlign w:val="center"/>
          </w:tcPr>
          <w:p w14:paraId="51D1636E" w14:textId="2E5D6DAF" w:rsidR="00B61C32" w:rsidRPr="00722C19" w:rsidRDefault="00B61C32" w:rsidP="003E5E8B">
            <w:pPr>
              <w:pStyle w:val="ExhibitText"/>
              <w:tabs>
                <w:tab w:val="decimal" w:pos="504"/>
              </w:tabs>
              <w:jc w:val="right"/>
              <w:rPr>
                <w:b/>
                <w:spacing w:val="-6"/>
                <w:sz w:val="16"/>
                <w:szCs w:val="15"/>
                <w:lang w:val="en-GB"/>
              </w:rPr>
            </w:pPr>
            <w:r w:rsidRPr="00722C19">
              <w:rPr>
                <w:b/>
                <w:spacing w:val="-6"/>
                <w:sz w:val="16"/>
                <w:szCs w:val="15"/>
                <w:lang w:val="en-GB"/>
              </w:rPr>
              <w:t>23,510</w:t>
            </w:r>
          </w:p>
        </w:tc>
        <w:tc>
          <w:tcPr>
            <w:tcW w:w="811" w:type="dxa"/>
            <w:vAlign w:val="center"/>
          </w:tcPr>
          <w:p w14:paraId="68E06719" w14:textId="7F553C47" w:rsidR="00B61C32" w:rsidRPr="00722C19" w:rsidRDefault="00B61C32" w:rsidP="003E5E8B">
            <w:pPr>
              <w:pStyle w:val="ExhibitText"/>
              <w:tabs>
                <w:tab w:val="decimal" w:pos="498"/>
              </w:tabs>
              <w:jc w:val="right"/>
              <w:rPr>
                <w:b/>
                <w:spacing w:val="-6"/>
                <w:sz w:val="16"/>
                <w:szCs w:val="15"/>
                <w:lang w:val="en-GB"/>
              </w:rPr>
            </w:pPr>
            <w:r w:rsidRPr="00722C19">
              <w:rPr>
                <w:b/>
                <w:spacing w:val="-6"/>
                <w:sz w:val="16"/>
                <w:szCs w:val="15"/>
                <w:lang w:val="en-GB"/>
              </w:rPr>
              <w:t>23,689</w:t>
            </w:r>
          </w:p>
        </w:tc>
        <w:tc>
          <w:tcPr>
            <w:tcW w:w="811" w:type="dxa"/>
            <w:vAlign w:val="center"/>
          </w:tcPr>
          <w:p w14:paraId="03E018C1" w14:textId="2DDE88B1" w:rsidR="00B61C32" w:rsidRPr="00722C19" w:rsidRDefault="00B61C32" w:rsidP="003E5E8B">
            <w:pPr>
              <w:pStyle w:val="ExhibitText"/>
              <w:tabs>
                <w:tab w:val="decimal" w:pos="484"/>
              </w:tabs>
              <w:jc w:val="right"/>
              <w:rPr>
                <w:b/>
                <w:spacing w:val="-6"/>
                <w:sz w:val="16"/>
                <w:szCs w:val="15"/>
                <w:lang w:val="en-GB"/>
              </w:rPr>
            </w:pPr>
            <w:r w:rsidRPr="00722C19">
              <w:rPr>
                <w:b/>
                <w:spacing w:val="-6"/>
                <w:sz w:val="16"/>
                <w:szCs w:val="15"/>
                <w:lang w:val="en-GB"/>
              </w:rPr>
              <w:t>23,264</w:t>
            </w:r>
          </w:p>
        </w:tc>
        <w:tc>
          <w:tcPr>
            <w:tcW w:w="811" w:type="dxa"/>
            <w:vAlign w:val="center"/>
          </w:tcPr>
          <w:p w14:paraId="47226274" w14:textId="765915B8" w:rsidR="00B61C32" w:rsidRPr="00722C19" w:rsidRDefault="00B61C32" w:rsidP="003E5E8B">
            <w:pPr>
              <w:pStyle w:val="ExhibitText"/>
              <w:tabs>
                <w:tab w:val="decimal" w:pos="478"/>
              </w:tabs>
              <w:jc w:val="right"/>
              <w:rPr>
                <w:b/>
                <w:spacing w:val="-6"/>
                <w:sz w:val="16"/>
                <w:szCs w:val="15"/>
                <w:lang w:val="en-GB"/>
              </w:rPr>
            </w:pPr>
            <w:r w:rsidRPr="00722C19">
              <w:rPr>
                <w:b/>
                <w:spacing w:val="-6"/>
                <w:sz w:val="16"/>
                <w:szCs w:val="15"/>
                <w:lang w:val="en-GB"/>
              </w:rPr>
              <w:t>21,152</w:t>
            </w:r>
          </w:p>
        </w:tc>
        <w:tc>
          <w:tcPr>
            <w:tcW w:w="811" w:type="dxa"/>
            <w:vAlign w:val="center"/>
          </w:tcPr>
          <w:p w14:paraId="0D27DAC7" w14:textId="0665ED2B" w:rsidR="00B61C32" w:rsidRPr="00722C19" w:rsidRDefault="00B61C32" w:rsidP="003E5E8B">
            <w:pPr>
              <w:pStyle w:val="ExhibitText"/>
              <w:tabs>
                <w:tab w:val="decimal" w:pos="464"/>
              </w:tabs>
              <w:jc w:val="right"/>
              <w:rPr>
                <w:b/>
                <w:spacing w:val="-6"/>
                <w:sz w:val="16"/>
                <w:szCs w:val="15"/>
                <w:lang w:val="en-GB"/>
              </w:rPr>
            </w:pPr>
            <w:r w:rsidRPr="00722C19">
              <w:rPr>
                <w:b/>
                <w:spacing w:val="-6"/>
                <w:sz w:val="16"/>
                <w:szCs w:val="15"/>
                <w:lang w:val="en-GB"/>
              </w:rPr>
              <w:t>20,356</w:t>
            </w:r>
          </w:p>
        </w:tc>
        <w:tc>
          <w:tcPr>
            <w:tcW w:w="811" w:type="dxa"/>
            <w:vAlign w:val="center"/>
          </w:tcPr>
          <w:p w14:paraId="4D00C794" w14:textId="07C7A97F" w:rsidR="00B61C32" w:rsidRPr="00722C19" w:rsidRDefault="00B61C32" w:rsidP="003E5E8B">
            <w:pPr>
              <w:pStyle w:val="ExhibitText"/>
              <w:tabs>
                <w:tab w:val="decimal" w:pos="456"/>
              </w:tabs>
              <w:jc w:val="right"/>
              <w:rPr>
                <w:b/>
                <w:spacing w:val="-6"/>
                <w:sz w:val="16"/>
                <w:szCs w:val="15"/>
                <w:lang w:val="en-GB"/>
              </w:rPr>
            </w:pPr>
            <w:r w:rsidRPr="00722C19">
              <w:rPr>
                <w:b/>
                <w:spacing w:val="-6"/>
                <w:sz w:val="16"/>
                <w:szCs w:val="15"/>
                <w:lang w:val="en-GB"/>
              </w:rPr>
              <w:t>19,436</w:t>
            </w:r>
          </w:p>
        </w:tc>
        <w:tc>
          <w:tcPr>
            <w:tcW w:w="811" w:type="dxa"/>
            <w:vAlign w:val="center"/>
          </w:tcPr>
          <w:p w14:paraId="31F556F4" w14:textId="15323180" w:rsidR="00B61C32" w:rsidRPr="00722C19" w:rsidRDefault="00B61C32" w:rsidP="003E5E8B">
            <w:pPr>
              <w:pStyle w:val="ExhibitText"/>
              <w:tabs>
                <w:tab w:val="decimal" w:pos="540"/>
              </w:tabs>
              <w:jc w:val="right"/>
              <w:rPr>
                <w:b/>
                <w:spacing w:val="-6"/>
                <w:sz w:val="16"/>
                <w:szCs w:val="15"/>
                <w:lang w:val="en-GB"/>
              </w:rPr>
            </w:pPr>
            <w:r w:rsidRPr="00722C19">
              <w:rPr>
                <w:b/>
                <w:spacing w:val="-6"/>
                <w:sz w:val="16"/>
                <w:szCs w:val="15"/>
                <w:lang w:val="en-GB"/>
              </w:rPr>
              <w:t>18,714</w:t>
            </w:r>
          </w:p>
        </w:tc>
        <w:tc>
          <w:tcPr>
            <w:tcW w:w="811" w:type="dxa"/>
            <w:vAlign w:val="center"/>
          </w:tcPr>
          <w:p w14:paraId="2C158E7B" w14:textId="785D4EB7" w:rsidR="00B61C32" w:rsidRPr="00722C19" w:rsidRDefault="00B61C32" w:rsidP="003E5E8B">
            <w:pPr>
              <w:pStyle w:val="ExhibitText"/>
              <w:tabs>
                <w:tab w:val="decimal" w:pos="528"/>
              </w:tabs>
              <w:jc w:val="right"/>
              <w:rPr>
                <w:b/>
                <w:spacing w:val="-6"/>
                <w:sz w:val="16"/>
                <w:szCs w:val="15"/>
                <w:lang w:val="en-GB"/>
              </w:rPr>
            </w:pPr>
            <w:r w:rsidRPr="00722C19">
              <w:rPr>
                <w:b/>
                <w:spacing w:val="-6"/>
                <w:sz w:val="16"/>
                <w:szCs w:val="15"/>
                <w:lang w:val="en-GB"/>
              </w:rPr>
              <w:t>17,162</w:t>
            </w:r>
          </w:p>
        </w:tc>
        <w:tc>
          <w:tcPr>
            <w:tcW w:w="811" w:type="dxa"/>
            <w:vAlign w:val="center"/>
          </w:tcPr>
          <w:p w14:paraId="5207D53B" w14:textId="3F89CD88" w:rsidR="00B61C32" w:rsidRPr="00722C19" w:rsidRDefault="00B61C32" w:rsidP="003E5E8B">
            <w:pPr>
              <w:pStyle w:val="ExhibitText"/>
              <w:tabs>
                <w:tab w:val="decimal" w:pos="514"/>
              </w:tabs>
              <w:jc w:val="right"/>
              <w:rPr>
                <w:b/>
                <w:spacing w:val="-6"/>
                <w:sz w:val="16"/>
                <w:szCs w:val="15"/>
                <w:lang w:val="en-GB"/>
              </w:rPr>
            </w:pPr>
            <w:r w:rsidRPr="00722C19">
              <w:rPr>
                <w:b/>
                <w:spacing w:val="-6"/>
                <w:sz w:val="16"/>
                <w:szCs w:val="15"/>
                <w:lang w:val="en-GB"/>
              </w:rPr>
              <w:t>16,209</w:t>
            </w:r>
          </w:p>
        </w:tc>
        <w:tc>
          <w:tcPr>
            <w:tcW w:w="811" w:type="dxa"/>
            <w:vAlign w:val="center"/>
          </w:tcPr>
          <w:p w14:paraId="118C1C64" w14:textId="369E1AED" w:rsidR="00B61C32" w:rsidRPr="00722C19" w:rsidRDefault="00B61C32" w:rsidP="003E5E8B">
            <w:pPr>
              <w:pStyle w:val="ExhibitText"/>
              <w:tabs>
                <w:tab w:val="decimal" w:pos="418"/>
              </w:tabs>
              <w:jc w:val="right"/>
              <w:rPr>
                <w:b/>
                <w:spacing w:val="-6"/>
                <w:sz w:val="16"/>
                <w:szCs w:val="15"/>
                <w:lang w:val="en-GB"/>
              </w:rPr>
            </w:pPr>
            <w:r w:rsidRPr="00722C19">
              <w:rPr>
                <w:b/>
                <w:spacing w:val="-6"/>
                <w:sz w:val="16"/>
                <w:szCs w:val="15"/>
                <w:lang w:val="en-GB"/>
              </w:rPr>
              <w:t>15,857</w:t>
            </w:r>
          </w:p>
        </w:tc>
      </w:tr>
      <w:tr w:rsidR="00812F25" w:rsidRPr="008224C6" w14:paraId="638C1214" w14:textId="77777777" w:rsidTr="003E5E8B">
        <w:trPr>
          <w:trHeight w:val="363"/>
        </w:trPr>
        <w:tc>
          <w:tcPr>
            <w:tcW w:w="1181" w:type="dxa"/>
          </w:tcPr>
          <w:p w14:paraId="7CBA2E29"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Operating Expenses</w:t>
            </w:r>
          </w:p>
        </w:tc>
        <w:tc>
          <w:tcPr>
            <w:tcW w:w="811" w:type="dxa"/>
            <w:vAlign w:val="center"/>
          </w:tcPr>
          <w:p w14:paraId="0D89CD2A" w14:textId="54B2C5F3"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(14,068)</w:t>
            </w:r>
          </w:p>
        </w:tc>
        <w:tc>
          <w:tcPr>
            <w:tcW w:w="811" w:type="dxa"/>
            <w:vAlign w:val="center"/>
          </w:tcPr>
          <w:p w14:paraId="7A9077E1" w14:textId="0BEBA6DF"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(13,571)</w:t>
            </w:r>
          </w:p>
        </w:tc>
        <w:tc>
          <w:tcPr>
            <w:tcW w:w="811" w:type="dxa"/>
            <w:vAlign w:val="center"/>
          </w:tcPr>
          <w:p w14:paraId="1353F8B7" w14:textId="2CBCB59E"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(13,150)</w:t>
            </w:r>
          </w:p>
        </w:tc>
        <w:tc>
          <w:tcPr>
            <w:tcW w:w="811" w:type="dxa"/>
            <w:vAlign w:val="center"/>
          </w:tcPr>
          <w:p w14:paraId="17792F44" w14:textId="04FAFAE3"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(11,794)</w:t>
            </w:r>
          </w:p>
        </w:tc>
        <w:tc>
          <w:tcPr>
            <w:tcW w:w="811" w:type="dxa"/>
            <w:vAlign w:val="center"/>
          </w:tcPr>
          <w:p w14:paraId="1F1712AE" w14:textId="4644A83E"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(11,261)</w:t>
            </w:r>
          </w:p>
        </w:tc>
        <w:tc>
          <w:tcPr>
            <w:tcW w:w="811" w:type="dxa"/>
            <w:vAlign w:val="center"/>
          </w:tcPr>
          <w:p w14:paraId="533461EB" w14:textId="33CEA4A9"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(10,535)</w:t>
            </w:r>
          </w:p>
        </w:tc>
        <w:tc>
          <w:tcPr>
            <w:tcW w:w="811" w:type="dxa"/>
            <w:vAlign w:val="center"/>
          </w:tcPr>
          <w:p w14:paraId="1B9D63DE" w14:textId="5E4C88EF"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(10,282)</w:t>
            </w:r>
          </w:p>
        </w:tc>
        <w:tc>
          <w:tcPr>
            <w:tcW w:w="811" w:type="dxa"/>
            <w:vAlign w:val="center"/>
          </w:tcPr>
          <w:p w14:paraId="000CF9EB" w14:textId="0D06DBEC"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(9,888)</w:t>
            </w:r>
          </w:p>
        </w:tc>
        <w:tc>
          <w:tcPr>
            <w:tcW w:w="811" w:type="dxa"/>
            <w:vAlign w:val="center"/>
          </w:tcPr>
          <w:p w14:paraId="0CDC5DAD" w14:textId="16876D58"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(9,556)</w:t>
            </w:r>
          </w:p>
        </w:tc>
        <w:tc>
          <w:tcPr>
            <w:tcW w:w="811" w:type="dxa"/>
            <w:vAlign w:val="center"/>
          </w:tcPr>
          <w:p w14:paraId="7D027D41" w14:textId="63A46C69" w:rsidR="00B61C32" w:rsidRPr="00722C19" w:rsidRDefault="008A7837" w:rsidP="003E5E8B">
            <w:pPr>
              <w:pStyle w:val="ExhibitText"/>
              <w:jc w:val="right"/>
              <w:rPr>
                <w:spacing w:val="-6"/>
                <w:sz w:val="16"/>
                <w:szCs w:val="15"/>
                <w:lang w:val="en-GB"/>
              </w:rPr>
            </w:pPr>
            <w:r>
              <w:rPr>
                <w:spacing w:val="-6"/>
                <w:sz w:val="16"/>
                <w:szCs w:val="15"/>
                <w:lang w:val="en-GB"/>
              </w:rPr>
              <w:t>N/A</w:t>
            </w:r>
          </w:p>
        </w:tc>
      </w:tr>
      <w:tr w:rsidR="00812F25" w:rsidRPr="008224C6" w14:paraId="6CDE26E1" w14:textId="77777777" w:rsidTr="003E5E8B">
        <w:trPr>
          <w:trHeight w:val="188"/>
        </w:trPr>
        <w:tc>
          <w:tcPr>
            <w:tcW w:w="1181" w:type="dxa"/>
          </w:tcPr>
          <w:p w14:paraId="0F9E6D73"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SG&amp;A</w:t>
            </w:r>
          </w:p>
        </w:tc>
        <w:tc>
          <w:tcPr>
            <w:tcW w:w="811" w:type="dxa"/>
            <w:vAlign w:val="center"/>
          </w:tcPr>
          <w:p w14:paraId="4BD982A2" w14:textId="2127F5F4"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(2,647)</w:t>
            </w:r>
          </w:p>
        </w:tc>
        <w:tc>
          <w:tcPr>
            <w:tcW w:w="811" w:type="dxa"/>
            <w:vAlign w:val="center"/>
          </w:tcPr>
          <w:p w14:paraId="727560FB" w14:textId="7B6D6F77"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(2,705)</w:t>
            </w:r>
          </w:p>
        </w:tc>
        <w:tc>
          <w:tcPr>
            <w:tcW w:w="811" w:type="dxa"/>
            <w:vAlign w:val="center"/>
          </w:tcPr>
          <w:p w14:paraId="1C167F1D" w14:textId="5F166D5D"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(2,869)</w:t>
            </w:r>
          </w:p>
        </w:tc>
        <w:tc>
          <w:tcPr>
            <w:tcW w:w="811" w:type="dxa"/>
            <w:vAlign w:val="center"/>
          </w:tcPr>
          <w:p w14:paraId="26172DD0" w14:textId="3DB8C982"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(2,643)</w:t>
            </w:r>
          </w:p>
        </w:tc>
        <w:tc>
          <w:tcPr>
            <w:tcW w:w="811" w:type="dxa"/>
            <w:vAlign w:val="center"/>
          </w:tcPr>
          <w:p w14:paraId="624559D4" w14:textId="27CD03C1"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(2,768)</w:t>
            </w:r>
          </w:p>
        </w:tc>
        <w:tc>
          <w:tcPr>
            <w:tcW w:w="811" w:type="dxa"/>
            <w:vAlign w:val="center"/>
          </w:tcPr>
          <w:p w14:paraId="19940EFB" w14:textId="11D3BCAE"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(2,651)</w:t>
            </w:r>
          </w:p>
        </w:tc>
        <w:tc>
          <w:tcPr>
            <w:tcW w:w="811" w:type="dxa"/>
            <w:vAlign w:val="center"/>
          </w:tcPr>
          <w:p w14:paraId="600F7B6A" w14:textId="2A206393"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(2,633)</w:t>
            </w:r>
          </w:p>
        </w:tc>
        <w:tc>
          <w:tcPr>
            <w:tcW w:w="811" w:type="dxa"/>
            <w:vAlign w:val="center"/>
          </w:tcPr>
          <w:p w14:paraId="4CFE6F3E" w14:textId="23379EB1"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(2,358)</w:t>
            </w:r>
          </w:p>
        </w:tc>
        <w:tc>
          <w:tcPr>
            <w:tcW w:w="811" w:type="dxa"/>
            <w:vAlign w:val="center"/>
          </w:tcPr>
          <w:p w14:paraId="57FE8047" w14:textId="2759A703"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(2,249)</w:t>
            </w:r>
          </w:p>
        </w:tc>
        <w:tc>
          <w:tcPr>
            <w:tcW w:w="811" w:type="dxa"/>
            <w:vAlign w:val="center"/>
          </w:tcPr>
          <w:p w14:paraId="598C0D11" w14:textId="5509910C" w:rsidR="00B61C32" w:rsidRPr="00722C19" w:rsidRDefault="008A7837" w:rsidP="003E5E8B">
            <w:pPr>
              <w:pStyle w:val="ExhibitText"/>
              <w:jc w:val="right"/>
              <w:rPr>
                <w:spacing w:val="-6"/>
                <w:sz w:val="16"/>
                <w:szCs w:val="15"/>
                <w:lang w:val="en-GB"/>
              </w:rPr>
            </w:pPr>
            <w:r>
              <w:rPr>
                <w:spacing w:val="-6"/>
                <w:sz w:val="16"/>
                <w:szCs w:val="15"/>
                <w:lang w:val="en-GB"/>
              </w:rPr>
              <w:t>N/A</w:t>
            </w:r>
          </w:p>
        </w:tc>
      </w:tr>
      <w:tr w:rsidR="00812F25" w:rsidRPr="008224C6" w14:paraId="1BF27C59" w14:textId="77777777" w:rsidTr="003E5E8B">
        <w:trPr>
          <w:trHeight w:val="369"/>
        </w:trPr>
        <w:tc>
          <w:tcPr>
            <w:tcW w:w="1181" w:type="dxa"/>
          </w:tcPr>
          <w:p w14:paraId="2186808C" w14:textId="50208B41" w:rsidR="00B61C32" w:rsidRPr="00722C19" w:rsidRDefault="00B61C32" w:rsidP="00812F25">
            <w:pPr>
              <w:pStyle w:val="ExhibitText"/>
              <w:jc w:val="left"/>
              <w:rPr>
                <w:spacing w:val="-6"/>
                <w:sz w:val="16"/>
                <w:szCs w:val="15"/>
                <w:lang w:val="en-GB"/>
              </w:rPr>
            </w:pPr>
            <w:r w:rsidRPr="00722C19">
              <w:rPr>
                <w:spacing w:val="-6"/>
                <w:sz w:val="16"/>
                <w:szCs w:val="15"/>
                <w:lang w:val="en-GB"/>
              </w:rPr>
              <w:t>Depr</w:t>
            </w:r>
            <w:r w:rsidR="004B5D95">
              <w:rPr>
                <w:spacing w:val="-6"/>
                <w:sz w:val="16"/>
                <w:szCs w:val="15"/>
                <w:lang w:val="en-GB"/>
              </w:rPr>
              <w:t>eciation</w:t>
            </w:r>
            <w:r w:rsidRPr="00722C19">
              <w:rPr>
                <w:spacing w:val="-6"/>
                <w:sz w:val="16"/>
                <w:szCs w:val="15"/>
                <w:lang w:val="en-GB"/>
              </w:rPr>
              <w:t xml:space="preserve"> and Amort</w:t>
            </w:r>
            <w:r w:rsidR="004B5D95">
              <w:rPr>
                <w:spacing w:val="-6"/>
                <w:sz w:val="16"/>
                <w:szCs w:val="15"/>
                <w:lang w:val="en-GB"/>
              </w:rPr>
              <w:t>ization</w:t>
            </w:r>
          </w:p>
        </w:tc>
        <w:tc>
          <w:tcPr>
            <w:tcW w:w="811" w:type="dxa"/>
            <w:vAlign w:val="center"/>
          </w:tcPr>
          <w:p w14:paraId="3FFE499C" w14:textId="25AFA322"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(237)</w:t>
            </w:r>
          </w:p>
        </w:tc>
        <w:tc>
          <w:tcPr>
            <w:tcW w:w="811" w:type="dxa"/>
            <w:vAlign w:val="center"/>
          </w:tcPr>
          <w:p w14:paraId="195ABBD8" w14:textId="6DDE2BB8" w:rsidR="00B61C32" w:rsidRPr="00722C19" w:rsidRDefault="00812F25" w:rsidP="003E5E8B">
            <w:pPr>
              <w:pStyle w:val="ExhibitText"/>
              <w:tabs>
                <w:tab w:val="decimal" w:pos="498"/>
              </w:tabs>
              <w:jc w:val="right"/>
              <w:rPr>
                <w:spacing w:val="-6"/>
                <w:sz w:val="16"/>
                <w:szCs w:val="15"/>
                <w:lang w:val="en-GB"/>
              </w:rPr>
            </w:pPr>
            <w:r w:rsidRPr="00722C19">
              <w:rPr>
                <w:spacing w:val="-6"/>
                <w:sz w:val="16"/>
                <w:szCs w:val="15"/>
                <w:lang w:val="en-GB"/>
              </w:rPr>
              <w:t>(</w:t>
            </w:r>
            <w:r w:rsidR="00B61C32" w:rsidRPr="00722C19">
              <w:rPr>
                <w:spacing w:val="-6"/>
                <w:sz w:val="16"/>
                <w:szCs w:val="15"/>
                <w:lang w:val="en-GB"/>
              </w:rPr>
              <w:t>255)</w:t>
            </w:r>
          </w:p>
        </w:tc>
        <w:tc>
          <w:tcPr>
            <w:tcW w:w="811" w:type="dxa"/>
            <w:vAlign w:val="center"/>
          </w:tcPr>
          <w:p w14:paraId="48E4FC99" w14:textId="35AE3F7C"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 xml:space="preserve"> (266)</w:t>
            </w:r>
          </w:p>
        </w:tc>
        <w:tc>
          <w:tcPr>
            <w:tcW w:w="811" w:type="dxa"/>
            <w:vAlign w:val="center"/>
          </w:tcPr>
          <w:p w14:paraId="13BB5D17" w14:textId="3FB4D549"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 xml:space="preserve"> (250)</w:t>
            </w:r>
          </w:p>
        </w:tc>
        <w:tc>
          <w:tcPr>
            <w:tcW w:w="811" w:type="dxa"/>
            <w:vAlign w:val="center"/>
          </w:tcPr>
          <w:p w14:paraId="15EEF73A" w14:textId="142037D5"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 xml:space="preserve"> (251)</w:t>
            </w:r>
          </w:p>
        </w:tc>
        <w:tc>
          <w:tcPr>
            <w:tcW w:w="811" w:type="dxa"/>
            <w:vAlign w:val="center"/>
          </w:tcPr>
          <w:p w14:paraId="0B8F2492" w14:textId="53BBB2C0"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 xml:space="preserve"> (258)</w:t>
            </w:r>
          </w:p>
        </w:tc>
        <w:tc>
          <w:tcPr>
            <w:tcW w:w="811" w:type="dxa"/>
            <w:vAlign w:val="center"/>
          </w:tcPr>
          <w:p w14:paraId="0D7AA6DF" w14:textId="76E1664F"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 xml:space="preserve"> (237)</w:t>
            </w:r>
          </w:p>
        </w:tc>
        <w:tc>
          <w:tcPr>
            <w:tcW w:w="811" w:type="dxa"/>
            <w:vAlign w:val="center"/>
          </w:tcPr>
          <w:p w14:paraId="35606479" w14:textId="518AF1F4"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 xml:space="preserve"> (222)</w:t>
            </w:r>
          </w:p>
        </w:tc>
        <w:tc>
          <w:tcPr>
            <w:tcW w:w="811" w:type="dxa"/>
            <w:vAlign w:val="center"/>
          </w:tcPr>
          <w:p w14:paraId="4DFB36EB" w14:textId="0733D09C" w:rsidR="00B61C32" w:rsidRPr="00722C19" w:rsidRDefault="00812F25" w:rsidP="003E5E8B">
            <w:pPr>
              <w:pStyle w:val="ExhibitText"/>
              <w:tabs>
                <w:tab w:val="decimal" w:pos="514"/>
              </w:tabs>
              <w:jc w:val="right"/>
              <w:rPr>
                <w:spacing w:val="-6"/>
                <w:sz w:val="16"/>
                <w:szCs w:val="15"/>
                <w:lang w:val="en-GB"/>
              </w:rPr>
            </w:pPr>
            <w:r w:rsidRPr="00722C19">
              <w:rPr>
                <w:spacing w:val="-6"/>
                <w:sz w:val="16"/>
                <w:szCs w:val="15"/>
                <w:lang w:val="en-GB"/>
              </w:rPr>
              <w:t>(206)</w:t>
            </w:r>
          </w:p>
        </w:tc>
        <w:tc>
          <w:tcPr>
            <w:tcW w:w="811" w:type="dxa"/>
            <w:vAlign w:val="center"/>
          </w:tcPr>
          <w:p w14:paraId="3976C1B8" w14:textId="46B01E48" w:rsidR="00B61C32" w:rsidRPr="006446B8" w:rsidRDefault="008A7837" w:rsidP="003E5E8B">
            <w:pPr>
              <w:pStyle w:val="ExhibitText"/>
              <w:jc w:val="right"/>
              <w:rPr>
                <w:spacing w:val="-6"/>
                <w:sz w:val="16"/>
                <w:szCs w:val="15"/>
                <w:lang w:val="en-GB"/>
              </w:rPr>
            </w:pPr>
            <w:r>
              <w:rPr>
                <w:spacing w:val="-6"/>
                <w:sz w:val="16"/>
                <w:szCs w:val="15"/>
                <w:lang w:val="en-GB"/>
              </w:rPr>
              <w:t>N/A</w:t>
            </w:r>
          </w:p>
        </w:tc>
      </w:tr>
      <w:tr w:rsidR="00812F25" w:rsidRPr="008224C6" w14:paraId="4A73AA31" w14:textId="77777777" w:rsidTr="003E5E8B">
        <w:trPr>
          <w:trHeight w:val="369"/>
        </w:trPr>
        <w:tc>
          <w:tcPr>
            <w:tcW w:w="1181" w:type="dxa"/>
          </w:tcPr>
          <w:p w14:paraId="40992744" w14:textId="77777777" w:rsidR="00B61C32" w:rsidRPr="00722C19" w:rsidRDefault="00B61C32" w:rsidP="00812F25">
            <w:pPr>
              <w:pStyle w:val="ExhibitText"/>
              <w:jc w:val="left"/>
              <w:rPr>
                <w:spacing w:val="-6"/>
                <w:sz w:val="16"/>
                <w:szCs w:val="15"/>
                <w:lang w:val="en-GB"/>
              </w:rPr>
            </w:pPr>
            <w:r w:rsidRPr="00722C19">
              <w:rPr>
                <w:spacing w:val="-6"/>
                <w:sz w:val="16"/>
                <w:szCs w:val="15"/>
                <w:lang w:val="en-GB"/>
              </w:rPr>
              <w:t>Equity -income of investees</w:t>
            </w:r>
          </w:p>
        </w:tc>
        <w:tc>
          <w:tcPr>
            <w:tcW w:w="811" w:type="dxa"/>
            <w:vAlign w:val="center"/>
          </w:tcPr>
          <w:p w14:paraId="4E8439BD" w14:textId="13CF616E" w:rsidR="00B61C32" w:rsidRPr="00722C19" w:rsidRDefault="00B61C32" w:rsidP="003E5E8B">
            <w:pPr>
              <w:pStyle w:val="ExhibitText"/>
              <w:tabs>
                <w:tab w:val="decimal" w:pos="504"/>
              </w:tabs>
              <w:jc w:val="right"/>
              <w:rPr>
                <w:spacing w:val="-6"/>
                <w:sz w:val="16"/>
                <w:szCs w:val="15"/>
                <w:lang w:val="en-GB"/>
              </w:rPr>
            </w:pPr>
            <w:r w:rsidRPr="00722C19">
              <w:rPr>
                <w:spacing w:val="-6"/>
                <w:sz w:val="16"/>
                <w:szCs w:val="15"/>
                <w:lang w:val="en-GB"/>
              </w:rPr>
              <w:t>344</w:t>
            </w:r>
          </w:p>
        </w:tc>
        <w:tc>
          <w:tcPr>
            <w:tcW w:w="811" w:type="dxa"/>
            <w:vAlign w:val="center"/>
          </w:tcPr>
          <w:p w14:paraId="41A7DFED" w14:textId="2FAB5099" w:rsidR="00B61C32" w:rsidRPr="00722C19" w:rsidRDefault="00B61C32" w:rsidP="003E5E8B">
            <w:pPr>
              <w:pStyle w:val="ExhibitText"/>
              <w:tabs>
                <w:tab w:val="decimal" w:pos="498"/>
              </w:tabs>
              <w:jc w:val="right"/>
              <w:rPr>
                <w:spacing w:val="-6"/>
                <w:sz w:val="16"/>
                <w:szCs w:val="15"/>
                <w:lang w:val="en-GB"/>
              </w:rPr>
            </w:pPr>
            <w:r w:rsidRPr="00722C19">
              <w:rPr>
                <w:spacing w:val="-6"/>
                <w:sz w:val="16"/>
                <w:szCs w:val="15"/>
                <w:lang w:val="en-GB"/>
              </w:rPr>
              <w:t>597</w:t>
            </w:r>
          </w:p>
        </w:tc>
        <w:tc>
          <w:tcPr>
            <w:tcW w:w="811" w:type="dxa"/>
            <w:vAlign w:val="center"/>
          </w:tcPr>
          <w:p w14:paraId="60465FE3" w14:textId="7E562E20" w:rsidR="00B61C32" w:rsidRPr="00722C19" w:rsidRDefault="00B61C32" w:rsidP="003E5E8B">
            <w:pPr>
              <w:pStyle w:val="ExhibitText"/>
              <w:tabs>
                <w:tab w:val="decimal" w:pos="484"/>
              </w:tabs>
              <w:jc w:val="right"/>
              <w:rPr>
                <w:spacing w:val="-6"/>
                <w:sz w:val="16"/>
                <w:szCs w:val="15"/>
                <w:lang w:val="en-GB"/>
              </w:rPr>
            </w:pPr>
            <w:r w:rsidRPr="00722C19">
              <w:rPr>
                <w:spacing w:val="-6"/>
                <w:sz w:val="16"/>
                <w:szCs w:val="15"/>
                <w:lang w:val="en-GB"/>
              </w:rPr>
              <w:t>814</w:t>
            </w:r>
          </w:p>
        </w:tc>
        <w:tc>
          <w:tcPr>
            <w:tcW w:w="811" w:type="dxa"/>
            <w:vAlign w:val="center"/>
          </w:tcPr>
          <w:p w14:paraId="06D96AAC" w14:textId="1A470AD3" w:rsidR="00B61C32" w:rsidRPr="00722C19" w:rsidRDefault="00B61C32" w:rsidP="003E5E8B">
            <w:pPr>
              <w:pStyle w:val="ExhibitText"/>
              <w:tabs>
                <w:tab w:val="decimal" w:pos="478"/>
              </w:tabs>
              <w:jc w:val="right"/>
              <w:rPr>
                <w:spacing w:val="-6"/>
                <w:sz w:val="16"/>
                <w:szCs w:val="15"/>
                <w:lang w:val="en-GB"/>
              </w:rPr>
            </w:pPr>
            <w:r w:rsidRPr="00722C19">
              <w:rPr>
                <w:spacing w:val="-6"/>
                <w:sz w:val="16"/>
                <w:szCs w:val="15"/>
                <w:lang w:val="en-GB"/>
              </w:rPr>
              <w:t>856</w:t>
            </w:r>
          </w:p>
        </w:tc>
        <w:tc>
          <w:tcPr>
            <w:tcW w:w="811" w:type="dxa"/>
            <w:vAlign w:val="center"/>
          </w:tcPr>
          <w:p w14:paraId="5DDE0ED7" w14:textId="640B638B" w:rsidR="00B61C32" w:rsidRPr="00722C19" w:rsidRDefault="00B61C32" w:rsidP="003E5E8B">
            <w:pPr>
              <w:pStyle w:val="ExhibitText"/>
              <w:tabs>
                <w:tab w:val="decimal" w:pos="464"/>
              </w:tabs>
              <w:jc w:val="right"/>
              <w:rPr>
                <w:spacing w:val="-6"/>
                <w:sz w:val="16"/>
                <w:szCs w:val="15"/>
                <w:lang w:val="en-GB"/>
              </w:rPr>
            </w:pPr>
            <w:r w:rsidRPr="00722C19">
              <w:rPr>
                <w:spacing w:val="-6"/>
                <w:sz w:val="16"/>
                <w:szCs w:val="15"/>
                <w:lang w:val="en-GB"/>
              </w:rPr>
              <w:t>742</w:t>
            </w:r>
          </w:p>
        </w:tc>
        <w:tc>
          <w:tcPr>
            <w:tcW w:w="811" w:type="dxa"/>
            <w:vAlign w:val="center"/>
          </w:tcPr>
          <w:p w14:paraId="2AEC3D73" w14:textId="47E8BDD9" w:rsidR="00B61C32" w:rsidRPr="00722C19" w:rsidRDefault="00B61C32" w:rsidP="003E5E8B">
            <w:pPr>
              <w:pStyle w:val="ExhibitText"/>
              <w:tabs>
                <w:tab w:val="decimal" w:pos="456"/>
              </w:tabs>
              <w:jc w:val="right"/>
              <w:rPr>
                <w:spacing w:val="-6"/>
                <w:sz w:val="16"/>
                <w:szCs w:val="15"/>
                <w:lang w:val="en-GB"/>
              </w:rPr>
            </w:pPr>
            <w:r w:rsidRPr="00722C19">
              <w:rPr>
                <w:spacing w:val="-6"/>
                <w:sz w:val="16"/>
                <w:szCs w:val="15"/>
                <w:lang w:val="en-GB"/>
              </w:rPr>
              <w:t>627</w:t>
            </w:r>
          </w:p>
        </w:tc>
        <w:tc>
          <w:tcPr>
            <w:tcW w:w="811" w:type="dxa"/>
            <w:vAlign w:val="center"/>
          </w:tcPr>
          <w:p w14:paraId="43FE3B78" w14:textId="6D2C05BB" w:rsidR="00B61C32" w:rsidRPr="00722C19" w:rsidRDefault="00B61C32" w:rsidP="003E5E8B">
            <w:pPr>
              <w:pStyle w:val="ExhibitText"/>
              <w:tabs>
                <w:tab w:val="decimal" w:pos="540"/>
              </w:tabs>
              <w:jc w:val="right"/>
              <w:rPr>
                <w:spacing w:val="-6"/>
                <w:sz w:val="16"/>
                <w:szCs w:val="15"/>
                <w:lang w:val="en-GB"/>
              </w:rPr>
            </w:pPr>
            <w:r w:rsidRPr="00722C19">
              <w:rPr>
                <w:spacing w:val="-6"/>
                <w:sz w:val="16"/>
                <w:szCs w:val="15"/>
                <w:lang w:val="en-GB"/>
              </w:rPr>
              <w:t>584</w:t>
            </w:r>
          </w:p>
        </w:tc>
        <w:tc>
          <w:tcPr>
            <w:tcW w:w="811" w:type="dxa"/>
            <w:vAlign w:val="center"/>
          </w:tcPr>
          <w:p w14:paraId="0B3C4A81" w14:textId="62527C16" w:rsidR="00B61C32" w:rsidRPr="00722C19" w:rsidRDefault="00B61C32" w:rsidP="003E5E8B">
            <w:pPr>
              <w:pStyle w:val="ExhibitText"/>
              <w:tabs>
                <w:tab w:val="decimal" w:pos="528"/>
              </w:tabs>
              <w:jc w:val="right"/>
              <w:rPr>
                <w:spacing w:val="-6"/>
                <w:sz w:val="16"/>
                <w:szCs w:val="15"/>
                <w:lang w:val="en-GB"/>
              </w:rPr>
            </w:pPr>
            <w:r w:rsidRPr="00722C19">
              <w:rPr>
                <w:spacing w:val="-6"/>
                <w:sz w:val="16"/>
                <w:szCs w:val="15"/>
                <w:lang w:val="en-GB"/>
              </w:rPr>
              <w:t>438</w:t>
            </w:r>
          </w:p>
        </w:tc>
        <w:tc>
          <w:tcPr>
            <w:tcW w:w="811" w:type="dxa"/>
            <w:vAlign w:val="center"/>
          </w:tcPr>
          <w:p w14:paraId="2302FD86" w14:textId="196E631F" w:rsidR="00B61C32" w:rsidRPr="00722C19" w:rsidRDefault="00B61C32" w:rsidP="003E5E8B">
            <w:pPr>
              <w:pStyle w:val="ExhibitText"/>
              <w:tabs>
                <w:tab w:val="decimal" w:pos="514"/>
              </w:tabs>
              <w:jc w:val="right"/>
              <w:rPr>
                <w:spacing w:val="-6"/>
                <w:sz w:val="16"/>
                <w:szCs w:val="15"/>
                <w:lang w:val="en-GB"/>
              </w:rPr>
            </w:pPr>
            <w:r w:rsidRPr="00722C19">
              <w:rPr>
                <w:spacing w:val="-6"/>
                <w:sz w:val="16"/>
                <w:szCs w:val="15"/>
                <w:lang w:val="en-GB"/>
              </w:rPr>
              <w:t>567</w:t>
            </w:r>
          </w:p>
        </w:tc>
        <w:tc>
          <w:tcPr>
            <w:tcW w:w="811" w:type="dxa"/>
            <w:vAlign w:val="center"/>
          </w:tcPr>
          <w:p w14:paraId="44C4BC2B" w14:textId="287293F6" w:rsidR="00B61C32" w:rsidRPr="00722C19" w:rsidRDefault="008A7837" w:rsidP="003E5E8B">
            <w:pPr>
              <w:pStyle w:val="ExhibitText"/>
              <w:jc w:val="right"/>
              <w:rPr>
                <w:spacing w:val="-6"/>
                <w:sz w:val="16"/>
                <w:szCs w:val="15"/>
                <w:lang w:val="en-GB"/>
              </w:rPr>
            </w:pPr>
            <w:r>
              <w:rPr>
                <w:spacing w:val="-6"/>
                <w:sz w:val="16"/>
                <w:szCs w:val="15"/>
                <w:lang w:val="en-GB"/>
              </w:rPr>
              <w:t>N/A</w:t>
            </w:r>
          </w:p>
        </w:tc>
      </w:tr>
      <w:tr w:rsidR="00812F25" w:rsidRPr="008224C6" w14:paraId="480F4B19" w14:textId="77777777" w:rsidTr="003E5E8B">
        <w:trPr>
          <w:trHeight w:val="363"/>
        </w:trPr>
        <w:tc>
          <w:tcPr>
            <w:tcW w:w="1181" w:type="dxa"/>
          </w:tcPr>
          <w:p w14:paraId="5254FB35" w14:textId="77777777" w:rsidR="00B61C32" w:rsidRPr="00722C19" w:rsidRDefault="00B61C32" w:rsidP="00812F25">
            <w:pPr>
              <w:pStyle w:val="ExhibitText"/>
              <w:jc w:val="left"/>
              <w:rPr>
                <w:b/>
                <w:spacing w:val="-6"/>
                <w:sz w:val="16"/>
                <w:szCs w:val="15"/>
                <w:lang w:val="en-GB"/>
              </w:rPr>
            </w:pPr>
            <w:r w:rsidRPr="006446B8">
              <w:rPr>
                <w:b/>
                <w:spacing w:val="-6"/>
                <w:sz w:val="16"/>
                <w:szCs w:val="15"/>
                <w:lang w:val="en-GB"/>
              </w:rPr>
              <w:t>Operating Income</w:t>
            </w:r>
          </w:p>
        </w:tc>
        <w:tc>
          <w:tcPr>
            <w:tcW w:w="811" w:type="dxa"/>
            <w:vAlign w:val="center"/>
          </w:tcPr>
          <w:p w14:paraId="2135FF31" w14:textId="17D8491D" w:rsidR="00B61C32" w:rsidRPr="00722C19" w:rsidRDefault="00B61C32" w:rsidP="003E5E8B">
            <w:pPr>
              <w:pStyle w:val="ExhibitText"/>
              <w:tabs>
                <w:tab w:val="decimal" w:pos="504"/>
              </w:tabs>
              <w:jc w:val="right"/>
              <w:rPr>
                <w:b/>
                <w:spacing w:val="-6"/>
                <w:sz w:val="16"/>
                <w:szCs w:val="15"/>
                <w:lang w:val="en-GB"/>
              </w:rPr>
            </w:pPr>
            <w:r w:rsidRPr="00722C19">
              <w:rPr>
                <w:b/>
                <w:spacing w:val="-6"/>
                <w:sz w:val="16"/>
                <w:szCs w:val="15"/>
                <w:lang w:val="en-GB"/>
              </w:rPr>
              <w:t>6,90</w:t>
            </w:r>
            <w:r w:rsidR="00301947" w:rsidRPr="00722C19">
              <w:rPr>
                <w:b/>
                <w:spacing w:val="-6"/>
                <w:sz w:val="16"/>
                <w:szCs w:val="15"/>
                <w:lang w:val="en-GB"/>
              </w:rPr>
              <w:t>0</w:t>
            </w:r>
          </w:p>
        </w:tc>
        <w:tc>
          <w:tcPr>
            <w:tcW w:w="811" w:type="dxa"/>
            <w:vAlign w:val="center"/>
          </w:tcPr>
          <w:p w14:paraId="2F8BB399" w14:textId="3F79DCA9" w:rsidR="00B61C32" w:rsidRPr="00722C19" w:rsidRDefault="00B61C32" w:rsidP="003E5E8B">
            <w:pPr>
              <w:pStyle w:val="ExhibitText"/>
              <w:tabs>
                <w:tab w:val="decimal" w:pos="498"/>
              </w:tabs>
              <w:jc w:val="right"/>
              <w:rPr>
                <w:b/>
                <w:spacing w:val="-6"/>
                <w:sz w:val="16"/>
                <w:szCs w:val="15"/>
                <w:lang w:val="en-GB"/>
              </w:rPr>
            </w:pPr>
            <w:r w:rsidRPr="00722C19">
              <w:rPr>
                <w:b/>
                <w:spacing w:val="-6"/>
                <w:sz w:val="16"/>
                <w:szCs w:val="15"/>
                <w:lang w:val="en-GB"/>
              </w:rPr>
              <w:t>7,755</w:t>
            </w:r>
          </w:p>
        </w:tc>
        <w:tc>
          <w:tcPr>
            <w:tcW w:w="811" w:type="dxa"/>
            <w:vAlign w:val="center"/>
          </w:tcPr>
          <w:p w14:paraId="1D75C249" w14:textId="3B12F569" w:rsidR="00B61C32" w:rsidRPr="00722C19" w:rsidRDefault="00B61C32" w:rsidP="003E5E8B">
            <w:pPr>
              <w:pStyle w:val="ExhibitText"/>
              <w:tabs>
                <w:tab w:val="decimal" w:pos="484"/>
              </w:tabs>
              <w:jc w:val="right"/>
              <w:rPr>
                <w:b/>
                <w:spacing w:val="-6"/>
                <w:sz w:val="16"/>
                <w:szCs w:val="15"/>
                <w:lang w:val="en-GB"/>
              </w:rPr>
            </w:pPr>
            <w:r w:rsidRPr="00722C19">
              <w:rPr>
                <w:b/>
                <w:spacing w:val="-6"/>
                <w:sz w:val="16"/>
                <w:szCs w:val="15"/>
                <w:lang w:val="en-GB"/>
              </w:rPr>
              <w:t>7,793</w:t>
            </w:r>
          </w:p>
        </w:tc>
        <w:tc>
          <w:tcPr>
            <w:tcW w:w="811" w:type="dxa"/>
            <w:vAlign w:val="center"/>
          </w:tcPr>
          <w:p w14:paraId="49AB2BDB" w14:textId="21FEBF34" w:rsidR="00B61C32" w:rsidRPr="00722C19" w:rsidRDefault="00B61C32" w:rsidP="003E5E8B">
            <w:pPr>
              <w:pStyle w:val="ExhibitText"/>
              <w:tabs>
                <w:tab w:val="decimal" w:pos="478"/>
              </w:tabs>
              <w:jc w:val="right"/>
              <w:rPr>
                <w:b/>
                <w:spacing w:val="-6"/>
                <w:sz w:val="16"/>
                <w:szCs w:val="15"/>
                <w:lang w:val="en-GB"/>
              </w:rPr>
            </w:pPr>
            <w:r w:rsidRPr="00722C19">
              <w:rPr>
                <w:b/>
                <w:spacing w:val="-6"/>
                <w:sz w:val="16"/>
                <w:szCs w:val="15"/>
                <w:lang w:val="en-GB"/>
              </w:rPr>
              <w:t>7,321</w:t>
            </w:r>
          </w:p>
        </w:tc>
        <w:tc>
          <w:tcPr>
            <w:tcW w:w="811" w:type="dxa"/>
            <w:vAlign w:val="center"/>
          </w:tcPr>
          <w:p w14:paraId="46BE5962" w14:textId="711616B1" w:rsidR="00B61C32" w:rsidRPr="00722C19" w:rsidRDefault="00B61C32" w:rsidP="003E5E8B">
            <w:pPr>
              <w:pStyle w:val="ExhibitText"/>
              <w:tabs>
                <w:tab w:val="decimal" w:pos="464"/>
              </w:tabs>
              <w:jc w:val="right"/>
              <w:rPr>
                <w:b/>
                <w:spacing w:val="-6"/>
                <w:sz w:val="16"/>
                <w:szCs w:val="15"/>
                <w:lang w:val="en-GB"/>
              </w:rPr>
            </w:pPr>
            <w:r w:rsidRPr="00722C19">
              <w:rPr>
                <w:b/>
                <w:spacing w:val="-6"/>
                <w:sz w:val="16"/>
                <w:szCs w:val="15"/>
                <w:lang w:val="en-GB"/>
              </w:rPr>
              <w:t>6,818</w:t>
            </w:r>
          </w:p>
        </w:tc>
        <w:tc>
          <w:tcPr>
            <w:tcW w:w="811" w:type="dxa"/>
            <w:vAlign w:val="center"/>
          </w:tcPr>
          <w:p w14:paraId="0F77E2DD" w14:textId="687DCA08" w:rsidR="00B61C32" w:rsidRPr="00722C19" w:rsidRDefault="00B61C32" w:rsidP="003E5E8B">
            <w:pPr>
              <w:pStyle w:val="ExhibitText"/>
              <w:tabs>
                <w:tab w:val="decimal" w:pos="456"/>
              </w:tabs>
              <w:jc w:val="right"/>
              <w:rPr>
                <w:b/>
                <w:spacing w:val="-6"/>
                <w:sz w:val="16"/>
                <w:szCs w:val="15"/>
                <w:lang w:val="en-GB"/>
              </w:rPr>
            </w:pPr>
            <w:r w:rsidRPr="00722C19">
              <w:rPr>
                <w:b/>
                <w:spacing w:val="-6"/>
                <w:sz w:val="16"/>
                <w:szCs w:val="15"/>
                <w:lang w:val="en-GB"/>
              </w:rPr>
              <w:t>6,619</w:t>
            </w:r>
          </w:p>
        </w:tc>
        <w:tc>
          <w:tcPr>
            <w:tcW w:w="811" w:type="dxa"/>
            <w:vAlign w:val="center"/>
          </w:tcPr>
          <w:p w14:paraId="0546FF19" w14:textId="50279C00" w:rsidR="00B61C32" w:rsidRPr="00722C19" w:rsidRDefault="00B61C32" w:rsidP="003E5E8B">
            <w:pPr>
              <w:pStyle w:val="ExhibitText"/>
              <w:tabs>
                <w:tab w:val="decimal" w:pos="540"/>
              </w:tabs>
              <w:jc w:val="right"/>
              <w:rPr>
                <w:b/>
                <w:spacing w:val="-6"/>
                <w:sz w:val="16"/>
                <w:szCs w:val="15"/>
                <w:lang w:val="en-GB"/>
              </w:rPr>
            </w:pPr>
            <w:r w:rsidRPr="00722C19">
              <w:rPr>
                <w:b/>
                <w:spacing w:val="-6"/>
                <w:sz w:val="16"/>
                <w:szCs w:val="15"/>
                <w:lang w:val="en-GB"/>
              </w:rPr>
              <w:t>6,146</w:t>
            </w:r>
          </w:p>
        </w:tc>
        <w:tc>
          <w:tcPr>
            <w:tcW w:w="811" w:type="dxa"/>
            <w:vAlign w:val="center"/>
          </w:tcPr>
          <w:p w14:paraId="0FB50826" w14:textId="3F3397A2" w:rsidR="00B61C32" w:rsidRPr="00722C19" w:rsidRDefault="00B61C32" w:rsidP="003E5E8B">
            <w:pPr>
              <w:pStyle w:val="ExhibitText"/>
              <w:tabs>
                <w:tab w:val="decimal" w:pos="528"/>
              </w:tabs>
              <w:jc w:val="right"/>
              <w:rPr>
                <w:b/>
                <w:spacing w:val="-6"/>
                <w:sz w:val="16"/>
                <w:szCs w:val="15"/>
                <w:lang w:val="en-GB"/>
              </w:rPr>
            </w:pPr>
            <w:r w:rsidRPr="00722C19">
              <w:rPr>
                <w:b/>
                <w:spacing w:val="-6"/>
                <w:sz w:val="16"/>
                <w:szCs w:val="15"/>
                <w:lang w:val="en-GB"/>
              </w:rPr>
              <w:t>5,132</w:t>
            </w:r>
          </w:p>
        </w:tc>
        <w:tc>
          <w:tcPr>
            <w:tcW w:w="811" w:type="dxa"/>
            <w:vAlign w:val="center"/>
          </w:tcPr>
          <w:p w14:paraId="2F0657C6" w14:textId="615A557C" w:rsidR="00B61C32" w:rsidRPr="00722C19" w:rsidRDefault="00B61C32" w:rsidP="003E5E8B">
            <w:pPr>
              <w:pStyle w:val="ExhibitText"/>
              <w:tabs>
                <w:tab w:val="decimal" w:pos="514"/>
              </w:tabs>
              <w:jc w:val="right"/>
              <w:rPr>
                <w:b/>
                <w:spacing w:val="-6"/>
                <w:sz w:val="16"/>
                <w:szCs w:val="15"/>
                <w:lang w:val="en-GB"/>
              </w:rPr>
            </w:pPr>
            <w:r w:rsidRPr="00722C19">
              <w:rPr>
                <w:b/>
                <w:spacing w:val="-6"/>
                <w:sz w:val="16"/>
                <w:szCs w:val="15"/>
                <w:lang w:val="en-GB"/>
              </w:rPr>
              <w:t>4,765</w:t>
            </w:r>
          </w:p>
        </w:tc>
        <w:tc>
          <w:tcPr>
            <w:tcW w:w="811" w:type="dxa"/>
            <w:vAlign w:val="center"/>
          </w:tcPr>
          <w:p w14:paraId="216202BA" w14:textId="56C6BA96" w:rsidR="00B61C32" w:rsidRPr="00722C19" w:rsidRDefault="00B61C32" w:rsidP="003E5E8B">
            <w:pPr>
              <w:pStyle w:val="ExhibitText"/>
              <w:tabs>
                <w:tab w:val="decimal" w:pos="418"/>
              </w:tabs>
              <w:jc w:val="right"/>
              <w:rPr>
                <w:b/>
                <w:spacing w:val="-6"/>
                <w:sz w:val="16"/>
                <w:szCs w:val="15"/>
                <w:lang w:val="en-GB"/>
              </w:rPr>
            </w:pPr>
            <w:r w:rsidRPr="00722C19">
              <w:rPr>
                <w:b/>
                <w:spacing w:val="-6"/>
                <w:sz w:val="16"/>
                <w:szCs w:val="15"/>
                <w:lang w:val="en-GB"/>
              </w:rPr>
              <w:t>4,981</w:t>
            </w:r>
          </w:p>
        </w:tc>
      </w:tr>
    </w:tbl>
    <w:p w14:paraId="0862DB8C" w14:textId="79038D58" w:rsidR="002541E5" w:rsidRPr="00722C19" w:rsidRDefault="002541E5" w:rsidP="00B61C32">
      <w:pPr>
        <w:pStyle w:val="ExhibitText"/>
        <w:rPr>
          <w:lang w:val="en-GB"/>
        </w:rPr>
      </w:pPr>
    </w:p>
    <w:p w14:paraId="26ED929B" w14:textId="379A9A7A" w:rsidR="004B5D95" w:rsidRDefault="004B5D95" w:rsidP="00B61C32">
      <w:pPr>
        <w:pStyle w:val="Footnote"/>
        <w:rPr>
          <w:lang w:val="en-GB"/>
        </w:rPr>
      </w:pPr>
      <w:r>
        <w:rPr>
          <w:lang w:val="en-GB"/>
        </w:rPr>
        <w:t xml:space="preserve">Note: </w:t>
      </w:r>
      <w:r w:rsidR="008A7837">
        <w:rPr>
          <w:lang w:val="en-GB"/>
        </w:rPr>
        <w:t xml:space="preserve">N/A = Not available; </w:t>
      </w:r>
      <w:r>
        <w:rPr>
          <w:lang w:val="en-GB"/>
        </w:rPr>
        <w:t xml:space="preserve">IM = </w:t>
      </w:r>
      <w:r w:rsidR="00B95951">
        <w:rPr>
          <w:lang w:val="en-GB"/>
        </w:rPr>
        <w:t>Interactive Media</w:t>
      </w:r>
      <w:r>
        <w:rPr>
          <w:lang w:val="en-GB"/>
        </w:rPr>
        <w:t>; SVOD = subscription video on demand; SG&amp;A = selling, general, and administrative expenses</w:t>
      </w:r>
      <w:r w:rsidR="008A7837">
        <w:rPr>
          <w:lang w:val="en-GB"/>
        </w:rPr>
        <w:t>.</w:t>
      </w:r>
    </w:p>
    <w:p w14:paraId="18526D85" w14:textId="1599E86D" w:rsidR="00B61C32" w:rsidRPr="00722C19" w:rsidRDefault="00B61C32" w:rsidP="00B61C32">
      <w:pPr>
        <w:pStyle w:val="Footnote"/>
        <w:rPr>
          <w:lang w:val="en-GB"/>
        </w:rPr>
      </w:pPr>
      <w:r w:rsidRPr="00722C19">
        <w:rPr>
          <w:lang w:val="en-GB"/>
        </w:rPr>
        <w:t>Source: The Walt Disney Company, Form 10-K reports</w:t>
      </w:r>
      <w:r w:rsidR="004B5D95">
        <w:rPr>
          <w:lang w:val="en-GB"/>
        </w:rPr>
        <w:t xml:space="preserve">. </w:t>
      </w:r>
    </w:p>
    <w:p w14:paraId="4E9608E6" w14:textId="4DC48BCB" w:rsidR="00B61C32" w:rsidRPr="00722C19" w:rsidRDefault="00B61C32" w:rsidP="00B61C32">
      <w:pPr>
        <w:pStyle w:val="ExhibitText"/>
        <w:rPr>
          <w:lang w:val="en-GB"/>
        </w:rPr>
      </w:pPr>
    </w:p>
    <w:p w14:paraId="538D35EB" w14:textId="3B48DACD" w:rsidR="004B5D95" w:rsidRDefault="004B5D95" w:rsidP="00722C19">
      <w:pPr>
        <w:pStyle w:val="ExhibitHeading"/>
        <w:tabs>
          <w:tab w:val="left" w:pos="2584"/>
        </w:tabs>
        <w:jc w:val="left"/>
        <w:rPr>
          <w:sz w:val="22"/>
          <w:szCs w:val="22"/>
          <w:lang w:val="en-GB"/>
        </w:rPr>
      </w:pPr>
    </w:p>
    <w:p w14:paraId="17C797B8" w14:textId="6EA74545" w:rsidR="002541E5" w:rsidRPr="00722C19" w:rsidRDefault="002541E5" w:rsidP="00A8110B">
      <w:pPr>
        <w:pStyle w:val="ExhibitHeading"/>
        <w:rPr>
          <w:lang w:val="en-GB"/>
        </w:rPr>
      </w:pPr>
      <w:r w:rsidRPr="00722C19">
        <w:rPr>
          <w:lang w:val="en-GB"/>
        </w:rPr>
        <w:br w:type="page"/>
      </w:r>
      <w:r w:rsidR="00714974">
        <w:rPr>
          <w:lang w:val="en-GB"/>
        </w:rPr>
        <w:lastRenderedPageBreak/>
        <w:t>Exhibi</w:t>
      </w:r>
      <w:r w:rsidRPr="00722C19">
        <w:rPr>
          <w:lang w:val="en-GB"/>
        </w:rPr>
        <w:t>T</w:t>
      </w:r>
      <w:r w:rsidR="00714974">
        <w:rPr>
          <w:lang w:val="en-GB"/>
        </w:rPr>
        <w:t xml:space="preserve"> </w:t>
      </w:r>
      <w:r w:rsidRPr="00722C19">
        <w:rPr>
          <w:lang w:val="en-GB"/>
        </w:rPr>
        <w:t xml:space="preserve">5: </w:t>
      </w:r>
      <w:r w:rsidR="00307D18">
        <w:rPr>
          <w:lang w:val="en-GB"/>
        </w:rPr>
        <w:t xml:space="preserve">US ADULT </w:t>
      </w:r>
      <w:r w:rsidRPr="00722C19">
        <w:rPr>
          <w:lang w:val="en-GB"/>
        </w:rPr>
        <w:t>PAY</w:t>
      </w:r>
      <w:r w:rsidR="003912A8">
        <w:rPr>
          <w:lang w:val="en-GB"/>
        </w:rPr>
        <w:t>-</w:t>
      </w:r>
      <w:r w:rsidRPr="00722C19">
        <w:rPr>
          <w:lang w:val="en-GB"/>
        </w:rPr>
        <w:t xml:space="preserve">TV </w:t>
      </w:r>
      <w:r w:rsidR="00307D18">
        <w:rPr>
          <w:lang w:val="en-GB"/>
        </w:rPr>
        <w:t xml:space="preserve">VIEWERS </w:t>
      </w:r>
      <w:r w:rsidRPr="00722C19">
        <w:rPr>
          <w:lang w:val="en-GB"/>
        </w:rPr>
        <w:t>v</w:t>
      </w:r>
      <w:r w:rsidR="006446B8" w:rsidRPr="00722C19">
        <w:rPr>
          <w:lang w:val="en-GB"/>
        </w:rPr>
        <w:t>E</w:t>
      </w:r>
      <w:r w:rsidR="003912A8">
        <w:rPr>
          <w:lang w:val="en-GB"/>
        </w:rPr>
        <w:t>r</w:t>
      </w:r>
      <w:r w:rsidRPr="00722C19">
        <w:rPr>
          <w:lang w:val="en-GB"/>
        </w:rPr>
        <w:t>s</w:t>
      </w:r>
      <w:r w:rsidR="003912A8">
        <w:rPr>
          <w:lang w:val="en-GB"/>
        </w:rPr>
        <w:t>us</w:t>
      </w:r>
      <w:r w:rsidRPr="00722C19">
        <w:rPr>
          <w:lang w:val="en-GB"/>
        </w:rPr>
        <w:t xml:space="preserve"> NON-PAY</w:t>
      </w:r>
      <w:r w:rsidR="003912A8">
        <w:rPr>
          <w:lang w:val="en-GB"/>
        </w:rPr>
        <w:t>-</w:t>
      </w:r>
      <w:r w:rsidRPr="00722C19">
        <w:rPr>
          <w:lang w:val="en-GB"/>
        </w:rPr>
        <w:t xml:space="preserve">TV </w:t>
      </w:r>
      <w:r w:rsidR="00307D18">
        <w:rPr>
          <w:lang w:val="en-GB"/>
        </w:rPr>
        <w:t>VIEWERS</w:t>
      </w:r>
      <w:r w:rsidR="00307D18" w:rsidRPr="00722C19">
        <w:rPr>
          <w:lang w:val="en-GB"/>
        </w:rPr>
        <w:t xml:space="preserve"> </w:t>
      </w:r>
      <w:r w:rsidRPr="00722C19">
        <w:rPr>
          <w:lang w:val="en-GB"/>
        </w:rPr>
        <w:t>(CORD</w:t>
      </w:r>
      <w:r w:rsidR="003912A8">
        <w:rPr>
          <w:lang w:val="en-GB"/>
        </w:rPr>
        <w:t>-</w:t>
      </w:r>
      <w:r w:rsidRPr="00722C19">
        <w:rPr>
          <w:lang w:val="en-GB"/>
        </w:rPr>
        <w:t>CUTTERS AND CORD</w:t>
      </w:r>
      <w:r w:rsidR="003912A8">
        <w:rPr>
          <w:lang w:val="en-GB"/>
        </w:rPr>
        <w:t>-</w:t>
      </w:r>
      <w:r w:rsidRPr="00722C19">
        <w:rPr>
          <w:lang w:val="en-GB"/>
        </w:rPr>
        <w:t>NEVERS)</w:t>
      </w:r>
      <w:r w:rsidR="003912A8">
        <w:rPr>
          <w:lang w:val="en-GB"/>
        </w:rPr>
        <w:t>, 201</w:t>
      </w:r>
      <w:r w:rsidR="0018781A">
        <w:rPr>
          <w:lang w:val="en-GB"/>
        </w:rPr>
        <w:t>6</w:t>
      </w:r>
      <w:r w:rsidR="003912A8">
        <w:rPr>
          <w:lang w:val="en-GB"/>
        </w:rPr>
        <w:t>–20</w:t>
      </w:r>
      <w:r w:rsidR="0018781A">
        <w:rPr>
          <w:lang w:val="en-GB"/>
        </w:rPr>
        <w:t>21</w:t>
      </w:r>
    </w:p>
    <w:p w14:paraId="6B5A4AB7" w14:textId="77777777" w:rsidR="002541E5" w:rsidRPr="00722C19" w:rsidRDefault="002541E5" w:rsidP="000478DB">
      <w:pPr>
        <w:pStyle w:val="ExhibitText"/>
        <w:rPr>
          <w:noProof/>
          <w:lang w:val="en-GB"/>
        </w:rPr>
      </w:pPr>
    </w:p>
    <w:p w14:paraId="7DE81FF1" w14:textId="1FF8DBAD" w:rsidR="0018781A" w:rsidRDefault="00307D18" w:rsidP="000478DB">
      <w:pPr>
        <w:pStyle w:val="ExhibitText"/>
        <w:jc w:val="center"/>
        <w:rPr>
          <w:lang w:val="en-GB"/>
        </w:rPr>
      </w:pPr>
      <w:r w:rsidRPr="00307D18">
        <w:rPr>
          <w:noProof/>
          <w:lang w:val="en-CA" w:eastAsia="en-CA"/>
        </w:rPr>
        <w:drawing>
          <wp:inline distT="0" distB="0" distL="0" distR="0" wp14:anchorId="29104CC6" wp14:editId="5420ECA2">
            <wp:extent cx="50673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C3DA64" w14:textId="77777777" w:rsidR="00714974" w:rsidRDefault="00714974" w:rsidP="00A8110B">
      <w:pPr>
        <w:pStyle w:val="ExhibitText"/>
        <w:rPr>
          <w:sz w:val="17"/>
          <w:szCs w:val="17"/>
          <w:lang w:val="en-GB"/>
        </w:rPr>
      </w:pPr>
    </w:p>
    <w:p w14:paraId="3B4327E3" w14:textId="38305A71" w:rsidR="0018781A" w:rsidRPr="00714974" w:rsidRDefault="0018781A" w:rsidP="00A8110B">
      <w:pPr>
        <w:pStyle w:val="ExhibitText"/>
        <w:rPr>
          <w:sz w:val="17"/>
          <w:szCs w:val="17"/>
          <w:lang w:val="en-GB"/>
        </w:rPr>
      </w:pPr>
      <w:r w:rsidRPr="00714974">
        <w:rPr>
          <w:sz w:val="17"/>
          <w:szCs w:val="17"/>
          <w:lang w:val="en-GB"/>
        </w:rPr>
        <w:t xml:space="preserve">Source: </w:t>
      </w:r>
      <w:r>
        <w:rPr>
          <w:sz w:val="17"/>
          <w:szCs w:val="17"/>
          <w:lang w:val="en-GB"/>
        </w:rPr>
        <w:t>Created by authors based on “</w:t>
      </w:r>
      <w:proofErr w:type="spellStart"/>
      <w:r w:rsidRPr="0018781A">
        <w:rPr>
          <w:sz w:val="17"/>
          <w:szCs w:val="17"/>
          <w:lang w:val="en-GB"/>
        </w:rPr>
        <w:t>eMarketer</w:t>
      </w:r>
      <w:proofErr w:type="spellEnd"/>
      <w:r w:rsidRPr="0018781A">
        <w:rPr>
          <w:sz w:val="17"/>
          <w:szCs w:val="17"/>
          <w:lang w:val="en-GB"/>
        </w:rPr>
        <w:t xml:space="preserve"> Lowers US TV Ad Spend Estimate as Cord-Cutting Accelerates</w:t>
      </w:r>
      <w:r>
        <w:rPr>
          <w:sz w:val="17"/>
          <w:szCs w:val="17"/>
          <w:lang w:val="en-GB"/>
        </w:rPr>
        <w:t xml:space="preserve">,” </w:t>
      </w:r>
      <w:proofErr w:type="spellStart"/>
      <w:r>
        <w:rPr>
          <w:i/>
          <w:iCs/>
          <w:sz w:val="17"/>
          <w:szCs w:val="17"/>
          <w:lang w:val="en-GB"/>
        </w:rPr>
        <w:t>eMarketer</w:t>
      </w:r>
      <w:proofErr w:type="spellEnd"/>
      <w:r>
        <w:rPr>
          <w:i/>
          <w:iCs/>
          <w:sz w:val="17"/>
          <w:szCs w:val="17"/>
          <w:lang w:val="en-GB"/>
        </w:rPr>
        <w:t xml:space="preserve">, </w:t>
      </w:r>
      <w:r w:rsidRPr="00714974">
        <w:rPr>
          <w:sz w:val="17"/>
          <w:szCs w:val="17"/>
          <w:lang w:val="en-GB"/>
        </w:rPr>
        <w:t>Septembe</w:t>
      </w:r>
      <w:r w:rsidR="00886823">
        <w:rPr>
          <w:sz w:val="17"/>
          <w:szCs w:val="17"/>
          <w:lang w:val="en-GB"/>
        </w:rPr>
        <w:t>r 2017, accessed July 19, 2019,</w:t>
      </w:r>
      <w:r w:rsidRPr="00714974">
        <w:rPr>
          <w:sz w:val="17"/>
          <w:szCs w:val="17"/>
          <w:lang w:val="en-GB"/>
        </w:rPr>
        <w:t>www.emarketer.com/Article/eMarketer-Lowers-US-TV-Ad-Spend-Estimate-Cord-Cutting-Accelerates/1016463</w:t>
      </w:r>
      <w:r w:rsidR="00A2412E">
        <w:rPr>
          <w:sz w:val="17"/>
          <w:szCs w:val="17"/>
          <w:lang w:val="en-GB"/>
        </w:rPr>
        <w:t>.</w:t>
      </w:r>
    </w:p>
    <w:p w14:paraId="1F399A5C" w14:textId="74F3E53C" w:rsidR="002541E5" w:rsidRPr="00722C19" w:rsidRDefault="002541E5" w:rsidP="00A8110B">
      <w:pPr>
        <w:pStyle w:val="ExhibitText"/>
        <w:rPr>
          <w:lang w:val="en-GB"/>
        </w:rPr>
      </w:pPr>
    </w:p>
    <w:p w14:paraId="7FE3721E" w14:textId="35E64EDA" w:rsidR="002541E5" w:rsidRPr="00722C19" w:rsidRDefault="002541E5" w:rsidP="00D1594B">
      <w:pPr>
        <w:pStyle w:val="ExhibitHeading"/>
        <w:rPr>
          <w:lang w:val="en-GB"/>
        </w:rPr>
      </w:pPr>
      <w:r w:rsidRPr="00722C19">
        <w:rPr>
          <w:lang w:val="en-GB"/>
        </w:rPr>
        <w:t>EXHIBIT 6:  TOP OVER-THE-TOP PROVIDERS</w:t>
      </w:r>
    </w:p>
    <w:p w14:paraId="539DF0AB" w14:textId="77777777" w:rsidR="002541E5" w:rsidRPr="00722C19" w:rsidRDefault="002541E5" w:rsidP="00D1594B">
      <w:pPr>
        <w:pStyle w:val="ExhibitText"/>
        <w:rPr>
          <w:lang w:val="en-GB"/>
        </w:rPr>
      </w:pPr>
    </w:p>
    <w:tbl>
      <w:tblPr>
        <w:tblStyle w:val="TableGrid"/>
        <w:tblW w:w="8814" w:type="dxa"/>
        <w:jc w:val="center"/>
        <w:tblLayout w:type="fixed"/>
        <w:tblLook w:val="04A0" w:firstRow="1" w:lastRow="0" w:firstColumn="1" w:lastColumn="0" w:noHBand="0" w:noVBand="1"/>
      </w:tblPr>
      <w:tblGrid>
        <w:gridCol w:w="1841"/>
        <w:gridCol w:w="6973"/>
      </w:tblGrid>
      <w:tr w:rsidR="002541E5" w:rsidRPr="008224C6" w14:paraId="7BE8BDBC" w14:textId="77777777" w:rsidTr="00D1594B">
        <w:trPr>
          <w:trHeight w:val="240"/>
          <w:jc w:val="center"/>
        </w:trPr>
        <w:tc>
          <w:tcPr>
            <w:tcW w:w="1841" w:type="dxa"/>
          </w:tcPr>
          <w:p w14:paraId="6D26AF0E" w14:textId="77777777" w:rsidR="002541E5" w:rsidRPr="00722C19" w:rsidRDefault="002541E5" w:rsidP="00D1594B">
            <w:pPr>
              <w:pStyle w:val="ExhibitText"/>
              <w:jc w:val="center"/>
              <w:rPr>
                <w:b/>
                <w:lang w:val="en-GB"/>
              </w:rPr>
            </w:pPr>
            <w:r w:rsidRPr="00722C19">
              <w:rPr>
                <w:b/>
                <w:lang w:val="en-GB"/>
              </w:rPr>
              <w:t>Firm</w:t>
            </w:r>
          </w:p>
        </w:tc>
        <w:tc>
          <w:tcPr>
            <w:tcW w:w="6973" w:type="dxa"/>
          </w:tcPr>
          <w:p w14:paraId="00168B40" w14:textId="77777777" w:rsidR="002541E5" w:rsidRPr="00722C19" w:rsidRDefault="002541E5" w:rsidP="00D1594B">
            <w:pPr>
              <w:pStyle w:val="ExhibitText"/>
              <w:jc w:val="center"/>
              <w:rPr>
                <w:b/>
                <w:lang w:val="en-GB"/>
              </w:rPr>
            </w:pPr>
            <w:r w:rsidRPr="00722C19">
              <w:rPr>
                <w:b/>
                <w:lang w:val="en-GB"/>
              </w:rPr>
              <w:t>Monthly Price</w:t>
            </w:r>
          </w:p>
        </w:tc>
      </w:tr>
      <w:tr w:rsidR="002541E5" w:rsidRPr="008224C6" w14:paraId="0DFF43FF" w14:textId="77777777" w:rsidTr="00D1594B">
        <w:trPr>
          <w:trHeight w:val="298"/>
          <w:jc w:val="center"/>
        </w:trPr>
        <w:tc>
          <w:tcPr>
            <w:tcW w:w="1841" w:type="dxa"/>
          </w:tcPr>
          <w:p w14:paraId="2AC3CAF0" w14:textId="77777777" w:rsidR="002541E5" w:rsidRPr="00722C19" w:rsidRDefault="002541E5" w:rsidP="00D1594B">
            <w:pPr>
              <w:pStyle w:val="ExhibitText"/>
              <w:rPr>
                <w:lang w:val="en-GB"/>
              </w:rPr>
            </w:pPr>
            <w:r w:rsidRPr="00722C19">
              <w:rPr>
                <w:lang w:val="en-GB"/>
              </w:rPr>
              <w:t>DISH Sling TV</w:t>
            </w:r>
          </w:p>
        </w:tc>
        <w:tc>
          <w:tcPr>
            <w:tcW w:w="6973" w:type="dxa"/>
          </w:tcPr>
          <w:p w14:paraId="344D2132" w14:textId="090CBDD2" w:rsidR="002541E5" w:rsidRPr="00722C19" w:rsidRDefault="002541E5" w:rsidP="00D1594B">
            <w:pPr>
              <w:pStyle w:val="ExhibitText"/>
              <w:rPr>
                <w:lang w:val="en-GB"/>
              </w:rPr>
            </w:pPr>
            <w:r w:rsidRPr="00722C19">
              <w:rPr>
                <w:lang w:val="en-GB"/>
              </w:rPr>
              <w:t>$20 for Orange – incl</w:t>
            </w:r>
            <w:r w:rsidR="00293837">
              <w:rPr>
                <w:lang w:val="en-GB"/>
              </w:rPr>
              <w:t>uding</w:t>
            </w:r>
            <w:r w:rsidRPr="00722C19">
              <w:rPr>
                <w:lang w:val="en-GB"/>
              </w:rPr>
              <w:t xml:space="preserve"> ESPN but no broadcast channels; $25 for Blue – incl</w:t>
            </w:r>
            <w:r w:rsidR="00293837">
              <w:rPr>
                <w:lang w:val="en-GB"/>
              </w:rPr>
              <w:t>uding</w:t>
            </w:r>
            <w:r w:rsidRPr="00722C19">
              <w:rPr>
                <w:lang w:val="en-GB"/>
              </w:rPr>
              <w:t xml:space="preserve"> broadcast channels of FOX and NBC; $40 for Orange and Blue</w:t>
            </w:r>
          </w:p>
        </w:tc>
      </w:tr>
      <w:tr w:rsidR="002541E5" w:rsidRPr="008224C6" w14:paraId="45BA8E97" w14:textId="77777777" w:rsidTr="00D1594B">
        <w:trPr>
          <w:trHeight w:val="240"/>
          <w:jc w:val="center"/>
        </w:trPr>
        <w:tc>
          <w:tcPr>
            <w:tcW w:w="1841" w:type="dxa"/>
          </w:tcPr>
          <w:p w14:paraId="14E05665" w14:textId="77777777" w:rsidR="002541E5" w:rsidRPr="00722C19" w:rsidRDefault="002541E5" w:rsidP="00D1594B">
            <w:pPr>
              <w:pStyle w:val="ExhibitText"/>
              <w:rPr>
                <w:lang w:val="en-GB"/>
              </w:rPr>
            </w:pPr>
            <w:r w:rsidRPr="00722C19">
              <w:rPr>
                <w:lang w:val="en-GB"/>
              </w:rPr>
              <w:t>DirecTV Now</w:t>
            </w:r>
          </w:p>
        </w:tc>
        <w:tc>
          <w:tcPr>
            <w:tcW w:w="6973" w:type="dxa"/>
          </w:tcPr>
          <w:p w14:paraId="7D5F227A" w14:textId="48DAE0C1" w:rsidR="002541E5" w:rsidRPr="00722C19" w:rsidRDefault="002541E5" w:rsidP="00D1594B">
            <w:pPr>
              <w:pStyle w:val="ExhibitText"/>
              <w:rPr>
                <w:lang w:val="en-GB"/>
              </w:rPr>
            </w:pPr>
            <w:r w:rsidRPr="00722C19">
              <w:rPr>
                <w:lang w:val="en-GB"/>
              </w:rPr>
              <w:t>$35</w:t>
            </w:r>
            <w:r w:rsidR="00293837">
              <w:rPr>
                <w:lang w:val="en-GB"/>
              </w:rPr>
              <w:t>–</w:t>
            </w:r>
            <w:r w:rsidRPr="00722C19">
              <w:rPr>
                <w:lang w:val="en-GB"/>
              </w:rPr>
              <w:t>$70 for 60 to 120 channels, discounted if purchased with AT&amp;T unlimited plan; HBO and Cinemax available as add-ons</w:t>
            </w:r>
          </w:p>
        </w:tc>
      </w:tr>
      <w:tr w:rsidR="002541E5" w:rsidRPr="008224C6" w14:paraId="3F382C2C" w14:textId="77777777" w:rsidTr="00D1594B">
        <w:trPr>
          <w:trHeight w:val="187"/>
          <w:jc w:val="center"/>
        </w:trPr>
        <w:tc>
          <w:tcPr>
            <w:tcW w:w="1841" w:type="dxa"/>
          </w:tcPr>
          <w:p w14:paraId="20FD22D4" w14:textId="77777777" w:rsidR="002541E5" w:rsidRPr="00722C19" w:rsidRDefault="002541E5" w:rsidP="00D1594B">
            <w:pPr>
              <w:pStyle w:val="ExhibitText"/>
              <w:rPr>
                <w:lang w:val="en-GB"/>
              </w:rPr>
            </w:pPr>
            <w:r w:rsidRPr="00722C19">
              <w:rPr>
                <w:lang w:val="en-GB"/>
              </w:rPr>
              <w:t>CBS All Access</w:t>
            </w:r>
          </w:p>
        </w:tc>
        <w:tc>
          <w:tcPr>
            <w:tcW w:w="6973" w:type="dxa"/>
          </w:tcPr>
          <w:p w14:paraId="2A2DEF0A" w14:textId="77777777" w:rsidR="002541E5" w:rsidRPr="00722C19" w:rsidRDefault="002541E5" w:rsidP="00D1594B">
            <w:pPr>
              <w:pStyle w:val="ExhibitText"/>
              <w:rPr>
                <w:lang w:val="en-GB"/>
              </w:rPr>
            </w:pPr>
            <w:r w:rsidRPr="00722C19">
              <w:rPr>
                <w:lang w:val="en-GB"/>
              </w:rPr>
              <w:t>$5.99 (or $10.99 without ads)</w:t>
            </w:r>
          </w:p>
        </w:tc>
      </w:tr>
      <w:tr w:rsidR="002541E5" w:rsidRPr="008224C6" w14:paraId="3B8E6127" w14:textId="77777777" w:rsidTr="00D1594B">
        <w:trPr>
          <w:trHeight w:val="138"/>
          <w:jc w:val="center"/>
        </w:trPr>
        <w:tc>
          <w:tcPr>
            <w:tcW w:w="1841" w:type="dxa"/>
          </w:tcPr>
          <w:p w14:paraId="69037025" w14:textId="77777777" w:rsidR="002541E5" w:rsidRPr="00722C19" w:rsidRDefault="002541E5" w:rsidP="00D1594B">
            <w:pPr>
              <w:pStyle w:val="ExhibitText"/>
              <w:rPr>
                <w:lang w:val="en-GB"/>
              </w:rPr>
            </w:pPr>
            <w:r w:rsidRPr="00722C19">
              <w:rPr>
                <w:lang w:val="en-GB"/>
              </w:rPr>
              <w:t>HBO Now</w:t>
            </w:r>
          </w:p>
        </w:tc>
        <w:tc>
          <w:tcPr>
            <w:tcW w:w="6973" w:type="dxa"/>
          </w:tcPr>
          <w:p w14:paraId="43F22551" w14:textId="77777777" w:rsidR="002541E5" w:rsidRPr="00722C19" w:rsidRDefault="002541E5" w:rsidP="00D1594B">
            <w:pPr>
              <w:pStyle w:val="ExhibitText"/>
              <w:rPr>
                <w:lang w:val="en-GB"/>
              </w:rPr>
            </w:pPr>
            <w:r w:rsidRPr="00722C19">
              <w:rPr>
                <w:lang w:val="en-GB"/>
              </w:rPr>
              <w:t>$14.99 (or $9.99 for students)</w:t>
            </w:r>
          </w:p>
        </w:tc>
      </w:tr>
      <w:tr w:rsidR="002541E5" w:rsidRPr="008224C6" w14:paraId="16FBAF72" w14:textId="77777777" w:rsidTr="00D1594B">
        <w:trPr>
          <w:trHeight w:val="197"/>
          <w:jc w:val="center"/>
        </w:trPr>
        <w:tc>
          <w:tcPr>
            <w:tcW w:w="1841" w:type="dxa"/>
          </w:tcPr>
          <w:p w14:paraId="6031EF01" w14:textId="77777777" w:rsidR="002541E5" w:rsidRPr="00722C19" w:rsidRDefault="002541E5" w:rsidP="00722C19">
            <w:pPr>
              <w:pStyle w:val="ExhibitText"/>
              <w:jc w:val="left"/>
              <w:rPr>
                <w:lang w:val="en-GB"/>
              </w:rPr>
            </w:pPr>
            <w:r w:rsidRPr="00722C19">
              <w:rPr>
                <w:lang w:val="en-GB"/>
              </w:rPr>
              <w:t xml:space="preserve">Sony PlayStation </w:t>
            </w:r>
            <w:proofErr w:type="spellStart"/>
            <w:r w:rsidRPr="00722C19">
              <w:rPr>
                <w:lang w:val="en-GB"/>
              </w:rPr>
              <w:t>Vue</w:t>
            </w:r>
            <w:proofErr w:type="spellEnd"/>
          </w:p>
        </w:tc>
        <w:tc>
          <w:tcPr>
            <w:tcW w:w="6973" w:type="dxa"/>
          </w:tcPr>
          <w:p w14:paraId="76AAF165" w14:textId="77777777" w:rsidR="002541E5" w:rsidRPr="00722C19" w:rsidRDefault="002541E5" w:rsidP="00D1594B">
            <w:pPr>
              <w:pStyle w:val="ExhibitText"/>
              <w:rPr>
                <w:lang w:val="en-GB"/>
              </w:rPr>
            </w:pPr>
            <w:r w:rsidRPr="00722C19">
              <w:rPr>
                <w:lang w:val="en-GB"/>
              </w:rPr>
              <w:t>$39.99 Access (50 channels) to $74.99 Ultra (90 channels plus HBO and Showtime)</w:t>
            </w:r>
          </w:p>
        </w:tc>
      </w:tr>
      <w:tr w:rsidR="002541E5" w:rsidRPr="008224C6" w14:paraId="7ABE1BBE" w14:textId="77777777" w:rsidTr="00D1594B">
        <w:trPr>
          <w:trHeight w:val="197"/>
          <w:jc w:val="center"/>
        </w:trPr>
        <w:tc>
          <w:tcPr>
            <w:tcW w:w="1841" w:type="dxa"/>
          </w:tcPr>
          <w:p w14:paraId="508676B7" w14:textId="77777777" w:rsidR="002541E5" w:rsidRPr="00722C19" w:rsidRDefault="002541E5" w:rsidP="00D1594B">
            <w:pPr>
              <w:pStyle w:val="ExhibitText"/>
              <w:rPr>
                <w:lang w:val="en-GB"/>
              </w:rPr>
            </w:pPr>
            <w:r w:rsidRPr="00722C19">
              <w:rPr>
                <w:lang w:val="en-GB"/>
              </w:rPr>
              <w:t>Google’s YouTube TV</w:t>
            </w:r>
          </w:p>
        </w:tc>
        <w:tc>
          <w:tcPr>
            <w:tcW w:w="6973" w:type="dxa"/>
          </w:tcPr>
          <w:p w14:paraId="51851D33" w14:textId="3BB0EC4F" w:rsidR="002541E5" w:rsidRPr="00722C19" w:rsidRDefault="002541E5" w:rsidP="00D1594B">
            <w:pPr>
              <w:pStyle w:val="ExhibitText"/>
              <w:rPr>
                <w:lang w:val="en-GB"/>
              </w:rPr>
            </w:pPr>
            <w:r w:rsidRPr="00722C19">
              <w:rPr>
                <w:lang w:val="en-GB"/>
              </w:rPr>
              <w:t>$35</w:t>
            </w:r>
          </w:p>
        </w:tc>
      </w:tr>
      <w:tr w:rsidR="002541E5" w:rsidRPr="008224C6" w14:paraId="2D39C755" w14:textId="77777777" w:rsidTr="00D1594B">
        <w:trPr>
          <w:trHeight w:val="197"/>
          <w:jc w:val="center"/>
        </w:trPr>
        <w:tc>
          <w:tcPr>
            <w:tcW w:w="1841" w:type="dxa"/>
          </w:tcPr>
          <w:p w14:paraId="6A3B4FA4" w14:textId="77777777" w:rsidR="002541E5" w:rsidRPr="00722C19" w:rsidRDefault="002541E5" w:rsidP="00D1594B">
            <w:pPr>
              <w:pStyle w:val="ExhibitText"/>
              <w:rPr>
                <w:lang w:val="en-GB"/>
              </w:rPr>
            </w:pPr>
            <w:r w:rsidRPr="00722C19">
              <w:rPr>
                <w:lang w:val="en-GB"/>
              </w:rPr>
              <w:t>Netflix</w:t>
            </w:r>
          </w:p>
        </w:tc>
        <w:tc>
          <w:tcPr>
            <w:tcW w:w="6973" w:type="dxa"/>
          </w:tcPr>
          <w:p w14:paraId="006B3E18" w14:textId="55EAA3DF" w:rsidR="002541E5" w:rsidRPr="00722C19" w:rsidRDefault="002541E5" w:rsidP="00D1594B">
            <w:pPr>
              <w:pStyle w:val="ExhibitText"/>
              <w:rPr>
                <w:lang w:val="en-GB"/>
              </w:rPr>
            </w:pPr>
            <w:r w:rsidRPr="00722C19">
              <w:rPr>
                <w:lang w:val="en-GB"/>
              </w:rPr>
              <w:t xml:space="preserve">$7.99 for standard definition video on </w:t>
            </w:r>
            <w:r w:rsidR="00293837">
              <w:rPr>
                <w:lang w:val="en-GB"/>
              </w:rPr>
              <w:t>one</w:t>
            </w:r>
            <w:r w:rsidR="00293837" w:rsidRPr="00722C19">
              <w:rPr>
                <w:lang w:val="en-GB"/>
              </w:rPr>
              <w:t xml:space="preserve"> </w:t>
            </w:r>
            <w:r w:rsidRPr="00722C19">
              <w:rPr>
                <w:lang w:val="en-GB"/>
              </w:rPr>
              <w:t>screen to $13.99 for high</w:t>
            </w:r>
            <w:r w:rsidR="00293837">
              <w:rPr>
                <w:lang w:val="en-GB"/>
              </w:rPr>
              <w:t>-</w:t>
            </w:r>
            <w:r w:rsidRPr="00722C19">
              <w:rPr>
                <w:lang w:val="en-GB"/>
              </w:rPr>
              <w:t xml:space="preserve">definition on up to </w:t>
            </w:r>
            <w:r w:rsidR="00293837">
              <w:rPr>
                <w:lang w:val="en-GB"/>
              </w:rPr>
              <w:t>four</w:t>
            </w:r>
            <w:r w:rsidR="00293837" w:rsidRPr="00722C19">
              <w:rPr>
                <w:lang w:val="en-GB"/>
              </w:rPr>
              <w:t xml:space="preserve"> </w:t>
            </w:r>
            <w:r w:rsidRPr="00722C19">
              <w:rPr>
                <w:lang w:val="en-GB"/>
              </w:rPr>
              <w:t>screens</w:t>
            </w:r>
          </w:p>
        </w:tc>
      </w:tr>
      <w:tr w:rsidR="002541E5" w:rsidRPr="008224C6" w14:paraId="1F3B3554" w14:textId="77777777" w:rsidTr="00D1594B">
        <w:trPr>
          <w:trHeight w:val="211"/>
          <w:jc w:val="center"/>
        </w:trPr>
        <w:tc>
          <w:tcPr>
            <w:tcW w:w="1841" w:type="dxa"/>
          </w:tcPr>
          <w:p w14:paraId="1CA0CC98" w14:textId="77777777" w:rsidR="002541E5" w:rsidRPr="00722C19" w:rsidRDefault="002541E5" w:rsidP="00D1594B">
            <w:pPr>
              <w:pStyle w:val="ExhibitText"/>
              <w:rPr>
                <w:lang w:val="en-GB"/>
              </w:rPr>
            </w:pPr>
            <w:r w:rsidRPr="00722C19">
              <w:rPr>
                <w:lang w:val="en-GB"/>
              </w:rPr>
              <w:t>Amazon Prime</w:t>
            </w:r>
          </w:p>
        </w:tc>
        <w:tc>
          <w:tcPr>
            <w:tcW w:w="6973" w:type="dxa"/>
          </w:tcPr>
          <w:p w14:paraId="5FD5917C" w14:textId="0D666799" w:rsidR="002541E5" w:rsidRPr="00722C19" w:rsidRDefault="002541E5" w:rsidP="00D1594B">
            <w:pPr>
              <w:pStyle w:val="ExhibitText"/>
              <w:rPr>
                <w:lang w:val="en-GB"/>
              </w:rPr>
            </w:pPr>
            <w:r w:rsidRPr="00722C19">
              <w:rPr>
                <w:lang w:val="en-GB"/>
              </w:rPr>
              <w:t>$8.99 stand-alone or video access included with $99/year Amazon Prime membership</w:t>
            </w:r>
          </w:p>
        </w:tc>
      </w:tr>
      <w:tr w:rsidR="002541E5" w:rsidRPr="008224C6" w14:paraId="170EB0D2" w14:textId="77777777" w:rsidTr="00D1594B">
        <w:trPr>
          <w:trHeight w:val="187"/>
          <w:jc w:val="center"/>
        </w:trPr>
        <w:tc>
          <w:tcPr>
            <w:tcW w:w="1841" w:type="dxa"/>
          </w:tcPr>
          <w:p w14:paraId="3D798945" w14:textId="77777777" w:rsidR="002541E5" w:rsidRPr="00722C19" w:rsidRDefault="002541E5" w:rsidP="00D1594B">
            <w:pPr>
              <w:pStyle w:val="ExhibitText"/>
              <w:rPr>
                <w:lang w:val="en-GB"/>
              </w:rPr>
            </w:pPr>
            <w:r w:rsidRPr="00722C19">
              <w:rPr>
                <w:lang w:val="en-GB"/>
              </w:rPr>
              <w:t>Hulu</w:t>
            </w:r>
          </w:p>
        </w:tc>
        <w:tc>
          <w:tcPr>
            <w:tcW w:w="6973" w:type="dxa"/>
          </w:tcPr>
          <w:p w14:paraId="7A93E6EB" w14:textId="17BF9AC0" w:rsidR="002541E5" w:rsidRPr="00722C19" w:rsidRDefault="002541E5" w:rsidP="00D1594B">
            <w:pPr>
              <w:pStyle w:val="ExhibitText"/>
              <w:rPr>
                <w:lang w:val="en-GB"/>
              </w:rPr>
            </w:pPr>
            <w:r w:rsidRPr="00722C19">
              <w:rPr>
                <w:lang w:val="en-GB"/>
              </w:rPr>
              <w:t>$7.99 (or $11.99 without ads) or Hulu with Live TV at $39.99 for about 50 channels, incl</w:t>
            </w:r>
            <w:r w:rsidR="00A2412E">
              <w:rPr>
                <w:lang w:val="en-GB"/>
              </w:rPr>
              <w:t>uding</w:t>
            </w:r>
            <w:r w:rsidRPr="00722C19">
              <w:rPr>
                <w:lang w:val="en-GB"/>
              </w:rPr>
              <w:t xml:space="preserve"> ESPN</w:t>
            </w:r>
          </w:p>
        </w:tc>
      </w:tr>
    </w:tbl>
    <w:p w14:paraId="29A22E0D" w14:textId="652CD3AD" w:rsidR="002541E5" w:rsidRPr="00722C19" w:rsidRDefault="002541E5" w:rsidP="00D1594B">
      <w:pPr>
        <w:pStyle w:val="ExhibitText"/>
        <w:rPr>
          <w:lang w:val="en-GB"/>
        </w:rPr>
      </w:pPr>
    </w:p>
    <w:p w14:paraId="19E82EBF" w14:textId="78F6D843" w:rsidR="00293837" w:rsidRDefault="00293837" w:rsidP="00D1594B">
      <w:pPr>
        <w:pStyle w:val="Footnote"/>
        <w:rPr>
          <w:lang w:val="en-GB"/>
        </w:rPr>
      </w:pPr>
      <w:r>
        <w:rPr>
          <w:lang w:val="en-GB"/>
        </w:rPr>
        <w:t>Note: All currency amounts are in US$.</w:t>
      </w:r>
    </w:p>
    <w:p w14:paraId="1C42B7CE" w14:textId="686705E4" w:rsidR="000E646B" w:rsidRPr="00722C19" w:rsidRDefault="00DF1853" w:rsidP="00D1594B">
      <w:pPr>
        <w:pStyle w:val="Footnote"/>
        <w:rPr>
          <w:lang w:val="en-GB"/>
        </w:rPr>
      </w:pPr>
      <w:r>
        <w:t xml:space="preserve">Source: </w:t>
      </w:r>
      <w:r w:rsidR="000E646B" w:rsidRPr="000C0797">
        <w:t>Created by authors using Catherine Campo, “Netflix Versus the Competition: How to Choose a Streaming Service,” CNBC.com, October 7, 2017, accessed April 10, 2018, www.cnbc.com/2017/10/06/which-ott-streaming-service-is-best.html.</w:t>
      </w:r>
    </w:p>
    <w:p w14:paraId="6289047A" w14:textId="77777777" w:rsidR="00D1594B" w:rsidRPr="00722C19" w:rsidRDefault="00D1594B">
      <w:pPr>
        <w:spacing w:after="200" w:line="276" w:lineRule="auto"/>
        <w:rPr>
          <w:rFonts w:ascii="Arial" w:hAnsi="Arial" w:cs="Arial"/>
          <w:sz w:val="17"/>
          <w:szCs w:val="17"/>
          <w:lang w:val="en-GB"/>
        </w:rPr>
      </w:pPr>
      <w:r w:rsidRPr="00722C19">
        <w:rPr>
          <w:lang w:val="en-GB"/>
        </w:rPr>
        <w:br w:type="page"/>
      </w:r>
    </w:p>
    <w:p w14:paraId="722563C3" w14:textId="4F91BC40" w:rsidR="00F12E68" w:rsidRPr="00722C19" w:rsidRDefault="00F12E68" w:rsidP="00A8110B">
      <w:pPr>
        <w:pStyle w:val="Casehead1"/>
        <w:rPr>
          <w:lang w:val="en-GB"/>
        </w:rPr>
      </w:pPr>
      <w:r w:rsidRPr="00722C19">
        <w:rPr>
          <w:lang w:val="en-GB"/>
        </w:rPr>
        <w:lastRenderedPageBreak/>
        <w:t>Endnotes</w:t>
      </w:r>
    </w:p>
    <w:sectPr w:rsidR="00F12E68" w:rsidRPr="00722C19"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B68E4" w16cid:durableId="20C60B98"/>
  <w16cid:commentId w16cid:paraId="6846AA21" w16cid:durableId="20DC1408"/>
  <w16cid:commentId w16cid:paraId="2185F81A" w16cid:durableId="20C751F0"/>
  <w16cid:commentId w16cid:paraId="057614CC" w16cid:durableId="20C9EC27"/>
  <w16cid:commentId w16cid:paraId="2D1E8AE4" w16cid:durableId="20E93694"/>
  <w16cid:commentId w16cid:paraId="788A72D3" w16cid:durableId="20C9F9EA"/>
  <w16cid:commentId w16cid:paraId="581AA40A" w16cid:durableId="20DC1499"/>
  <w16cid:commentId w16cid:paraId="3B01DB40" w16cid:durableId="20C8815B"/>
  <w16cid:commentId w16cid:paraId="51BDB20C" w16cid:durableId="20C88E20"/>
  <w16cid:commentId w16cid:paraId="0B5620BB" w16cid:durableId="20E938AD"/>
  <w16cid:commentId w16cid:paraId="242740CA" w16cid:durableId="20C88F20"/>
  <w16cid:commentId w16cid:paraId="0AB1EB12" w16cid:durableId="20DC1A3A"/>
  <w16cid:commentId w16cid:paraId="54CF5249" w16cid:durableId="20C89F5F"/>
  <w16cid:commentId w16cid:paraId="1C4E0638" w16cid:durableId="20E938E8"/>
  <w16cid:commentId w16cid:paraId="4532FC0B" w16cid:durableId="20C8A1BC"/>
  <w16cid:commentId w16cid:paraId="33A717B3" w16cid:durableId="20DC227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15034E" w14:textId="77777777" w:rsidR="008740D8" w:rsidRDefault="008740D8" w:rsidP="00D75295">
      <w:r>
        <w:separator/>
      </w:r>
    </w:p>
  </w:endnote>
  <w:endnote w:type="continuationSeparator" w:id="0">
    <w:p w14:paraId="160CB506" w14:textId="77777777" w:rsidR="008740D8" w:rsidRDefault="008740D8" w:rsidP="00D75295">
      <w:r>
        <w:continuationSeparator/>
      </w:r>
    </w:p>
  </w:endnote>
  <w:endnote w:id="1">
    <w:p w14:paraId="3DF35189" w14:textId="593990DA" w:rsidR="008740D8" w:rsidRPr="00CF7C46" w:rsidRDefault="008740D8">
      <w:pPr>
        <w:pStyle w:val="EndnoteText"/>
        <w:rPr>
          <w:lang w:val="en-US"/>
        </w:rPr>
      </w:pPr>
      <w:r w:rsidRPr="00CF7C46">
        <w:rPr>
          <w:rStyle w:val="FootnoteChar"/>
          <w:rFonts w:eastAsia="Calibri"/>
          <w:vertAlign w:val="superscript"/>
        </w:rPr>
        <w:endnoteRef/>
      </w:r>
      <w:r>
        <w:t xml:space="preserve"> </w:t>
      </w:r>
      <w:r w:rsidRPr="00CF7C46">
        <w:rPr>
          <w:rStyle w:val="FootnoteChar"/>
          <w:rFonts w:eastAsia="Calibri"/>
        </w:rPr>
        <w:t>This case has been written on the basis of published sources only. Consequently, the interpretation and perspectives presented in this case are not necessarily those of</w:t>
      </w:r>
      <w:r>
        <w:rPr>
          <w:rStyle w:val="FootnoteChar"/>
          <w:rFonts w:eastAsia="Calibri"/>
          <w:lang w:val="en-US"/>
        </w:rPr>
        <w:t xml:space="preserve"> the Walt</w:t>
      </w:r>
      <w:r w:rsidRPr="00CF7C46">
        <w:rPr>
          <w:rStyle w:val="FootnoteChar"/>
          <w:rFonts w:eastAsia="Calibri"/>
        </w:rPr>
        <w:t xml:space="preserve"> </w:t>
      </w:r>
      <w:r>
        <w:rPr>
          <w:rStyle w:val="FootnoteChar"/>
          <w:rFonts w:eastAsia="Calibri"/>
          <w:lang w:val="en-US"/>
        </w:rPr>
        <w:t>Disney Company</w:t>
      </w:r>
      <w:r w:rsidRPr="00CF7C46">
        <w:rPr>
          <w:rStyle w:val="FootnoteChar"/>
          <w:rFonts w:eastAsia="Calibri"/>
        </w:rPr>
        <w:t xml:space="preserve"> or any of its employees</w:t>
      </w:r>
    </w:p>
  </w:endnote>
  <w:endnote w:id="2">
    <w:p w14:paraId="6F1AE273" w14:textId="16B1FDB3" w:rsidR="00857719" w:rsidRPr="00857719" w:rsidRDefault="00857719">
      <w:pPr>
        <w:pStyle w:val="EndnoteText"/>
        <w:rPr>
          <w:lang w:val="en-US"/>
        </w:rPr>
      </w:pPr>
      <w:r>
        <w:rPr>
          <w:rStyle w:val="EndnoteReference"/>
        </w:rPr>
        <w:endnoteRef/>
      </w:r>
      <w:r>
        <w:t xml:space="preserve"> </w:t>
      </w:r>
      <w:r w:rsidRPr="00857719">
        <w:rPr>
          <w:rStyle w:val="FootnoteChar"/>
          <w:rFonts w:eastAsia="Calibri"/>
        </w:rPr>
        <w:t xml:space="preserve">William Earle, “2017 Emmys Winners-Full List,” </w:t>
      </w:r>
      <w:proofErr w:type="spellStart"/>
      <w:r w:rsidRPr="00857719">
        <w:rPr>
          <w:rStyle w:val="FootnoteChar"/>
          <w:rFonts w:eastAsia="Calibri"/>
        </w:rPr>
        <w:t>IndieWire</w:t>
      </w:r>
      <w:proofErr w:type="spellEnd"/>
      <w:r w:rsidRPr="00857719">
        <w:rPr>
          <w:rStyle w:val="FootnoteChar"/>
          <w:rFonts w:eastAsia="Calibri"/>
        </w:rPr>
        <w:t>, September 17, 2017, accessed September 19, 2019, www.indiewire.com/2017/09/2017-emmy-winners-list-69th-awards-1201877412/</w:t>
      </w:r>
      <w:r>
        <w:rPr>
          <w:rStyle w:val="FootnoteChar"/>
          <w:rFonts w:eastAsia="Calibri"/>
          <w:lang w:val="en-US"/>
        </w:rPr>
        <w:t>.</w:t>
      </w:r>
    </w:p>
  </w:endnote>
  <w:endnote w:id="3">
    <w:p w14:paraId="13540756" w14:textId="37BA81FC" w:rsidR="00857719" w:rsidRPr="00857719" w:rsidRDefault="00857719">
      <w:pPr>
        <w:pStyle w:val="EndnoteText"/>
        <w:rPr>
          <w:lang w:val="en-US"/>
        </w:rPr>
      </w:pPr>
      <w:r w:rsidRPr="003B72FB">
        <w:rPr>
          <w:rStyle w:val="FootnoteChar"/>
          <w:rFonts w:eastAsia="Calibri"/>
          <w:vertAlign w:val="superscript"/>
        </w:rPr>
        <w:endnoteRef/>
      </w:r>
      <w:r w:rsidRPr="003B72FB">
        <w:rPr>
          <w:rStyle w:val="FootnoteChar"/>
          <w:rFonts w:eastAsia="Calibri"/>
          <w:vertAlign w:val="superscript"/>
        </w:rPr>
        <w:t xml:space="preserve"> </w:t>
      </w:r>
      <w:r w:rsidRPr="00AF7EB6">
        <w:rPr>
          <w:rStyle w:val="FootnoteChar"/>
          <w:rFonts w:eastAsia="Calibri"/>
        </w:rPr>
        <w:t xml:space="preserve">TC </w:t>
      </w:r>
      <w:proofErr w:type="spellStart"/>
      <w:r w:rsidRPr="00AF7EB6">
        <w:rPr>
          <w:rStyle w:val="FootnoteChar"/>
          <w:rFonts w:eastAsia="Calibri"/>
        </w:rPr>
        <w:t>Sottek</w:t>
      </w:r>
      <w:proofErr w:type="spellEnd"/>
      <w:r w:rsidRPr="00AF7EB6">
        <w:rPr>
          <w:rStyle w:val="FootnoteChar"/>
          <w:rFonts w:eastAsia="Calibri"/>
        </w:rPr>
        <w:t>, “Netflix challenges the TV establishment with Emmy wins for ‘</w:t>
      </w:r>
      <w:proofErr w:type="spellStart"/>
      <w:r w:rsidRPr="00AF7EB6">
        <w:rPr>
          <w:rStyle w:val="FootnoteChar"/>
          <w:rFonts w:eastAsia="Calibri"/>
        </w:rPr>
        <w:t>Houseof</w:t>
      </w:r>
      <w:proofErr w:type="spellEnd"/>
      <w:r w:rsidRPr="00AF7EB6">
        <w:rPr>
          <w:rStyle w:val="FootnoteChar"/>
          <w:rFonts w:eastAsia="Calibri"/>
        </w:rPr>
        <w:t xml:space="preserve"> Cards’, The Verge, September 22, 2013, accessed September 19, 2019 www.theverge.com/2013/9/22/4759754/netflix-challenges-the-tv-establishment-with-emmy-wins-for-house-of</w:t>
      </w:r>
      <w:r>
        <w:rPr>
          <w:lang w:val="en-US"/>
        </w:rPr>
        <w:t>.</w:t>
      </w:r>
    </w:p>
  </w:endnote>
  <w:endnote w:id="4">
    <w:p w14:paraId="3BC49E38" w14:textId="7FF35E14" w:rsidR="00857719" w:rsidRPr="00765778" w:rsidRDefault="00857719" w:rsidP="00BC4BA1">
      <w:pPr>
        <w:pStyle w:val="Footnote"/>
        <w:rPr>
          <w:lang w:val="en-GB"/>
        </w:rPr>
      </w:pPr>
      <w:r w:rsidRPr="00765778">
        <w:rPr>
          <w:rStyle w:val="EndnoteReference"/>
          <w:lang w:val="en-GB"/>
        </w:rPr>
        <w:endnoteRef/>
      </w:r>
      <w:r w:rsidRPr="00765778">
        <w:rPr>
          <w:lang w:val="en-GB"/>
        </w:rPr>
        <w:t xml:space="preserve"> The Museum of Modern Art (MoMA), “Walt Disney, </w:t>
      </w:r>
      <w:proofErr w:type="spellStart"/>
      <w:r w:rsidRPr="00765778">
        <w:rPr>
          <w:lang w:val="en-GB"/>
        </w:rPr>
        <w:t>Ub</w:t>
      </w:r>
      <w:proofErr w:type="spellEnd"/>
      <w:r w:rsidRPr="00765778">
        <w:rPr>
          <w:lang w:val="en-GB"/>
        </w:rPr>
        <w:t xml:space="preserve"> </w:t>
      </w:r>
      <w:proofErr w:type="spellStart"/>
      <w:r w:rsidRPr="00765778">
        <w:rPr>
          <w:lang w:val="en-GB"/>
        </w:rPr>
        <w:t>Iwerks</w:t>
      </w:r>
      <w:proofErr w:type="spellEnd"/>
      <w:r w:rsidRPr="00765778">
        <w:rPr>
          <w:lang w:val="en-GB"/>
        </w:rPr>
        <w:t>, Steamboat Willie, 1928,” MoMA Highlights, 1999, revised 2004, accessed June 21, 2018, www.moma.org/collection/works/89284.</w:t>
      </w:r>
    </w:p>
  </w:endnote>
  <w:endnote w:id="5">
    <w:p w14:paraId="00F69DBE" w14:textId="7F74FA02" w:rsidR="00857719" w:rsidRPr="00765778" w:rsidRDefault="00857719" w:rsidP="00BC4BA1">
      <w:pPr>
        <w:pStyle w:val="Footnote"/>
        <w:rPr>
          <w:lang w:val="en-GB"/>
        </w:rPr>
      </w:pPr>
      <w:r w:rsidRPr="00765778">
        <w:rPr>
          <w:rStyle w:val="EndnoteReference"/>
          <w:lang w:val="en-GB"/>
        </w:rPr>
        <w:endnoteRef/>
      </w:r>
      <w:r w:rsidRPr="00765778">
        <w:rPr>
          <w:lang w:val="en-GB"/>
        </w:rPr>
        <w:t xml:space="preserve"> Michal Lev-Ram, “14 Iconic Milestones of Disney Innovation,” </w:t>
      </w:r>
      <w:r w:rsidRPr="00722C19">
        <w:rPr>
          <w:i/>
          <w:lang w:val="en-GB"/>
        </w:rPr>
        <w:t>Fortune</w:t>
      </w:r>
      <w:r w:rsidRPr="00765778">
        <w:rPr>
          <w:lang w:val="en-GB"/>
        </w:rPr>
        <w:t xml:space="preserve">, December 29, 2014, accessed June 21, 2018, </w:t>
      </w:r>
      <w:hyperlink r:id="rId1" w:history="1">
        <w:r w:rsidRPr="00765778">
          <w:rPr>
            <w:rStyle w:val="Hyperlink"/>
            <w:color w:val="auto"/>
            <w:u w:val="none"/>
            <w:lang w:val="en-GB"/>
          </w:rPr>
          <w:t>http://fortune.com/2014/12/29/disney-innovation-timeline/</w:t>
        </w:r>
      </w:hyperlink>
      <w:r w:rsidRPr="00765778">
        <w:rPr>
          <w:lang w:val="en-GB"/>
        </w:rPr>
        <w:t>.</w:t>
      </w:r>
    </w:p>
  </w:endnote>
  <w:endnote w:id="6">
    <w:p w14:paraId="72284E28" w14:textId="57F83EBE" w:rsidR="00857719" w:rsidRDefault="00857719">
      <w:pPr>
        <w:pStyle w:val="EndnoteText"/>
      </w:pPr>
      <w:r>
        <w:rPr>
          <w:rStyle w:val="EndnoteReference"/>
        </w:rPr>
        <w:endnoteRef/>
      </w:r>
      <w:r>
        <w:t xml:space="preserve"> </w:t>
      </w:r>
      <w:r w:rsidRPr="00857719">
        <w:rPr>
          <w:rStyle w:val="FootnoteChar"/>
          <w:rFonts w:eastAsia="Calibri"/>
        </w:rPr>
        <w:t xml:space="preserve">Ericsson, TV and Media 2017: A consumer-driven future of media, Ericsson </w:t>
      </w:r>
      <w:proofErr w:type="spellStart"/>
      <w:r w:rsidRPr="00857719">
        <w:rPr>
          <w:rStyle w:val="FootnoteChar"/>
          <w:rFonts w:eastAsia="Calibri"/>
        </w:rPr>
        <w:t>ConsumerLab</w:t>
      </w:r>
      <w:proofErr w:type="spellEnd"/>
      <w:r w:rsidRPr="00857719">
        <w:rPr>
          <w:rStyle w:val="FootnoteChar"/>
          <w:rFonts w:eastAsia="Calibri"/>
        </w:rPr>
        <w:t>, 2017, accessed April 23, 2018, www.ericsson.com/en/trends-and-insights/consumerlab/consumer-insights/reports/tv-and-media-2017.</w:t>
      </w:r>
    </w:p>
  </w:endnote>
  <w:endnote w:id="7">
    <w:p w14:paraId="417DE8B5" w14:textId="5E96FC8E" w:rsidR="00A12456" w:rsidRPr="00A12456" w:rsidRDefault="00A12456" w:rsidP="00A12456">
      <w:pPr>
        <w:rPr>
          <w:rFonts w:ascii="Arial" w:hAnsi="Arial" w:cs="Arial"/>
          <w:sz w:val="17"/>
          <w:szCs w:val="17"/>
          <w:lang w:val="en-GB"/>
        </w:rPr>
      </w:pPr>
      <w:r w:rsidRPr="003B72FB">
        <w:rPr>
          <w:rStyle w:val="FootnoteChar"/>
          <w:vertAlign w:val="superscript"/>
        </w:rPr>
        <w:endnoteRef/>
      </w:r>
      <w:r w:rsidRPr="003B72FB">
        <w:rPr>
          <w:rStyle w:val="FootnoteChar"/>
          <w:vertAlign w:val="superscript"/>
        </w:rPr>
        <w:t xml:space="preserve"> </w:t>
      </w:r>
      <w:r w:rsidRPr="00C41EC1">
        <w:rPr>
          <w:rFonts w:ascii="Arial" w:hAnsi="Arial" w:cs="Arial"/>
          <w:sz w:val="17"/>
          <w:szCs w:val="17"/>
        </w:rPr>
        <w:t>Derek Thompson, “</w:t>
      </w:r>
      <w:proofErr w:type="spellStart"/>
      <w:r w:rsidRPr="00C41EC1">
        <w:rPr>
          <w:rFonts w:ascii="Arial" w:hAnsi="Arial" w:cs="Arial"/>
          <w:sz w:val="17"/>
          <w:szCs w:val="17"/>
        </w:rPr>
        <w:t>Disneyflix</w:t>
      </w:r>
      <w:proofErr w:type="spellEnd"/>
      <w:r w:rsidRPr="00C41EC1">
        <w:rPr>
          <w:rFonts w:ascii="Arial" w:hAnsi="Arial" w:cs="Arial"/>
          <w:sz w:val="17"/>
          <w:szCs w:val="17"/>
        </w:rPr>
        <w:t xml:space="preserve"> is </w:t>
      </w:r>
      <w:proofErr w:type="gramStart"/>
      <w:r w:rsidRPr="00C41EC1">
        <w:rPr>
          <w:rFonts w:ascii="Arial" w:hAnsi="Arial" w:cs="Arial"/>
          <w:sz w:val="17"/>
          <w:szCs w:val="17"/>
        </w:rPr>
        <w:t>Coming</w:t>
      </w:r>
      <w:proofErr w:type="gramEnd"/>
      <w:r w:rsidRPr="00C41EC1">
        <w:rPr>
          <w:rFonts w:ascii="Arial" w:hAnsi="Arial" w:cs="Arial"/>
          <w:sz w:val="17"/>
          <w:szCs w:val="17"/>
        </w:rPr>
        <w:t xml:space="preserve">. And Netflix Should Be Scared,” </w:t>
      </w:r>
      <w:r w:rsidRPr="00C41EC1">
        <w:rPr>
          <w:rFonts w:ascii="Arial" w:hAnsi="Arial" w:cs="Arial"/>
          <w:i/>
          <w:iCs/>
          <w:sz w:val="17"/>
          <w:szCs w:val="17"/>
        </w:rPr>
        <w:t>The Atlantic</w:t>
      </w:r>
      <w:r w:rsidRPr="00C41EC1">
        <w:rPr>
          <w:rFonts w:ascii="Arial" w:hAnsi="Arial" w:cs="Arial"/>
          <w:sz w:val="17"/>
          <w:szCs w:val="17"/>
        </w:rPr>
        <w:t xml:space="preserve">, May 2018, accessed September 22, 2019, </w:t>
      </w:r>
      <w:r w:rsidRPr="00A12456">
        <w:rPr>
          <w:rFonts w:ascii="Arial" w:hAnsi="Arial" w:cs="Arial"/>
          <w:sz w:val="17"/>
          <w:szCs w:val="17"/>
        </w:rPr>
        <w:t>www.theatlantic.com/magazine/archive/2018/05/disneyflix-netflix/556895/</w:t>
      </w:r>
      <w:r w:rsidR="00102D6C">
        <w:rPr>
          <w:rFonts w:ascii="Arial" w:hAnsi="Arial" w:cs="Arial"/>
          <w:sz w:val="17"/>
          <w:szCs w:val="17"/>
        </w:rPr>
        <w:t>.;</w:t>
      </w:r>
      <w:r>
        <w:rPr>
          <w:rFonts w:ascii="Arial" w:hAnsi="Arial" w:cs="Arial"/>
          <w:sz w:val="17"/>
          <w:szCs w:val="17"/>
        </w:rPr>
        <w:t xml:space="preserve"> </w:t>
      </w:r>
      <w:r w:rsidRPr="00C41EC1">
        <w:rPr>
          <w:rFonts w:ascii="Arial" w:hAnsi="Arial" w:cs="Arial"/>
          <w:sz w:val="17"/>
          <w:szCs w:val="17"/>
        </w:rPr>
        <w:t xml:space="preserve">Sam </w:t>
      </w:r>
      <w:proofErr w:type="spellStart"/>
      <w:r w:rsidRPr="00C41EC1">
        <w:rPr>
          <w:rFonts w:ascii="Arial" w:hAnsi="Arial" w:cs="Arial"/>
          <w:sz w:val="17"/>
          <w:szCs w:val="17"/>
        </w:rPr>
        <w:t>Schechner</w:t>
      </w:r>
      <w:proofErr w:type="spellEnd"/>
      <w:r w:rsidRPr="00C41EC1">
        <w:rPr>
          <w:rFonts w:ascii="Arial" w:hAnsi="Arial" w:cs="Arial"/>
          <w:sz w:val="17"/>
          <w:szCs w:val="17"/>
        </w:rPr>
        <w:t xml:space="preserve"> and Elizabeth Holmes, “Disney Climbs Aboard Video Site Hulu, Teaming Up With Other Networks Online,” Wall Street Journal, May 1, 2009, accessed December 31, 2018, </w:t>
      </w:r>
      <w:r w:rsidRPr="00A12456">
        <w:rPr>
          <w:rFonts w:ascii="Arial" w:hAnsi="Arial" w:cs="Arial"/>
          <w:sz w:val="17"/>
          <w:szCs w:val="17"/>
        </w:rPr>
        <w:t>www.wsj.com/articles/SB124110275139073305</w:t>
      </w:r>
      <w:r w:rsidR="00102D6C">
        <w:rPr>
          <w:rFonts w:ascii="Arial" w:hAnsi="Arial" w:cs="Arial"/>
          <w:sz w:val="17"/>
          <w:szCs w:val="17"/>
        </w:rPr>
        <w:t>.;</w:t>
      </w:r>
      <w:r>
        <w:rPr>
          <w:rFonts w:ascii="Arial" w:hAnsi="Arial" w:cs="Arial"/>
          <w:sz w:val="17"/>
          <w:szCs w:val="17"/>
        </w:rPr>
        <w:t xml:space="preserve"> </w:t>
      </w:r>
      <w:r w:rsidRPr="00C41EC1">
        <w:rPr>
          <w:rFonts w:ascii="Arial" w:hAnsi="Arial" w:cs="Arial"/>
          <w:sz w:val="17"/>
          <w:szCs w:val="17"/>
          <w:lang w:val="en-GB"/>
        </w:rPr>
        <w:t xml:space="preserve">Ronald Grover and Sue </w:t>
      </w:r>
      <w:proofErr w:type="spellStart"/>
      <w:r w:rsidRPr="00C41EC1">
        <w:rPr>
          <w:rFonts w:ascii="Arial" w:hAnsi="Arial" w:cs="Arial"/>
          <w:sz w:val="17"/>
          <w:szCs w:val="17"/>
          <w:lang w:val="en-GB"/>
        </w:rPr>
        <w:t>Zeidler</w:t>
      </w:r>
      <w:proofErr w:type="spellEnd"/>
      <w:r w:rsidRPr="00C41EC1">
        <w:rPr>
          <w:rFonts w:ascii="Arial" w:hAnsi="Arial" w:cs="Arial"/>
          <w:sz w:val="17"/>
          <w:szCs w:val="17"/>
          <w:lang w:val="en-GB"/>
        </w:rPr>
        <w:t xml:space="preserve">, “Netflix to Get Disney Films in TV Distribution Deal,” December 4, 2012, accessed June 25, 2018, </w:t>
      </w:r>
      <w:r w:rsidRPr="00A12456">
        <w:rPr>
          <w:rFonts w:ascii="Arial" w:hAnsi="Arial" w:cs="Arial"/>
          <w:sz w:val="17"/>
          <w:szCs w:val="17"/>
          <w:lang w:val="en-GB"/>
        </w:rPr>
        <w:t>www.reuters.com/article/</w:t>
      </w:r>
      <w:r>
        <w:rPr>
          <w:rFonts w:ascii="Arial" w:hAnsi="Arial" w:cs="Arial"/>
          <w:sz w:val="17"/>
          <w:szCs w:val="17"/>
          <w:lang w:val="en-GB"/>
        </w:rPr>
        <w:t xml:space="preserve"> </w:t>
      </w:r>
      <w:r w:rsidRPr="00A12456">
        <w:rPr>
          <w:rFonts w:ascii="Arial" w:hAnsi="Arial" w:cs="Arial"/>
          <w:sz w:val="17"/>
          <w:szCs w:val="17"/>
          <w:lang w:val="en-GB"/>
        </w:rPr>
        <w:t>entertainment-us-netflix-disney-paytv/netflix-to-get-disney-films-in-tv-distribution-deal-idUSBRE8B312Q20121205</w:t>
      </w:r>
      <w:r w:rsidRPr="00C41EC1">
        <w:rPr>
          <w:rFonts w:ascii="Arial" w:hAnsi="Arial" w:cs="Arial"/>
          <w:sz w:val="17"/>
          <w:szCs w:val="17"/>
          <w:lang w:val="en-GB"/>
        </w:rPr>
        <w:t>.</w:t>
      </w:r>
    </w:p>
  </w:endnote>
  <w:endnote w:id="8">
    <w:p w14:paraId="100E3BDF" w14:textId="5AB504DE"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r w:rsidRPr="00722C19">
        <w:rPr>
          <w:i/>
          <w:lang w:val="en-GB"/>
        </w:rPr>
        <w:t xml:space="preserve">US Time Spent with Media: </w:t>
      </w:r>
      <w:proofErr w:type="spellStart"/>
      <w:r w:rsidRPr="00722C19">
        <w:rPr>
          <w:i/>
          <w:lang w:val="en-GB"/>
        </w:rPr>
        <w:t>eMarketer’s</w:t>
      </w:r>
      <w:proofErr w:type="spellEnd"/>
      <w:r w:rsidRPr="00722C19">
        <w:rPr>
          <w:i/>
          <w:lang w:val="en-GB"/>
        </w:rPr>
        <w:t xml:space="preserve"> Updated Estimate for 2017</w:t>
      </w:r>
      <w:r w:rsidRPr="00765778">
        <w:rPr>
          <w:lang w:val="en-GB"/>
        </w:rPr>
        <w:t xml:space="preserve">, </w:t>
      </w:r>
      <w:proofErr w:type="spellStart"/>
      <w:r w:rsidRPr="00765778">
        <w:rPr>
          <w:lang w:val="en-GB"/>
        </w:rPr>
        <w:t>eMarketer</w:t>
      </w:r>
      <w:proofErr w:type="spellEnd"/>
      <w:r w:rsidRPr="00765778">
        <w:rPr>
          <w:lang w:val="en-GB"/>
        </w:rPr>
        <w:t xml:space="preserve"> Report, October 15, 2017, accessed July 31, 2018, www.emarketer.com/Report/US-Time-Spent-with-Media-eMarketers-Updated-Estimates-2017/2002142. </w:t>
      </w:r>
    </w:p>
  </w:endnote>
  <w:endnote w:id="9">
    <w:p w14:paraId="0D1B962F" w14:textId="6D8890E9"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Kannan </w:t>
      </w:r>
      <w:proofErr w:type="spellStart"/>
      <w:r w:rsidRPr="00765778">
        <w:rPr>
          <w:lang w:val="en-GB"/>
        </w:rPr>
        <w:t>Venkateshwar</w:t>
      </w:r>
      <w:proofErr w:type="spellEnd"/>
      <w:r w:rsidRPr="00765778">
        <w:rPr>
          <w:lang w:val="en-GB"/>
        </w:rPr>
        <w:t xml:space="preserve">, “The Future of Sports,” Barclays, accessed April 23, 2018, </w:t>
      </w:r>
      <w:bookmarkStart w:id="0" w:name="_Hlk512269396"/>
      <w:r w:rsidRPr="00765778">
        <w:rPr>
          <w:lang w:val="en-GB"/>
        </w:rPr>
        <w:t>www.investmentbank.barclays.com/our-insights/the-future-of-sports.html</w:t>
      </w:r>
      <w:bookmarkEnd w:id="0"/>
      <w:r w:rsidRPr="00765778">
        <w:rPr>
          <w:lang w:val="en-GB"/>
        </w:rPr>
        <w:t>.</w:t>
      </w:r>
    </w:p>
  </w:endnote>
  <w:endnote w:id="10">
    <w:p w14:paraId="765D4294" w14:textId="610100B8" w:rsidR="008740D8" w:rsidRPr="00765778" w:rsidRDefault="008740D8" w:rsidP="00BC4BA1">
      <w:pPr>
        <w:pStyle w:val="Footnote"/>
        <w:rPr>
          <w:lang w:val="en-GB"/>
        </w:rPr>
      </w:pPr>
      <w:r w:rsidRPr="00765778">
        <w:rPr>
          <w:rStyle w:val="EndnoteReference"/>
          <w:lang w:val="en-GB"/>
        </w:rPr>
        <w:endnoteRef/>
      </w:r>
      <w:r w:rsidRPr="00765778">
        <w:rPr>
          <w:vertAlign w:val="superscript"/>
          <w:lang w:val="en-GB"/>
        </w:rPr>
        <w:t xml:space="preserve"> </w:t>
      </w:r>
      <w:r w:rsidRPr="00765778">
        <w:rPr>
          <w:lang w:val="en-GB"/>
        </w:rPr>
        <w:t xml:space="preserve">The Nielsen Company, </w:t>
      </w:r>
      <w:r w:rsidRPr="00722C19">
        <w:rPr>
          <w:i/>
          <w:lang w:val="en-GB"/>
        </w:rPr>
        <w:t>2017 Year in Sports Media Report</w:t>
      </w:r>
      <w:r w:rsidRPr="00765778">
        <w:rPr>
          <w:lang w:val="en-GB"/>
        </w:rPr>
        <w:t>, February 15, 2018, accessed May 9, 2019, www.nielsen.com/us/en/insights/reports/2018/2017-year-in-sports-media.html.</w:t>
      </w:r>
    </w:p>
  </w:endnote>
  <w:endnote w:id="11">
    <w:p w14:paraId="4DEE56AB" w14:textId="0EEBE3FB" w:rsidR="008740D8" w:rsidRPr="00722C19" w:rsidRDefault="008740D8" w:rsidP="00722C19">
      <w:pPr>
        <w:pStyle w:val="Footnote"/>
        <w:rPr>
          <w:lang w:val="en-GB"/>
        </w:rPr>
      </w:pPr>
      <w:r w:rsidRPr="00765778">
        <w:rPr>
          <w:rStyle w:val="EndnoteReference"/>
          <w:lang w:val="en-GB"/>
        </w:rPr>
        <w:endnoteRef/>
      </w:r>
      <w:r w:rsidRPr="00765778">
        <w:rPr>
          <w:lang w:val="en-GB"/>
        </w:rPr>
        <w:t xml:space="preserve"> All currency amounts are in US$ unless otherwise specified.</w:t>
      </w:r>
    </w:p>
  </w:endnote>
  <w:endnote w:id="12">
    <w:p w14:paraId="72D0247B" w14:textId="2CA07DE2" w:rsidR="008740D8" w:rsidRPr="00765778" w:rsidRDefault="008740D8" w:rsidP="00BC4BA1">
      <w:pPr>
        <w:pStyle w:val="Footnote"/>
        <w:rPr>
          <w:lang w:val="en-GB"/>
        </w:rPr>
      </w:pPr>
      <w:r w:rsidRPr="00765778">
        <w:rPr>
          <w:rStyle w:val="EndnoteReference"/>
          <w:lang w:val="en-GB"/>
        </w:rPr>
        <w:endnoteRef/>
      </w:r>
      <w:r w:rsidRPr="00765778">
        <w:rPr>
          <w:vertAlign w:val="superscript"/>
          <w:lang w:val="en-GB"/>
        </w:rPr>
        <w:t xml:space="preserve"> </w:t>
      </w:r>
      <w:r w:rsidRPr="00765778">
        <w:rPr>
          <w:lang w:val="en-GB"/>
        </w:rPr>
        <w:t xml:space="preserve">PWC Sports Outlook, </w:t>
      </w:r>
      <w:r w:rsidRPr="00722C19">
        <w:rPr>
          <w:i/>
          <w:lang w:val="en-GB"/>
        </w:rPr>
        <w:t xml:space="preserve">At the Gate and Beyond: Outlook for the Sports Market in North America </w:t>
      </w:r>
      <w:r w:rsidRPr="00765778">
        <w:rPr>
          <w:i/>
          <w:lang w:val="en-GB"/>
        </w:rPr>
        <w:t>t</w:t>
      </w:r>
      <w:r w:rsidRPr="00722C19">
        <w:rPr>
          <w:i/>
          <w:lang w:val="en-GB"/>
        </w:rPr>
        <w:t>hrough 2022</w:t>
      </w:r>
      <w:r w:rsidRPr="00765778">
        <w:rPr>
          <w:lang w:val="en-GB"/>
        </w:rPr>
        <w:t>, October 2018, accessed May 9, 2019, www.pwc.com/us/en/industries/tmt/library/sports-outlook-north-america.html.</w:t>
      </w:r>
    </w:p>
  </w:endnote>
  <w:endnote w:id="13">
    <w:p w14:paraId="36147CE4" w14:textId="3A7A16CB"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Ibid. </w:t>
      </w:r>
    </w:p>
  </w:endnote>
  <w:endnote w:id="14">
    <w:p w14:paraId="7C637DB7" w14:textId="54E02121" w:rsidR="008740D8" w:rsidRPr="00765778" w:rsidRDefault="008740D8" w:rsidP="00BD25CD">
      <w:pPr>
        <w:pStyle w:val="Footnote"/>
        <w:rPr>
          <w:lang w:val="en-GB"/>
        </w:rPr>
      </w:pPr>
      <w:r w:rsidRPr="00765778">
        <w:rPr>
          <w:rStyle w:val="EndnoteReference"/>
          <w:lang w:val="en-GB"/>
        </w:rPr>
        <w:endnoteRef/>
      </w:r>
      <w:r w:rsidRPr="00765778">
        <w:rPr>
          <w:lang w:val="en-GB"/>
        </w:rPr>
        <w:t xml:space="preserve"> Todd Spangler, “Cord-Cutting Keeps Churning: </w:t>
      </w:r>
      <w:r>
        <w:rPr>
          <w:lang w:val="en-GB"/>
        </w:rPr>
        <w:t>US</w:t>
      </w:r>
      <w:r w:rsidRPr="00765778">
        <w:rPr>
          <w:lang w:val="en-GB"/>
        </w:rPr>
        <w:t xml:space="preserve"> </w:t>
      </w:r>
      <w:proofErr w:type="spellStart"/>
      <w:r w:rsidRPr="00765778">
        <w:rPr>
          <w:lang w:val="en-GB"/>
        </w:rPr>
        <w:t>Pay-TV</w:t>
      </w:r>
      <w:proofErr w:type="spellEnd"/>
      <w:r w:rsidRPr="00765778">
        <w:rPr>
          <w:lang w:val="en-GB"/>
        </w:rPr>
        <w:t xml:space="preserve"> Cancelers to Hit 33 Million in 2018 (Study),” </w:t>
      </w:r>
      <w:r w:rsidRPr="00722C19">
        <w:rPr>
          <w:i/>
          <w:lang w:val="en-GB"/>
        </w:rPr>
        <w:t>Variety</w:t>
      </w:r>
      <w:r w:rsidRPr="00765778">
        <w:rPr>
          <w:lang w:val="en-GB"/>
        </w:rPr>
        <w:t>, July 24, 2018, accessed May 9, 2019, https://variety.com/2018/digital/news/cord-cutting-2018-estimates-33-million-us-study-1202881488/.</w:t>
      </w:r>
    </w:p>
  </w:endnote>
  <w:endnote w:id="15">
    <w:p w14:paraId="10EFB0BA" w14:textId="45F3371C"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Federal Communications Commission (FCC), </w:t>
      </w:r>
      <w:r w:rsidRPr="00722C19">
        <w:rPr>
          <w:i/>
          <w:lang w:val="en-GB"/>
        </w:rPr>
        <w:t>In the Matter of Implementation of Section 3 of the Cable Television Consumer Protection and Competition Act of 1992</w:t>
      </w:r>
      <w:r w:rsidRPr="00765778">
        <w:rPr>
          <w:lang w:val="en-GB"/>
        </w:rPr>
        <w:t>, Report on Cable Industry Prices, MB Docket No. 92-266, February 14, 2011.</w:t>
      </w:r>
    </w:p>
  </w:endnote>
  <w:endnote w:id="16">
    <w:p w14:paraId="0EA581B5" w14:textId="77777777"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According to the FCC, 159 national networks were affiliated with the top six cable MVPDs in 2016, and Comcast and Charter had the largest number of affiliations at 52 and 30, respectively.  </w:t>
      </w:r>
    </w:p>
  </w:endnote>
  <w:endnote w:id="17">
    <w:p w14:paraId="4F2553D0" w14:textId="75DD1444" w:rsidR="003B72FB" w:rsidRPr="003B72FB" w:rsidRDefault="003B72FB" w:rsidP="003B72FB">
      <w:pPr>
        <w:rPr>
          <w:rFonts w:ascii="Arial" w:hAnsi="Arial" w:cs="Arial"/>
          <w:sz w:val="17"/>
          <w:szCs w:val="17"/>
        </w:rPr>
      </w:pPr>
      <w:r w:rsidRPr="003B72FB">
        <w:rPr>
          <w:rStyle w:val="FootnoteChar"/>
          <w:vertAlign w:val="superscript"/>
        </w:rPr>
        <w:endnoteRef/>
      </w:r>
      <w:r>
        <w:t xml:space="preserve"> </w:t>
      </w:r>
      <w:r w:rsidRPr="00C41EC1">
        <w:rPr>
          <w:rFonts w:ascii="Arial" w:hAnsi="Arial" w:cs="Arial"/>
          <w:sz w:val="17"/>
          <w:szCs w:val="17"/>
          <w:lang w:val="en-GB"/>
        </w:rPr>
        <w:t xml:space="preserve">Tara </w:t>
      </w:r>
      <w:proofErr w:type="spellStart"/>
      <w:r w:rsidRPr="00C41EC1">
        <w:rPr>
          <w:rFonts w:ascii="Arial" w:hAnsi="Arial" w:cs="Arial"/>
          <w:sz w:val="17"/>
          <w:szCs w:val="17"/>
          <w:lang w:val="en-GB"/>
        </w:rPr>
        <w:t>Lachapelle</w:t>
      </w:r>
      <w:proofErr w:type="spellEnd"/>
      <w:r w:rsidRPr="00C41EC1">
        <w:rPr>
          <w:rFonts w:ascii="Arial" w:hAnsi="Arial" w:cs="Arial"/>
          <w:sz w:val="17"/>
          <w:szCs w:val="17"/>
          <w:lang w:val="en-GB"/>
        </w:rPr>
        <w:t xml:space="preserve">, “TV Blackouts Will Only Get Worse,” </w:t>
      </w:r>
      <w:r w:rsidRPr="00C41EC1">
        <w:rPr>
          <w:rFonts w:ascii="Arial" w:hAnsi="Arial" w:cs="Arial"/>
          <w:i/>
          <w:iCs/>
          <w:sz w:val="17"/>
          <w:szCs w:val="17"/>
          <w:lang w:val="en-GB"/>
        </w:rPr>
        <w:t>Bloomberg Opinion</w:t>
      </w:r>
      <w:r w:rsidRPr="00C41EC1">
        <w:rPr>
          <w:rFonts w:ascii="Arial" w:hAnsi="Arial" w:cs="Arial"/>
          <w:sz w:val="17"/>
          <w:szCs w:val="17"/>
          <w:lang w:val="en-GB"/>
        </w:rPr>
        <w:t xml:space="preserve">, November 27, 2018, accessed September 22, 2019, </w:t>
      </w:r>
      <w:r w:rsidRPr="003B72FB">
        <w:rPr>
          <w:rFonts w:ascii="Arial" w:hAnsi="Arial" w:cs="Arial"/>
          <w:sz w:val="17"/>
          <w:szCs w:val="17"/>
        </w:rPr>
        <w:t>www.washingtonpost.com/business/tv-blackouts-will-only-get-worse/2018/11/27/33a57d28-f245-11e8-99c2-cfca6fcf610c_story.html</w:t>
      </w:r>
      <w:r w:rsidRPr="00C41EC1">
        <w:rPr>
          <w:rFonts w:ascii="Arial" w:hAnsi="Arial" w:cs="Arial"/>
          <w:sz w:val="17"/>
          <w:szCs w:val="17"/>
        </w:rPr>
        <w:t>.</w:t>
      </w:r>
    </w:p>
  </w:endnote>
  <w:endnote w:id="18">
    <w:p w14:paraId="7E6DC402" w14:textId="1E961985"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The Walt Disney Company, “Form 10-K for Fiscal Year Ended September 30, 2017,” 1–4, accessed June 21, 2018, www.thewaltdisneycompany.com/wp-content/uploads/2017-Annual-Report.pdf. </w:t>
      </w:r>
    </w:p>
  </w:endnote>
  <w:endnote w:id="19">
    <w:p w14:paraId="2470BFF0" w14:textId="3EB018BE" w:rsidR="008740D8" w:rsidRPr="00722C19" w:rsidRDefault="008740D8" w:rsidP="00722C19">
      <w:pPr>
        <w:pStyle w:val="EndnoteText"/>
        <w:jc w:val="both"/>
        <w:rPr>
          <w:rFonts w:ascii="Arial" w:hAnsi="Arial" w:cs="Arial"/>
          <w:sz w:val="17"/>
          <w:szCs w:val="17"/>
          <w:lang w:val="en-GB"/>
        </w:rPr>
      </w:pPr>
      <w:r w:rsidRPr="00765778">
        <w:rPr>
          <w:rStyle w:val="EndnoteReference"/>
          <w:rFonts w:ascii="Arial" w:hAnsi="Arial" w:cs="Arial"/>
          <w:sz w:val="17"/>
          <w:szCs w:val="17"/>
          <w:lang w:val="en-GB"/>
        </w:rPr>
        <w:endnoteRef/>
      </w:r>
      <w:r w:rsidRPr="00765778">
        <w:rPr>
          <w:rFonts w:ascii="Arial" w:hAnsi="Arial" w:cs="Arial"/>
          <w:sz w:val="17"/>
          <w:szCs w:val="17"/>
          <w:lang w:val="en-GB"/>
        </w:rPr>
        <w:t xml:space="preserve"> Box Office Mojo, “Box Office by Studio: Studio Market Share,” 2017, accessed May 9, 2019, www.boxofficemojo.com/studio/?view=company&amp;view2=yearly&amp;yr=2017&amp;p=.htm.</w:t>
      </w:r>
    </w:p>
  </w:endnote>
  <w:endnote w:id="20">
    <w:p w14:paraId="19153A97" w14:textId="240A218B" w:rsidR="008740D8" w:rsidRPr="00765778" w:rsidRDefault="008740D8" w:rsidP="00722C19">
      <w:pPr>
        <w:pStyle w:val="EndnoteText"/>
        <w:jc w:val="both"/>
        <w:rPr>
          <w:rFonts w:ascii="Arial" w:hAnsi="Arial" w:cs="Arial"/>
          <w:sz w:val="17"/>
          <w:szCs w:val="17"/>
          <w:lang w:val="en-GB"/>
        </w:rPr>
      </w:pPr>
      <w:r w:rsidRPr="00765778">
        <w:rPr>
          <w:rStyle w:val="EndnoteReference"/>
          <w:rFonts w:ascii="Arial" w:hAnsi="Arial" w:cs="Arial"/>
          <w:sz w:val="17"/>
          <w:szCs w:val="17"/>
          <w:lang w:val="en-GB"/>
        </w:rPr>
        <w:endnoteRef/>
      </w:r>
      <w:r w:rsidRPr="00765778">
        <w:rPr>
          <w:rFonts w:ascii="Arial" w:hAnsi="Arial" w:cs="Arial"/>
          <w:sz w:val="17"/>
          <w:szCs w:val="17"/>
          <w:lang w:val="en-GB"/>
        </w:rPr>
        <w:t xml:space="preserve"> Ibid. </w:t>
      </w:r>
    </w:p>
  </w:endnote>
  <w:endnote w:id="21">
    <w:p w14:paraId="540576F6" w14:textId="33B58E30"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The Walt Disney Company, op. cit., 1</w:t>
      </w:r>
      <w:r>
        <w:rPr>
          <w:lang w:val="en-GB"/>
        </w:rPr>
        <w:t>–4</w:t>
      </w:r>
      <w:r w:rsidRPr="00765778">
        <w:rPr>
          <w:lang w:val="en-GB"/>
        </w:rPr>
        <w:t xml:space="preserve">. </w:t>
      </w:r>
    </w:p>
  </w:endnote>
  <w:endnote w:id="22">
    <w:p w14:paraId="70B1AD7B" w14:textId="441D46F3"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According to the </w:t>
      </w:r>
      <w:r>
        <w:rPr>
          <w:lang w:val="en-GB"/>
        </w:rPr>
        <w:t>US</w:t>
      </w:r>
      <w:r w:rsidRPr="00765778">
        <w:rPr>
          <w:lang w:val="en-GB"/>
        </w:rPr>
        <w:t xml:space="preserve"> Census Bureau, there were approximately 126 million </w:t>
      </w:r>
      <w:r>
        <w:rPr>
          <w:lang w:val="en-GB"/>
        </w:rPr>
        <w:t>US</w:t>
      </w:r>
      <w:r w:rsidRPr="00765778">
        <w:rPr>
          <w:lang w:val="en-GB"/>
        </w:rPr>
        <w:t xml:space="preserve"> households in 2017.</w:t>
      </w:r>
    </w:p>
  </w:endnote>
  <w:endnote w:id="23">
    <w:p w14:paraId="6B593A06" w14:textId="57C08DB0"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Cork Gaines, “Cable and Satellite TV Customers Pay More Than $9.00 Per Month for ESPN Networks Whether They Watch Them or Not,” </w:t>
      </w:r>
      <w:r w:rsidRPr="00722C19">
        <w:rPr>
          <w:i/>
          <w:lang w:val="en-GB"/>
        </w:rPr>
        <w:t>Business Insider</w:t>
      </w:r>
      <w:r w:rsidRPr="00765778">
        <w:rPr>
          <w:lang w:val="en-GB"/>
        </w:rPr>
        <w:t xml:space="preserve">, March 7, 2017, accessed April 23, 2018, www.businessinsider.com/cable-satellite-tv-sub-fees-espn-networks-2017-3. </w:t>
      </w:r>
    </w:p>
  </w:endnote>
  <w:endnote w:id="24">
    <w:p w14:paraId="5913D936" w14:textId="256437BC"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proofErr w:type="spellStart"/>
      <w:r w:rsidRPr="00765778">
        <w:rPr>
          <w:lang w:val="en-GB"/>
        </w:rPr>
        <w:t>Maury</w:t>
      </w:r>
      <w:proofErr w:type="spellEnd"/>
      <w:r w:rsidRPr="00765778">
        <w:rPr>
          <w:lang w:val="en-GB"/>
        </w:rPr>
        <w:t xml:space="preserve"> Brown, “Why ESPN </w:t>
      </w:r>
      <w:proofErr w:type="spellStart"/>
      <w:r w:rsidRPr="00765778">
        <w:rPr>
          <w:lang w:val="en-GB"/>
        </w:rPr>
        <w:t>Hemorrhaging</w:t>
      </w:r>
      <w:proofErr w:type="spellEnd"/>
      <w:r w:rsidRPr="00765778">
        <w:rPr>
          <w:lang w:val="en-GB"/>
        </w:rPr>
        <w:t xml:space="preserve"> Subscribers Will Impact the Next Wave of National TV Deals,” </w:t>
      </w:r>
      <w:r w:rsidRPr="00765778">
        <w:rPr>
          <w:i/>
          <w:lang w:val="en-GB"/>
        </w:rPr>
        <w:t>Forbes</w:t>
      </w:r>
      <w:r w:rsidRPr="00765778">
        <w:rPr>
          <w:lang w:val="en-GB"/>
        </w:rPr>
        <w:t>, May 8, 2017, accessed April 23, 2018, www.forbes.com/sites/maurybrown/2017/05/08/why-espn-hemorrhaging-subscribers-will-impact-the-next-wave-of-national-tv-deals/#5e514d565bf4. Annual costs (and contract lengths) were $1.9 billion (2011–2021) for the NFL, $1.33 billion (2016/2017–2024/2025) for the NBA, and $0.7 billion (2014–2021) for the MLB.</w:t>
      </w:r>
    </w:p>
  </w:endnote>
  <w:endnote w:id="25">
    <w:p w14:paraId="0D97B92D" w14:textId="0DC7EA47"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Heath Evans, “‘Content Is King’—Essay by Bill Gates 1996,” Medium, January 29, 2017, accessed April 23, 2018, https://medium.com/@HeathEvans/content-is-king-essay-by-bill-gates-1996-df74552f80d9.</w:t>
      </w:r>
    </w:p>
  </w:endnote>
  <w:endnote w:id="26">
    <w:p w14:paraId="10A7BB0F" w14:textId="5E41EE59"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proofErr w:type="spellStart"/>
      <w:r w:rsidRPr="004C4A31">
        <w:rPr>
          <w:spacing w:val="-6"/>
          <w:lang w:val="en-GB"/>
        </w:rPr>
        <w:t>Shalini</w:t>
      </w:r>
      <w:proofErr w:type="spellEnd"/>
      <w:r w:rsidRPr="004C4A31">
        <w:rPr>
          <w:spacing w:val="-6"/>
          <w:lang w:val="en-GB"/>
        </w:rPr>
        <w:t xml:space="preserve"> Ramachandran, “As Streaming Services Amp Up, Not All TV Channels Make the Cut,” </w:t>
      </w:r>
      <w:r w:rsidRPr="004C4A31">
        <w:rPr>
          <w:i/>
          <w:spacing w:val="-6"/>
          <w:lang w:val="en-GB"/>
        </w:rPr>
        <w:t>Wall Street Journal</w:t>
      </w:r>
      <w:r w:rsidRPr="004C4A31">
        <w:rPr>
          <w:spacing w:val="-6"/>
          <w:lang w:val="en-GB"/>
        </w:rPr>
        <w:t xml:space="preserve">, May 14, 2017, accessed September 11, 2019, </w:t>
      </w:r>
      <w:r w:rsidRPr="004C4A31">
        <w:rPr>
          <w:spacing w:val="-6"/>
        </w:rPr>
        <w:t>www.wsj.com/articles/as-streaming-services-amp-up-not-all-tv-channels-make-the-cut-1494766801</w:t>
      </w:r>
      <w:r w:rsidRPr="004C4A31">
        <w:rPr>
          <w:spacing w:val="-6"/>
          <w:lang w:val="en-GB"/>
        </w:rPr>
        <w:t>.</w:t>
      </w:r>
    </w:p>
  </w:endnote>
  <w:endnote w:id="27">
    <w:p w14:paraId="0DBFDB69" w14:textId="67C48E4A"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“Americans Cutting the Cable TV Cord at Increasing Pace,” </w:t>
      </w:r>
      <w:proofErr w:type="spellStart"/>
      <w:r w:rsidRPr="00765778">
        <w:rPr>
          <w:lang w:val="en-GB"/>
        </w:rPr>
        <w:t>eMarketer</w:t>
      </w:r>
      <w:proofErr w:type="spellEnd"/>
      <w:r w:rsidRPr="00765778">
        <w:rPr>
          <w:lang w:val="en-GB"/>
        </w:rPr>
        <w:t>, December 10, 2015, accessed April 23, 2018, www.emarketer.com/Article/Americans-Cutting-Cable-TV-Cord-Increasing-Pace/1013327.</w:t>
      </w:r>
    </w:p>
  </w:endnote>
  <w:endnote w:id="28">
    <w:p w14:paraId="1450FE06" w14:textId="3F6E8536"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Amanda </w:t>
      </w:r>
      <w:proofErr w:type="spellStart"/>
      <w:r w:rsidRPr="00765778">
        <w:rPr>
          <w:lang w:val="en-GB"/>
        </w:rPr>
        <w:t>Lotz</w:t>
      </w:r>
      <w:proofErr w:type="spellEnd"/>
      <w:r w:rsidRPr="00765778">
        <w:rPr>
          <w:lang w:val="en-GB"/>
        </w:rPr>
        <w:t>, “The Unique Strategy Netflix Deployed to Reach 90 Million Worldwide Subscribers,” The Conversation, April 4, 2017, accessed April 3, 2019, http://theconversation.com/the-unique-strategy-netflix-deployed-to-reach-90-million-worldwide-subscribers-74885.</w:t>
      </w:r>
    </w:p>
  </w:endnote>
  <w:endnote w:id="29">
    <w:p w14:paraId="022DEC79" w14:textId="61B0BC07"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While 70 per cent of </w:t>
      </w:r>
      <w:r>
        <w:rPr>
          <w:lang w:val="en-GB"/>
        </w:rPr>
        <w:t>US</w:t>
      </w:r>
      <w:r w:rsidRPr="00765778">
        <w:rPr>
          <w:lang w:val="en-GB"/>
        </w:rPr>
        <w:t xml:space="preserve"> households had access to fixed high-speed Internet (with a download speed of 25 megabits per second [Mbps] or higher), only 21 per cent had a choice between two or more providers. And, according to the </w:t>
      </w:r>
      <w:proofErr w:type="spellStart"/>
      <w:r w:rsidRPr="00765778">
        <w:rPr>
          <w:lang w:val="en-GB"/>
        </w:rPr>
        <w:t>Leichtman</w:t>
      </w:r>
      <w:proofErr w:type="spellEnd"/>
      <w:r w:rsidRPr="00765778">
        <w:rPr>
          <w:lang w:val="en-GB"/>
        </w:rPr>
        <w:t xml:space="preserve"> Research Group, 95 per cent of the </w:t>
      </w:r>
      <w:r>
        <w:rPr>
          <w:lang w:val="en-GB"/>
        </w:rPr>
        <w:t>US</w:t>
      </w:r>
      <w:r w:rsidRPr="00765778">
        <w:rPr>
          <w:lang w:val="en-GB"/>
        </w:rPr>
        <w:t xml:space="preserve"> broadband market was served by just 14 telecom and cable providers.  </w:t>
      </w:r>
    </w:p>
  </w:endnote>
  <w:endnote w:id="30">
    <w:p w14:paraId="36D58B97" w14:textId="58F45786"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Adam </w:t>
      </w:r>
      <w:proofErr w:type="spellStart"/>
      <w:r w:rsidRPr="00765778">
        <w:rPr>
          <w:lang w:val="en-GB"/>
        </w:rPr>
        <w:t>Lella</w:t>
      </w:r>
      <w:proofErr w:type="spellEnd"/>
      <w:r w:rsidRPr="00765778">
        <w:rPr>
          <w:lang w:val="en-GB"/>
        </w:rPr>
        <w:t>, “Roku Leads OTT Streaming Devices in Household Market Share,” ComScore, June 16, 2016, accessed April 23, 2018, www.comscore.com/ita/Insights/Blog/Roku-Leads-OTT-Streaming-Devices-in-Household-Market-Share.</w:t>
      </w:r>
    </w:p>
  </w:endnote>
  <w:endnote w:id="31">
    <w:p w14:paraId="3958EB16" w14:textId="47DB46EC"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Other reasons for cutting the cord included favourite programming was elsewhere (16 per cent), too many channels (6 per cent), poor reliability (6 per cent), and other (11 per cent).</w:t>
      </w:r>
    </w:p>
  </w:endnote>
  <w:endnote w:id="32">
    <w:p w14:paraId="233F838F" w14:textId="7B3AF420"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Ericsson,</w:t>
      </w:r>
      <w:r w:rsidR="00857719">
        <w:rPr>
          <w:lang w:val="en-GB"/>
        </w:rPr>
        <w:t xml:space="preserve"> op. cit</w:t>
      </w:r>
      <w:r w:rsidRPr="00765778">
        <w:rPr>
          <w:lang w:val="en-GB"/>
        </w:rPr>
        <w:t>.</w:t>
      </w:r>
    </w:p>
  </w:endnote>
  <w:endnote w:id="33">
    <w:p w14:paraId="56A6D340" w14:textId="4DD0819F"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bookmarkStart w:id="1" w:name="_Hlk8300725"/>
      <w:r w:rsidRPr="00765778">
        <w:rPr>
          <w:lang w:val="en-GB"/>
        </w:rPr>
        <w:t xml:space="preserve">Zoë Bernard, “Netflix Now Spends More on Programming Than Viacom and Has Disney in Its Sights,” </w:t>
      </w:r>
      <w:r w:rsidRPr="00722C19">
        <w:rPr>
          <w:i/>
          <w:lang w:val="en-GB"/>
        </w:rPr>
        <w:t>Business Insider</w:t>
      </w:r>
      <w:r w:rsidRPr="00765778">
        <w:rPr>
          <w:lang w:val="en-GB"/>
        </w:rPr>
        <w:t>, March 2, 2018, accessed June 10, 2018, www.businessinsider.com/netflix-spent-63-billion-on-programming-in-2017-topping-viacom-2018-3.</w:t>
      </w:r>
      <w:bookmarkEnd w:id="1"/>
      <w:r w:rsidRPr="00765778">
        <w:rPr>
          <w:lang w:val="en-GB"/>
        </w:rPr>
        <w:t xml:space="preserve"> In 2017, there were 485 </w:t>
      </w:r>
      <w:proofErr w:type="spellStart"/>
      <w:r w:rsidRPr="00765778">
        <w:rPr>
          <w:lang w:val="en-GB"/>
        </w:rPr>
        <w:t>Emmy</w:t>
      </w:r>
      <w:proofErr w:type="spellEnd"/>
      <w:r w:rsidRPr="00765778">
        <w:rPr>
          <w:lang w:val="en-GB"/>
        </w:rPr>
        <w:t xml:space="preserve"> nominations. HBO earned the most with 110. Among the four broadcasters, NBC earned the most with 60, followed by ABC (34), CBS (29), and FOX (21).</w:t>
      </w:r>
    </w:p>
  </w:endnote>
  <w:endnote w:id="34">
    <w:p w14:paraId="65AEE850" w14:textId="74962BD8"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proofErr w:type="spellStart"/>
      <w:r w:rsidRPr="00765778">
        <w:rPr>
          <w:lang w:val="en-GB"/>
        </w:rPr>
        <w:t>Leichtman</w:t>
      </w:r>
      <w:proofErr w:type="spellEnd"/>
      <w:r w:rsidRPr="00765778">
        <w:rPr>
          <w:lang w:val="en-GB"/>
        </w:rPr>
        <w:t xml:space="preserve"> Research Group, “64 Percent of </w:t>
      </w:r>
      <w:r>
        <w:rPr>
          <w:lang w:val="en-GB"/>
        </w:rPr>
        <w:t>US</w:t>
      </w:r>
      <w:r w:rsidRPr="00765778">
        <w:rPr>
          <w:lang w:val="en-GB"/>
        </w:rPr>
        <w:t xml:space="preserve"> Households Have an SVOD Service,” press release, July 24, 2017, accessed April 23, 2018, www.leichtmanresearch.com/press/072417release.html.</w:t>
      </w:r>
    </w:p>
  </w:endnote>
  <w:endnote w:id="35">
    <w:p w14:paraId="02132653" w14:textId="6D6F1C83" w:rsidR="008740D8" w:rsidRPr="00765778" w:rsidRDefault="008740D8" w:rsidP="00BC4BA1">
      <w:pPr>
        <w:pStyle w:val="Footnote"/>
        <w:rPr>
          <w:lang w:val="en-GB"/>
        </w:rPr>
      </w:pPr>
      <w:r w:rsidRPr="00886823">
        <w:rPr>
          <w:vertAlign w:val="superscript"/>
        </w:rPr>
        <w:endnoteRef/>
      </w:r>
      <w:r w:rsidRPr="00765778">
        <w:rPr>
          <w:lang w:val="en-GB"/>
        </w:rPr>
        <w:t xml:space="preserve"> Ibid. </w:t>
      </w:r>
    </w:p>
  </w:endnote>
  <w:endnote w:id="36">
    <w:p w14:paraId="33B1E8CA" w14:textId="5F771B9A"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Ronald Grover and Sue </w:t>
      </w:r>
      <w:proofErr w:type="spellStart"/>
      <w:r w:rsidRPr="00765778">
        <w:rPr>
          <w:lang w:val="en-GB"/>
        </w:rPr>
        <w:t>Zeidler</w:t>
      </w:r>
      <w:proofErr w:type="spellEnd"/>
      <w:r w:rsidRPr="00765778">
        <w:rPr>
          <w:lang w:val="en-GB"/>
        </w:rPr>
        <w:t xml:space="preserve">, </w:t>
      </w:r>
      <w:r w:rsidR="003B72FB">
        <w:rPr>
          <w:lang w:val="en-GB"/>
        </w:rPr>
        <w:t xml:space="preserve">op </w:t>
      </w:r>
      <w:proofErr w:type="gramStart"/>
      <w:r w:rsidR="003B72FB">
        <w:rPr>
          <w:lang w:val="en-GB"/>
        </w:rPr>
        <w:t>cit.</w:t>
      </w:r>
      <w:r w:rsidRPr="00765778">
        <w:rPr>
          <w:lang w:val="en-GB"/>
        </w:rPr>
        <w:t>.</w:t>
      </w:r>
      <w:proofErr w:type="gramEnd"/>
    </w:p>
  </w:endnote>
  <w:endnote w:id="37">
    <w:p w14:paraId="4B3C4E6C" w14:textId="3BB98C6D"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The direction of Netflix’s debut show was partially driven by behavioural analyses of its paying customers.</w:t>
      </w:r>
    </w:p>
  </w:endnote>
  <w:endnote w:id="38">
    <w:p w14:paraId="63996930" w14:textId="584D0478" w:rsidR="008740D8" w:rsidRPr="00765778" w:rsidRDefault="008740D8" w:rsidP="00BC4BA1">
      <w:pPr>
        <w:pStyle w:val="Footnote"/>
        <w:rPr>
          <w:lang w:val="en-GB"/>
        </w:rPr>
      </w:pPr>
      <w:r w:rsidRPr="00765778">
        <w:rPr>
          <w:rStyle w:val="EndnoteReference"/>
          <w:lang w:val="en-GB"/>
        </w:rPr>
        <w:endnoteRef/>
      </w:r>
      <w:r w:rsidRPr="00765778">
        <w:rPr>
          <w:vertAlign w:val="superscript"/>
          <w:lang w:val="en-GB"/>
        </w:rPr>
        <w:t xml:space="preserve"> </w:t>
      </w:r>
      <w:r w:rsidRPr="00765778">
        <w:rPr>
          <w:lang w:val="en-GB"/>
        </w:rPr>
        <w:t xml:space="preserve">In 2018, for the first time in two years, Netflix raised its prices on its most popular and premium plans.  </w:t>
      </w:r>
    </w:p>
  </w:endnote>
  <w:endnote w:id="39">
    <w:p w14:paraId="0F653C1E" w14:textId="3292E8CA" w:rsidR="008740D8" w:rsidRPr="00722C19" w:rsidRDefault="008740D8" w:rsidP="00DF1853">
      <w:pPr>
        <w:pStyle w:val="Footnote"/>
        <w:rPr>
          <w:b/>
          <w:lang w:val="en-GB"/>
        </w:rPr>
      </w:pPr>
      <w:r w:rsidRPr="00765778">
        <w:rPr>
          <w:rStyle w:val="EndnoteReference"/>
          <w:lang w:val="en-GB"/>
        </w:rPr>
        <w:endnoteRef/>
      </w:r>
      <w:r w:rsidRPr="00765778">
        <w:rPr>
          <w:lang w:val="en-GB"/>
        </w:rPr>
        <w:t xml:space="preserve"> </w:t>
      </w:r>
      <w:r w:rsidRPr="004C4A31">
        <w:rPr>
          <w:spacing w:val="-2"/>
          <w:lang w:val="en-GB"/>
        </w:rPr>
        <w:t xml:space="preserve">Netflix, “2017 Form 10-K for Fiscal Year Ended December 31, 2017,” accessed January 29, 2018, www.sec.gov/Archives/edgar/data/1065280/000106528018000069/q4nflx201710k.htm. Over that time period, Netflix’s subscribership as a percentage of </w:t>
      </w:r>
      <w:r>
        <w:rPr>
          <w:spacing w:val="-2"/>
          <w:lang w:val="en-GB"/>
        </w:rPr>
        <w:t>US</w:t>
      </w:r>
      <w:r w:rsidRPr="004C4A31">
        <w:rPr>
          <w:spacing w:val="-2"/>
          <w:lang w:val="en-GB"/>
        </w:rPr>
        <w:t xml:space="preserve"> fixed broadband households went from approximately 10 per cent to nearly 50 per cent.</w:t>
      </w:r>
      <w:r w:rsidRPr="00765778">
        <w:rPr>
          <w:lang w:val="en-GB"/>
        </w:rPr>
        <w:t xml:space="preserve"> </w:t>
      </w:r>
    </w:p>
  </w:endnote>
  <w:endnote w:id="40">
    <w:p w14:paraId="185A3A59" w14:textId="51BEF68C"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Bernard, op. cit. </w:t>
      </w:r>
    </w:p>
  </w:endnote>
  <w:endnote w:id="41">
    <w:p w14:paraId="587D2506" w14:textId="1D20E26D"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Brendan Hesse, “Nearly 500 Original TV Programs Aired in 2017, in Case You Feel </w:t>
      </w:r>
      <w:proofErr w:type="gramStart"/>
      <w:r w:rsidRPr="00765778">
        <w:rPr>
          <w:lang w:val="en-GB"/>
        </w:rPr>
        <w:t>Like</w:t>
      </w:r>
      <w:proofErr w:type="gramEnd"/>
      <w:r w:rsidRPr="00765778">
        <w:rPr>
          <w:lang w:val="en-GB"/>
        </w:rPr>
        <w:t xml:space="preserve"> Bingeing,” Digital Trends, January 5, 2018, accessed June 10, 2018, www.digitaltrends.com/movies/original-tv-programs-increased-in-2017/.</w:t>
      </w:r>
    </w:p>
  </w:endnote>
  <w:endnote w:id="42">
    <w:p w14:paraId="0F45F09A" w14:textId="0718DE8F" w:rsidR="008740D8" w:rsidRPr="00765778" w:rsidRDefault="008740D8" w:rsidP="00DF1853">
      <w:pPr>
        <w:pStyle w:val="Footnote"/>
        <w:rPr>
          <w:lang w:val="en-GB"/>
        </w:rPr>
      </w:pPr>
      <w:r w:rsidRPr="00765778">
        <w:rPr>
          <w:rStyle w:val="EndnoteReference"/>
          <w:lang w:val="en-GB"/>
        </w:rPr>
        <w:endnoteRef/>
      </w:r>
      <w:r w:rsidRPr="00765778">
        <w:rPr>
          <w:lang w:val="en-GB"/>
        </w:rPr>
        <w:t xml:space="preserve"> Jacob Bryant, “</w:t>
      </w:r>
      <w:proofErr w:type="spellStart"/>
      <w:r w:rsidRPr="00765778">
        <w:rPr>
          <w:lang w:val="en-GB"/>
        </w:rPr>
        <w:t>Emmy</w:t>
      </w:r>
      <w:proofErr w:type="spellEnd"/>
      <w:r w:rsidRPr="00765778">
        <w:rPr>
          <w:lang w:val="en-GB"/>
        </w:rPr>
        <w:t xml:space="preserve"> Nominations Scorecard by Program and Network,” </w:t>
      </w:r>
      <w:r w:rsidRPr="00722C19">
        <w:rPr>
          <w:i/>
          <w:lang w:val="en-GB"/>
        </w:rPr>
        <w:t>Variety</w:t>
      </w:r>
      <w:r w:rsidRPr="00765778">
        <w:rPr>
          <w:lang w:val="en-GB"/>
        </w:rPr>
        <w:t xml:space="preserve">, July 13, 2017, accessed May 9, 2019, </w:t>
      </w:r>
      <w:r w:rsidRPr="00DF1853">
        <w:t>https://variety.com/2017/tv/news/emmy-nominations-scorecard-by-program-and-network-1202494741/</w:t>
      </w:r>
      <w:r>
        <w:rPr>
          <w:lang w:val="en-GB"/>
        </w:rPr>
        <w:t>; “</w:t>
      </w:r>
      <w:r w:rsidRPr="004D1F16">
        <w:rPr>
          <w:lang w:val="en-GB"/>
        </w:rPr>
        <w:t xml:space="preserve">Disney’s Media Networks Combine for 52 </w:t>
      </w:r>
      <w:proofErr w:type="spellStart"/>
      <w:r w:rsidRPr="004D1F16">
        <w:rPr>
          <w:lang w:val="en-GB"/>
        </w:rPr>
        <w:t>Emmy</w:t>
      </w:r>
      <w:proofErr w:type="spellEnd"/>
      <w:r w:rsidRPr="004D1F16">
        <w:rPr>
          <w:lang w:val="en-GB"/>
        </w:rPr>
        <w:t xml:space="preserve"> Nominations</w:t>
      </w:r>
      <w:r>
        <w:rPr>
          <w:lang w:val="en-GB"/>
        </w:rPr>
        <w:t xml:space="preserve">,” The Walt Disney Company, July 13, 2017, accessed May 9, 2019, </w:t>
      </w:r>
      <w:r w:rsidRPr="004D1F16">
        <w:rPr>
          <w:lang w:val="en-GB"/>
        </w:rPr>
        <w:t>www.thewaltdisneycompany.com/disneys-media-networks-combine-52-emmy-nominations/</w:t>
      </w:r>
      <w:r>
        <w:rPr>
          <w:lang w:val="en-GB"/>
        </w:rPr>
        <w:t>.</w:t>
      </w:r>
    </w:p>
  </w:endnote>
  <w:endnote w:id="43">
    <w:p w14:paraId="50E6A075" w14:textId="77777777" w:rsidR="008740D8" w:rsidRPr="00765778" w:rsidRDefault="008740D8" w:rsidP="008A7837">
      <w:pPr>
        <w:pStyle w:val="Footnote"/>
        <w:rPr>
          <w:lang w:val="en-GB"/>
        </w:rPr>
      </w:pPr>
      <w:r w:rsidRPr="00765778">
        <w:rPr>
          <w:rStyle w:val="EndnoteReference"/>
          <w:lang w:val="en-GB"/>
        </w:rPr>
        <w:endnoteRef/>
      </w:r>
      <w:r w:rsidRPr="00765778">
        <w:rPr>
          <w:lang w:val="en-GB"/>
        </w:rPr>
        <w:t xml:space="preserve"> Netflix, “Third Quarter 2017 Letter to Shareholders,” October 16, 2017, accessed June 10, 2018, https://ir.netflix.com/quarterly-earnings.</w:t>
      </w:r>
    </w:p>
  </w:endnote>
  <w:endnote w:id="44">
    <w:p w14:paraId="73DD15F3" w14:textId="746677D1"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Todd Spangler, “Amazon Launches Prime Video Standalone Option for $9 Monthly,” </w:t>
      </w:r>
      <w:r w:rsidRPr="00722C19">
        <w:rPr>
          <w:i/>
          <w:lang w:val="en-GB"/>
        </w:rPr>
        <w:t>Variety</w:t>
      </w:r>
      <w:r w:rsidRPr="00765778">
        <w:rPr>
          <w:lang w:val="en-GB"/>
        </w:rPr>
        <w:t>, April 17, 2016, accessed April 23, 2018, http://variety.com/2016/digital/news/amazon-prime-video-standalone-monthly-1201755340/.</w:t>
      </w:r>
    </w:p>
  </w:endnote>
  <w:endnote w:id="45">
    <w:p w14:paraId="03A00796" w14:textId="2F4B0E41"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Bernar</w:t>
      </w:r>
      <w:r>
        <w:rPr>
          <w:lang w:val="en-GB"/>
        </w:rPr>
        <w:t xml:space="preserve">d, op. cit. </w:t>
      </w:r>
    </w:p>
  </w:endnote>
  <w:endnote w:id="46">
    <w:p w14:paraId="49045B77" w14:textId="08CA725B" w:rsidR="008740D8" w:rsidRPr="00765778" w:rsidRDefault="008740D8">
      <w:pPr>
        <w:pStyle w:val="EndnoteText"/>
        <w:rPr>
          <w:rFonts w:ascii="Arial" w:hAnsi="Arial" w:cs="Arial"/>
          <w:sz w:val="17"/>
          <w:szCs w:val="17"/>
          <w:lang w:val="en-GB"/>
        </w:rPr>
      </w:pPr>
      <w:r w:rsidRPr="00765778">
        <w:rPr>
          <w:rStyle w:val="EndnoteReference"/>
          <w:rFonts w:ascii="Arial" w:hAnsi="Arial" w:cs="Arial"/>
          <w:sz w:val="17"/>
          <w:szCs w:val="17"/>
          <w:lang w:val="en-GB"/>
        </w:rPr>
        <w:endnoteRef/>
      </w:r>
      <w:r w:rsidRPr="00765778">
        <w:rPr>
          <w:rFonts w:ascii="Arial" w:hAnsi="Arial" w:cs="Arial"/>
          <w:sz w:val="17"/>
          <w:szCs w:val="17"/>
          <w:lang w:val="en-GB"/>
        </w:rPr>
        <w:t xml:space="preserve"> </w:t>
      </w:r>
      <w:bookmarkStart w:id="2" w:name="_Hlk8300659"/>
      <w:r w:rsidRPr="00765778">
        <w:rPr>
          <w:rFonts w:ascii="Arial" w:hAnsi="Arial" w:cs="Arial"/>
          <w:sz w:val="17"/>
          <w:szCs w:val="17"/>
          <w:lang w:val="en-GB"/>
        </w:rPr>
        <w:t xml:space="preserve">Lizzie </w:t>
      </w:r>
      <w:proofErr w:type="spellStart"/>
      <w:r w:rsidRPr="00765778">
        <w:rPr>
          <w:rFonts w:ascii="Arial" w:hAnsi="Arial" w:cs="Arial"/>
          <w:sz w:val="17"/>
          <w:szCs w:val="17"/>
          <w:lang w:val="en-GB"/>
        </w:rPr>
        <w:t>Plaugic</w:t>
      </w:r>
      <w:proofErr w:type="spellEnd"/>
      <w:r w:rsidRPr="00765778">
        <w:rPr>
          <w:rFonts w:ascii="Arial" w:hAnsi="Arial" w:cs="Arial"/>
          <w:sz w:val="17"/>
          <w:szCs w:val="17"/>
          <w:lang w:val="en-GB"/>
        </w:rPr>
        <w:t xml:space="preserve">, “Amazon’s US Audience for Prime Video Is Reportedly around 26 Million,” </w:t>
      </w:r>
      <w:r w:rsidRPr="00722C19">
        <w:rPr>
          <w:rFonts w:ascii="Arial" w:hAnsi="Arial" w:cs="Arial"/>
          <w:i/>
          <w:sz w:val="17"/>
          <w:szCs w:val="17"/>
          <w:lang w:val="en-GB"/>
        </w:rPr>
        <w:t>Verge</w:t>
      </w:r>
      <w:r w:rsidRPr="00765778">
        <w:rPr>
          <w:rFonts w:ascii="Arial" w:hAnsi="Arial" w:cs="Arial"/>
          <w:sz w:val="17"/>
          <w:szCs w:val="17"/>
          <w:lang w:val="en-GB"/>
        </w:rPr>
        <w:t>, March 15, 2018, accessed May 9, 2018, www.theverge.com/2018/3/15/17123690/amazon-prime-video-audience-numbers-us.</w:t>
      </w:r>
      <w:bookmarkEnd w:id="2"/>
    </w:p>
  </w:endnote>
  <w:endnote w:id="47">
    <w:p w14:paraId="2D4FC628" w14:textId="5991CD92"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Federal Communications Commission (FCC), “In the Matter of Annual Assessment of the Status of Competition in the Market for the Delivery of Video Programming,” Sixteenth Report, MB Docket No. 16-247, April 2, 2015.</w:t>
      </w:r>
    </w:p>
  </w:endnote>
  <w:endnote w:id="48">
    <w:p w14:paraId="6871BD01" w14:textId="0CE64079"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Ibid. </w:t>
      </w:r>
    </w:p>
  </w:endnote>
  <w:endnote w:id="49">
    <w:p w14:paraId="6E6CAC59" w14:textId="4F3A898F"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FCC, “In the Matter of Annual Assessment of the Status of Competition in the Market for the Delivery of Video Programming,” Eighteenth Report, MB Docket No. 16-247, January 17, 2017.</w:t>
      </w:r>
    </w:p>
  </w:endnote>
  <w:endnote w:id="50">
    <w:p w14:paraId="20425CDA" w14:textId="18275152" w:rsidR="003B72FB" w:rsidRPr="003B72FB" w:rsidRDefault="003B72FB" w:rsidP="003B72FB">
      <w:pPr>
        <w:pStyle w:val="Footnote"/>
      </w:pPr>
      <w:r>
        <w:rPr>
          <w:rStyle w:val="EndnoteReference"/>
        </w:rPr>
        <w:endnoteRef/>
      </w:r>
      <w:r>
        <w:t xml:space="preserve"> Sam </w:t>
      </w:r>
      <w:proofErr w:type="spellStart"/>
      <w:r>
        <w:t>Schechner</w:t>
      </w:r>
      <w:proofErr w:type="spellEnd"/>
      <w:r w:rsidR="00102D6C">
        <w:t xml:space="preserve"> and Elizabeth Holmes, op. cit.;</w:t>
      </w:r>
      <w:bookmarkStart w:id="3" w:name="_GoBack"/>
      <w:bookmarkEnd w:id="3"/>
      <w:r>
        <w:t xml:space="preserve"> Eric Jackson, “Op-ed: Hulu Needs a Single Owner to Maximize Its Potential,” CNBC.com, June 16, 2017, accessed September 22, 2019, www.cnbc.com/2017/06/16/op-ed-hulu-needs-a-single-owner.html.</w:t>
      </w:r>
    </w:p>
  </w:endnote>
  <w:endnote w:id="51">
    <w:p w14:paraId="5A1CBC21" w14:textId="00773F33"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Sam </w:t>
      </w:r>
      <w:proofErr w:type="spellStart"/>
      <w:r w:rsidRPr="00765778">
        <w:rPr>
          <w:lang w:val="en-GB"/>
        </w:rPr>
        <w:t>Schechner</w:t>
      </w:r>
      <w:proofErr w:type="spellEnd"/>
      <w:r w:rsidRPr="00765778">
        <w:rPr>
          <w:lang w:val="en-GB"/>
        </w:rPr>
        <w:t xml:space="preserve"> and Elizabeth Holmes, </w:t>
      </w:r>
      <w:r w:rsidR="003B72FB">
        <w:rPr>
          <w:lang w:val="en-GB"/>
        </w:rPr>
        <w:t>op cit</w:t>
      </w:r>
      <w:r w:rsidRPr="00765778">
        <w:rPr>
          <w:lang w:val="en-GB"/>
        </w:rPr>
        <w:t xml:space="preserve">. </w:t>
      </w:r>
    </w:p>
  </w:endnote>
  <w:endnote w:id="52">
    <w:p w14:paraId="199FAA43" w14:textId="1F1A1400" w:rsidR="008740D8" w:rsidRPr="00722C19" w:rsidRDefault="008740D8" w:rsidP="00722C19">
      <w:pPr>
        <w:pStyle w:val="EndnoteText"/>
        <w:jc w:val="both"/>
        <w:rPr>
          <w:rFonts w:ascii="Arial" w:hAnsi="Arial" w:cs="Arial"/>
          <w:sz w:val="17"/>
          <w:szCs w:val="17"/>
          <w:lang w:val="en-GB"/>
        </w:rPr>
      </w:pPr>
      <w:r w:rsidRPr="00765778">
        <w:rPr>
          <w:rStyle w:val="EndnoteReference"/>
          <w:rFonts w:ascii="Arial" w:hAnsi="Arial" w:cs="Arial"/>
          <w:sz w:val="17"/>
          <w:szCs w:val="17"/>
          <w:lang w:val="en-GB"/>
        </w:rPr>
        <w:endnoteRef/>
      </w:r>
      <w:r w:rsidRPr="00765778">
        <w:rPr>
          <w:rFonts w:ascii="Arial" w:hAnsi="Arial" w:cs="Arial"/>
          <w:sz w:val="17"/>
          <w:szCs w:val="17"/>
          <w:lang w:val="en-GB"/>
        </w:rPr>
        <w:t xml:space="preserve"> Hulu, “Hulu Grows to Over 17 Million Subscribers in 2017, Emerges as Powerful </w:t>
      </w:r>
      <w:proofErr w:type="spellStart"/>
      <w:r w:rsidRPr="00765778">
        <w:rPr>
          <w:rFonts w:ascii="Arial" w:hAnsi="Arial" w:cs="Arial"/>
          <w:sz w:val="17"/>
          <w:szCs w:val="17"/>
          <w:lang w:val="en-GB"/>
        </w:rPr>
        <w:t>Pay-TV</w:t>
      </w:r>
      <w:proofErr w:type="spellEnd"/>
      <w:r w:rsidRPr="00765778">
        <w:rPr>
          <w:rFonts w:ascii="Arial" w:hAnsi="Arial" w:cs="Arial"/>
          <w:sz w:val="17"/>
          <w:szCs w:val="17"/>
          <w:lang w:val="en-GB"/>
        </w:rPr>
        <w:t xml:space="preserve"> Alternative Combining Live Television with the Largest SVOD TV Library in the </w:t>
      </w:r>
      <w:r>
        <w:rPr>
          <w:rFonts w:ascii="Arial" w:hAnsi="Arial" w:cs="Arial"/>
          <w:sz w:val="17"/>
          <w:szCs w:val="17"/>
          <w:lang w:val="en-GB"/>
        </w:rPr>
        <w:t>US</w:t>
      </w:r>
      <w:r w:rsidRPr="00765778">
        <w:rPr>
          <w:rFonts w:ascii="Arial" w:hAnsi="Arial" w:cs="Arial"/>
          <w:sz w:val="17"/>
          <w:szCs w:val="17"/>
          <w:lang w:val="en-GB"/>
        </w:rPr>
        <w:t>, press release, January 9, 2018, accessed May 9, 2019, www.hulu.com/press/hulu-grows-to-over-17-million-subscribers-in-2017-emerges-as-powerful-pay-tv-alternative-combining-live-television-with-the-largest-svod-tv-library-in-the-u-s/.</w:t>
      </w:r>
    </w:p>
  </w:endnote>
  <w:endnote w:id="53">
    <w:p w14:paraId="1B6A2A1D" w14:textId="17AE2BD9"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w:t>
      </w:r>
      <w:r w:rsidRPr="00CF7C46">
        <w:rPr>
          <w:spacing w:val="-4"/>
          <w:lang w:val="en-GB"/>
        </w:rPr>
        <w:t xml:space="preserve">Netflix, “2017 Form 10-K Report for Fiscal Year Ended December 31, 2017,” op. cit.; Bernard, op. cit. </w:t>
      </w:r>
    </w:p>
  </w:endnote>
  <w:endnote w:id="54">
    <w:p w14:paraId="1D634240" w14:textId="5B06FDB2" w:rsidR="008740D8" w:rsidRPr="00A725E1" w:rsidRDefault="008740D8">
      <w:pPr>
        <w:pStyle w:val="EndnoteText"/>
        <w:rPr>
          <w:lang w:val="en-US"/>
        </w:rPr>
      </w:pPr>
      <w:r w:rsidRPr="00886823">
        <w:rPr>
          <w:rStyle w:val="FootnoteChar"/>
          <w:rFonts w:eastAsia="Calibri"/>
          <w:vertAlign w:val="superscript"/>
        </w:rPr>
        <w:endnoteRef/>
      </w:r>
      <w:r w:rsidRPr="00A725E1">
        <w:rPr>
          <w:rStyle w:val="FootnoteChar"/>
          <w:rFonts w:eastAsia="Calibri"/>
          <w:lang w:val="en-US"/>
        </w:rPr>
        <w:t>“Netflix Versus the Competition: How to Choose a Streaming Service,” CNBC.com, October 7, 2017, accessed April 10, 2018, www.cnbc.com/2017/10/06/which-ott-streaming-service-is-best.html.</w:t>
      </w:r>
    </w:p>
  </w:endnote>
  <w:endnote w:id="55">
    <w:p w14:paraId="3601B3A6" w14:textId="390954CD" w:rsidR="008740D8" w:rsidRPr="00765778" w:rsidRDefault="008740D8" w:rsidP="00BC4BA1">
      <w:pPr>
        <w:pStyle w:val="Footnote"/>
        <w:rPr>
          <w:lang w:val="en-GB"/>
        </w:rPr>
      </w:pPr>
      <w:r w:rsidRPr="00765778">
        <w:rPr>
          <w:rStyle w:val="EndnoteReference"/>
          <w:lang w:val="en-GB"/>
        </w:rPr>
        <w:endnoteRef/>
      </w:r>
      <w:r w:rsidRPr="00765778">
        <w:rPr>
          <w:lang w:val="en-GB"/>
        </w:rPr>
        <w:t xml:space="preserve"> Jessica E. </w:t>
      </w:r>
      <w:proofErr w:type="spellStart"/>
      <w:r w:rsidRPr="00765778">
        <w:rPr>
          <w:lang w:val="en-GB"/>
        </w:rPr>
        <w:t>Vascellaro</w:t>
      </w:r>
      <w:proofErr w:type="spellEnd"/>
      <w:r w:rsidRPr="00765778">
        <w:rPr>
          <w:lang w:val="en-GB"/>
        </w:rPr>
        <w:t xml:space="preserve"> and Elizabeth Holmes, “YouTube Seals Deal on ABC, ESPN Clips,” </w:t>
      </w:r>
      <w:r w:rsidRPr="00722C19">
        <w:rPr>
          <w:i/>
          <w:lang w:val="en-GB"/>
        </w:rPr>
        <w:t>Wall Street Journal</w:t>
      </w:r>
      <w:r w:rsidRPr="00765778">
        <w:rPr>
          <w:lang w:val="en-GB"/>
        </w:rPr>
        <w:t xml:space="preserve">, March 31, 2009, accessed January 12, 2019, www.wsj.com/articles/SB123844481702470815. </w:t>
      </w:r>
    </w:p>
  </w:endnote>
  <w:endnote w:id="56">
    <w:p w14:paraId="05A8AC53" w14:textId="6B4DAB31" w:rsidR="008740D8" w:rsidRPr="00886823" w:rsidRDefault="008740D8">
      <w:pPr>
        <w:pStyle w:val="EndnoteText"/>
        <w:rPr>
          <w:lang w:val="en-US"/>
        </w:rPr>
      </w:pPr>
      <w:r w:rsidRPr="00886823">
        <w:rPr>
          <w:rStyle w:val="FootnoteChar"/>
          <w:rFonts w:eastAsia="Calibri"/>
          <w:vertAlign w:val="superscript"/>
        </w:rPr>
        <w:endnoteRef/>
      </w:r>
      <w:r>
        <w:t xml:space="preserve"> </w:t>
      </w:r>
      <w:r w:rsidRPr="00886823">
        <w:rPr>
          <w:rStyle w:val="FootnoteChar"/>
          <w:rFonts w:eastAsia="Calibri"/>
        </w:rPr>
        <w:t xml:space="preserve">Ronald Grover and Sue </w:t>
      </w:r>
      <w:proofErr w:type="spellStart"/>
      <w:r w:rsidRPr="00886823">
        <w:rPr>
          <w:rStyle w:val="FootnoteChar"/>
          <w:rFonts w:eastAsia="Calibri"/>
        </w:rPr>
        <w:t>Zeidler</w:t>
      </w:r>
      <w:proofErr w:type="spellEnd"/>
      <w:r>
        <w:rPr>
          <w:rStyle w:val="FootnoteChar"/>
          <w:rFonts w:eastAsia="Calibri"/>
          <w:lang w:val="en-CA"/>
        </w:rPr>
        <w:t>,</w:t>
      </w:r>
      <w:r w:rsidRPr="00886823">
        <w:rPr>
          <w:rStyle w:val="FootnoteChar"/>
          <w:rFonts w:eastAsia="Calibri"/>
        </w:rPr>
        <w:t xml:space="preserve"> op. cit.</w:t>
      </w:r>
    </w:p>
  </w:endnote>
  <w:endnote w:id="57">
    <w:p w14:paraId="08D2F882" w14:textId="11EC9FE8" w:rsidR="008740D8" w:rsidRPr="006446B8" w:rsidRDefault="008740D8">
      <w:pPr>
        <w:pStyle w:val="EndnoteText"/>
        <w:rPr>
          <w:lang w:val="en-GB"/>
        </w:rPr>
      </w:pPr>
      <w:r w:rsidRPr="00765778">
        <w:rPr>
          <w:rStyle w:val="EndnoteReference"/>
          <w:rFonts w:ascii="Arial" w:hAnsi="Arial" w:cs="Arial"/>
          <w:sz w:val="17"/>
          <w:szCs w:val="17"/>
          <w:lang w:val="en-GB"/>
        </w:rPr>
        <w:endnoteRef/>
      </w:r>
      <w:r w:rsidRPr="00765778">
        <w:rPr>
          <w:rFonts w:ascii="Arial" w:hAnsi="Arial" w:cs="Arial"/>
          <w:sz w:val="17"/>
          <w:szCs w:val="17"/>
          <w:lang w:val="en-GB"/>
        </w:rPr>
        <w:t xml:space="preserve"> Paul Melvin, “The Walt Disney Company Acquires Minority Stake in </w:t>
      </w:r>
      <w:proofErr w:type="spellStart"/>
      <w:r w:rsidRPr="00765778">
        <w:rPr>
          <w:rFonts w:ascii="Arial" w:hAnsi="Arial" w:cs="Arial"/>
          <w:sz w:val="17"/>
          <w:szCs w:val="17"/>
          <w:lang w:val="en-GB"/>
        </w:rPr>
        <w:t>BAMTech</w:t>
      </w:r>
      <w:proofErr w:type="spellEnd"/>
      <w:r w:rsidRPr="00765778">
        <w:rPr>
          <w:rFonts w:ascii="Arial" w:hAnsi="Arial" w:cs="Arial"/>
          <w:sz w:val="17"/>
          <w:szCs w:val="17"/>
          <w:lang w:val="en-GB"/>
        </w:rPr>
        <w:t>,” ESPN Press Room, August 9, 2016, accessed May 12, 2019, https://espnpressroom.com/us/press-releases/2016/08/walt-disney-company-acquires-minority-stake-bamtech/.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19DAC" w14:textId="77777777" w:rsidR="008740D8" w:rsidRDefault="008740D8" w:rsidP="00D75295">
      <w:r>
        <w:separator/>
      </w:r>
    </w:p>
  </w:footnote>
  <w:footnote w:type="continuationSeparator" w:id="0">
    <w:p w14:paraId="4C7A4D91" w14:textId="77777777" w:rsidR="008740D8" w:rsidRDefault="008740D8"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9598A37" w:rsidR="008740D8" w:rsidRPr="00C92CC4" w:rsidRDefault="008740D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02D6C">
      <w:rPr>
        <w:rFonts w:ascii="Arial" w:hAnsi="Arial"/>
        <w:b/>
        <w:noProof/>
      </w:rPr>
      <w:t>12</w:t>
    </w:r>
    <w:r>
      <w:rPr>
        <w:rFonts w:ascii="Arial" w:hAnsi="Arial"/>
        <w:b/>
      </w:rPr>
      <w:fldChar w:fldCharType="end"/>
    </w:r>
    <w:r>
      <w:rPr>
        <w:rFonts w:ascii="Arial" w:hAnsi="Arial"/>
        <w:b/>
      </w:rPr>
      <w:tab/>
      <w:t>9B19M114</w:t>
    </w:r>
  </w:p>
  <w:p w14:paraId="2B53C0A0" w14:textId="77777777" w:rsidR="008740D8" w:rsidRDefault="008740D8" w:rsidP="00D13667">
    <w:pPr>
      <w:pStyle w:val="Header"/>
      <w:tabs>
        <w:tab w:val="clear" w:pos="4680"/>
      </w:tabs>
      <w:rPr>
        <w:sz w:val="18"/>
        <w:szCs w:val="18"/>
      </w:rPr>
    </w:pPr>
  </w:p>
  <w:p w14:paraId="47119730" w14:textId="77777777" w:rsidR="008740D8" w:rsidRPr="00C92CC4" w:rsidRDefault="008740D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s-US"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08F7"/>
    <w:rsid w:val="00013360"/>
    <w:rsid w:val="00016759"/>
    <w:rsid w:val="000216CE"/>
    <w:rsid w:val="00024ED4"/>
    <w:rsid w:val="00025DC7"/>
    <w:rsid w:val="00035F09"/>
    <w:rsid w:val="0004129D"/>
    <w:rsid w:val="00044ECC"/>
    <w:rsid w:val="000478DB"/>
    <w:rsid w:val="000531D3"/>
    <w:rsid w:val="00053480"/>
    <w:rsid w:val="00054D13"/>
    <w:rsid w:val="0005646B"/>
    <w:rsid w:val="000615D1"/>
    <w:rsid w:val="00076364"/>
    <w:rsid w:val="000770A6"/>
    <w:rsid w:val="0008102D"/>
    <w:rsid w:val="00086B26"/>
    <w:rsid w:val="00094C0E"/>
    <w:rsid w:val="000A146D"/>
    <w:rsid w:val="000A5200"/>
    <w:rsid w:val="000B1BF0"/>
    <w:rsid w:val="000C069E"/>
    <w:rsid w:val="000C0797"/>
    <w:rsid w:val="000D2A2F"/>
    <w:rsid w:val="000D7091"/>
    <w:rsid w:val="000E464E"/>
    <w:rsid w:val="000E646B"/>
    <w:rsid w:val="000F0C22"/>
    <w:rsid w:val="000F3453"/>
    <w:rsid w:val="000F6B09"/>
    <w:rsid w:val="000F6FDC"/>
    <w:rsid w:val="00102D6C"/>
    <w:rsid w:val="00104567"/>
    <w:rsid w:val="00104916"/>
    <w:rsid w:val="00104AA7"/>
    <w:rsid w:val="0010733C"/>
    <w:rsid w:val="0012732D"/>
    <w:rsid w:val="00143F25"/>
    <w:rsid w:val="00152682"/>
    <w:rsid w:val="00154FC9"/>
    <w:rsid w:val="00186217"/>
    <w:rsid w:val="0018781A"/>
    <w:rsid w:val="001901C0"/>
    <w:rsid w:val="00190C94"/>
    <w:rsid w:val="0019241A"/>
    <w:rsid w:val="00192A18"/>
    <w:rsid w:val="001973EC"/>
    <w:rsid w:val="001A22D1"/>
    <w:rsid w:val="001A752D"/>
    <w:rsid w:val="001A757E"/>
    <w:rsid w:val="001B01EF"/>
    <w:rsid w:val="001B463F"/>
    <w:rsid w:val="001B5032"/>
    <w:rsid w:val="001C7777"/>
    <w:rsid w:val="001D1262"/>
    <w:rsid w:val="001D344B"/>
    <w:rsid w:val="001D43AD"/>
    <w:rsid w:val="001E364F"/>
    <w:rsid w:val="001E3DE0"/>
    <w:rsid w:val="001F30BF"/>
    <w:rsid w:val="001F4222"/>
    <w:rsid w:val="00203AA1"/>
    <w:rsid w:val="00213E98"/>
    <w:rsid w:val="00220F3B"/>
    <w:rsid w:val="00225B11"/>
    <w:rsid w:val="00230150"/>
    <w:rsid w:val="0023081A"/>
    <w:rsid w:val="00233111"/>
    <w:rsid w:val="002541E5"/>
    <w:rsid w:val="00256EEC"/>
    <w:rsid w:val="00265FA8"/>
    <w:rsid w:val="002915F4"/>
    <w:rsid w:val="00293837"/>
    <w:rsid w:val="002A3017"/>
    <w:rsid w:val="002B40FF"/>
    <w:rsid w:val="002C4E29"/>
    <w:rsid w:val="002E2813"/>
    <w:rsid w:val="002F460C"/>
    <w:rsid w:val="002F48D6"/>
    <w:rsid w:val="00301947"/>
    <w:rsid w:val="00304601"/>
    <w:rsid w:val="00307D18"/>
    <w:rsid w:val="00317391"/>
    <w:rsid w:val="00326216"/>
    <w:rsid w:val="00334CF0"/>
    <w:rsid w:val="00336580"/>
    <w:rsid w:val="00336CA4"/>
    <w:rsid w:val="00354899"/>
    <w:rsid w:val="00355FD6"/>
    <w:rsid w:val="00364A5C"/>
    <w:rsid w:val="003703F3"/>
    <w:rsid w:val="00373FB1"/>
    <w:rsid w:val="003912A8"/>
    <w:rsid w:val="00396C76"/>
    <w:rsid w:val="003A7539"/>
    <w:rsid w:val="003B0807"/>
    <w:rsid w:val="003B30D8"/>
    <w:rsid w:val="003B3388"/>
    <w:rsid w:val="003B72FB"/>
    <w:rsid w:val="003B7EF2"/>
    <w:rsid w:val="003C3FA4"/>
    <w:rsid w:val="003D0BA1"/>
    <w:rsid w:val="003E5E8B"/>
    <w:rsid w:val="003F2B0C"/>
    <w:rsid w:val="004105B2"/>
    <w:rsid w:val="0041145A"/>
    <w:rsid w:val="00412900"/>
    <w:rsid w:val="004221E4"/>
    <w:rsid w:val="004273F8"/>
    <w:rsid w:val="004355A3"/>
    <w:rsid w:val="00446546"/>
    <w:rsid w:val="00446E27"/>
    <w:rsid w:val="00452769"/>
    <w:rsid w:val="00454FA7"/>
    <w:rsid w:val="00455CAF"/>
    <w:rsid w:val="00465348"/>
    <w:rsid w:val="00494E1D"/>
    <w:rsid w:val="004979A5"/>
    <w:rsid w:val="004A25E0"/>
    <w:rsid w:val="004A26FA"/>
    <w:rsid w:val="004A4E3F"/>
    <w:rsid w:val="004B1CCB"/>
    <w:rsid w:val="004B5D95"/>
    <w:rsid w:val="004B632F"/>
    <w:rsid w:val="004C4A31"/>
    <w:rsid w:val="004D1F16"/>
    <w:rsid w:val="004D3FB1"/>
    <w:rsid w:val="004D6F21"/>
    <w:rsid w:val="004D73A5"/>
    <w:rsid w:val="004E5D43"/>
    <w:rsid w:val="004F10C7"/>
    <w:rsid w:val="004F3789"/>
    <w:rsid w:val="004F70AB"/>
    <w:rsid w:val="005160F1"/>
    <w:rsid w:val="00524F2F"/>
    <w:rsid w:val="00527E5C"/>
    <w:rsid w:val="00530424"/>
    <w:rsid w:val="00532CF5"/>
    <w:rsid w:val="005528CB"/>
    <w:rsid w:val="00566771"/>
    <w:rsid w:val="00581E2E"/>
    <w:rsid w:val="00584F15"/>
    <w:rsid w:val="0059514B"/>
    <w:rsid w:val="005A1B0F"/>
    <w:rsid w:val="005B4CE6"/>
    <w:rsid w:val="005B58F1"/>
    <w:rsid w:val="005B5EFE"/>
    <w:rsid w:val="005C6BC9"/>
    <w:rsid w:val="005D536A"/>
    <w:rsid w:val="005D56C4"/>
    <w:rsid w:val="005E2B82"/>
    <w:rsid w:val="005E321A"/>
    <w:rsid w:val="006163F7"/>
    <w:rsid w:val="00627C63"/>
    <w:rsid w:val="0063121B"/>
    <w:rsid w:val="00631FD5"/>
    <w:rsid w:val="0063350B"/>
    <w:rsid w:val="006446B8"/>
    <w:rsid w:val="00652606"/>
    <w:rsid w:val="00656BEC"/>
    <w:rsid w:val="00661ACB"/>
    <w:rsid w:val="00692F65"/>
    <w:rsid w:val="006946EE"/>
    <w:rsid w:val="006A58A9"/>
    <w:rsid w:val="006A606D"/>
    <w:rsid w:val="006C0371"/>
    <w:rsid w:val="006C08B6"/>
    <w:rsid w:val="006C0B1A"/>
    <w:rsid w:val="006C6065"/>
    <w:rsid w:val="006C7E1D"/>
    <w:rsid w:val="006C7F9F"/>
    <w:rsid w:val="006E2F6D"/>
    <w:rsid w:val="006E58F6"/>
    <w:rsid w:val="006E77E1"/>
    <w:rsid w:val="006F131D"/>
    <w:rsid w:val="007006BC"/>
    <w:rsid w:val="00701E1F"/>
    <w:rsid w:val="00702BE7"/>
    <w:rsid w:val="00710EF4"/>
    <w:rsid w:val="00711642"/>
    <w:rsid w:val="00714974"/>
    <w:rsid w:val="00715E0D"/>
    <w:rsid w:val="00716BC7"/>
    <w:rsid w:val="00722C19"/>
    <w:rsid w:val="007269AA"/>
    <w:rsid w:val="007470E0"/>
    <w:rsid w:val="007507C6"/>
    <w:rsid w:val="00751710"/>
    <w:rsid w:val="00751E0B"/>
    <w:rsid w:val="00752BCD"/>
    <w:rsid w:val="00765778"/>
    <w:rsid w:val="00766DA1"/>
    <w:rsid w:val="00773065"/>
    <w:rsid w:val="00780D94"/>
    <w:rsid w:val="007866A6"/>
    <w:rsid w:val="00787250"/>
    <w:rsid w:val="007A130D"/>
    <w:rsid w:val="007C3F34"/>
    <w:rsid w:val="007D01D6"/>
    <w:rsid w:val="007D1A2D"/>
    <w:rsid w:val="007D2C81"/>
    <w:rsid w:val="007D32E6"/>
    <w:rsid w:val="007D4102"/>
    <w:rsid w:val="007E21EF"/>
    <w:rsid w:val="007E54A7"/>
    <w:rsid w:val="007F43B7"/>
    <w:rsid w:val="007F4B60"/>
    <w:rsid w:val="008108E3"/>
    <w:rsid w:val="00812F25"/>
    <w:rsid w:val="00821FFC"/>
    <w:rsid w:val="008224C6"/>
    <w:rsid w:val="008271CA"/>
    <w:rsid w:val="008467D5"/>
    <w:rsid w:val="00853593"/>
    <w:rsid w:val="00856571"/>
    <w:rsid w:val="00857719"/>
    <w:rsid w:val="008740D8"/>
    <w:rsid w:val="00884B9C"/>
    <w:rsid w:val="00886823"/>
    <w:rsid w:val="008A4DC4"/>
    <w:rsid w:val="008A7837"/>
    <w:rsid w:val="008B438C"/>
    <w:rsid w:val="008B5041"/>
    <w:rsid w:val="008D06CA"/>
    <w:rsid w:val="008D3A46"/>
    <w:rsid w:val="008D7768"/>
    <w:rsid w:val="008F2385"/>
    <w:rsid w:val="009067A4"/>
    <w:rsid w:val="00912838"/>
    <w:rsid w:val="00930885"/>
    <w:rsid w:val="00933D68"/>
    <w:rsid w:val="009340DB"/>
    <w:rsid w:val="0094618C"/>
    <w:rsid w:val="00947F81"/>
    <w:rsid w:val="0095684B"/>
    <w:rsid w:val="00972498"/>
    <w:rsid w:val="0097481F"/>
    <w:rsid w:val="00974CC6"/>
    <w:rsid w:val="00976AD4"/>
    <w:rsid w:val="00976B9F"/>
    <w:rsid w:val="00981C3A"/>
    <w:rsid w:val="00983AAA"/>
    <w:rsid w:val="00995547"/>
    <w:rsid w:val="009A312F"/>
    <w:rsid w:val="009A5348"/>
    <w:rsid w:val="009B0AB7"/>
    <w:rsid w:val="009C76D5"/>
    <w:rsid w:val="009F7AA4"/>
    <w:rsid w:val="00A07D90"/>
    <w:rsid w:val="00A10AD7"/>
    <w:rsid w:val="00A12456"/>
    <w:rsid w:val="00A2412E"/>
    <w:rsid w:val="00A323B0"/>
    <w:rsid w:val="00A33CC7"/>
    <w:rsid w:val="00A52408"/>
    <w:rsid w:val="00A5446D"/>
    <w:rsid w:val="00A559DB"/>
    <w:rsid w:val="00A569EA"/>
    <w:rsid w:val="00A676A0"/>
    <w:rsid w:val="00A725E1"/>
    <w:rsid w:val="00A8110B"/>
    <w:rsid w:val="00A815DE"/>
    <w:rsid w:val="00A87738"/>
    <w:rsid w:val="00AF35FC"/>
    <w:rsid w:val="00AF5556"/>
    <w:rsid w:val="00AF7EB6"/>
    <w:rsid w:val="00B03639"/>
    <w:rsid w:val="00B0652A"/>
    <w:rsid w:val="00B3166B"/>
    <w:rsid w:val="00B40937"/>
    <w:rsid w:val="00B419C5"/>
    <w:rsid w:val="00B423EF"/>
    <w:rsid w:val="00B453DE"/>
    <w:rsid w:val="00B5157A"/>
    <w:rsid w:val="00B54D0D"/>
    <w:rsid w:val="00B61C32"/>
    <w:rsid w:val="00B62497"/>
    <w:rsid w:val="00B72597"/>
    <w:rsid w:val="00B87DC0"/>
    <w:rsid w:val="00B901F9"/>
    <w:rsid w:val="00B95951"/>
    <w:rsid w:val="00B978DF"/>
    <w:rsid w:val="00BA03AE"/>
    <w:rsid w:val="00BC4BA1"/>
    <w:rsid w:val="00BC4D98"/>
    <w:rsid w:val="00BD25CD"/>
    <w:rsid w:val="00BD6EFB"/>
    <w:rsid w:val="00BE3DF5"/>
    <w:rsid w:val="00BE6588"/>
    <w:rsid w:val="00BF5EAB"/>
    <w:rsid w:val="00BF5FF3"/>
    <w:rsid w:val="00BF7133"/>
    <w:rsid w:val="00C00C7D"/>
    <w:rsid w:val="00C01BF1"/>
    <w:rsid w:val="00C02410"/>
    <w:rsid w:val="00C035EB"/>
    <w:rsid w:val="00C076DF"/>
    <w:rsid w:val="00C11506"/>
    <w:rsid w:val="00C1584D"/>
    <w:rsid w:val="00C15BE2"/>
    <w:rsid w:val="00C3447F"/>
    <w:rsid w:val="00C376C6"/>
    <w:rsid w:val="00C40E5E"/>
    <w:rsid w:val="00C44714"/>
    <w:rsid w:val="00C67102"/>
    <w:rsid w:val="00C6768A"/>
    <w:rsid w:val="00C739FA"/>
    <w:rsid w:val="00C81491"/>
    <w:rsid w:val="00C81676"/>
    <w:rsid w:val="00C85C5D"/>
    <w:rsid w:val="00C92CC4"/>
    <w:rsid w:val="00CA0AFB"/>
    <w:rsid w:val="00CA2CE1"/>
    <w:rsid w:val="00CA3976"/>
    <w:rsid w:val="00CA50E3"/>
    <w:rsid w:val="00CA757B"/>
    <w:rsid w:val="00CC1787"/>
    <w:rsid w:val="00CC182C"/>
    <w:rsid w:val="00CD0824"/>
    <w:rsid w:val="00CD2908"/>
    <w:rsid w:val="00CF6F46"/>
    <w:rsid w:val="00CF7C46"/>
    <w:rsid w:val="00D03A82"/>
    <w:rsid w:val="00D06446"/>
    <w:rsid w:val="00D13667"/>
    <w:rsid w:val="00D15344"/>
    <w:rsid w:val="00D1594B"/>
    <w:rsid w:val="00D23F57"/>
    <w:rsid w:val="00D30AC3"/>
    <w:rsid w:val="00D31BEC"/>
    <w:rsid w:val="00D63150"/>
    <w:rsid w:val="00D636BA"/>
    <w:rsid w:val="00D64A32"/>
    <w:rsid w:val="00D64E63"/>
    <w:rsid w:val="00D64EFC"/>
    <w:rsid w:val="00D75295"/>
    <w:rsid w:val="00D76CE9"/>
    <w:rsid w:val="00D86D06"/>
    <w:rsid w:val="00D97F12"/>
    <w:rsid w:val="00DA6095"/>
    <w:rsid w:val="00DB42E7"/>
    <w:rsid w:val="00DC09D8"/>
    <w:rsid w:val="00DC3789"/>
    <w:rsid w:val="00DE01A6"/>
    <w:rsid w:val="00DE0ED6"/>
    <w:rsid w:val="00DE7A98"/>
    <w:rsid w:val="00DF1853"/>
    <w:rsid w:val="00DF32C2"/>
    <w:rsid w:val="00E17000"/>
    <w:rsid w:val="00E3326A"/>
    <w:rsid w:val="00E40560"/>
    <w:rsid w:val="00E471A7"/>
    <w:rsid w:val="00E635CF"/>
    <w:rsid w:val="00E63F87"/>
    <w:rsid w:val="00E86A07"/>
    <w:rsid w:val="00E95133"/>
    <w:rsid w:val="00EB1E3B"/>
    <w:rsid w:val="00EB4D1B"/>
    <w:rsid w:val="00EC6E0A"/>
    <w:rsid w:val="00ED4E18"/>
    <w:rsid w:val="00ED7922"/>
    <w:rsid w:val="00EE02C4"/>
    <w:rsid w:val="00EE1F37"/>
    <w:rsid w:val="00EF7432"/>
    <w:rsid w:val="00F0159C"/>
    <w:rsid w:val="00F105B7"/>
    <w:rsid w:val="00F12E68"/>
    <w:rsid w:val="00F13220"/>
    <w:rsid w:val="00F17A21"/>
    <w:rsid w:val="00F271E9"/>
    <w:rsid w:val="00F36FC2"/>
    <w:rsid w:val="00F37B27"/>
    <w:rsid w:val="00F46556"/>
    <w:rsid w:val="00F46653"/>
    <w:rsid w:val="00F50E91"/>
    <w:rsid w:val="00F541EF"/>
    <w:rsid w:val="00F56799"/>
    <w:rsid w:val="00F57D29"/>
    <w:rsid w:val="00F60786"/>
    <w:rsid w:val="00F81885"/>
    <w:rsid w:val="00F91BC7"/>
    <w:rsid w:val="00F96201"/>
    <w:rsid w:val="00FA1BBC"/>
    <w:rsid w:val="00FB1AAB"/>
    <w:rsid w:val="00FB2DFF"/>
    <w:rsid w:val="00FD0944"/>
    <w:rsid w:val="00FD0B18"/>
    <w:rsid w:val="00FD2FAD"/>
    <w:rsid w:val="00FD6298"/>
    <w:rsid w:val="00FE714F"/>
    <w:rsid w:val="00FF7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aliases w:val="Footnote Text Char1,Footnote Text Char Char Char1,Footnote Text Char2 Char1 Char1 Char1,Footnote Text Char3 Char Char Char Char1,Footnote Text Char2 Char1 Char Char Char Char1,Footnote Text Char1 Char Char1 Char Char1,Footnote Text Char2,f"/>
    <w:basedOn w:val="Normal"/>
    <w:link w:val="FootnoteTextChar"/>
    <w:unhideWhenUsed/>
    <w:rsid w:val="006C0B1A"/>
  </w:style>
  <w:style w:type="character" w:customStyle="1" w:styleId="FootnoteTextChar">
    <w:name w:val="Footnote Text Char"/>
    <w:aliases w:val="Footnote Text Char1 Char,Footnote Text Char Char Char1 Char,Footnote Text Char2 Char1 Char1 Char1 Char,Footnote Text Char3 Char Char Char Char1 Char,Footnote Text Char2 Char1 Char Char Char Char1 Char,Footnote Text Char2 Char,f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aliases w:val="Style 12,(NECG) Footnote Reference,Appel note de bas de p,Style 124,o,fr,Style 3,Style 13,FR,Style 17,Style 6,Footnote Reference/,Style 7,Style 4,Style 34,Style 9"/>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tory-body-text">
    <w:name w:val="story-body-text"/>
    <w:basedOn w:val="Normal"/>
    <w:rsid w:val="00BC4BA1"/>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5E321A"/>
    <w:rPr>
      <w:color w:val="605E5C"/>
      <w:shd w:val="clear" w:color="auto" w:fill="E1DFDD"/>
    </w:rPr>
  </w:style>
  <w:style w:type="character" w:customStyle="1" w:styleId="UnresolvedMention">
    <w:name w:val="Unresolved Mention"/>
    <w:basedOn w:val="DefaultParagraphFont"/>
    <w:uiPriority w:val="99"/>
    <w:semiHidden/>
    <w:unhideWhenUsed/>
    <w:rsid w:val="004D1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3800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fortune.com/2014/12/29/disney-innovation-timelin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Sheet1!$B$1</c:f>
              <c:strCache>
                <c:ptCount val="1"/>
                <c:pt idx="0">
                  <c:v>Pay-TV</c:v>
                </c:pt>
              </c:strCache>
            </c:strRef>
          </c:tx>
          <c:spPr>
            <a:solidFill>
              <a:schemeClr val="dk1">
                <a:tint val="885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2016</c:v>
                </c:pt>
                <c:pt idx="1">
                  <c:v>2017</c:v>
                </c:pt>
                <c:pt idx="2">
                  <c:v>2018</c:v>
                </c:pt>
                <c:pt idx="3">
                  <c:v>2019</c:v>
                </c:pt>
                <c:pt idx="4">
                  <c:v>2020</c:v>
                </c:pt>
                <c:pt idx="5">
                  <c:v>2021</c:v>
                </c:pt>
              </c:numCache>
            </c:numRef>
          </c:cat>
          <c:val>
            <c:numRef>
              <c:f>Sheet1!$B$2:$B$7</c:f>
              <c:numCache>
                <c:formatCode>General</c:formatCode>
                <c:ptCount val="6"/>
                <c:pt idx="0">
                  <c:v>201.1</c:v>
                </c:pt>
                <c:pt idx="1">
                  <c:v>196.3</c:v>
                </c:pt>
                <c:pt idx="2">
                  <c:v>192</c:v>
                </c:pt>
                <c:pt idx="3">
                  <c:v>188.3</c:v>
                </c:pt>
                <c:pt idx="4">
                  <c:v>184.7</c:v>
                </c:pt>
                <c:pt idx="5">
                  <c:v>181.7</c:v>
                </c:pt>
              </c:numCache>
            </c:numRef>
          </c:val>
          <c:extLst>
            <c:ext xmlns:c16="http://schemas.microsoft.com/office/drawing/2014/chart" uri="{C3380CC4-5D6E-409C-BE32-E72D297353CC}">
              <c16:uniqueId val="{00000000-28DF-41BB-BF30-646F93A5748F}"/>
            </c:ext>
          </c:extLst>
        </c:ser>
        <c:ser>
          <c:idx val="1"/>
          <c:order val="1"/>
          <c:tx>
            <c:strRef>
              <c:f>Sheet1!$C$1</c:f>
              <c:strCache>
                <c:ptCount val="1"/>
                <c:pt idx="0">
                  <c:v>Cord-Nevers</c:v>
                </c:pt>
              </c:strCache>
            </c:strRef>
          </c:tx>
          <c:spPr>
            <a:solidFill>
              <a:schemeClr val="dk1">
                <a:tint val="5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2016</c:v>
                </c:pt>
                <c:pt idx="1">
                  <c:v>2017</c:v>
                </c:pt>
                <c:pt idx="2">
                  <c:v>2018</c:v>
                </c:pt>
                <c:pt idx="3">
                  <c:v>2019</c:v>
                </c:pt>
                <c:pt idx="4">
                  <c:v>2020</c:v>
                </c:pt>
                <c:pt idx="5">
                  <c:v>2021</c:v>
                </c:pt>
              </c:numCache>
            </c:numRef>
          </c:cat>
          <c:val>
            <c:numRef>
              <c:f>Sheet1!$C$2:$C$7</c:f>
              <c:numCache>
                <c:formatCode>General</c:formatCode>
                <c:ptCount val="6"/>
                <c:pt idx="0">
                  <c:v>32.5</c:v>
                </c:pt>
                <c:pt idx="1">
                  <c:v>34.4</c:v>
                </c:pt>
                <c:pt idx="2">
                  <c:v>36.299999999999997</c:v>
                </c:pt>
                <c:pt idx="3">
                  <c:v>38</c:v>
                </c:pt>
                <c:pt idx="4">
                  <c:v>39.6</c:v>
                </c:pt>
                <c:pt idx="5">
                  <c:v>41</c:v>
                </c:pt>
              </c:numCache>
            </c:numRef>
          </c:val>
          <c:extLst>
            <c:ext xmlns:c16="http://schemas.microsoft.com/office/drawing/2014/chart" uri="{C3380CC4-5D6E-409C-BE32-E72D297353CC}">
              <c16:uniqueId val="{00000001-28DF-41BB-BF30-646F93A5748F}"/>
            </c:ext>
          </c:extLst>
        </c:ser>
        <c:ser>
          <c:idx val="2"/>
          <c:order val="2"/>
          <c:tx>
            <c:strRef>
              <c:f>Sheet1!$D$1</c:f>
              <c:strCache>
                <c:ptCount val="1"/>
                <c:pt idx="0">
                  <c:v>Cord-Cutters</c:v>
                </c:pt>
              </c:strCache>
            </c:strRef>
          </c:tx>
          <c:spPr>
            <a:solidFill>
              <a:schemeClr val="dk1">
                <a:tint val="7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2016</c:v>
                </c:pt>
                <c:pt idx="1">
                  <c:v>2017</c:v>
                </c:pt>
                <c:pt idx="2">
                  <c:v>2018</c:v>
                </c:pt>
                <c:pt idx="3">
                  <c:v>2019</c:v>
                </c:pt>
                <c:pt idx="4">
                  <c:v>2020</c:v>
                </c:pt>
                <c:pt idx="5">
                  <c:v>2021</c:v>
                </c:pt>
              </c:numCache>
            </c:numRef>
          </c:cat>
          <c:val>
            <c:numRef>
              <c:f>Sheet1!$D$2:$D$7</c:f>
              <c:numCache>
                <c:formatCode>General</c:formatCode>
                <c:ptCount val="6"/>
                <c:pt idx="0">
                  <c:v>16.7</c:v>
                </c:pt>
                <c:pt idx="1">
                  <c:v>22.2</c:v>
                </c:pt>
                <c:pt idx="2">
                  <c:v>27.1</c:v>
                </c:pt>
                <c:pt idx="3">
                  <c:v>31.7</c:v>
                </c:pt>
                <c:pt idx="4">
                  <c:v>36.1</c:v>
                </c:pt>
                <c:pt idx="5">
                  <c:v>40.1</c:v>
                </c:pt>
              </c:numCache>
            </c:numRef>
          </c:val>
          <c:extLst>
            <c:ext xmlns:c16="http://schemas.microsoft.com/office/drawing/2014/chart" uri="{C3380CC4-5D6E-409C-BE32-E72D297353CC}">
              <c16:uniqueId val="{00000002-28DF-41BB-BF30-646F93A5748F}"/>
            </c:ext>
          </c:extLst>
        </c:ser>
        <c:dLbls>
          <c:showLegendKey val="0"/>
          <c:showVal val="0"/>
          <c:showCatName val="0"/>
          <c:showSerName val="0"/>
          <c:showPercent val="0"/>
          <c:showBubbleSize val="0"/>
        </c:dLbls>
        <c:gapWidth val="150"/>
        <c:shape val="box"/>
        <c:axId val="420053456"/>
        <c:axId val="420053848"/>
        <c:axId val="0"/>
      </c:bar3DChart>
      <c:catAx>
        <c:axId val="4200534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0053848"/>
        <c:crosses val="autoZero"/>
        <c:auto val="1"/>
        <c:lblAlgn val="ctr"/>
        <c:lblOffset val="100"/>
        <c:noMultiLvlLbl val="0"/>
      </c:catAx>
      <c:valAx>
        <c:axId val="420053848"/>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000">
                    <a:solidFill>
                      <a:sysClr val="windowText" lastClr="000000"/>
                    </a:solidFill>
                    <a:latin typeface="Arial" panose="020B0604020202020204" pitchFamily="34" charset="0"/>
                    <a:cs typeface="Arial" panose="020B0604020202020204" pitchFamily="34" charset="0"/>
                  </a:rPr>
                  <a:t>Millions</a:t>
                </a:r>
                <a:r>
                  <a:rPr lang="en-US" sz="1000" baseline="0">
                    <a:solidFill>
                      <a:sysClr val="windowText" lastClr="000000"/>
                    </a:solidFill>
                    <a:latin typeface="Arial" panose="020B0604020202020204" pitchFamily="34" charset="0"/>
                    <a:cs typeface="Arial" panose="020B0604020202020204" pitchFamily="34" charset="0"/>
                  </a:rPr>
                  <a:t> of US Adult Viewers</a:t>
                </a:r>
                <a:endParaRPr lang="en-US" sz="10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9333964833343201E-2"/>
              <c:y val="0.197101612298462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4200534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F3A60-D6E8-4D77-93EE-19BF82CA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13</cp:revision>
  <cp:lastPrinted>2019-04-23T16:03:00Z</cp:lastPrinted>
  <dcterms:created xsi:type="dcterms:W3CDTF">2019-09-12T15:18:00Z</dcterms:created>
  <dcterms:modified xsi:type="dcterms:W3CDTF">2019-09-23T19:16:00Z</dcterms:modified>
</cp:coreProperties>
</file>