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65DD9A7" w:rsidR="00C02410" w:rsidRDefault="007A3862" w:rsidP="00C02410">
      <w:pPr>
        <w:pStyle w:val="ProductNumber"/>
      </w:pPr>
      <w:r>
        <w:t>9B19M116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02A0E40" w:rsidR="00013360" w:rsidRDefault="007A3862" w:rsidP="00013360">
      <w:pPr>
        <w:pStyle w:val="CaseTitle"/>
        <w:spacing w:after="0" w:line="240" w:lineRule="auto"/>
        <w:rPr>
          <w:sz w:val="20"/>
          <w:szCs w:val="20"/>
        </w:rPr>
      </w:pPr>
      <w:r w:rsidRPr="00EC0C1C">
        <w:rPr>
          <w:lang w:val="en-GB"/>
        </w:rPr>
        <w:t>GLENWOOD LABORATORIES CANADA</w:t>
      </w:r>
      <w:r>
        <w:rPr>
          <w:lang w:val="en-GB"/>
        </w:rPr>
        <w:t xml:space="preserve"> Ltd.: Coping with Tariff War</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4C9DC2E" w:rsidR="00086B26" w:rsidRPr="00287D6F" w:rsidRDefault="007A3862" w:rsidP="00086B26">
      <w:pPr>
        <w:pStyle w:val="StyleCopyrightStatementAfter0ptBottomSinglesolidline1"/>
        <w:rPr>
          <w:lang w:val="en-GB"/>
        </w:rPr>
      </w:pPr>
      <w:r w:rsidRPr="00EC0C1C">
        <w:rPr>
          <w:lang w:val="en-GB"/>
        </w:rPr>
        <w:t>R</w:t>
      </w:r>
      <w:r>
        <w:rPr>
          <w:lang w:val="en-GB"/>
        </w:rPr>
        <w:t>.</w:t>
      </w:r>
      <w:r w:rsidRPr="00EC0C1C">
        <w:rPr>
          <w:lang w:val="en-GB"/>
        </w:rPr>
        <w:t xml:space="preserve"> Chandrasekhar</w:t>
      </w:r>
      <w:r w:rsidRPr="00EC0C1C">
        <w:rPr>
          <w:rFonts w:cs="Arial"/>
          <w:szCs w:val="16"/>
          <w:lang w:val="en-GB"/>
        </w:rPr>
        <w:t xml:space="preserve"> </w:t>
      </w:r>
      <w:r w:rsidRPr="00EC0C1C">
        <w:rPr>
          <w:lang w:val="en-GB"/>
        </w:rPr>
        <w:t>wrote this case under the supervision of Professor Nouri Najjar</w:t>
      </w:r>
      <w:r w:rsidR="00086B26" w:rsidRPr="00287D6F">
        <w:rPr>
          <w:lang w:val="en-GB"/>
        </w:rPr>
        <w:t xml:space="preserve">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49C236C"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7A3862">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7A3862">
        <w:rPr>
          <w:rFonts w:cs="Arial"/>
          <w:iCs w:val="0"/>
          <w:color w:val="auto"/>
          <w:szCs w:val="16"/>
        </w:rPr>
        <w:t>19</w:t>
      </w:r>
      <w:r w:rsidRPr="00A323B0">
        <w:rPr>
          <w:rFonts w:cs="Arial"/>
          <w:iCs w:val="0"/>
          <w:color w:val="auto"/>
          <w:szCs w:val="16"/>
        </w:rPr>
        <w:t>-</w:t>
      </w:r>
      <w:r w:rsidR="007A3862">
        <w:rPr>
          <w:rFonts w:cs="Arial"/>
          <w:iCs w:val="0"/>
          <w:color w:val="auto"/>
          <w:szCs w:val="16"/>
        </w:rPr>
        <w:t>09</w:t>
      </w:r>
      <w:r w:rsidRPr="00A323B0">
        <w:rPr>
          <w:rFonts w:cs="Arial"/>
          <w:iCs w:val="0"/>
          <w:color w:val="auto"/>
          <w:szCs w:val="16"/>
        </w:rPr>
        <w:t>-</w:t>
      </w:r>
      <w:r w:rsidR="007A3862">
        <w:rPr>
          <w:rFonts w:cs="Arial"/>
          <w:iCs w:val="0"/>
          <w:color w:val="auto"/>
          <w:szCs w:val="16"/>
        </w:rPr>
        <w:t>1</w:t>
      </w:r>
      <w:r w:rsidR="00F73F2C">
        <w:rPr>
          <w:rFonts w:cs="Arial"/>
          <w:iCs w:val="0"/>
          <w:color w:val="auto"/>
          <w:szCs w:val="16"/>
        </w:rPr>
        <w:t>9</w:t>
      </w:r>
    </w:p>
    <w:p w14:paraId="0A2A54E4" w14:textId="5EA7E06C" w:rsidR="00751E0B" w:rsidRDefault="00751E0B" w:rsidP="00751E0B">
      <w:pPr>
        <w:pStyle w:val="StyleCopyrightStatementAfter0ptBottomSinglesolidline1"/>
        <w:rPr>
          <w:rFonts w:ascii="Times New Roman" w:hAnsi="Times New Roman"/>
          <w:sz w:val="20"/>
        </w:rPr>
      </w:pPr>
    </w:p>
    <w:p w14:paraId="69596CE4" w14:textId="77777777" w:rsidR="007A3862" w:rsidRPr="00F60786" w:rsidRDefault="007A3862" w:rsidP="00751E0B">
      <w:pPr>
        <w:pStyle w:val="StyleCopyrightStatementAfter0ptBottomSinglesolidline1"/>
        <w:rPr>
          <w:rFonts w:ascii="Times New Roman" w:hAnsi="Times New Roman"/>
          <w:sz w:val="20"/>
        </w:rPr>
      </w:pPr>
    </w:p>
    <w:p w14:paraId="42BD8C8F" w14:textId="77777777" w:rsidR="007A3862" w:rsidRPr="00EC0C1C" w:rsidRDefault="007A3862" w:rsidP="007A3862">
      <w:pPr>
        <w:pStyle w:val="BodyTextMain"/>
        <w:rPr>
          <w:bCs/>
          <w:lang w:val="en-GB"/>
        </w:rPr>
      </w:pPr>
      <w:r w:rsidRPr="00EC0C1C">
        <w:rPr>
          <w:bCs/>
          <w:lang w:val="en-GB"/>
        </w:rPr>
        <w:t xml:space="preserve">In August 2018, Henry </w:t>
      </w:r>
      <w:proofErr w:type="spellStart"/>
      <w:r w:rsidRPr="00EC0C1C">
        <w:rPr>
          <w:bCs/>
          <w:lang w:val="en-GB"/>
        </w:rPr>
        <w:t>Benzoni</w:t>
      </w:r>
      <w:proofErr w:type="spellEnd"/>
      <w:r w:rsidRPr="00EC0C1C">
        <w:rPr>
          <w:bCs/>
          <w:lang w:val="en-GB"/>
        </w:rPr>
        <w:t xml:space="preserve">, </w:t>
      </w:r>
      <w:r>
        <w:rPr>
          <w:bCs/>
          <w:lang w:val="en-GB"/>
        </w:rPr>
        <w:t>president and chief executive officer of</w:t>
      </w:r>
      <w:r w:rsidRPr="00EC0C1C">
        <w:rPr>
          <w:bCs/>
          <w:lang w:val="en-GB"/>
        </w:rPr>
        <w:t xml:space="preserve"> Glenwood Laboratories Canada</w:t>
      </w:r>
      <w:r>
        <w:rPr>
          <w:bCs/>
          <w:lang w:val="en-GB"/>
        </w:rPr>
        <w:t xml:space="preserve"> Ltd.</w:t>
      </w:r>
      <w:r w:rsidRPr="00EC0C1C">
        <w:rPr>
          <w:bCs/>
          <w:lang w:val="en-GB"/>
        </w:rPr>
        <w:t xml:space="preserve"> (Glenwood), was debating how to deal with the recent and sudden</w:t>
      </w:r>
      <w:r>
        <w:rPr>
          <w:bCs/>
          <w:lang w:val="en-GB"/>
        </w:rPr>
        <w:t xml:space="preserve"> </w:t>
      </w:r>
      <w:r w:rsidRPr="00EC0C1C">
        <w:rPr>
          <w:bCs/>
          <w:lang w:val="en-GB"/>
        </w:rPr>
        <w:t>change in customs tariffs affecting one of the key products in Glenwood’s portfolio</w:t>
      </w:r>
      <w:r>
        <w:rPr>
          <w:bCs/>
          <w:lang w:val="en-GB"/>
        </w:rPr>
        <w:t>—</w:t>
      </w:r>
      <w:proofErr w:type="spellStart"/>
      <w:r w:rsidRPr="00EC0C1C">
        <w:rPr>
          <w:bCs/>
          <w:lang w:val="en-GB"/>
        </w:rPr>
        <w:t>aluminum</w:t>
      </w:r>
      <w:proofErr w:type="spellEnd"/>
      <w:r w:rsidRPr="00EC0C1C">
        <w:rPr>
          <w:bCs/>
          <w:lang w:val="en-GB"/>
        </w:rPr>
        <w:t xml:space="preserve"> oxygen cylinders. Glenwood, a medical supply company, was importing empty </w:t>
      </w:r>
      <w:proofErr w:type="spellStart"/>
      <w:r w:rsidRPr="00EC0C1C">
        <w:rPr>
          <w:bCs/>
          <w:lang w:val="en-GB"/>
        </w:rPr>
        <w:t>aluminum</w:t>
      </w:r>
      <w:proofErr w:type="spellEnd"/>
      <w:r w:rsidRPr="00EC0C1C">
        <w:rPr>
          <w:bCs/>
          <w:lang w:val="en-GB"/>
        </w:rPr>
        <w:t xml:space="preserve"> cylinders from</w:t>
      </w:r>
      <w:bookmarkStart w:id="0" w:name="_GoBack"/>
      <w:bookmarkEnd w:id="0"/>
      <w:r w:rsidRPr="00EC0C1C">
        <w:rPr>
          <w:bCs/>
          <w:lang w:val="en-GB"/>
        </w:rPr>
        <w:t xml:space="preserve"> its US supplier for sale to customers in Canada. The cylinders were produced in the </w:t>
      </w:r>
      <w:r>
        <w:rPr>
          <w:bCs/>
          <w:lang w:val="en-GB"/>
        </w:rPr>
        <w:t>United States</w:t>
      </w:r>
      <w:r w:rsidRPr="00EC0C1C">
        <w:rPr>
          <w:bCs/>
          <w:lang w:val="en-GB"/>
        </w:rPr>
        <w:t xml:space="preserve"> using </w:t>
      </w:r>
      <w:proofErr w:type="spellStart"/>
      <w:r w:rsidRPr="00EC0C1C">
        <w:rPr>
          <w:bCs/>
          <w:lang w:val="en-GB"/>
        </w:rPr>
        <w:t>aluminum</w:t>
      </w:r>
      <w:proofErr w:type="spellEnd"/>
      <w:r w:rsidRPr="00EC0C1C">
        <w:rPr>
          <w:bCs/>
          <w:lang w:val="en-GB"/>
        </w:rPr>
        <w:t xml:space="preserve"> supplied by a Canadian company and then imported by Glenwood and filled with medical-grade oxygen. The changes in tariffs, enforced by the governments of the </w:t>
      </w:r>
      <w:r>
        <w:rPr>
          <w:bCs/>
          <w:lang w:val="en-GB"/>
        </w:rPr>
        <w:t>United States</w:t>
      </w:r>
      <w:r w:rsidRPr="00EC0C1C">
        <w:rPr>
          <w:bCs/>
          <w:lang w:val="en-GB"/>
        </w:rPr>
        <w:t xml:space="preserve"> and Canada in June and July 2018</w:t>
      </w:r>
      <w:r>
        <w:rPr>
          <w:bCs/>
          <w:lang w:val="en-GB"/>
        </w:rPr>
        <w:t>,</w:t>
      </w:r>
      <w:r w:rsidRPr="00EC0C1C">
        <w:rPr>
          <w:bCs/>
          <w:lang w:val="en-GB"/>
        </w:rPr>
        <w:t xml:space="preserve"> respectively, had hit Glenwood’s product at both ends.</w:t>
      </w:r>
      <w:r>
        <w:rPr>
          <w:bCs/>
          <w:lang w:val="en-GB"/>
        </w:rPr>
        <w:t xml:space="preserve"> </w:t>
      </w:r>
      <w:r w:rsidRPr="00EC0C1C">
        <w:rPr>
          <w:bCs/>
          <w:lang w:val="en-GB"/>
        </w:rPr>
        <w:t xml:space="preserve">The US government had imposed a 10 </w:t>
      </w:r>
      <w:r>
        <w:rPr>
          <w:bCs/>
          <w:lang w:val="en-GB"/>
        </w:rPr>
        <w:t>per cent</w:t>
      </w:r>
      <w:r w:rsidRPr="00EC0C1C">
        <w:rPr>
          <w:bCs/>
          <w:lang w:val="en-GB"/>
        </w:rPr>
        <w:t xml:space="preserve"> duty on the import of raw </w:t>
      </w:r>
      <w:proofErr w:type="spellStart"/>
      <w:r w:rsidRPr="00EC0C1C">
        <w:rPr>
          <w:bCs/>
          <w:lang w:val="en-GB"/>
        </w:rPr>
        <w:t>aluminum</w:t>
      </w:r>
      <w:proofErr w:type="spellEnd"/>
      <w:r w:rsidRPr="00EC0C1C">
        <w:rPr>
          <w:bCs/>
          <w:lang w:val="en-GB"/>
        </w:rPr>
        <w:t xml:space="preserve"> from Canada to the </w:t>
      </w:r>
      <w:r>
        <w:rPr>
          <w:bCs/>
          <w:lang w:val="en-GB"/>
        </w:rPr>
        <w:t>United States</w:t>
      </w:r>
      <w:r w:rsidRPr="00EC0C1C">
        <w:rPr>
          <w:bCs/>
          <w:lang w:val="en-GB"/>
        </w:rPr>
        <w:t xml:space="preserve">. In retaliation, the Canadian government imposed a 10 </w:t>
      </w:r>
      <w:r>
        <w:rPr>
          <w:bCs/>
          <w:lang w:val="en-GB"/>
        </w:rPr>
        <w:t xml:space="preserve">per cent </w:t>
      </w:r>
      <w:r w:rsidRPr="00EC0C1C">
        <w:rPr>
          <w:bCs/>
          <w:lang w:val="en-GB"/>
        </w:rPr>
        <w:t xml:space="preserve">duty on the import of </w:t>
      </w:r>
      <w:proofErr w:type="spellStart"/>
      <w:r w:rsidRPr="00EC0C1C">
        <w:rPr>
          <w:bCs/>
          <w:lang w:val="en-GB"/>
        </w:rPr>
        <w:t>aluminum</w:t>
      </w:r>
      <w:proofErr w:type="spellEnd"/>
      <w:r w:rsidRPr="00EC0C1C">
        <w:rPr>
          <w:bCs/>
          <w:lang w:val="en-GB"/>
        </w:rPr>
        <w:t xml:space="preserve"> cylinders.</w:t>
      </w:r>
    </w:p>
    <w:p w14:paraId="7CC617CC" w14:textId="77777777" w:rsidR="007A3862" w:rsidRPr="00EC0C1C" w:rsidRDefault="007A3862" w:rsidP="007A3862">
      <w:pPr>
        <w:pStyle w:val="BodyTextMain"/>
        <w:rPr>
          <w:bCs/>
          <w:lang w:val="en-GB"/>
        </w:rPr>
      </w:pPr>
    </w:p>
    <w:p w14:paraId="568BE2BF" w14:textId="32769254" w:rsidR="007A3862" w:rsidRPr="00EC0C1C" w:rsidRDefault="007A3862" w:rsidP="007A3862">
      <w:pPr>
        <w:pStyle w:val="BodyTextMain"/>
        <w:rPr>
          <w:bCs/>
          <w:lang w:val="en-GB"/>
        </w:rPr>
      </w:pPr>
      <w:r w:rsidRPr="00EC0C1C">
        <w:rPr>
          <w:bCs/>
          <w:lang w:val="en-GB"/>
        </w:rPr>
        <w:t xml:space="preserve">Prior to this </w:t>
      </w:r>
      <w:r>
        <w:rPr>
          <w:bCs/>
          <w:lang w:val="en-GB"/>
        </w:rPr>
        <w:t>trade war,</w:t>
      </w:r>
      <w:r w:rsidRPr="00EC0C1C">
        <w:rPr>
          <w:bCs/>
          <w:lang w:val="en-GB"/>
        </w:rPr>
        <w:t xml:space="preserve"> the landed cost of </w:t>
      </w:r>
      <w:proofErr w:type="spellStart"/>
      <w:r w:rsidRPr="00EC0C1C">
        <w:rPr>
          <w:bCs/>
          <w:lang w:val="en-GB"/>
        </w:rPr>
        <w:t>aluminum</w:t>
      </w:r>
      <w:proofErr w:type="spellEnd"/>
      <w:r w:rsidRPr="00EC0C1C">
        <w:rPr>
          <w:bCs/>
          <w:lang w:val="en-GB"/>
        </w:rPr>
        <w:t xml:space="preserve"> cylinders for Glenwood was </w:t>
      </w:r>
      <w:r>
        <w:rPr>
          <w:bCs/>
          <w:lang w:val="en-GB"/>
        </w:rPr>
        <w:t>CA</w:t>
      </w:r>
      <w:r w:rsidRPr="00EC0C1C">
        <w:rPr>
          <w:bCs/>
          <w:lang w:val="en-GB"/>
        </w:rPr>
        <w:t>$35.85</w:t>
      </w:r>
      <w:r>
        <w:rPr>
          <w:rStyle w:val="FootnoteReference"/>
          <w:bCs/>
          <w:lang w:val="en-GB"/>
        </w:rPr>
        <w:footnoteReference w:id="1"/>
      </w:r>
      <w:r w:rsidRPr="00EC0C1C">
        <w:rPr>
          <w:bCs/>
          <w:lang w:val="en-GB"/>
        </w:rPr>
        <w:t xml:space="preserve"> per cylinder. As a result of the trade war, the landed cost for Glenwood had risen to $4</w:t>
      </w:r>
      <w:r>
        <w:rPr>
          <w:bCs/>
          <w:lang w:val="en-GB"/>
        </w:rPr>
        <w:t>5.91</w:t>
      </w:r>
      <w:r w:rsidR="00ED6792">
        <w:rPr>
          <w:bCs/>
          <w:lang w:val="en-GB"/>
        </w:rPr>
        <w:t xml:space="preserve"> </w:t>
      </w:r>
      <w:r w:rsidRPr="00EC0C1C">
        <w:rPr>
          <w:bCs/>
          <w:lang w:val="en-GB"/>
        </w:rPr>
        <w:t xml:space="preserve">(see Exhibit 1). </w:t>
      </w:r>
    </w:p>
    <w:p w14:paraId="4F869A1E" w14:textId="77777777" w:rsidR="007A3862" w:rsidRPr="00EC0C1C" w:rsidRDefault="007A3862" w:rsidP="007A3862">
      <w:pPr>
        <w:pStyle w:val="BodyTextMain"/>
        <w:rPr>
          <w:bCs/>
          <w:lang w:val="en-GB"/>
        </w:rPr>
      </w:pPr>
    </w:p>
    <w:p w14:paraId="79D35DD7" w14:textId="3478CF99" w:rsidR="007A3862" w:rsidRPr="00EC0C1C" w:rsidRDefault="007A3862" w:rsidP="007A3862">
      <w:pPr>
        <w:pStyle w:val="BodyTextMain"/>
        <w:rPr>
          <w:bCs/>
          <w:lang w:val="en-GB"/>
        </w:rPr>
      </w:pPr>
      <w:r w:rsidRPr="00EC0C1C">
        <w:rPr>
          <w:bCs/>
          <w:lang w:val="en-GB"/>
        </w:rPr>
        <w:t xml:space="preserve">Changes in exchange rates had also played a part in Glenwood’s troubles. While Glenwood was buying </w:t>
      </w:r>
      <w:proofErr w:type="spellStart"/>
      <w:r w:rsidRPr="00EC0C1C">
        <w:rPr>
          <w:bCs/>
          <w:lang w:val="en-GB"/>
        </w:rPr>
        <w:t>aluminum</w:t>
      </w:r>
      <w:proofErr w:type="spellEnd"/>
      <w:r w:rsidRPr="00EC0C1C">
        <w:rPr>
          <w:bCs/>
          <w:lang w:val="en-GB"/>
        </w:rPr>
        <w:t xml:space="preserve"> cylinders in US dollars, it was collecting receivables from its wholesale customers in Canada in Canadian dollars. A weakening Canadian dollar, falling from </w:t>
      </w:r>
      <w:r>
        <w:rPr>
          <w:bCs/>
          <w:lang w:val="en-GB"/>
        </w:rPr>
        <w:t>US</w:t>
      </w:r>
      <w:r w:rsidRPr="00EC0C1C">
        <w:rPr>
          <w:bCs/>
          <w:lang w:val="en-GB"/>
        </w:rPr>
        <w:t>$1.26 in April 2018 to</w:t>
      </w:r>
      <w:r w:rsidR="00024B62">
        <w:rPr>
          <w:bCs/>
          <w:lang w:val="en-GB"/>
        </w:rPr>
        <w:t xml:space="preserve"> </w:t>
      </w:r>
      <w:r>
        <w:rPr>
          <w:bCs/>
          <w:lang w:val="en-GB"/>
        </w:rPr>
        <w:t>US</w:t>
      </w:r>
      <w:r w:rsidRPr="00EC0C1C">
        <w:rPr>
          <w:bCs/>
          <w:lang w:val="en-GB"/>
        </w:rPr>
        <w:t xml:space="preserve">$1.31 in September 2018, had lowered Glenwood’s revenues per unit (see Exhibit 2). </w:t>
      </w:r>
    </w:p>
    <w:p w14:paraId="3CC4055B" w14:textId="77777777" w:rsidR="007A3862" w:rsidRPr="00EC0C1C" w:rsidRDefault="007A3862" w:rsidP="007A3862">
      <w:pPr>
        <w:pStyle w:val="BodyTextMain"/>
        <w:rPr>
          <w:b/>
          <w:lang w:val="en-GB"/>
        </w:rPr>
      </w:pPr>
    </w:p>
    <w:p w14:paraId="470E3E76" w14:textId="77777777" w:rsidR="007A3862" w:rsidRPr="00EC0C1C" w:rsidRDefault="007A3862" w:rsidP="007A3862">
      <w:pPr>
        <w:pStyle w:val="BodyTextMain"/>
        <w:rPr>
          <w:lang w:val="en-GB"/>
        </w:rPr>
      </w:pPr>
      <w:proofErr w:type="spellStart"/>
      <w:r w:rsidRPr="00EC0C1C">
        <w:rPr>
          <w:lang w:val="en-GB"/>
        </w:rPr>
        <w:t>Benzoni</w:t>
      </w:r>
      <w:proofErr w:type="spellEnd"/>
      <w:r w:rsidRPr="00EC0C1C">
        <w:rPr>
          <w:lang w:val="en-GB"/>
        </w:rPr>
        <w:t xml:space="preserve"> had communicated to Glenwood’s customers the company’s intention to raise end prices in light of these cost increases. The price hike would, however, be a tactical decision. He had to find strategic ways of dealing with the recent cost increases and </w:t>
      </w:r>
      <w:r>
        <w:rPr>
          <w:lang w:val="en-GB"/>
        </w:rPr>
        <w:t>mitigate</w:t>
      </w:r>
      <w:r w:rsidRPr="00EC0C1C">
        <w:rPr>
          <w:lang w:val="en-GB"/>
        </w:rPr>
        <w:t xml:space="preserve"> the risk of future tariff changes. He was primarily focused on three options </w:t>
      </w:r>
      <w:r>
        <w:rPr>
          <w:lang w:val="en-GB"/>
        </w:rPr>
        <w:t>that</w:t>
      </w:r>
      <w:r w:rsidRPr="00EC0C1C">
        <w:rPr>
          <w:lang w:val="en-GB"/>
        </w:rPr>
        <w:t>, if executed well, could improve the company’s long-term competitiveness.</w:t>
      </w:r>
      <w:r>
        <w:rPr>
          <w:lang w:val="en-GB"/>
        </w:rPr>
        <w:t xml:space="preserve"> </w:t>
      </w:r>
    </w:p>
    <w:p w14:paraId="087F1CDF" w14:textId="77777777" w:rsidR="007A3862" w:rsidRPr="00EC0C1C" w:rsidRDefault="007A3862" w:rsidP="007A3862">
      <w:pPr>
        <w:pStyle w:val="BodyTextMain"/>
        <w:rPr>
          <w:lang w:val="en-GB"/>
        </w:rPr>
      </w:pPr>
    </w:p>
    <w:p w14:paraId="0F834EFD" w14:textId="77777777" w:rsidR="007A3862" w:rsidRPr="00EC0C1C" w:rsidRDefault="007A3862" w:rsidP="007A3862">
      <w:pPr>
        <w:pStyle w:val="BodyTextMain"/>
        <w:rPr>
          <w:lang w:val="en-GB"/>
        </w:rPr>
      </w:pPr>
      <w:r w:rsidRPr="00EC0C1C">
        <w:rPr>
          <w:lang w:val="en-GB"/>
        </w:rPr>
        <w:t xml:space="preserve">First, Glenwood could look for new suppliers in countries other than the </w:t>
      </w:r>
      <w:r>
        <w:rPr>
          <w:lang w:val="en-GB"/>
        </w:rPr>
        <w:t>United States;</w:t>
      </w:r>
      <w:r w:rsidRPr="00EC0C1C">
        <w:rPr>
          <w:lang w:val="en-GB"/>
        </w:rPr>
        <w:t xml:space="preserve"> </w:t>
      </w:r>
      <w:r>
        <w:rPr>
          <w:lang w:val="en-GB"/>
        </w:rPr>
        <w:t>second</w:t>
      </w:r>
      <w:r w:rsidRPr="00EC0C1C">
        <w:rPr>
          <w:lang w:val="en-GB"/>
        </w:rPr>
        <w:t>, it could sell to end-users directly rather than to wholesalers in Canada</w:t>
      </w:r>
      <w:r>
        <w:rPr>
          <w:lang w:val="en-GB"/>
        </w:rPr>
        <w:t>; and</w:t>
      </w:r>
      <w:r w:rsidRPr="00EC0C1C">
        <w:rPr>
          <w:lang w:val="en-GB"/>
        </w:rPr>
        <w:t xml:space="preserve"> </w:t>
      </w:r>
      <w:r>
        <w:rPr>
          <w:lang w:val="en-GB"/>
        </w:rPr>
        <w:t>third</w:t>
      </w:r>
      <w:r w:rsidRPr="00EC0C1C">
        <w:rPr>
          <w:lang w:val="en-GB"/>
        </w:rPr>
        <w:t>, it could look for customers for its oxygen cylinders beyond medical offices.</w:t>
      </w:r>
    </w:p>
    <w:p w14:paraId="3B79E753" w14:textId="77777777" w:rsidR="007A3862" w:rsidRPr="00EC0C1C" w:rsidRDefault="007A3862" w:rsidP="007A3862">
      <w:pPr>
        <w:pStyle w:val="BodyTextMain"/>
        <w:rPr>
          <w:lang w:val="en-GB"/>
        </w:rPr>
      </w:pPr>
    </w:p>
    <w:p w14:paraId="4EAC2375" w14:textId="77777777" w:rsidR="007A3862" w:rsidRPr="00EC0C1C" w:rsidRDefault="007A3862" w:rsidP="007A3862">
      <w:pPr>
        <w:pStyle w:val="BodyTextMain"/>
        <w:rPr>
          <w:lang w:val="en-GB"/>
        </w:rPr>
      </w:pPr>
      <w:proofErr w:type="spellStart"/>
      <w:r w:rsidRPr="00EC0C1C">
        <w:rPr>
          <w:lang w:val="en-GB"/>
        </w:rPr>
        <w:lastRenderedPageBreak/>
        <w:t>Benzoni</w:t>
      </w:r>
      <w:proofErr w:type="spellEnd"/>
      <w:r w:rsidRPr="00EC0C1C">
        <w:rPr>
          <w:lang w:val="en-GB"/>
        </w:rPr>
        <w:t xml:space="preserve"> had two other alternatives in dealing with the situation</w:t>
      </w:r>
      <w:r>
        <w:rPr>
          <w:lang w:val="en-GB"/>
        </w:rPr>
        <w:t>:</w:t>
      </w:r>
      <w:r w:rsidRPr="00EC0C1C">
        <w:rPr>
          <w:lang w:val="en-GB"/>
        </w:rPr>
        <w:t xml:space="preserve"> Glenwood could simply wait, hoping that the tariff changes would be reversed. </w:t>
      </w:r>
      <w:r>
        <w:rPr>
          <w:lang w:val="en-GB"/>
        </w:rPr>
        <w:t xml:space="preserve">The </w:t>
      </w:r>
      <w:bookmarkStart w:id="1" w:name="_Hlk10886241"/>
      <w:r w:rsidRPr="001F6572">
        <w:rPr>
          <w:lang w:val="en-GB"/>
        </w:rPr>
        <w:t xml:space="preserve">North American Free Trade Agreement </w:t>
      </w:r>
      <w:r>
        <w:rPr>
          <w:lang w:val="en-GB"/>
        </w:rPr>
        <w:t>(</w:t>
      </w:r>
      <w:r w:rsidRPr="00EC0C1C">
        <w:rPr>
          <w:lang w:val="en-GB"/>
        </w:rPr>
        <w:t>NAFTA</w:t>
      </w:r>
      <w:r>
        <w:rPr>
          <w:lang w:val="en-GB"/>
        </w:rPr>
        <w:t>)</w:t>
      </w:r>
      <w:bookmarkEnd w:id="1"/>
      <w:r w:rsidRPr="00EC0C1C">
        <w:rPr>
          <w:lang w:val="en-GB"/>
        </w:rPr>
        <w:t xml:space="preserve">, for example, was being renegotiated among the three trading partners of </w:t>
      </w:r>
      <w:r>
        <w:rPr>
          <w:lang w:val="en-GB"/>
        </w:rPr>
        <w:t>the United States</w:t>
      </w:r>
      <w:r w:rsidRPr="00EC0C1C">
        <w:rPr>
          <w:lang w:val="en-GB"/>
        </w:rPr>
        <w:t>, Canada</w:t>
      </w:r>
      <w:r>
        <w:rPr>
          <w:lang w:val="en-GB"/>
        </w:rPr>
        <w:t>,</w:t>
      </w:r>
      <w:r w:rsidRPr="00EC0C1C">
        <w:rPr>
          <w:lang w:val="en-GB"/>
        </w:rPr>
        <w:t xml:space="preserve"> and Mexico.</w:t>
      </w:r>
      <w:r>
        <w:rPr>
          <w:lang w:val="en-GB"/>
        </w:rPr>
        <w:t xml:space="preserve"> </w:t>
      </w:r>
      <w:r w:rsidRPr="00EC0C1C">
        <w:rPr>
          <w:lang w:val="en-GB"/>
        </w:rPr>
        <w:t xml:space="preserve">The World Trade Organization (WTO) could also intervene and ask the </w:t>
      </w:r>
      <w:r>
        <w:rPr>
          <w:lang w:val="en-GB"/>
        </w:rPr>
        <w:t>United States</w:t>
      </w:r>
      <w:r w:rsidRPr="00EC0C1C">
        <w:rPr>
          <w:lang w:val="en-GB"/>
        </w:rPr>
        <w:t xml:space="preserve">, in the spirit of free trade, to reverse the tariff changes. </w:t>
      </w:r>
      <w:proofErr w:type="spellStart"/>
      <w:r>
        <w:rPr>
          <w:lang w:val="en-GB"/>
        </w:rPr>
        <w:t>Benzoni</w:t>
      </w:r>
      <w:proofErr w:type="spellEnd"/>
      <w:r w:rsidRPr="00EC0C1C">
        <w:rPr>
          <w:lang w:val="en-GB"/>
        </w:rPr>
        <w:t xml:space="preserve"> was also examining the possibility of seeking monetary respite as part of a relief package announced by the Canadian government for Canadian importers affected by changes in trade policy.</w:t>
      </w:r>
    </w:p>
    <w:p w14:paraId="3CD92435" w14:textId="77777777" w:rsidR="007A3862" w:rsidRDefault="007A3862" w:rsidP="007A3862">
      <w:pPr>
        <w:pStyle w:val="BodyTextMain"/>
        <w:rPr>
          <w:lang w:val="en-GB"/>
        </w:rPr>
      </w:pPr>
    </w:p>
    <w:p w14:paraId="714EE3E3" w14:textId="77777777" w:rsidR="007A3862" w:rsidRPr="00EC0C1C" w:rsidRDefault="007A3862" w:rsidP="007A3862">
      <w:pPr>
        <w:pStyle w:val="BodyTextMain"/>
        <w:rPr>
          <w:lang w:val="en-GB"/>
        </w:rPr>
      </w:pPr>
    </w:p>
    <w:p w14:paraId="7A89651C" w14:textId="77777777" w:rsidR="007A3862" w:rsidRPr="00EC0C1C" w:rsidRDefault="007A3862" w:rsidP="007A3862">
      <w:pPr>
        <w:pStyle w:val="Casehead1"/>
        <w:rPr>
          <w:lang w:val="en-GB"/>
        </w:rPr>
      </w:pPr>
      <w:r w:rsidRPr="00EC0C1C">
        <w:rPr>
          <w:lang w:val="en-GB"/>
        </w:rPr>
        <w:t xml:space="preserve">MEDICAL SUPPLIES WHOLESALING IN CANADA </w:t>
      </w:r>
    </w:p>
    <w:p w14:paraId="03F8E7E0" w14:textId="77777777" w:rsidR="007A3862" w:rsidRPr="00EC0C1C" w:rsidRDefault="007A3862" w:rsidP="007A3862">
      <w:pPr>
        <w:pStyle w:val="BodyTextMain"/>
        <w:rPr>
          <w:lang w:val="en-GB"/>
        </w:rPr>
      </w:pPr>
    </w:p>
    <w:p w14:paraId="7EE423DC" w14:textId="77777777" w:rsidR="007A3862" w:rsidRPr="00EC0C1C" w:rsidRDefault="007A3862" w:rsidP="007A3862">
      <w:pPr>
        <w:pStyle w:val="BodyTextMain"/>
        <w:rPr>
          <w:lang w:val="en-GB"/>
        </w:rPr>
      </w:pPr>
      <w:r w:rsidRPr="00EC0C1C">
        <w:rPr>
          <w:lang w:val="en-GB"/>
        </w:rPr>
        <w:t xml:space="preserve">The medical supplies wholesaling industry served as a link between </w:t>
      </w:r>
      <w:r>
        <w:rPr>
          <w:lang w:val="en-GB"/>
        </w:rPr>
        <w:t>health care</w:t>
      </w:r>
      <w:r w:rsidRPr="00EC0C1C">
        <w:rPr>
          <w:lang w:val="en-GB"/>
        </w:rPr>
        <w:t xml:space="preserve"> providers and manufacturers of medical consumables, patient aids</w:t>
      </w:r>
      <w:r>
        <w:rPr>
          <w:lang w:val="en-GB"/>
        </w:rPr>
        <w:t>,</w:t>
      </w:r>
      <w:r w:rsidRPr="00EC0C1C">
        <w:rPr>
          <w:lang w:val="en-GB"/>
        </w:rPr>
        <w:t xml:space="preserve"> and medical devices. The industry had 1,497 enterprises in 2017, providing employment to 32,486 people and generating sales of $20.46 billion. It was forecast to grow at 6.2 per cent per annum to reach a revenue of $23.9 billion in 2022.</w:t>
      </w:r>
      <w:r>
        <w:rPr>
          <w:lang w:val="en-GB"/>
        </w:rPr>
        <w:t xml:space="preserve"> However,</w:t>
      </w:r>
      <w:r w:rsidRPr="00EC0C1C">
        <w:rPr>
          <w:lang w:val="en-GB"/>
        </w:rPr>
        <w:t xml:space="preserve"> </w:t>
      </w:r>
      <w:r>
        <w:rPr>
          <w:lang w:val="en-GB"/>
        </w:rPr>
        <w:t>the</w:t>
      </w:r>
      <w:r w:rsidRPr="00EC0C1C">
        <w:rPr>
          <w:lang w:val="en-GB"/>
        </w:rPr>
        <w:t xml:space="preserve"> number of enterprises was forecast to fall over this period</w:t>
      </w:r>
      <w:r>
        <w:rPr>
          <w:lang w:val="en-GB"/>
        </w:rPr>
        <w:t xml:space="preserve"> </w:t>
      </w:r>
      <w:r w:rsidRPr="00EC0C1C">
        <w:rPr>
          <w:lang w:val="en-GB"/>
        </w:rPr>
        <w:t>to about 1,250.</w:t>
      </w:r>
      <w:r w:rsidRPr="00EC0C1C">
        <w:rPr>
          <w:vertAlign w:val="superscript"/>
          <w:lang w:val="en-GB"/>
        </w:rPr>
        <w:footnoteReference w:id="2"/>
      </w:r>
      <w:r w:rsidRPr="00EC0C1C">
        <w:rPr>
          <w:lang w:val="en-GB"/>
        </w:rPr>
        <w:t xml:space="preserve"> </w:t>
      </w:r>
    </w:p>
    <w:p w14:paraId="1140A490" w14:textId="77777777" w:rsidR="007A3862" w:rsidRPr="00EC0C1C" w:rsidRDefault="007A3862" w:rsidP="007A3862">
      <w:pPr>
        <w:pStyle w:val="BodyTextMain"/>
        <w:rPr>
          <w:lang w:val="en-GB"/>
        </w:rPr>
      </w:pPr>
    </w:p>
    <w:p w14:paraId="77F5E2AE" w14:textId="77777777" w:rsidR="007A3862" w:rsidRPr="00EC0C1C" w:rsidRDefault="007A3862" w:rsidP="007A3862">
      <w:pPr>
        <w:pStyle w:val="BodyTextMain"/>
        <w:rPr>
          <w:bCs/>
          <w:lang w:val="en-GB"/>
        </w:rPr>
      </w:pPr>
      <w:r w:rsidRPr="00EC0C1C">
        <w:rPr>
          <w:lang w:val="en-GB"/>
        </w:rPr>
        <w:t xml:space="preserve">Hospitals were the major customer segment of the industry, comprising 43.1 per cent of demand. The next largest segment was medical professionals, which generated 39.7 per cent of demand. This category included physicians (23 per cent), dentists (10.3 per cent), vision care providers (3.1 per cent), and other professionals (3.3 per cent). The balance (17.2 per cent), </w:t>
      </w:r>
      <w:r>
        <w:rPr>
          <w:lang w:val="en-GB"/>
        </w:rPr>
        <w:t xml:space="preserve">which </w:t>
      </w:r>
      <w:r w:rsidRPr="00EC0C1C">
        <w:rPr>
          <w:lang w:val="en-GB"/>
        </w:rPr>
        <w:t>came from veterinary facilities, nursing homes, residential care facilities, laboratories, diagnostic centres, and retail outlets like pharmacies</w:t>
      </w:r>
      <w:r>
        <w:rPr>
          <w:lang w:val="en-GB"/>
        </w:rPr>
        <w:t xml:space="preserve">, provided </w:t>
      </w:r>
      <w:r w:rsidRPr="00EC0C1C">
        <w:rPr>
          <w:lang w:val="en-GB"/>
        </w:rPr>
        <w:t>a stable source of demand for the industry</w:t>
      </w:r>
      <w:r>
        <w:rPr>
          <w:lang w:val="en-GB"/>
        </w:rPr>
        <w:t>.</w:t>
      </w:r>
    </w:p>
    <w:p w14:paraId="2F061A28" w14:textId="77777777" w:rsidR="007A3862" w:rsidRPr="00EC0C1C" w:rsidRDefault="007A3862" w:rsidP="007A3862">
      <w:pPr>
        <w:pStyle w:val="BodyTextMain"/>
        <w:rPr>
          <w:lang w:val="en-GB"/>
        </w:rPr>
      </w:pPr>
    </w:p>
    <w:p w14:paraId="18264E92" w14:textId="77777777" w:rsidR="007A3862" w:rsidRPr="00EC0C1C" w:rsidRDefault="007A3862" w:rsidP="007A3862">
      <w:pPr>
        <w:pStyle w:val="BodyTextMain"/>
        <w:rPr>
          <w:lang w:val="en-GB"/>
        </w:rPr>
      </w:pPr>
      <w:r w:rsidRPr="00EC0C1C">
        <w:rPr>
          <w:lang w:val="en-GB"/>
        </w:rPr>
        <w:t>The wholesaling industry was facing three major challenges</w:t>
      </w:r>
      <w:r>
        <w:rPr>
          <w:lang w:val="en-GB"/>
        </w:rPr>
        <w:t>:</w:t>
      </w:r>
      <w:r w:rsidRPr="00EC0C1C">
        <w:rPr>
          <w:lang w:val="en-GB"/>
        </w:rPr>
        <w:t xml:space="preserve"> The Canadian government was trying to reduce its outlay on </w:t>
      </w:r>
      <w:r>
        <w:rPr>
          <w:lang w:val="en-GB"/>
        </w:rPr>
        <w:t>health care,</w:t>
      </w:r>
      <w:r w:rsidRPr="00EC0C1C">
        <w:rPr>
          <w:lang w:val="en-GB"/>
        </w:rPr>
        <w:t xml:space="preserve"> and</w:t>
      </w:r>
      <w:r>
        <w:rPr>
          <w:lang w:val="en-GB"/>
        </w:rPr>
        <w:t xml:space="preserve"> a</w:t>
      </w:r>
      <w:r w:rsidRPr="00EC0C1C">
        <w:rPr>
          <w:lang w:val="en-GB"/>
        </w:rPr>
        <w:t xml:space="preserve"> price squeeze on the purchase of inventory was a regular weapon in its arsenal. Manufacturers were sometimes distributing products on their own, as part of disintermediation, cutting into industry revenue. There was pricing pressure from </w:t>
      </w:r>
      <w:r>
        <w:rPr>
          <w:lang w:val="en-GB"/>
        </w:rPr>
        <w:t>group purchasing organizations</w:t>
      </w:r>
      <w:r w:rsidRPr="00EC0C1C">
        <w:rPr>
          <w:lang w:val="en-GB"/>
        </w:rPr>
        <w:t xml:space="preserve"> (GPOs), which bought medical supplies in bulk on behalf of </w:t>
      </w:r>
      <w:r>
        <w:rPr>
          <w:lang w:val="en-GB"/>
        </w:rPr>
        <w:t>health care</w:t>
      </w:r>
      <w:r w:rsidRPr="00EC0C1C">
        <w:rPr>
          <w:lang w:val="en-GB"/>
        </w:rPr>
        <w:t xml:space="preserve"> providers and leveraged their scale to demand low prices from wholesalers. </w:t>
      </w:r>
    </w:p>
    <w:p w14:paraId="10A0E8F2" w14:textId="77777777" w:rsidR="007A3862" w:rsidRPr="00EC0C1C" w:rsidRDefault="007A3862" w:rsidP="007A3862">
      <w:pPr>
        <w:pStyle w:val="BodyTextMain"/>
        <w:rPr>
          <w:lang w:val="en-GB"/>
        </w:rPr>
      </w:pPr>
    </w:p>
    <w:p w14:paraId="08153E58" w14:textId="77777777" w:rsidR="007A3862" w:rsidRPr="00EC0C1C" w:rsidRDefault="007A3862" w:rsidP="007A3862">
      <w:pPr>
        <w:pStyle w:val="BodyTextMain"/>
        <w:rPr>
          <w:lang w:val="en-GB"/>
        </w:rPr>
      </w:pPr>
      <w:r w:rsidRPr="00EC0C1C">
        <w:rPr>
          <w:bCs/>
          <w:lang w:val="en-GB"/>
        </w:rPr>
        <w:t>Individual wholesalers were responding in three ways</w:t>
      </w:r>
      <w:r>
        <w:rPr>
          <w:bCs/>
          <w:lang w:val="en-GB"/>
        </w:rPr>
        <w:t>:</w:t>
      </w:r>
      <w:r w:rsidRPr="00EC0C1C">
        <w:rPr>
          <w:bCs/>
          <w:lang w:val="en-GB"/>
        </w:rPr>
        <w:t xml:space="preserve"> They were offering value-added services, such as device maintenance, to improve their clients’ profitability and sustain demand. They were </w:t>
      </w:r>
      <w:r w:rsidRPr="00EC0C1C">
        <w:rPr>
          <w:lang w:val="en-GB"/>
        </w:rPr>
        <w:t>improving their operational efficiencies by investing in productivity tools like demand forecasting and technologies like product tracking</w:t>
      </w:r>
      <w:r>
        <w:rPr>
          <w:lang w:val="en-GB"/>
        </w:rPr>
        <w:t>,</w:t>
      </w:r>
      <w:r w:rsidRPr="00EC0C1C">
        <w:rPr>
          <w:lang w:val="en-GB"/>
        </w:rPr>
        <w:t xml:space="preserve"> wherein warehoused inventory was tagged electronically to ensure timely replenishments. They were also consolidating in a bid to achieve economies of scale. </w:t>
      </w:r>
    </w:p>
    <w:p w14:paraId="320572D0" w14:textId="77777777" w:rsidR="007A3862" w:rsidRPr="00EC0C1C" w:rsidRDefault="007A3862" w:rsidP="007A3862">
      <w:pPr>
        <w:pStyle w:val="BodyTextMain"/>
        <w:rPr>
          <w:lang w:val="en-GB"/>
        </w:rPr>
      </w:pPr>
    </w:p>
    <w:p w14:paraId="16125BEC" w14:textId="77777777" w:rsidR="007A3862" w:rsidRPr="00EC0C1C" w:rsidRDefault="007A3862" w:rsidP="007A3862">
      <w:pPr>
        <w:pStyle w:val="BodyTextMain"/>
        <w:rPr>
          <w:lang w:val="en-GB"/>
        </w:rPr>
      </w:pPr>
      <w:r w:rsidRPr="00EC0C1C">
        <w:rPr>
          <w:lang w:val="en-GB"/>
        </w:rPr>
        <w:t xml:space="preserve">The industry was highly fragmented. The three largest operators held less than </w:t>
      </w:r>
      <w:r>
        <w:rPr>
          <w:lang w:val="en-GB"/>
        </w:rPr>
        <w:t>10</w:t>
      </w:r>
      <w:r w:rsidRPr="00EC0C1C">
        <w:rPr>
          <w:lang w:val="en-GB"/>
        </w:rPr>
        <w:t xml:space="preserve"> per cent of market share</w:t>
      </w:r>
      <w:r>
        <w:rPr>
          <w:lang w:val="en-GB"/>
        </w:rPr>
        <w:t>—</w:t>
      </w:r>
      <w:r w:rsidRPr="00EC0C1C">
        <w:rPr>
          <w:lang w:val="en-GB"/>
        </w:rPr>
        <w:t>Cardinal Health Canada held 8.7 per cent</w:t>
      </w:r>
      <w:r>
        <w:rPr>
          <w:lang w:val="en-GB"/>
        </w:rPr>
        <w:t>,</w:t>
      </w:r>
      <w:r w:rsidRPr="00EC0C1C">
        <w:rPr>
          <w:lang w:val="en-GB"/>
        </w:rPr>
        <w:t xml:space="preserve"> Henry Schein Inc. </w:t>
      </w:r>
      <w:r>
        <w:rPr>
          <w:lang w:val="en-GB"/>
        </w:rPr>
        <w:t xml:space="preserve">held </w:t>
      </w:r>
      <w:r w:rsidRPr="00EC0C1C">
        <w:rPr>
          <w:lang w:val="en-GB"/>
        </w:rPr>
        <w:t>1.6 per cent</w:t>
      </w:r>
      <w:r>
        <w:rPr>
          <w:lang w:val="en-GB"/>
        </w:rPr>
        <w:t>,</w:t>
      </w:r>
      <w:r w:rsidRPr="00EC0C1C">
        <w:rPr>
          <w:lang w:val="en-GB"/>
        </w:rPr>
        <w:t xml:space="preserve"> </w:t>
      </w:r>
      <w:r>
        <w:rPr>
          <w:lang w:val="en-GB"/>
        </w:rPr>
        <w:t>and the</w:t>
      </w:r>
      <w:r w:rsidRPr="00EC0C1C">
        <w:rPr>
          <w:lang w:val="en-GB"/>
        </w:rPr>
        <w:t xml:space="preserve"> Stevens Company </w:t>
      </w:r>
      <w:r>
        <w:rPr>
          <w:lang w:val="en-GB"/>
        </w:rPr>
        <w:t>Limited held</w:t>
      </w:r>
      <w:r w:rsidRPr="00EC0C1C">
        <w:rPr>
          <w:lang w:val="en-GB"/>
        </w:rPr>
        <w:t xml:space="preserve"> 0.6 per cent. </w:t>
      </w:r>
    </w:p>
    <w:p w14:paraId="595D35B7" w14:textId="77777777" w:rsidR="007A3862" w:rsidRPr="00EC0C1C" w:rsidRDefault="007A3862" w:rsidP="007A3862">
      <w:pPr>
        <w:pStyle w:val="BodyTextMain"/>
        <w:rPr>
          <w:lang w:val="en-GB"/>
        </w:rPr>
      </w:pPr>
    </w:p>
    <w:p w14:paraId="67E2842C" w14:textId="77777777" w:rsidR="007A3862" w:rsidRPr="00EC0C1C" w:rsidRDefault="007A3862" w:rsidP="007A3862">
      <w:pPr>
        <w:pStyle w:val="BodyTextMain"/>
        <w:rPr>
          <w:lang w:val="en-GB"/>
        </w:rPr>
      </w:pPr>
      <w:r w:rsidRPr="00EC0C1C">
        <w:rPr>
          <w:lang w:val="en-GB"/>
        </w:rPr>
        <w:t xml:space="preserve">Price was the primary basis of competition in the industry. Discounting was a common trade practice. Firms were trying to stay competitive by becoming </w:t>
      </w:r>
      <w:r>
        <w:rPr>
          <w:lang w:val="en-GB"/>
        </w:rPr>
        <w:t>one-stop shops</w:t>
      </w:r>
      <w:r w:rsidRPr="00EC0C1C">
        <w:rPr>
          <w:lang w:val="en-GB"/>
        </w:rPr>
        <w:t xml:space="preserve"> for their customers. They were also using convenience and service as bases of differentiation. The industry had few barriers to entry. </w:t>
      </w:r>
    </w:p>
    <w:p w14:paraId="77F56BE4" w14:textId="77777777" w:rsidR="007A3862" w:rsidRPr="00EC0C1C" w:rsidRDefault="007A3862" w:rsidP="007A3862">
      <w:pPr>
        <w:pStyle w:val="BodyTextMain"/>
        <w:rPr>
          <w:lang w:val="en-GB"/>
        </w:rPr>
      </w:pPr>
    </w:p>
    <w:p w14:paraId="1D38F6DA" w14:textId="77777777" w:rsidR="007A3862" w:rsidRPr="00EC0C1C" w:rsidRDefault="007A3862" w:rsidP="007A3862">
      <w:pPr>
        <w:pStyle w:val="BodyTextMain"/>
        <w:rPr>
          <w:lang w:val="en-GB"/>
        </w:rPr>
      </w:pPr>
    </w:p>
    <w:p w14:paraId="060AF2DA" w14:textId="77777777" w:rsidR="00024B62" w:rsidRDefault="00024B62" w:rsidP="007A3862">
      <w:pPr>
        <w:pStyle w:val="Casehead1"/>
        <w:rPr>
          <w:lang w:val="en-GB"/>
        </w:rPr>
      </w:pPr>
    </w:p>
    <w:p w14:paraId="2D62C7C3" w14:textId="58C12DE8" w:rsidR="007A3862" w:rsidRPr="00EC0C1C" w:rsidRDefault="007A3862" w:rsidP="007A3862">
      <w:pPr>
        <w:pStyle w:val="Casehead1"/>
        <w:rPr>
          <w:lang w:val="en-GB"/>
        </w:rPr>
      </w:pPr>
      <w:r w:rsidRPr="00EC0C1C">
        <w:rPr>
          <w:lang w:val="en-GB"/>
        </w:rPr>
        <w:lastRenderedPageBreak/>
        <w:t xml:space="preserve">MEDICAL DEVICES INDUSTRY </w:t>
      </w:r>
    </w:p>
    <w:p w14:paraId="41965104" w14:textId="77777777" w:rsidR="007A3862" w:rsidRPr="00EC0C1C" w:rsidRDefault="007A3862" w:rsidP="007A3862">
      <w:pPr>
        <w:pStyle w:val="BodyTextMain"/>
        <w:rPr>
          <w:lang w:val="en-GB"/>
        </w:rPr>
      </w:pPr>
    </w:p>
    <w:p w14:paraId="3EAEE3BD" w14:textId="77777777" w:rsidR="007A3862" w:rsidRPr="00EC0C1C" w:rsidRDefault="007A3862" w:rsidP="007A3862">
      <w:pPr>
        <w:pStyle w:val="BodyTextMain"/>
        <w:rPr>
          <w:lang w:val="en-GB"/>
        </w:rPr>
      </w:pPr>
      <w:r w:rsidRPr="00EC0C1C">
        <w:rPr>
          <w:lang w:val="en-GB"/>
        </w:rPr>
        <w:t>A medical device was defined by Health Canada as “any article, instrument, apparatus or contrivance, including any component, part or accessory thereof, manufactured, sold or represented for use in the diagnosis, treatment, mitigation or prevention of a disease, disorder or abnormal physical state, or its symptoms and in restoring, correcting or modifying a body function or the body structure.”</w:t>
      </w:r>
      <w:r w:rsidRPr="00EC0C1C">
        <w:rPr>
          <w:vertAlign w:val="superscript"/>
          <w:lang w:val="en-GB"/>
        </w:rPr>
        <w:footnoteReference w:id="3"/>
      </w:r>
    </w:p>
    <w:p w14:paraId="5663A8F8" w14:textId="77777777" w:rsidR="007A3862" w:rsidRPr="00024B62" w:rsidRDefault="007A3862" w:rsidP="00024B62">
      <w:pPr>
        <w:pStyle w:val="BodyTextMain"/>
      </w:pPr>
    </w:p>
    <w:p w14:paraId="48560DBB" w14:textId="77777777" w:rsidR="007A3862" w:rsidRPr="00EC0C1C" w:rsidRDefault="007A3862" w:rsidP="007A3862">
      <w:pPr>
        <w:pStyle w:val="BodyTextMain"/>
        <w:rPr>
          <w:lang w:val="en-GB"/>
        </w:rPr>
      </w:pPr>
      <w:r>
        <w:rPr>
          <w:lang w:val="en-GB"/>
        </w:rPr>
        <w:t>In 2017, the</w:t>
      </w:r>
      <w:r w:rsidRPr="00EC0C1C">
        <w:rPr>
          <w:lang w:val="en-GB"/>
        </w:rPr>
        <w:t xml:space="preserve"> industry had 749 enterprises, </w:t>
      </w:r>
      <w:r>
        <w:rPr>
          <w:lang w:val="en-GB"/>
        </w:rPr>
        <w:t>provided</w:t>
      </w:r>
      <w:r w:rsidRPr="00EC0C1C">
        <w:rPr>
          <w:lang w:val="en-GB"/>
        </w:rPr>
        <w:t xml:space="preserve"> employment to 14,723 people</w:t>
      </w:r>
      <w:r>
        <w:rPr>
          <w:lang w:val="en-GB"/>
        </w:rPr>
        <w:t>,</w:t>
      </w:r>
      <w:r w:rsidRPr="00EC0C1C">
        <w:rPr>
          <w:lang w:val="en-GB"/>
        </w:rPr>
        <w:t xml:space="preserve"> and </w:t>
      </w:r>
      <w:r>
        <w:rPr>
          <w:lang w:val="en-GB"/>
        </w:rPr>
        <w:t>generated</w:t>
      </w:r>
      <w:r w:rsidRPr="00EC0C1C">
        <w:rPr>
          <w:lang w:val="en-GB"/>
        </w:rPr>
        <w:t xml:space="preserve"> sales of $4.1 billion. It was growing at a negative rate of 0.6 per cent and was forecast to grow at a negative</w:t>
      </w:r>
      <w:r>
        <w:rPr>
          <w:lang w:val="en-GB"/>
        </w:rPr>
        <w:t xml:space="preserve"> rate of</w:t>
      </w:r>
      <w:r w:rsidRPr="00EC0C1C">
        <w:rPr>
          <w:lang w:val="en-GB"/>
        </w:rPr>
        <w:t xml:space="preserve"> 0.5 per cent for </w:t>
      </w:r>
      <w:r>
        <w:rPr>
          <w:lang w:val="en-GB"/>
        </w:rPr>
        <w:t>a</w:t>
      </w:r>
      <w:r w:rsidRPr="00EC0C1C">
        <w:rPr>
          <w:lang w:val="en-GB"/>
        </w:rPr>
        <w:t xml:space="preserve"> five-year period </w:t>
      </w:r>
      <w:r>
        <w:rPr>
          <w:lang w:val="en-GB"/>
        </w:rPr>
        <w:t>beginning</w:t>
      </w:r>
      <w:r w:rsidRPr="00EC0C1C">
        <w:rPr>
          <w:lang w:val="en-GB"/>
        </w:rPr>
        <w:t xml:space="preserve"> 2017 </w:t>
      </w:r>
      <w:r>
        <w:rPr>
          <w:lang w:val="en-GB"/>
        </w:rPr>
        <w:t xml:space="preserve">to </w:t>
      </w:r>
      <w:r w:rsidRPr="00EC0C1C">
        <w:rPr>
          <w:lang w:val="en-GB"/>
        </w:rPr>
        <w:t>record sales of 4.0 billion in 2022. The number of enterprises was forecast to fall over this period to about 700.</w:t>
      </w:r>
      <w:r w:rsidRPr="00EC0C1C">
        <w:rPr>
          <w:vertAlign w:val="superscript"/>
          <w:lang w:val="en-GB"/>
        </w:rPr>
        <w:footnoteReference w:id="4"/>
      </w:r>
      <w:r w:rsidRPr="00EC0C1C">
        <w:rPr>
          <w:lang w:val="en-GB"/>
        </w:rPr>
        <w:t xml:space="preserve"> </w:t>
      </w:r>
    </w:p>
    <w:p w14:paraId="28599E65" w14:textId="77777777" w:rsidR="007A3862" w:rsidRPr="00024B62" w:rsidRDefault="007A3862" w:rsidP="00024B62">
      <w:pPr>
        <w:pStyle w:val="BodyTextMain"/>
      </w:pPr>
    </w:p>
    <w:p w14:paraId="111E4BE8" w14:textId="77777777" w:rsidR="007A3862" w:rsidRPr="00EC0C1C" w:rsidRDefault="007A3862" w:rsidP="007A3862">
      <w:pPr>
        <w:pStyle w:val="BodyTextMain"/>
        <w:rPr>
          <w:lang w:val="en-GB"/>
        </w:rPr>
      </w:pPr>
      <w:r w:rsidRPr="00EC0C1C">
        <w:rPr>
          <w:lang w:val="en-GB"/>
        </w:rPr>
        <w:t>The industry had six major product segments</w:t>
      </w:r>
      <w:r>
        <w:rPr>
          <w:lang w:val="en-GB"/>
        </w:rPr>
        <w:t>: cardiovascular</w:t>
      </w:r>
      <w:r w:rsidRPr="00EC0C1C">
        <w:rPr>
          <w:lang w:val="en-GB"/>
        </w:rPr>
        <w:t xml:space="preserve"> and respiratory </w:t>
      </w:r>
      <w:r>
        <w:rPr>
          <w:lang w:val="en-GB"/>
        </w:rPr>
        <w:t xml:space="preserve">devices </w:t>
      </w:r>
      <w:r w:rsidRPr="00EC0C1C">
        <w:rPr>
          <w:lang w:val="en-GB"/>
        </w:rPr>
        <w:t xml:space="preserve">(representing 25.6 per cent of revenue); </w:t>
      </w:r>
      <w:r>
        <w:rPr>
          <w:lang w:val="en-GB"/>
        </w:rPr>
        <w:t>medical</w:t>
      </w:r>
      <w:r w:rsidRPr="00EC0C1C">
        <w:rPr>
          <w:lang w:val="en-GB"/>
        </w:rPr>
        <w:t xml:space="preserve"> and industrial diagnostic</w:t>
      </w:r>
      <w:r>
        <w:rPr>
          <w:lang w:val="en-GB"/>
        </w:rPr>
        <w:t xml:space="preserve"> apparatus</w:t>
      </w:r>
      <w:r w:rsidRPr="00EC0C1C">
        <w:rPr>
          <w:lang w:val="en-GB"/>
        </w:rPr>
        <w:t xml:space="preserve"> (20.9 per cent); </w:t>
      </w:r>
      <w:r>
        <w:rPr>
          <w:lang w:val="en-GB"/>
        </w:rPr>
        <w:t>surgical</w:t>
      </w:r>
      <w:r w:rsidRPr="00EC0C1C">
        <w:rPr>
          <w:lang w:val="en-GB"/>
        </w:rPr>
        <w:t xml:space="preserve"> </w:t>
      </w:r>
      <w:r>
        <w:rPr>
          <w:lang w:val="en-GB"/>
        </w:rPr>
        <w:t xml:space="preserve">devices </w:t>
      </w:r>
      <w:r w:rsidRPr="00EC0C1C">
        <w:rPr>
          <w:lang w:val="en-GB"/>
        </w:rPr>
        <w:t xml:space="preserve">(12.8 per cent); </w:t>
      </w:r>
      <w:r>
        <w:rPr>
          <w:lang w:val="en-GB"/>
        </w:rPr>
        <w:t>spinal devices</w:t>
      </w:r>
      <w:r w:rsidRPr="00EC0C1C">
        <w:rPr>
          <w:lang w:val="en-GB"/>
        </w:rPr>
        <w:t xml:space="preserve"> (10.8 per cent); </w:t>
      </w:r>
      <w:r>
        <w:rPr>
          <w:lang w:val="en-GB"/>
        </w:rPr>
        <w:t>diabetes monitoring</w:t>
      </w:r>
      <w:r w:rsidRPr="00EC0C1C">
        <w:rPr>
          <w:lang w:val="en-GB"/>
        </w:rPr>
        <w:t xml:space="preserve"> </w:t>
      </w:r>
      <w:r>
        <w:rPr>
          <w:lang w:val="en-GB"/>
        </w:rPr>
        <w:t xml:space="preserve">devices </w:t>
      </w:r>
      <w:r w:rsidRPr="00EC0C1C">
        <w:rPr>
          <w:lang w:val="en-GB"/>
        </w:rPr>
        <w:t xml:space="preserve">(6.3 per cent); and </w:t>
      </w:r>
      <w:r>
        <w:rPr>
          <w:lang w:val="en-GB"/>
        </w:rPr>
        <w:t>others</w:t>
      </w:r>
      <w:r w:rsidRPr="00EC0C1C">
        <w:rPr>
          <w:lang w:val="en-GB"/>
        </w:rPr>
        <w:t xml:space="preserve"> (23.6 per cent).</w:t>
      </w:r>
    </w:p>
    <w:p w14:paraId="5252B422" w14:textId="77777777" w:rsidR="007A3862" w:rsidRPr="004A6860" w:rsidRDefault="007A3862" w:rsidP="007A3862">
      <w:pPr>
        <w:pStyle w:val="BodyTextMain"/>
        <w:rPr>
          <w:sz w:val="18"/>
          <w:szCs w:val="18"/>
          <w:lang w:val="en-GB"/>
        </w:rPr>
      </w:pPr>
    </w:p>
    <w:p w14:paraId="49D566AD" w14:textId="4483083C" w:rsidR="007A3862" w:rsidRPr="00EC0C1C" w:rsidRDefault="007A3862" w:rsidP="007A3862">
      <w:pPr>
        <w:pStyle w:val="BodyTextMain"/>
        <w:rPr>
          <w:lang w:val="en-GB"/>
        </w:rPr>
      </w:pPr>
      <w:r w:rsidRPr="00EC0C1C">
        <w:rPr>
          <w:lang w:val="en-GB"/>
        </w:rPr>
        <w:t xml:space="preserve">Despite the indispensable nature of medical devices in </w:t>
      </w:r>
      <w:r>
        <w:rPr>
          <w:lang w:val="en-GB"/>
        </w:rPr>
        <w:t>health care</w:t>
      </w:r>
      <w:r w:rsidRPr="00EC0C1C">
        <w:rPr>
          <w:lang w:val="en-GB"/>
        </w:rPr>
        <w:t>, the industry was facing two challenges</w:t>
      </w:r>
      <w:r>
        <w:rPr>
          <w:lang w:val="en-GB"/>
        </w:rPr>
        <w:t>:</w:t>
      </w:r>
      <w:r w:rsidR="00ED6792">
        <w:rPr>
          <w:lang w:val="en-GB"/>
        </w:rPr>
        <w:t xml:space="preserve"> </w:t>
      </w:r>
      <w:r>
        <w:rPr>
          <w:lang w:val="en-GB"/>
        </w:rPr>
        <w:t xml:space="preserve">(1) </w:t>
      </w:r>
      <w:r w:rsidRPr="00EC0C1C">
        <w:rPr>
          <w:lang w:val="en-GB"/>
        </w:rPr>
        <w:t>slow growth in total health expenditure by the Canadian government</w:t>
      </w:r>
      <w:r>
        <w:rPr>
          <w:lang w:val="en-GB"/>
        </w:rPr>
        <w:t>,</w:t>
      </w:r>
      <w:r w:rsidRPr="00EC0C1C">
        <w:rPr>
          <w:lang w:val="en-GB"/>
        </w:rPr>
        <w:t xml:space="preserve"> and </w:t>
      </w:r>
      <w:r>
        <w:rPr>
          <w:lang w:val="en-GB"/>
        </w:rPr>
        <w:t xml:space="preserve">(2) </w:t>
      </w:r>
      <w:r w:rsidRPr="00EC0C1C">
        <w:rPr>
          <w:lang w:val="en-GB"/>
        </w:rPr>
        <w:t xml:space="preserve">a fall in the value of the Canadian dollar. GPOs were also prevalent in the medical devices industry. Driven by their own need to reduce costs, </w:t>
      </w:r>
      <w:r>
        <w:rPr>
          <w:lang w:val="en-GB"/>
        </w:rPr>
        <w:t>health care</w:t>
      </w:r>
      <w:r w:rsidRPr="00EC0C1C">
        <w:rPr>
          <w:lang w:val="en-GB"/>
        </w:rPr>
        <w:t xml:space="preserve"> providers were seeking competitive pricing from manufacturers. Progressively shorter product life</w:t>
      </w:r>
      <w:r w:rsidR="00ED6792">
        <w:rPr>
          <w:lang w:val="en-GB"/>
        </w:rPr>
        <w:t>-</w:t>
      </w:r>
      <w:r w:rsidRPr="00EC0C1C">
        <w:rPr>
          <w:lang w:val="en-GB"/>
        </w:rPr>
        <w:t xml:space="preserve">cycles and </w:t>
      </w:r>
      <w:r>
        <w:rPr>
          <w:lang w:val="en-GB"/>
        </w:rPr>
        <w:t xml:space="preserve">the </w:t>
      </w:r>
      <w:r w:rsidRPr="00EC0C1C">
        <w:rPr>
          <w:lang w:val="en-GB"/>
        </w:rPr>
        <w:t xml:space="preserve">high costs of developing new technologies were other challenges facing the industry. </w:t>
      </w:r>
    </w:p>
    <w:p w14:paraId="1AD0CB06" w14:textId="77777777" w:rsidR="007A3862" w:rsidRPr="00024B62" w:rsidRDefault="007A3862" w:rsidP="00024B62">
      <w:pPr>
        <w:pStyle w:val="BodyTextMain"/>
      </w:pPr>
    </w:p>
    <w:p w14:paraId="5709664B" w14:textId="77777777" w:rsidR="007A3862" w:rsidRPr="00EC0C1C" w:rsidRDefault="007A3862" w:rsidP="007A3862">
      <w:pPr>
        <w:pStyle w:val="BodyTextMain"/>
        <w:rPr>
          <w:lang w:val="en-GB"/>
        </w:rPr>
      </w:pPr>
      <w:r w:rsidRPr="00EC0C1C">
        <w:rPr>
          <w:lang w:val="en-GB"/>
        </w:rPr>
        <w:t>Canada was widely known to have the potential to evolve into a global hub for medical</w:t>
      </w:r>
      <w:r>
        <w:rPr>
          <w:lang w:val="en-GB"/>
        </w:rPr>
        <w:t xml:space="preserve"> </w:t>
      </w:r>
      <w:r w:rsidRPr="00EC0C1C">
        <w:rPr>
          <w:lang w:val="en-GB"/>
        </w:rPr>
        <w:t xml:space="preserve">device innovation. The country was home not only </w:t>
      </w:r>
      <w:r>
        <w:rPr>
          <w:lang w:val="en-GB"/>
        </w:rPr>
        <w:t xml:space="preserve">to </w:t>
      </w:r>
      <w:r w:rsidRPr="00EC0C1C">
        <w:rPr>
          <w:lang w:val="en-GB"/>
        </w:rPr>
        <w:t xml:space="preserve">some of the leading scientific research institutions but also </w:t>
      </w:r>
      <w:r>
        <w:rPr>
          <w:lang w:val="en-GB"/>
        </w:rPr>
        <w:t xml:space="preserve">to </w:t>
      </w:r>
      <w:r w:rsidRPr="00EC0C1C">
        <w:rPr>
          <w:lang w:val="en-GB"/>
        </w:rPr>
        <w:t>a large pool of trained researchers. It had a strong track record for conducting clinical trials. The government was also providing tax incentives for medical technology development.</w:t>
      </w:r>
      <w:r w:rsidRPr="00EC0C1C">
        <w:rPr>
          <w:vertAlign w:val="superscript"/>
          <w:lang w:val="en-GB"/>
        </w:rPr>
        <w:footnoteReference w:id="5"/>
      </w:r>
      <w:r w:rsidRPr="00EC0C1C">
        <w:rPr>
          <w:lang w:val="en-GB"/>
        </w:rPr>
        <w:t xml:space="preserve"> </w:t>
      </w:r>
    </w:p>
    <w:p w14:paraId="1EA61F2B" w14:textId="77777777" w:rsidR="007A3862" w:rsidRPr="00024B62" w:rsidRDefault="007A3862" w:rsidP="00024B62">
      <w:pPr>
        <w:pStyle w:val="BodyTextMain"/>
      </w:pPr>
    </w:p>
    <w:p w14:paraId="660678E1" w14:textId="77777777" w:rsidR="007A3862" w:rsidRPr="00EC0C1C" w:rsidRDefault="007A3862" w:rsidP="007A3862">
      <w:pPr>
        <w:pStyle w:val="BodyTextMain"/>
        <w:rPr>
          <w:lang w:val="en-GB"/>
        </w:rPr>
      </w:pPr>
      <w:r w:rsidRPr="00EC0C1C">
        <w:rPr>
          <w:bCs/>
          <w:lang w:val="en-GB"/>
        </w:rPr>
        <w:t>The medical device manufacturing industry was fragmented, consisting of small</w:t>
      </w:r>
      <w:r>
        <w:rPr>
          <w:bCs/>
          <w:lang w:val="en-GB"/>
        </w:rPr>
        <w:t>-</w:t>
      </w:r>
      <w:r w:rsidRPr="00EC0C1C">
        <w:rPr>
          <w:bCs/>
          <w:lang w:val="en-GB"/>
        </w:rPr>
        <w:t xml:space="preserve"> and medium-sized enterprises</w:t>
      </w:r>
      <w:r>
        <w:rPr>
          <w:bCs/>
          <w:lang w:val="en-GB"/>
        </w:rPr>
        <w:t>,</w:t>
      </w:r>
      <w:r w:rsidRPr="00EC0C1C">
        <w:rPr>
          <w:bCs/>
          <w:lang w:val="en-GB"/>
        </w:rPr>
        <w:t xml:space="preserve"> 94 per cent of </w:t>
      </w:r>
      <w:r>
        <w:rPr>
          <w:bCs/>
          <w:lang w:val="en-GB"/>
        </w:rPr>
        <w:t>which</w:t>
      </w:r>
      <w:r w:rsidRPr="00EC0C1C">
        <w:rPr>
          <w:bCs/>
          <w:lang w:val="en-GB"/>
        </w:rPr>
        <w:t xml:space="preserve"> employed fewer than 100 workers. Small operators specialized in developing technology and products for niche markets like on</w:t>
      </w:r>
      <w:r>
        <w:rPr>
          <w:bCs/>
          <w:lang w:val="en-GB"/>
        </w:rPr>
        <w:t>c</w:t>
      </w:r>
      <w:r w:rsidRPr="00EC0C1C">
        <w:rPr>
          <w:bCs/>
          <w:lang w:val="en-GB"/>
        </w:rPr>
        <w:t>ology, radiation, industrial controls</w:t>
      </w:r>
      <w:r>
        <w:rPr>
          <w:bCs/>
          <w:lang w:val="en-GB"/>
        </w:rPr>
        <w:t>,</w:t>
      </w:r>
      <w:r w:rsidRPr="00EC0C1C">
        <w:rPr>
          <w:bCs/>
          <w:lang w:val="en-GB"/>
        </w:rPr>
        <w:t xml:space="preserve"> or meteorological instruments. Consolidation was ongoing. The industry was also in a mature </w:t>
      </w:r>
      <w:r>
        <w:rPr>
          <w:bCs/>
          <w:lang w:val="en-GB"/>
        </w:rPr>
        <w:t xml:space="preserve">life-cycle </w:t>
      </w:r>
      <w:r w:rsidRPr="00EC0C1C">
        <w:rPr>
          <w:bCs/>
          <w:lang w:val="en-GB"/>
        </w:rPr>
        <w:t>stage</w:t>
      </w:r>
      <w:r>
        <w:rPr>
          <w:bCs/>
          <w:lang w:val="en-GB"/>
        </w:rPr>
        <w:t>,</w:t>
      </w:r>
      <w:r w:rsidRPr="00EC0C1C">
        <w:rPr>
          <w:bCs/>
          <w:lang w:val="en-GB"/>
        </w:rPr>
        <w:t xml:space="preserve"> evident from a slow rate of growth and low margins.</w:t>
      </w:r>
    </w:p>
    <w:p w14:paraId="21583BC9" w14:textId="77777777" w:rsidR="007A3862" w:rsidRPr="00024B62" w:rsidRDefault="007A3862" w:rsidP="00024B62">
      <w:pPr>
        <w:pStyle w:val="BodyTextMain"/>
      </w:pPr>
    </w:p>
    <w:p w14:paraId="50FA6503" w14:textId="77777777" w:rsidR="007A3862" w:rsidRPr="00EC0C1C" w:rsidRDefault="007A3862" w:rsidP="007A3862">
      <w:pPr>
        <w:pStyle w:val="BodyTextMain"/>
        <w:rPr>
          <w:lang w:val="en-GB"/>
        </w:rPr>
      </w:pPr>
      <w:r w:rsidRPr="00EC0C1C">
        <w:rPr>
          <w:lang w:val="en-GB"/>
        </w:rPr>
        <w:t xml:space="preserve">Medical devices were categorized by Health Canada as </w:t>
      </w:r>
      <w:r>
        <w:rPr>
          <w:lang w:val="en-GB"/>
        </w:rPr>
        <w:t>class</w:t>
      </w:r>
      <w:r w:rsidRPr="00EC0C1C">
        <w:rPr>
          <w:lang w:val="en-GB"/>
        </w:rPr>
        <w:t xml:space="preserve"> I, II, III</w:t>
      </w:r>
      <w:r>
        <w:rPr>
          <w:lang w:val="en-GB"/>
        </w:rPr>
        <w:t>,</w:t>
      </w:r>
      <w:r w:rsidRPr="00EC0C1C">
        <w:rPr>
          <w:lang w:val="en-GB"/>
        </w:rPr>
        <w:t xml:space="preserve"> or IV</w:t>
      </w:r>
      <w:r>
        <w:rPr>
          <w:lang w:val="en-GB"/>
        </w:rPr>
        <w:t>,</w:t>
      </w:r>
      <w:r w:rsidRPr="00EC0C1C">
        <w:rPr>
          <w:lang w:val="en-GB"/>
        </w:rPr>
        <w:t xml:space="preserve"> depending on the level of risk involved in their use. Class I represented the lowest risk</w:t>
      </w:r>
      <w:r>
        <w:rPr>
          <w:lang w:val="en-GB"/>
        </w:rPr>
        <w:t>; class</w:t>
      </w:r>
      <w:r w:rsidRPr="00EC0C1C">
        <w:rPr>
          <w:lang w:val="en-GB"/>
        </w:rPr>
        <w:t xml:space="preserve"> IV</w:t>
      </w:r>
      <w:r>
        <w:rPr>
          <w:lang w:val="en-GB"/>
        </w:rPr>
        <w:t>,</w:t>
      </w:r>
      <w:r w:rsidRPr="00EC0C1C">
        <w:rPr>
          <w:lang w:val="en-GB"/>
        </w:rPr>
        <w:t xml:space="preserve"> the highest risk. An importer and distributor of a medical device was required to hold an </w:t>
      </w:r>
      <w:r w:rsidRPr="00EC0C1C">
        <w:rPr>
          <w:i/>
          <w:lang w:val="en-GB"/>
        </w:rPr>
        <w:t>establishment</w:t>
      </w:r>
      <w:r w:rsidRPr="00EC0C1C">
        <w:rPr>
          <w:lang w:val="en-GB"/>
        </w:rPr>
        <w:t xml:space="preserve"> license while a manufacturer of a </w:t>
      </w:r>
      <w:r>
        <w:rPr>
          <w:lang w:val="en-GB"/>
        </w:rPr>
        <w:t>class</w:t>
      </w:r>
      <w:r w:rsidRPr="00EC0C1C">
        <w:rPr>
          <w:lang w:val="en-GB"/>
        </w:rPr>
        <w:t xml:space="preserve"> II, III</w:t>
      </w:r>
      <w:r>
        <w:rPr>
          <w:lang w:val="en-GB"/>
        </w:rPr>
        <w:t>,</w:t>
      </w:r>
      <w:r w:rsidRPr="00EC0C1C">
        <w:rPr>
          <w:lang w:val="en-GB"/>
        </w:rPr>
        <w:t xml:space="preserve"> or IV device was required to hold a </w:t>
      </w:r>
      <w:r w:rsidRPr="00EC0C1C">
        <w:rPr>
          <w:i/>
          <w:lang w:val="en-GB"/>
        </w:rPr>
        <w:t xml:space="preserve">product </w:t>
      </w:r>
      <w:r>
        <w:rPr>
          <w:lang w:val="en-GB"/>
        </w:rPr>
        <w:t>licence</w:t>
      </w:r>
      <w:r w:rsidRPr="00EC0C1C">
        <w:rPr>
          <w:lang w:val="en-GB"/>
        </w:rPr>
        <w:t xml:space="preserve"> issued by Health Canada.</w:t>
      </w:r>
    </w:p>
    <w:p w14:paraId="3101F982" w14:textId="77777777" w:rsidR="007A3862" w:rsidRPr="00024B62" w:rsidRDefault="007A3862" w:rsidP="00024B62">
      <w:pPr>
        <w:pStyle w:val="BodyTextMain"/>
      </w:pPr>
    </w:p>
    <w:p w14:paraId="33CDCCC4" w14:textId="77777777" w:rsidR="007A3862" w:rsidRPr="00024B62" w:rsidRDefault="007A3862" w:rsidP="00024B62">
      <w:pPr>
        <w:pStyle w:val="BodyTextMain"/>
      </w:pPr>
    </w:p>
    <w:p w14:paraId="79353B30" w14:textId="77777777" w:rsidR="007A3862" w:rsidRDefault="007A3862" w:rsidP="007A3862">
      <w:pPr>
        <w:pStyle w:val="Casehead2"/>
        <w:rPr>
          <w:lang w:val="en-GB"/>
        </w:rPr>
      </w:pPr>
      <w:r w:rsidRPr="00EC0C1C">
        <w:rPr>
          <w:lang w:val="en-GB"/>
        </w:rPr>
        <w:t>Compressed Gas Cylinders</w:t>
      </w:r>
    </w:p>
    <w:p w14:paraId="0A2CA54A" w14:textId="77777777" w:rsidR="007A3862" w:rsidRPr="00024B62" w:rsidRDefault="007A3862" w:rsidP="00024B62">
      <w:pPr>
        <w:pStyle w:val="BodyTextMain"/>
      </w:pPr>
    </w:p>
    <w:p w14:paraId="6DCDBD4E" w14:textId="6D13594D" w:rsidR="007A3862" w:rsidRDefault="007A3862" w:rsidP="007A3862">
      <w:pPr>
        <w:pStyle w:val="BodyTextMain"/>
        <w:rPr>
          <w:lang w:val="en-GB"/>
        </w:rPr>
      </w:pPr>
      <w:r w:rsidRPr="00EC0C1C">
        <w:rPr>
          <w:lang w:val="en-GB"/>
        </w:rPr>
        <w:t>An empty cylinder was considered a medical supply, while a cylinder filled with oxygen was considered a class II medical device. A full cylinder had to be constructed, packaged</w:t>
      </w:r>
      <w:r>
        <w:rPr>
          <w:lang w:val="en-GB"/>
        </w:rPr>
        <w:t>,</w:t>
      </w:r>
      <w:r w:rsidRPr="00EC0C1C">
        <w:rPr>
          <w:lang w:val="en-GB"/>
        </w:rPr>
        <w:t xml:space="preserve"> and shipped as per the norms of Transport Canada and </w:t>
      </w:r>
      <w:r>
        <w:rPr>
          <w:lang w:val="en-GB"/>
        </w:rPr>
        <w:t>the CSA Group</w:t>
      </w:r>
      <w:r w:rsidRPr="00EC0C1C">
        <w:rPr>
          <w:lang w:val="en-GB"/>
        </w:rPr>
        <w:t>. Those used by medical professionals were portable.</w:t>
      </w:r>
    </w:p>
    <w:p w14:paraId="1A55E373" w14:textId="77777777" w:rsidR="00024B62" w:rsidRPr="00EC0C1C" w:rsidRDefault="00024B62" w:rsidP="007A3862">
      <w:pPr>
        <w:pStyle w:val="BodyTextMain"/>
        <w:rPr>
          <w:lang w:val="en-GB"/>
        </w:rPr>
      </w:pPr>
    </w:p>
    <w:p w14:paraId="4825E9AB" w14:textId="77777777" w:rsidR="007A3862" w:rsidRPr="00EC0C1C" w:rsidRDefault="007A3862" w:rsidP="007A3862">
      <w:pPr>
        <w:pStyle w:val="Casehead1"/>
        <w:rPr>
          <w:lang w:val="en-GB"/>
        </w:rPr>
      </w:pPr>
      <w:r w:rsidRPr="00EC0C1C">
        <w:rPr>
          <w:lang w:val="en-GB"/>
        </w:rPr>
        <w:lastRenderedPageBreak/>
        <w:t>GLENWOOD LABORATORIES CANADA</w:t>
      </w:r>
      <w:r>
        <w:rPr>
          <w:lang w:val="en-GB"/>
        </w:rPr>
        <w:t xml:space="preserve"> LTD.—</w:t>
      </w:r>
      <w:r w:rsidRPr="00EC0C1C">
        <w:rPr>
          <w:lang w:val="en-GB"/>
        </w:rPr>
        <w:t xml:space="preserve">COMPANY BACKGROUND </w:t>
      </w:r>
    </w:p>
    <w:p w14:paraId="71822866" w14:textId="77777777" w:rsidR="007A3862" w:rsidRPr="00024B62" w:rsidRDefault="007A3862" w:rsidP="00024B62">
      <w:pPr>
        <w:pStyle w:val="BodyTextMain"/>
      </w:pPr>
    </w:p>
    <w:p w14:paraId="2954C4BF" w14:textId="77777777" w:rsidR="007A3862" w:rsidRPr="00EC0C1C" w:rsidRDefault="007A3862" w:rsidP="007A3862">
      <w:pPr>
        <w:pStyle w:val="BodyTextMain"/>
        <w:rPr>
          <w:lang w:val="en-GB"/>
        </w:rPr>
      </w:pPr>
      <w:r w:rsidRPr="00EC0C1C">
        <w:rPr>
          <w:lang w:val="en-GB"/>
        </w:rPr>
        <w:t xml:space="preserve">After graduating with </w:t>
      </w:r>
      <w:r>
        <w:rPr>
          <w:lang w:val="en-GB"/>
        </w:rPr>
        <w:t>a master of business administration</w:t>
      </w:r>
      <w:r w:rsidRPr="00EC0C1C">
        <w:rPr>
          <w:lang w:val="en-GB"/>
        </w:rPr>
        <w:t xml:space="preserve"> from Pace University in New York, </w:t>
      </w:r>
      <w:proofErr w:type="spellStart"/>
      <w:r w:rsidRPr="00EC0C1C">
        <w:rPr>
          <w:lang w:val="en-GB"/>
        </w:rPr>
        <w:t>Benzoni</w:t>
      </w:r>
      <w:proofErr w:type="spellEnd"/>
      <w:r w:rsidRPr="00EC0C1C">
        <w:rPr>
          <w:lang w:val="en-GB"/>
        </w:rPr>
        <w:t xml:space="preserve"> was working in client servicing in the financial services sector when he </w:t>
      </w:r>
      <w:r>
        <w:rPr>
          <w:lang w:val="en-GB"/>
        </w:rPr>
        <w:t>had</w:t>
      </w:r>
      <w:r w:rsidRPr="00EC0C1C">
        <w:rPr>
          <w:lang w:val="en-GB"/>
        </w:rPr>
        <w:t xml:space="preserve"> an opportunity in 1984 to join </w:t>
      </w:r>
      <w:r>
        <w:rPr>
          <w:lang w:val="en-GB"/>
        </w:rPr>
        <w:t xml:space="preserve">New Jersey–based </w:t>
      </w:r>
      <w:r w:rsidRPr="00EC0C1C">
        <w:rPr>
          <w:lang w:val="en-GB"/>
        </w:rPr>
        <w:t>Glenwood Inc</w:t>
      </w:r>
      <w:r>
        <w:rPr>
          <w:lang w:val="en-GB"/>
        </w:rPr>
        <w:t xml:space="preserve">. </w:t>
      </w:r>
      <w:r w:rsidRPr="00EC0C1C">
        <w:rPr>
          <w:lang w:val="en-GB"/>
        </w:rPr>
        <w:t xml:space="preserve">as its vice president. </w:t>
      </w:r>
      <w:proofErr w:type="spellStart"/>
      <w:r w:rsidRPr="00EC0C1C">
        <w:rPr>
          <w:lang w:val="en-GB"/>
        </w:rPr>
        <w:t>Benzoni</w:t>
      </w:r>
      <w:proofErr w:type="spellEnd"/>
      <w:r w:rsidRPr="00EC0C1C">
        <w:rPr>
          <w:lang w:val="en-GB"/>
        </w:rPr>
        <w:t xml:space="preserve"> was to launch the company’s distribution in Canada and be based in Oakville, a suburban town in southern Ontario. </w:t>
      </w:r>
    </w:p>
    <w:p w14:paraId="340C983F" w14:textId="77777777" w:rsidR="007A3862" w:rsidRPr="00EC0C1C" w:rsidRDefault="007A3862" w:rsidP="007A3862">
      <w:pPr>
        <w:pStyle w:val="BodyTextMain"/>
        <w:rPr>
          <w:lang w:val="en-GB"/>
        </w:rPr>
      </w:pPr>
    </w:p>
    <w:p w14:paraId="62397FF4" w14:textId="77777777" w:rsidR="007A3862" w:rsidRDefault="007A3862" w:rsidP="007A3862">
      <w:pPr>
        <w:pStyle w:val="BodyTextMain"/>
        <w:rPr>
          <w:lang w:val="en-GB"/>
        </w:rPr>
      </w:pPr>
      <w:r w:rsidRPr="00EC0C1C">
        <w:rPr>
          <w:lang w:val="en-GB"/>
        </w:rPr>
        <w:t xml:space="preserve">Glenwood </w:t>
      </w:r>
      <w:r>
        <w:rPr>
          <w:lang w:val="en-GB"/>
        </w:rPr>
        <w:t>Inc.</w:t>
      </w:r>
      <w:r w:rsidRPr="00EC0C1C">
        <w:rPr>
          <w:lang w:val="en-GB"/>
        </w:rPr>
        <w:t xml:space="preserve"> was focused on urology and dermatology products, which it was producing through contract manufacturers. Glenwood </w:t>
      </w:r>
      <w:r>
        <w:rPr>
          <w:lang w:val="en-GB"/>
        </w:rPr>
        <w:t>Inc.</w:t>
      </w:r>
      <w:r w:rsidRPr="00EC0C1C">
        <w:rPr>
          <w:lang w:val="en-GB"/>
        </w:rPr>
        <w:t xml:space="preserve"> took a 49 per cent stake in their Canadian subsidiary, Glenwood Laboratories Canada</w:t>
      </w:r>
      <w:r>
        <w:rPr>
          <w:lang w:val="en-GB"/>
        </w:rPr>
        <w:t xml:space="preserve"> Ltd.</w:t>
      </w:r>
      <w:r w:rsidRPr="00EC0C1C">
        <w:rPr>
          <w:lang w:val="en-GB"/>
        </w:rPr>
        <w:t xml:space="preserve">, and the majority stake of 51 per cent was held by </w:t>
      </w:r>
      <w:proofErr w:type="spellStart"/>
      <w:r w:rsidRPr="00EC0C1C">
        <w:rPr>
          <w:lang w:val="en-GB"/>
        </w:rPr>
        <w:t>Benzoni</w:t>
      </w:r>
      <w:proofErr w:type="spellEnd"/>
      <w:r w:rsidRPr="00EC0C1C">
        <w:rPr>
          <w:lang w:val="en-GB"/>
        </w:rPr>
        <w:t xml:space="preserve">. The company diversified into medical devices in 1990. </w:t>
      </w:r>
    </w:p>
    <w:p w14:paraId="52EE9007" w14:textId="77777777" w:rsidR="007A3862" w:rsidRPr="00EC0C1C" w:rsidRDefault="007A3862" w:rsidP="007A3862">
      <w:pPr>
        <w:pStyle w:val="BodyTextMain"/>
        <w:rPr>
          <w:lang w:val="en-GB"/>
        </w:rPr>
      </w:pPr>
    </w:p>
    <w:p w14:paraId="251834F6" w14:textId="77777777" w:rsidR="007A3862" w:rsidRPr="00EC0C1C" w:rsidRDefault="007A3862" w:rsidP="007A3862">
      <w:pPr>
        <w:pStyle w:val="BodyTextMain"/>
        <w:rPr>
          <w:lang w:val="en-GB"/>
        </w:rPr>
      </w:pPr>
      <w:r w:rsidRPr="00EC0C1C">
        <w:rPr>
          <w:lang w:val="en-GB"/>
        </w:rPr>
        <w:t xml:space="preserve">Upon the passing of Glenwood </w:t>
      </w:r>
      <w:r>
        <w:rPr>
          <w:lang w:val="en-GB"/>
        </w:rPr>
        <w:t>Inc.’s</w:t>
      </w:r>
      <w:r w:rsidRPr="00EC0C1C">
        <w:rPr>
          <w:lang w:val="en-GB"/>
        </w:rPr>
        <w:t xml:space="preserve"> founder in 2008, </w:t>
      </w:r>
      <w:proofErr w:type="spellStart"/>
      <w:r w:rsidRPr="00EC0C1C">
        <w:rPr>
          <w:lang w:val="en-GB"/>
        </w:rPr>
        <w:t>Benzoni</w:t>
      </w:r>
      <w:proofErr w:type="spellEnd"/>
      <w:r w:rsidRPr="00EC0C1C">
        <w:rPr>
          <w:lang w:val="en-GB"/>
        </w:rPr>
        <w:t xml:space="preserve"> acquired the minority stake from the founder’s two sons to become the sole owner of the Canadian company in 2015. Having become an independent company, Glenwood </w:t>
      </w:r>
      <w:r>
        <w:rPr>
          <w:lang w:val="en-GB"/>
        </w:rPr>
        <w:t xml:space="preserve">Laboratories </w:t>
      </w:r>
      <w:r w:rsidRPr="00EC0C1C">
        <w:rPr>
          <w:lang w:val="en-GB"/>
        </w:rPr>
        <w:t>Canada</w:t>
      </w:r>
      <w:r>
        <w:rPr>
          <w:lang w:val="en-GB"/>
        </w:rPr>
        <w:t xml:space="preserve"> Ltd.</w:t>
      </w:r>
      <w:r w:rsidRPr="00EC0C1C">
        <w:rPr>
          <w:lang w:val="en-GB"/>
        </w:rPr>
        <w:t xml:space="preserve"> retained its original name but discontinued distributing </w:t>
      </w:r>
      <w:r>
        <w:rPr>
          <w:lang w:val="en-GB"/>
        </w:rPr>
        <w:t>pharmaceutical</w:t>
      </w:r>
      <w:r w:rsidRPr="00EC0C1C">
        <w:rPr>
          <w:lang w:val="en-GB"/>
        </w:rPr>
        <w:t xml:space="preserve"> products </w:t>
      </w:r>
      <w:r>
        <w:rPr>
          <w:lang w:val="en-GB"/>
        </w:rPr>
        <w:t xml:space="preserve">in order </w:t>
      </w:r>
      <w:r w:rsidRPr="00EC0C1C">
        <w:rPr>
          <w:lang w:val="en-GB"/>
        </w:rPr>
        <w:t xml:space="preserve">to concentrate on medical devices. It was already importing branded surgical dressings, defined as a </w:t>
      </w:r>
      <w:r>
        <w:rPr>
          <w:lang w:val="en-GB"/>
        </w:rPr>
        <w:t>class</w:t>
      </w:r>
      <w:r w:rsidRPr="00EC0C1C">
        <w:rPr>
          <w:lang w:val="en-GB"/>
        </w:rPr>
        <w:t xml:space="preserve"> I medical device by Health Canada, and expanded into </w:t>
      </w:r>
      <w:r>
        <w:rPr>
          <w:lang w:val="en-GB"/>
        </w:rPr>
        <w:t>class</w:t>
      </w:r>
      <w:r w:rsidRPr="00EC0C1C">
        <w:rPr>
          <w:lang w:val="en-GB"/>
        </w:rPr>
        <w:t xml:space="preserve"> II devices</w:t>
      </w:r>
      <w:r>
        <w:rPr>
          <w:lang w:val="en-GB"/>
        </w:rPr>
        <w:t>,</w:t>
      </w:r>
      <w:r w:rsidRPr="00EC0C1C">
        <w:rPr>
          <w:lang w:val="en-GB"/>
        </w:rPr>
        <w:t xml:space="preserve"> which were generally customized. It also diversified its supplier base for medical devices beyond </w:t>
      </w:r>
      <w:r>
        <w:rPr>
          <w:lang w:val="en-GB"/>
        </w:rPr>
        <w:t>the United States</w:t>
      </w:r>
      <w:r w:rsidRPr="00EC0C1C">
        <w:rPr>
          <w:lang w:val="en-GB"/>
        </w:rPr>
        <w:t xml:space="preserve"> to mainland China, Taiwan</w:t>
      </w:r>
      <w:r>
        <w:rPr>
          <w:lang w:val="en-GB"/>
        </w:rPr>
        <w:t>,</w:t>
      </w:r>
      <w:r w:rsidRPr="00EC0C1C">
        <w:rPr>
          <w:lang w:val="en-GB"/>
        </w:rPr>
        <w:t xml:space="preserve"> and Poland. It had taken a year for Glenwood to turn the corner with the new business and acquire competence in sourcing and distributing respiratory products.</w:t>
      </w:r>
    </w:p>
    <w:p w14:paraId="2CB481BB" w14:textId="77777777" w:rsidR="007A3862" w:rsidRPr="00024B62" w:rsidRDefault="007A3862" w:rsidP="00024B62">
      <w:pPr>
        <w:pStyle w:val="BodyTextMain"/>
      </w:pPr>
    </w:p>
    <w:p w14:paraId="23E1BDE6" w14:textId="77777777" w:rsidR="007A3862" w:rsidRPr="00EC0C1C" w:rsidRDefault="007A3862" w:rsidP="007A3862">
      <w:pPr>
        <w:pStyle w:val="BodyTextMain"/>
        <w:rPr>
          <w:lang w:val="en-GB"/>
        </w:rPr>
      </w:pPr>
      <w:r w:rsidRPr="00EC0C1C">
        <w:rPr>
          <w:lang w:val="en-GB"/>
        </w:rPr>
        <w:t xml:space="preserve">A popular class II product was </w:t>
      </w:r>
      <w:r>
        <w:rPr>
          <w:lang w:val="en-GB"/>
        </w:rPr>
        <w:t>a cannula—</w:t>
      </w:r>
      <w:r w:rsidRPr="00EC0C1C">
        <w:rPr>
          <w:lang w:val="en-GB"/>
        </w:rPr>
        <w:t xml:space="preserve">plastic tubing connected to the nose of a patient and designed to facilitate the delivery of oxygen. As was common with many medical devices, </w:t>
      </w:r>
      <w:r>
        <w:rPr>
          <w:lang w:val="en-GB"/>
        </w:rPr>
        <w:t>cannulas were</w:t>
      </w:r>
      <w:r w:rsidRPr="00EC0C1C">
        <w:rPr>
          <w:lang w:val="en-GB"/>
        </w:rPr>
        <w:t xml:space="preserve"> required by hospitals in multiple specifications. Glenwood provided those specifications to suppliers, who would then either manufacture them or ship them to Oakville from existing inventory. </w:t>
      </w:r>
    </w:p>
    <w:p w14:paraId="263EE7AA" w14:textId="77777777" w:rsidR="007A3862" w:rsidRPr="00EC0C1C" w:rsidRDefault="007A3862" w:rsidP="007A3862">
      <w:pPr>
        <w:pStyle w:val="BodyTextMain"/>
        <w:rPr>
          <w:lang w:val="en-GB"/>
        </w:rPr>
      </w:pPr>
    </w:p>
    <w:p w14:paraId="564A26B2" w14:textId="242C78B6" w:rsidR="007A3862" w:rsidRPr="00EC0C1C" w:rsidRDefault="007A3862" w:rsidP="007A3862">
      <w:pPr>
        <w:pStyle w:val="BodyTextMain"/>
        <w:rPr>
          <w:lang w:val="en-GB"/>
        </w:rPr>
      </w:pPr>
      <w:r w:rsidRPr="00EC0C1C">
        <w:rPr>
          <w:lang w:val="en-GB"/>
        </w:rPr>
        <w:t xml:space="preserve">Glenwood was getting, on average, four to six containers of </w:t>
      </w:r>
      <w:r>
        <w:rPr>
          <w:lang w:val="en-GB"/>
        </w:rPr>
        <w:t>medical device supplies</w:t>
      </w:r>
      <w:r w:rsidRPr="00EC0C1C">
        <w:rPr>
          <w:lang w:val="en-GB"/>
        </w:rPr>
        <w:t xml:space="preserve"> from China and two or three containers from Taiwan per annum</w:t>
      </w:r>
      <w:r>
        <w:rPr>
          <w:lang w:val="en-GB"/>
        </w:rPr>
        <w:t>;</w:t>
      </w:r>
      <w:r w:rsidRPr="00EC0C1C">
        <w:rPr>
          <w:lang w:val="en-GB"/>
        </w:rPr>
        <w:t xml:space="preserve"> </w:t>
      </w:r>
      <w:r>
        <w:rPr>
          <w:lang w:val="en-GB"/>
        </w:rPr>
        <w:t>from</w:t>
      </w:r>
      <w:r w:rsidRPr="00EC0C1C">
        <w:rPr>
          <w:lang w:val="en-GB"/>
        </w:rPr>
        <w:t xml:space="preserve"> Poland it was getting skids </w:t>
      </w:r>
      <w:r>
        <w:rPr>
          <w:lang w:val="en-GB"/>
        </w:rPr>
        <w:t>on a monthly basis</w:t>
      </w:r>
      <w:r w:rsidRPr="00EC0C1C">
        <w:rPr>
          <w:lang w:val="en-GB"/>
        </w:rPr>
        <w:t>. Its total value of imports of medical devices during 2017 was US$701,550</w:t>
      </w:r>
      <w:r>
        <w:rPr>
          <w:lang w:val="en-GB"/>
        </w:rPr>
        <w:t>,</w:t>
      </w:r>
      <w:r w:rsidRPr="00EC0C1C">
        <w:rPr>
          <w:lang w:val="en-GB"/>
        </w:rPr>
        <w:t xml:space="preserve"> of which the </w:t>
      </w:r>
      <w:r>
        <w:rPr>
          <w:lang w:val="en-GB"/>
        </w:rPr>
        <w:t>United States</w:t>
      </w:r>
      <w:r w:rsidRPr="00EC0C1C">
        <w:rPr>
          <w:lang w:val="en-GB"/>
        </w:rPr>
        <w:t xml:space="preserve"> was the largest contributor at US$233,300</w:t>
      </w:r>
      <w:r>
        <w:rPr>
          <w:lang w:val="en-GB"/>
        </w:rPr>
        <w:t>,</w:t>
      </w:r>
      <w:r w:rsidRPr="00EC0C1C">
        <w:rPr>
          <w:lang w:val="en-GB"/>
        </w:rPr>
        <w:t xml:space="preserve"> followed by China at US$197,230, Poland at $184,000</w:t>
      </w:r>
      <w:r>
        <w:rPr>
          <w:lang w:val="en-GB"/>
        </w:rPr>
        <w:t>,</w:t>
      </w:r>
      <w:r w:rsidRPr="00EC0C1C">
        <w:rPr>
          <w:lang w:val="en-GB"/>
        </w:rPr>
        <w:t xml:space="preserve"> and Taiwan at US$87,020. The value of </w:t>
      </w:r>
      <w:proofErr w:type="spellStart"/>
      <w:r w:rsidRPr="00EC0C1C">
        <w:rPr>
          <w:lang w:val="en-GB"/>
        </w:rPr>
        <w:t>aluminum</w:t>
      </w:r>
      <w:proofErr w:type="spellEnd"/>
      <w:r w:rsidRPr="00EC0C1C">
        <w:rPr>
          <w:lang w:val="en-GB"/>
        </w:rPr>
        <w:t xml:space="preserve"> cylinder imports, all from the </w:t>
      </w:r>
      <w:r>
        <w:rPr>
          <w:lang w:val="en-GB"/>
        </w:rPr>
        <w:t>United States</w:t>
      </w:r>
      <w:r w:rsidRPr="00EC0C1C">
        <w:rPr>
          <w:lang w:val="en-GB"/>
        </w:rPr>
        <w:t>, was</w:t>
      </w:r>
      <w:r>
        <w:rPr>
          <w:lang w:val="en-GB"/>
        </w:rPr>
        <w:t xml:space="preserve"> </w:t>
      </w:r>
      <w:r w:rsidRPr="00EC0C1C">
        <w:rPr>
          <w:lang w:val="en-GB"/>
        </w:rPr>
        <w:t>$53,998.</w:t>
      </w:r>
    </w:p>
    <w:p w14:paraId="75BB4E82" w14:textId="77777777" w:rsidR="007A3862" w:rsidRPr="00EC0C1C" w:rsidRDefault="007A3862" w:rsidP="007A3862">
      <w:pPr>
        <w:pStyle w:val="BodyTextMain"/>
        <w:rPr>
          <w:lang w:val="en-GB"/>
        </w:rPr>
      </w:pPr>
    </w:p>
    <w:p w14:paraId="2DBFB4E2" w14:textId="77777777" w:rsidR="007A3862" w:rsidRPr="00EC0C1C" w:rsidRDefault="007A3862" w:rsidP="007A3862">
      <w:pPr>
        <w:pStyle w:val="BodyTextMain"/>
        <w:rPr>
          <w:lang w:val="en-GB"/>
        </w:rPr>
      </w:pPr>
      <w:r w:rsidRPr="00EC0C1C">
        <w:rPr>
          <w:lang w:val="en-GB"/>
        </w:rPr>
        <w:t xml:space="preserve">The company held a three-month inventory of supplies from China and Taiwan at its warehouse in Oakville because that was the average lead time for stock replenishment from the Far East. </w:t>
      </w:r>
      <w:r>
        <w:rPr>
          <w:lang w:val="en-GB"/>
        </w:rPr>
        <w:t>Glenwood</w:t>
      </w:r>
      <w:r w:rsidRPr="00EC0C1C">
        <w:rPr>
          <w:lang w:val="en-GB"/>
        </w:rPr>
        <w:t xml:space="preserve"> usually erred on the higher side in a bid to </w:t>
      </w:r>
      <w:r>
        <w:rPr>
          <w:lang w:val="en-GB"/>
        </w:rPr>
        <w:t>pre-empt</w:t>
      </w:r>
      <w:r w:rsidRPr="00EC0C1C">
        <w:rPr>
          <w:lang w:val="en-GB"/>
        </w:rPr>
        <w:t xml:space="preserve"> a situation of landing a contract from a wholesaler and not having the inventory on its shelves to service the contract. </w:t>
      </w:r>
    </w:p>
    <w:p w14:paraId="2E8B0C0F" w14:textId="77777777" w:rsidR="007A3862" w:rsidRPr="00EC0C1C" w:rsidRDefault="007A3862" w:rsidP="007A3862">
      <w:pPr>
        <w:pStyle w:val="BodyTextMain"/>
        <w:rPr>
          <w:lang w:val="en-GB"/>
        </w:rPr>
      </w:pPr>
    </w:p>
    <w:p w14:paraId="275A59A4" w14:textId="77777777" w:rsidR="007A3862" w:rsidRPr="00EC0C1C" w:rsidRDefault="007A3862" w:rsidP="007A3862">
      <w:pPr>
        <w:pStyle w:val="BodyTextMain"/>
        <w:rPr>
          <w:lang w:val="en-GB"/>
        </w:rPr>
      </w:pPr>
      <w:r w:rsidRPr="00EC0C1C">
        <w:rPr>
          <w:lang w:val="en-GB"/>
        </w:rPr>
        <w:t xml:space="preserve">Glenwood considered its short customer response times and ability to </w:t>
      </w:r>
      <w:proofErr w:type="spellStart"/>
      <w:r w:rsidRPr="00EC0C1C">
        <w:rPr>
          <w:lang w:val="en-GB"/>
        </w:rPr>
        <w:t>fulfill</w:t>
      </w:r>
      <w:proofErr w:type="spellEnd"/>
      <w:r w:rsidRPr="00EC0C1C">
        <w:rPr>
          <w:lang w:val="en-GB"/>
        </w:rPr>
        <w:t xml:space="preserve"> </w:t>
      </w:r>
      <w:r>
        <w:rPr>
          <w:lang w:val="en-GB"/>
        </w:rPr>
        <w:t xml:space="preserve">customer’s </w:t>
      </w:r>
      <w:r w:rsidRPr="00EC0C1C">
        <w:rPr>
          <w:lang w:val="en-GB"/>
        </w:rPr>
        <w:t xml:space="preserve">short orders as its competitive advantages. The company’s major competitors for oxygen cylinders included </w:t>
      </w:r>
      <w:proofErr w:type="spellStart"/>
      <w:r w:rsidRPr="00EC0C1C">
        <w:rPr>
          <w:lang w:val="en-GB"/>
        </w:rPr>
        <w:t>Diversco</w:t>
      </w:r>
      <w:proofErr w:type="spellEnd"/>
      <w:r w:rsidRPr="00EC0C1C">
        <w:rPr>
          <w:lang w:val="en-GB"/>
        </w:rPr>
        <w:t xml:space="preserve"> Supply Inc</w:t>
      </w:r>
      <w:r>
        <w:rPr>
          <w:lang w:val="en-GB"/>
        </w:rPr>
        <w:t>.</w:t>
      </w:r>
      <w:r w:rsidRPr="00EC0C1C">
        <w:rPr>
          <w:lang w:val="en-GB"/>
        </w:rPr>
        <w:t xml:space="preserve">, which served a broader industry category </w:t>
      </w:r>
      <w:r>
        <w:rPr>
          <w:lang w:val="en-GB"/>
        </w:rPr>
        <w:t>of propane and natural gas equipment</w:t>
      </w:r>
      <w:r w:rsidRPr="00EC0C1C">
        <w:rPr>
          <w:lang w:val="en-GB"/>
        </w:rPr>
        <w:t>; O-Two Medical Technologies</w:t>
      </w:r>
      <w:r>
        <w:rPr>
          <w:lang w:val="en-GB"/>
        </w:rPr>
        <w:t xml:space="preserve"> Inc.</w:t>
      </w:r>
      <w:r w:rsidRPr="00EC0C1C">
        <w:rPr>
          <w:lang w:val="en-GB"/>
        </w:rPr>
        <w:t xml:space="preserve">, which provided a range of respiratory devices; and </w:t>
      </w:r>
      <w:proofErr w:type="spellStart"/>
      <w:r w:rsidRPr="00EC0C1C">
        <w:rPr>
          <w:lang w:val="en-GB"/>
        </w:rPr>
        <w:t>Medigas</w:t>
      </w:r>
      <w:proofErr w:type="spellEnd"/>
      <w:r w:rsidRPr="00EC0C1C">
        <w:rPr>
          <w:lang w:val="en-GB"/>
        </w:rPr>
        <w:t>, which specialized in home oxygen therapy.</w:t>
      </w:r>
    </w:p>
    <w:p w14:paraId="502DB946" w14:textId="77777777" w:rsidR="007A3862" w:rsidRPr="00EC0C1C" w:rsidRDefault="007A3862" w:rsidP="007A3862">
      <w:pPr>
        <w:pStyle w:val="BodyTextMain"/>
        <w:rPr>
          <w:lang w:val="en-GB"/>
        </w:rPr>
      </w:pPr>
    </w:p>
    <w:p w14:paraId="0529A453" w14:textId="77777777" w:rsidR="007A3862" w:rsidRPr="00EC0C1C" w:rsidRDefault="007A3862" w:rsidP="007A3862">
      <w:pPr>
        <w:pStyle w:val="BodyTextMain"/>
        <w:rPr>
          <w:lang w:val="en-GB"/>
        </w:rPr>
      </w:pPr>
      <w:r w:rsidRPr="00EC0C1C">
        <w:rPr>
          <w:lang w:val="en-GB"/>
        </w:rPr>
        <w:t xml:space="preserve">Glenwood had to ensure that its overseas suppliers were compliant with </w:t>
      </w:r>
      <w:r>
        <w:rPr>
          <w:lang w:val="en-GB"/>
        </w:rPr>
        <w:t>Health Canada</w:t>
      </w:r>
      <w:r w:rsidRPr="00EC0C1C">
        <w:rPr>
          <w:lang w:val="en-GB"/>
        </w:rPr>
        <w:t xml:space="preserve"> requirements and held recognized certifications. </w:t>
      </w:r>
      <w:r>
        <w:rPr>
          <w:lang w:val="en-GB"/>
        </w:rPr>
        <w:t>For</w:t>
      </w:r>
      <w:r w:rsidRPr="00EC0C1C">
        <w:rPr>
          <w:lang w:val="en-GB"/>
        </w:rPr>
        <w:t xml:space="preserve"> its part, Glenwood itself was subject to periodic </w:t>
      </w:r>
      <w:r>
        <w:rPr>
          <w:lang w:val="en-GB"/>
        </w:rPr>
        <w:t>audits</w:t>
      </w:r>
      <w:r w:rsidRPr="00EC0C1C">
        <w:rPr>
          <w:lang w:val="en-GB"/>
        </w:rPr>
        <w:t xml:space="preserve"> from SGS, a global certification agency accredited by Health Canada. The cost of compliance in the </w:t>
      </w:r>
      <w:r>
        <w:rPr>
          <w:lang w:val="en-GB"/>
        </w:rPr>
        <w:t>health care</w:t>
      </w:r>
      <w:r w:rsidRPr="00EC0C1C">
        <w:rPr>
          <w:lang w:val="en-GB"/>
        </w:rPr>
        <w:t xml:space="preserve"> industry was high.</w:t>
      </w:r>
      <w:r>
        <w:rPr>
          <w:lang w:val="en-GB"/>
        </w:rPr>
        <w:t xml:space="preserve"> </w:t>
      </w:r>
      <w:r w:rsidRPr="00EC0C1C">
        <w:rPr>
          <w:lang w:val="en-GB"/>
        </w:rPr>
        <w:t xml:space="preserve">An SGS audit, for example, cost Glenwood US$24,000. The annual cost of compliance (including </w:t>
      </w:r>
      <w:r>
        <w:rPr>
          <w:lang w:val="en-GB"/>
        </w:rPr>
        <w:t>licences</w:t>
      </w:r>
      <w:r w:rsidRPr="00EC0C1C">
        <w:rPr>
          <w:lang w:val="en-GB"/>
        </w:rPr>
        <w:t>, audits</w:t>
      </w:r>
      <w:r>
        <w:rPr>
          <w:lang w:val="en-GB"/>
        </w:rPr>
        <w:t>,</w:t>
      </w:r>
      <w:r w:rsidRPr="00EC0C1C">
        <w:rPr>
          <w:lang w:val="en-GB"/>
        </w:rPr>
        <w:t xml:space="preserve"> and staff time) averaged </w:t>
      </w:r>
      <w:r>
        <w:rPr>
          <w:lang w:val="en-GB"/>
        </w:rPr>
        <w:t>CA</w:t>
      </w:r>
      <w:r w:rsidRPr="00EC0C1C">
        <w:rPr>
          <w:lang w:val="en-GB"/>
        </w:rPr>
        <w:t xml:space="preserve">$80,000 for Glenwood. </w:t>
      </w:r>
    </w:p>
    <w:p w14:paraId="2991BB3A" w14:textId="77777777" w:rsidR="007A3862" w:rsidRPr="00EC0C1C" w:rsidRDefault="007A3862" w:rsidP="007A3862">
      <w:pPr>
        <w:pStyle w:val="BodyTextMain"/>
        <w:rPr>
          <w:lang w:val="en-GB"/>
        </w:rPr>
      </w:pPr>
    </w:p>
    <w:p w14:paraId="56C866F4" w14:textId="6C036BA5" w:rsidR="007A3862" w:rsidRDefault="007A3862" w:rsidP="007A3862">
      <w:pPr>
        <w:pStyle w:val="BodyTextMain"/>
        <w:rPr>
          <w:lang w:val="en-GB"/>
        </w:rPr>
      </w:pPr>
      <w:r w:rsidRPr="00EC0C1C">
        <w:rPr>
          <w:lang w:val="en-GB"/>
        </w:rPr>
        <w:lastRenderedPageBreak/>
        <w:t>Glenwood’s customer profile consisted of wholesale distributors (76 per cent of revenue), health clinics (12 per cent), hospitals (</w:t>
      </w:r>
      <w:r>
        <w:rPr>
          <w:lang w:val="en-GB"/>
        </w:rPr>
        <w:t>8</w:t>
      </w:r>
      <w:r w:rsidRPr="00EC0C1C">
        <w:rPr>
          <w:lang w:val="en-GB"/>
        </w:rPr>
        <w:t xml:space="preserve"> per cent), and </w:t>
      </w:r>
      <w:r>
        <w:rPr>
          <w:lang w:val="en-GB"/>
        </w:rPr>
        <w:t>end-users</w:t>
      </w:r>
      <w:r w:rsidRPr="00EC0C1C">
        <w:rPr>
          <w:lang w:val="en-GB"/>
        </w:rPr>
        <w:t xml:space="preserve"> (</w:t>
      </w:r>
      <w:r>
        <w:rPr>
          <w:lang w:val="en-GB"/>
        </w:rPr>
        <w:t>4</w:t>
      </w:r>
      <w:r w:rsidRPr="00EC0C1C">
        <w:rPr>
          <w:lang w:val="en-GB"/>
        </w:rPr>
        <w:t xml:space="preserve"> per cent). The Stevens Company was one of the company’s large and </w:t>
      </w:r>
      <w:r>
        <w:rPr>
          <w:lang w:val="en-GB"/>
        </w:rPr>
        <w:t>long-standing</w:t>
      </w:r>
      <w:r w:rsidRPr="00EC0C1C">
        <w:rPr>
          <w:lang w:val="en-GB"/>
        </w:rPr>
        <w:t xml:space="preserve"> customers in the distributor category. The wholesaler had 30 field representatives promoting products from Glenwood, among others, to Canadian </w:t>
      </w:r>
      <w:r>
        <w:rPr>
          <w:lang w:val="en-GB"/>
        </w:rPr>
        <w:t>end-users</w:t>
      </w:r>
      <w:r w:rsidRPr="00EC0C1C">
        <w:rPr>
          <w:lang w:val="en-GB"/>
        </w:rPr>
        <w:t xml:space="preserve">. </w:t>
      </w:r>
    </w:p>
    <w:p w14:paraId="5A4593F9" w14:textId="77777777" w:rsidR="00024B62" w:rsidRPr="00EC0C1C" w:rsidRDefault="00024B62" w:rsidP="007A3862">
      <w:pPr>
        <w:pStyle w:val="BodyTextMain"/>
        <w:rPr>
          <w:lang w:val="en-GB"/>
        </w:rPr>
      </w:pPr>
    </w:p>
    <w:p w14:paraId="61227209" w14:textId="4022CCDA" w:rsidR="007A3862" w:rsidRPr="00EC0C1C" w:rsidRDefault="007A3862" w:rsidP="007A3862">
      <w:pPr>
        <w:pStyle w:val="BodyTextMain"/>
        <w:rPr>
          <w:lang w:val="en-GB"/>
        </w:rPr>
      </w:pPr>
      <w:bookmarkStart w:id="2" w:name="_Hlk4931373"/>
      <w:r w:rsidRPr="00EC0C1C">
        <w:rPr>
          <w:lang w:val="en-GB"/>
        </w:rPr>
        <w:t xml:space="preserve">Glenwood had revenue of $2.1 million in 2017. It had grown between </w:t>
      </w:r>
      <w:r>
        <w:rPr>
          <w:lang w:val="en-GB"/>
        </w:rPr>
        <w:t>8</w:t>
      </w:r>
      <w:r w:rsidRPr="00EC0C1C">
        <w:rPr>
          <w:lang w:val="en-GB"/>
        </w:rPr>
        <w:t xml:space="preserve"> and 16 per cent </w:t>
      </w:r>
      <w:r>
        <w:rPr>
          <w:lang w:val="en-GB"/>
        </w:rPr>
        <w:t>per year</w:t>
      </w:r>
      <w:r w:rsidRPr="00EC0C1C">
        <w:rPr>
          <w:lang w:val="en-GB"/>
        </w:rPr>
        <w:t xml:space="preserve"> for the last five years. The company was importing about 750 </w:t>
      </w:r>
      <w:proofErr w:type="spellStart"/>
      <w:r w:rsidRPr="00EC0C1C">
        <w:rPr>
          <w:lang w:val="en-GB"/>
        </w:rPr>
        <w:t>aluminum</w:t>
      </w:r>
      <w:proofErr w:type="spellEnd"/>
      <w:r w:rsidRPr="00EC0C1C">
        <w:rPr>
          <w:lang w:val="en-GB"/>
        </w:rPr>
        <w:t xml:space="preserve"> cylinders</w:t>
      </w:r>
      <w:r>
        <w:rPr>
          <w:lang w:val="en-GB"/>
        </w:rPr>
        <w:t xml:space="preserve">, </w:t>
      </w:r>
      <w:r w:rsidRPr="00EC0C1C">
        <w:rPr>
          <w:lang w:val="en-GB"/>
        </w:rPr>
        <w:t>valued at about $25,000</w:t>
      </w:r>
      <w:r>
        <w:rPr>
          <w:lang w:val="en-GB"/>
        </w:rPr>
        <w:t>,</w:t>
      </w:r>
      <w:r w:rsidRPr="00EC0C1C">
        <w:rPr>
          <w:lang w:val="en-GB"/>
        </w:rPr>
        <w:t xml:space="preserve"> from the </w:t>
      </w:r>
      <w:r>
        <w:rPr>
          <w:lang w:val="en-GB"/>
        </w:rPr>
        <w:t xml:space="preserve">United States </w:t>
      </w:r>
      <w:r w:rsidRPr="00EC0C1C">
        <w:rPr>
          <w:lang w:val="en-GB"/>
        </w:rPr>
        <w:t>per annum</w:t>
      </w:r>
      <w:bookmarkEnd w:id="2"/>
      <w:r w:rsidRPr="00EC0C1C">
        <w:rPr>
          <w:lang w:val="en-GB"/>
        </w:rPr>
        <w:t xml:space="preserve"> </w:t>
      </w:r>
      <w:r>
        <w:rPr>
          <w:lang w:val="en-GB"/>
        </w:rPr>
        <w:t xml:space="preserve">and </w:t>
      </w:r>
      <w:r w:rsidRPr="00EC0C1C">
        <w:rPr>
          <w:lang w:val="en-GB"/>
        </w:rPr>
        <w:t xml:space="preserve">selling them in Canada at a </w:t>
      </w:r>
      <w:proofErr w:type="spellStart"/>
      <w:r>
        <w:rPr>
          <w:lang w:val="en-GB"/>
        </w:rPr>
        <w:t>markup</w:t>
      </w:r>
      <w:proofErr w:type="spellEnd"/>
      <w:r w:rsidRPr="00EC0C1C">
        <w:rPr>
          <w:lang w:val="en-GB"/>
        </w:rPr>
        <w:t xml:space="preserve"> of between 50 and 60 per cent over the landed cost. </w:t>
      </w:r>
    </w:p>
    <w:p w14:paraId="017DA37B" w14:textId="77777777" w:rsidR="007A3862" w:rsidRPr="00EC0C1C" w:rsidRDefault="007A3862" w:rsidP="007A3862">
      <w:pPr>
        <w:pStyle w:val="BodyTextMain"/>
        <w:rPr>
          <w:lang w:val="en-GB"/>
        </w:rPr>
      </w:pPr>
    </w:p>
    <w:p w14:paraId="4BF561DA" w14:textId="77777777" w:rsidR="007A3862" w:rsidRPr="00EC0C1C" w:rsidRDefault="007A3862" w:rsidP="007A3862">
      <w:pPr>
        <w:pStyle w:val="BodyTextMain"/>
        <w:rPr>
          <w:lang w:val="en-GB"/>
        </w:rPr>
      </w:pPr>
    </w:p>
    <w:p w14:paraId="1FB7BC91" w14:textId="77777777" w:rsidR="007A3862" w:rsidRPr="00EC0C1C" w:rsidRDefault="007A3862" w:rsidP="007A3862">
      <w:pPr>
        <w:pStyle w:val="Casehead1"/>
        <w:rPr>
          <w:lang w:val="en-GB"/>
        </w:rPr>
      </w:pPr>
      <w:r>
        <w:rPr>
          <w:lang w:val="en-GB"/>
        </w:rPr>
        <w:t>Canada–United States</w:t>
      </w:r>
      <w:r w:rsidRPr="00EC0C1C">
        <w:rPr>
          <w:lang w:val="en-GB"/>
        </w:rPr>
        <w:t xml:space="preserve"> TRADE WAR </w:t>
      </w:r>
    </w:p>
    <w:p w14:paraId="66C9D9D8" w14:textId="77777777" w:rsidR="007A3862" w:rsidRPr="00EC0C1C" w:rsidRDefault="007A3862" w:rsidP="007A3862">
      <w:pPr>
        <w:pStyle w:val="BodyTextMain"/>
        <w:rPr>
          <w:lang w:val="en-GB"/>
        </w:rPr>
      </w:pPr>
    </w:p>
    <w:p w14:paraId="68B72522" w14:textId="77777777" w:rsidR="007A3862" w:rsidRPr="00EC0C1C" w:rsidRDefault="007A3862" w:rsidP="007A3862">
      <w:pPr>
        <w:pStyle w:val="BodyTextMain"/>
        <w:rPr>
          <w:lang w:val="en-GB"/>
        </w:rPr>
      </w:pPr>
      <w:r w:rsidRPr="00EC0C1C">
        <w:rPr>
          <w:lang w:val="en-GB"/>
        </w:rPr>
        <w:t xml:space="preserve">The signing of the </w:t>
      </w:r>
      <w:r>
        <w:rPr>
          <w:lang w:val="en-GB"/>
        </w:rPr>
        <w:t>Canada–United States</w:t>
      </w:r>
      <w:r w:rsidRPr="00EC0C1C">
        <w:rPr>
          <w:lang w:val="en-GB"/>
        </w:rPr>
        <w:t xml:space="preserve"> Free Trade Agreement (CUSFTA) in October 1987 was a leap forward in the liberalization of trade between Canada and the </w:t>
      </w:r>
      <w:r>
        <w:rPr>
          <w:lang w:val="en-GB"/>
        </w:rPr>
        <w:t>United States</w:t>
      </w:r>
      <w:r w:rsidRPr="00EC0C1C">
        <w:rPr>
          <w:lang w:val="en-GB"/>
        </w:rPr>
        <w:t xml:space="preserve">. The elimination of tariffs and the reduction in non-tariff barriers (like quotas) were the two anchors of the agreement. CUSFTA placed both Canada and the </w:t>
      </w:r>
      <w:r>
        <w:rPr>
          <w:lang w:val="en-GB"/>
        </w:rPr>
        <w:t>United States</w:t>
      </w:r>
      <w:r w:rsidRPr="00EC0C1C">
        <w:rPr>
          <w:lang w:val="en-GB"/>
        </w:rPr>
        <w:t xml:space="preserve"> at the forefront of a movement</w:t>
      </w:r>
      <w:r>
        <w:rPr>
          <w:lang w:val="en-GB"/>
        </w:rPr>
        <w:t xml:space="preserve"> toward</w:t>
      </w:r>
      <w:r w:rsidRPr="00EC0C1C">
        <w:rPr>
          <w:lang w:val="en-GB"/>
        </w:rPr>
        <w:t xml:space="preserve"> the free flow of goods and services across national borders</w:t>
      </w:r>
      <w:r>
        <w:rPr>
          <w:lang w:val="en-GB"/>
        </w:rPr>
        <w:t>—a movement that would</w:t>
      </w:r>
      <w:r w:rsidRPr="00EC0C1C">
        <w:rPr>
          <w:lang w:val="en-GB"/>
        </w:rPr>
        <w:t xml:space="preserve"> gather momentum worldwide in the next two decades. </w:t>
      </w:r>
    </w:p>
    <w:p w14:paraId="5518783F" w14:textId="77777777" w:rsidR="007A3862" w:rsidRPr="00EC0C1C" w:rsidRDefault="007A3862" w:rsidP="007A3862">
      <w:pPr>
        <w:pStyle w:val="BodyTextMain"/>
        <w:rPr>
          <w:lang w:val="en-GB"/>
        </w:rPr>
      </w:pPr>
    </w:p>
    <w:p w14:paraId="26C9DC22" w14:textId="77777777" w:rsidR="007A3862" w:rsidRDefault="007A3862" w:rsidP="007A3862">
      <w:pPr>
        <w:pStyle w:val="BodyTextMain"/>
        <w:rPr>
          <w:lang w:val="en-GB"/>
        </w:rPr>
      </w:pPr>
      <w:r w:rsidRPr="00EC0C1C">
        <w:rPr>
          <w:lang w:val="en-GB"/>
        </w:rPr>
        <w:t xml:space="preserve">Between 1988 and 2017, the trend in </w:t>
      </w:r>
      <w:r>
        <w:rPr>
          <w:lang w:val="en-GB"/>
        </w:rPr>
        <w:t>Canada–United States</w:t>
      </w:r>
      <w:r w:rsidRPr="00EC0C1C">
        <w:rPr>
          <w:lang w:val="en-GB"/>
        </w:rPr>
        <w:t xml:space="preserve"> trade tariffs was, generally, in one direction</w:t>
      </w:r>
      <w:r>
        <w:rPr>
          <w:lang w:val="en-GB"/>
        </w:rPr>
        <w:t>—</w:t>
      </w:r>
      <w:r w:rsidRPr="00EC0C1C">
        <w:rPr>
          <w:lang w:val="en-GB"/>
        </w:rPr>
        <w:t>down. In 1988, for example, Canada collected duties equivalent to 2.6 per cent of the value of all US imports. In 2017, the ratio of Canadian duties to overall US imports was 0.2 per cent.</w:t>
      </w:r>
      <w:r w:rsidRPr="00EC0C1C">
        <w:rPr>
          <w:vertAlign w:val="superscript"/>
          <w:lang w:val="en-GB"/>
        </w:rPr>
        <w:footnoteReference w:id="6"/>
      </w:r>
      <w:r w:rsidRPr="00EC0C1C">
        <w:rPr>
          <w:lang w:val="en-GB"/>
        </w:rPr>
        <w:t xml:space="preserve"> The momentum continued even after CUSFTA was replaced by NAFTA in 1994, which brought a third partner, Mexico, into the fold. </w:t>
      </w:r>
    </w:p>
    <w:p w14:paraId="290ED6A0" w14:textId="77777777" w:rsidR="007A3862" w:rsidRPr="00EC0C1C" w:rsidRDefault="007A3862" w:rsidP="007A3862">
      <w:pPr>
        <w:pStyle w:val="BodyTextMain"/>
        <w:rPr>
          <w:lang w:val="en-GB"/>
        </w:rPr>
      </w:pPr>
    </w:p>
    <w:p w14:paraId="394C7C89" w14:textId="56C5272A" w:rsidR="007A3862" w:rsidRPr="00EC0C1C" w:rsidRDefault="007A3862" w:rsidP="007A3862">
      <w:pPr>
        <w:pStyle w:val="BodyTextMain"/>
        <w:rPr>
          <w:lang w:val="en-GB"/>
        </w:rPr>
      </w:pPr>
      <w:r w:rsidRPr="00EC0C1C">
        <w:rPr>
          <w:bCs/>
          <w:lang w:val="en-GB"/>
        </w:rPr>
        <w:t xml:space="preserve">The trend was, however, set for reversal when Donald Trump was elected </w:t>
      </w:r>
      <w:r>
        <w:rPr>
          <w:bCs/>
          <w:lang w:val="en-GB"/>
        </w:rPr>
        <w:t>president of the United States</w:t>
      </w:r>
      <w:r w:rsidRPr="00EC0C1C">
        <w:rPr>
          <w:bCs/>
          <w:lang w:val="en-GB"/>
        </w:rPr>
        <w:t xml:space="preserve"> in late 2016. He had contested the election on a twin platform of reviving the manufacturing heartland of Michigan, Ohio</w:t>
      </w:r>
      <w:r>
        <w:rPr>
          <w:bCs/>
          <w:lang w:val="en-GB"/>
        </w:rPr>
        <w:t>,</w:t>
      </w:r>
      <w:r w:rsidRPr="00EC0C1C">
        <w:rPr>
          <w:bCs/>
          <w:lang w:val="en-GB"/>
        </w:rPr>
        <w:t xml:space="preserve"> and Pennsylvania and ensuring that American companies would “buy American, make American, and hire American.” The latter move was protectionist in nature, undermining the framework of trade rules, built assiduously after </w:t>
      </w:r>
      <w:r>
        <w:rPr>
          <w:bCs/>
          <w:lang w:val="en-GB"/>
        </w:rPr>
        <w:t xml:space="preserve">the Second </w:t>
      </w:r>
      <w:r w:rsidRPr="00EC0C1C">
        <w:rPr>
          <w:bCs/>
          <w:lang w:val="en-GB"/>
        </w:rPr>
        <w:t xml:space="preserve">World War, under the aegis of the WTO. Soon after taking office, Trump started examining the possibility of citing US </w:t>
      </w:r>
      <w:r w:rsidRPr="00EC0C1C">
        <w:rPr>
          <w:lang w:val="en-GB"/>
        </w:rPr>
        <w:t xml:space="preserve">national security as the basis for imposing tariffs on the country’s trading partners. The argument </w:t>
      </w:r>
      <w:r w:rsidR="00ED6792">
        <w:rPr>
          <w:lang w:val="en-GB"/>
        </w:rPr>
        <w:t>was</w:t>
      </w:r>
      <w:r w:rsidRPr="00EC0C1C">
        <w:rPr>
          <w:lang w:val="en-GB"/>
        </w:rPr>
        <w:t xml:space="preserve"> that US defence needed to safeguard domestic supplies of raw materials like steel and </w:t>
      </w:r>
      <w:proofErr w:type="spellStart"/>
      <w:r w:rsidRPr="00EC0C1C">
        <w:rPr>
          <w:lang w:val="en-GB"/>
        </w:rPr>
        <w:t>aluminum</w:t>
      </w:r>
      <w:proofErr w:type="spellEnd"/>
      <w:r w:rsidRPr="00EC0C1C">
        <w:rPr>
          <w:lang w:val="en-GB"/>
        </w:rPr>
        <w:t xml:space="preserve"> for the manufacture of military tanks and ships. As the WTO had a clear provision for exemptions on grounds of national security, member countries would not be able to challenge the US tariffs as unfair trade practice. </w:t>
      </w:r>
    </w:p>
    <w:p w14:paraId="46526764" w14:textId="77777777" w:rsidR="007A3862" w:rsidRPr="00EC0C1C" w:rsidRDefault="007A3862" w:rsidP="007A3862">
      <w:pPr>
        <w:pStyle w:val="BodyTextMain"/>
        <w:rPr>
          <w:lang w:val="en-GB"/>
        </w:rPr>
      </w:pPr>
    </w:p>
    <w:p w14:paraId="62553613" w14:textId="77777777" w:rsidR="007A3862" w:rsidRPr="00EC0C1C" w:rsidRDefault="007A3862" w:rsidP="007A3862">
      <w:pPr>
        <w:pStyle w:val="BodyTextMain"/>
        <w:rPr>
          <w:lang w:val="en-GB"/>
        </w:rPr>
      </w:pPr>
      <w:r w:rsidRPr="00EC0C1C">
        <w:rPr>
          <w:lang w:val="en-GB"/>
        </w:rPr>
        <w:t xml:space="preserve">In April 2017, President Trump directed Commerce Secretary Wilbur Ross to investigate the impact of steel and </w:t>
      </w:r>
      <w:proofErr w:type="spellStart"/>
      <w:r w:rsidRPr="00EC0C1C">
        <w:rPr>
          <w:lang w:val="en-GB"/>
        </w:rPr>
        <w:t>aluminum</w:t>
      </w:r>
      <w:proofErr w:type="spellEnd"/>
      <w:r w:rsidRPr="00EC0C1C">
        <w:rPr>
          <w:lang w:val="en-GB"/>
        </w:rPr>
        <w:t xml:space="preserve"> imports on US national security, pursuant to </w:t>
      </w:r>
      <w:r>
        <w:rPr>
          <w:lang w:val="en-GB"/>
        </w:rPr>
        <w:t>section</w:t>
      </w:r>
      <w:r w:rsidRPr="00EC0C1C">
        <w:rPr>
          <w:lang w:val="en-GB"/>
        </w:rPr>
        <w:t xml:space="preserve"> 232 of the Trade Expansion Act of 1962.</w:t>
      </w:r>
      <w:r w:rsidRPr="00EC0C1C">
        <w:rPr>
          <w:vertAlign w:val="superscript"/>
          <w:lang w:val="en-GB"/>
        </w:rPr>
        <w:footnoteReference w:id="7"/>
      </w:r>
      <w:r w:rsidRPr="00EC0C1C">
        <w:rPr>
          <w:lang w:val="en-GB"/>
        </w:rPr>
        <w:t xml:space="preserve"> The rarely used provision gave the President sole discretion to take a unilateral action, without Congressional approval, to “adjust the imports of such article so that such imports will not threaten to impair the national security.” On March 8, 2018, Trump enforced the tariffs of 25 per cent and 10 per cent on US imports of steel and </w:t>
      </w:r>
      <w:proofErr w:type="spellStart"/>
      <w:r w:rsidRPr="00EC0C1C">
        <w:rPr>
          <w:lang w:val="en-GB"/>
        </w:rPr>
        <w:t>aluminum</w:t>
      </w:r>
      <w:proofErr w:type="spellEnd"/>
      <w:r>
        <w:rPr>
          <w:lang w:val="en-GB"/>
        </w:rPr>
        <w:t>,</w:t>
      </w:r>
      <w:r w:rsidRPr="00EC0C1C">
        <w:rPr>
          <w:lang w:val="en-GB"/>
        </w:rPr>
        <w:t xml:space="preserve"> respectively.</w:t>
      </w:r>
      <w:r>
        <w:rPr>
          <w:lang w:val="en-GB"/>
        </w:rPr>
        <w:t xml:space="preserve"> </w:t>
      </w:r>
    </w:p>
    <w:p w14:paraId="7A08736E" w14:textId="77777777" w:rsidR="007A3862" w:rsidRPr="00EC0C1C" w:rsidRDefault="007A3862" w:rsidP="007A3862">
      <w:pPr>
        <w:pStyle w:val="BodyTextMain"/>
        <w:rPr>
          <w:lang w:val="en-GB"/>
        </w:rPr>
      </w:pPr>
    </w:p>
    <w:p w14:paraId="31413ED2" w14:textId="12198E75" w:rsidR="007A3862" w:rsidRDefault="007A3862" w:rsidP="007A3862">
      <w:pPr>
        <w:pStyle w:val="BodyTextMain"/>
        <w:rPr>
          <w:lang w:val="en-GB"/>
        </w:rPr>
      </w:pPr>
      <w:r w:rsidRPr="00EC0C1C">
        <w:rPr>
          <w:lang w:val="en-GB"/>
        </w:rPr>
        <w:t xml:space="preserve">The President’s rationale for the </w:t>
      </w:r>
      <w:proofErr w:type="spellStart"/>
      <w:r w:rsidRPr="00EC0C1C">
        <w:rPr>
          <w:lang w:val="en-GB"/>
        </w:rPr>
        <w:t>aluminum</w:t>
      </w:r>
      <w:proofErr w:type="spellEnd"/>
      <w:r w:rsidRPr="00EC0C1C">
        <w:rPr>
          <w:lang w:val="en-GB"/>
        </w:rPr>
        <w:t xml:space="preserve"> tariff, beyond national security, was </w:t>
      </w:r>
      <w:r>
        <w:rPr>
          <w:lang w:val="en-GB"/>
        </w:rPr>
        <w:t>twofold</w:t>
      </w:r>
      <w:r w:rsidRPr="00EC0C1C">
        <w:rPr>
          <w:lang w:val="en-GB"/>
        </w:rPr>
        <w:t xml:space="preserve">. First, it would “help our domestic </w:t>
      </w:r>
      <w:proofErr w:type="spellStart"/>
      <w:r w:rsidRPr="00EC0C1C">
        <w:rPr>
          <w:lang w:val="en-GB"/>
        </w:rPr>
        <w:t>aluminum</w:t>
      </w:r>
      <w:proofErr w:type="spellEnd"/>
      <w:r w:rsidRPr="00EC0C1C">
        <w:rPr>
          <w:lang w:val="en-GB"/>
        </w:rPr>
        <w:t xml:space="preserve"> industry to revive idled facilities, open closed smelters and mills, preserve </w:t>
      </w:r>
      <w:r w:rsidRPr="00EC0C1C">
        <w:rPr>
          <w:lang w:val="en-GB"/>
        </w:rPr>
        <w:lastRenderedPageBreak/>
        <w:t xml:space="preserve">necessary skills by hiring new </w:t>
      </w:r>
      <w:proofErr w:type="spellStart"/>
      <w:r w:rsidRPr="00EC0C1C">
        <w:rPr>
          <w:lang w:val="en-GB"/>
        </w:rPr>
        <w:t>aluminum</w:t>
      </w:r>
      <w:proofErr w:type="spellEnd"/>
      <w:r w:rsidRPr="00EC0C1C">
        <w:rPr>
          <w:lang w:val="en-GB"/>
        </w:rPr>
        <w:t xml:space="preserve"> workers, and maintain or increase production, which will reduce our Nation’s need to rely on foreign producers for </w:t>
      </w:r>
      <w:proofErr w:type="spellStart"/>
      <w:r w:rsidRPr="00EC0C1C">
        <w:rPr>
          <w:lang w:val="en-GB"/>
        </w:rPr>
        <w:t>aluminum</w:t>
      </w:r>
      <w:proofErr w:type="spellEnd"/>
      <w:r w:rsidRPr="00EC0C1C">
        <w:rPr>
          <w:lang w:val="en-GB"/>
        </w:rPr>
        <w:t xml:space="preserve"> and ensure that domestic producers can continue to supply all the </w:t>
      </w:r>
      <w:proofErr w:type="spellStart"/>
      <w:r w:rsidRPr="00EC0C1C">
        <w:rPr>
          <w:lang w:val="en-GB"/>
        </w:rPr>
        <w:t>aluminum</w:t>
      </w:r>
      <w:proofErr w:type="spellEnd"/>
      <w:r w:rsidRPr="00EC0C1C">
        <w:rPr>
          <w:lang w:val="en-GB"/>
        </w:rPr>
        <w:t xml:space="preserve"> necessary for critical industries and national </w:t>
      </w:r>
      <w:proofErr w:type="spellStart"/>
      <w:r w:rsidRPr="00EC0C1C">
        <w:rPr>
          <w:lang w:val="en-GB"/>
        </w:rPr>
        <w:t>defense</w:t>
      </w:r>
      <w:proofErr w:type="spellEnd"/>
      <w:r w:rsidRPr="00EC0C1C">
        <w:rPr>
          <w:lang w:val="en-GB"/>
        </w:rPr>
        <w:t>.”</w:t>
      </w:r>
      <w:r w:rsidRPr="00EC0C1C">
        <w:rPr>
          <w:vertAlign w:val="superscript"/>
          <w:lang w:val="en-GB"/>
        </w:rPr>
        <w:footnoteReference w:id="8"/>
      </w:r>
      <w:r w:rsidRPr="00EC0C1C">
        <w:rPr>
          <w:lang w:val="en-GB"/>
        </w:rPr>
        <w:t xml:space="preserve"> </w:t>
      </w:r>
    </w:p>
    <w:p w14:paraId="797AC803" w14:textId="77777777" w:rsidR="00024B62" w:rsidRPr="00EC0C1C" w:rsidRDefault="00024B62" w:rsidP="007A3862">
      <w:pPr>
        <w:pStyle w:val="BodyTextMain"/>
        <w:rPr>
          <w:lang w:val="en-GB"/>
        </w:rPr>
      </w:pPr>
    </w:p>
    <w:p w14:paraId="2F13BB82" w14:textId="77777777" w:rsidR="007A3862" w:rsidRPr="00EC0C1C" w:rsidRDefault="007A3862" w:rsidP="007A3862">
      <w:pPr>
        <w:pStyle w:val="BodyTextMain"/>
        <w:rPr>
          <w:lang w:val="en-GB"/>
        </w:rPr>
      </w:pPr>
      <w:r w:rsidRPr="00EC0C1C">
        <w:rPr>
          <w:lang w:val="en-GB"/>
        </w:rPr>
        <w:t xml:space="preserve">Second, over the past two decades, China and other countries had provided massive subsidies to not only create excess capacity but also drive down international prices below cost. This forced many producers in the </w:t>
      </w:r>
      <w:r>
        <w:rPr>
          <w:lang w:val="en-GB"/>
        </w:rPr>
        <w:t xml:space="preserve">United States—a country that had been </w:t>
      </w:r>
      <w:r w:rsidRPr="00EC0C1C">
        <w:rPr>
          <w:lang w:val="en-GB"/>
        </w:rPr>
        <w:t>a long-standing proponent of free trade</w:t>
      </w:r>
      <w:r>
        <w:rPr>
          <w:lang w:val="en-GB"/>
        </w:rPr>
        <w:t>—</w:t>
      </w:r>
      <w:r w:rsidRPr="00EC0C1C">
        <w:rPr>
          <w:lang w:val="en-GB"/>
        </w:rPr>
        <w:t xml:space="preserve">out of business. </w:t>
      </w:r>
    </w:p>
    <w:p w14:paraId="230D2D11" w14:textId="77777777" w:rsidR="007A3862" w:rsidRPr="00EC0C1C" w:rsidRDefault="007A3862" w:rsidP="007A3862">
      <w:pPr>
        <w:pStyle w:val="BodyTextMain"/>
        <w:rPr>
          <w:lang w:val="en-GB"/>
        </w:rPr>
      </w:pPr>
    </w:p>
    <w:p w14:paraId="4B86998D" w14:textId="77777777" w:rsidR="007A3862" w:rsidRPr="00EC0C1C" w:rsidRDefault="007A3862" w:rsidP="007A3862">
      <w:pPr>
        <w:pStyle w:val="BodyTextMain"/>
        <w:rPr>
          <w:lang w:val="en-GB"/>
        </w:rPr>
      </w:pPr>
      <w:r w:rsidRPr="00EC0C1C">
        <w:rPr>
          <w:lang w:val="en-GB"/>
        </w:rPr>
        <w:t xml:space="preserve">The 10 per cent tariff on Canadian </w:t>
      </w:r>
      <w:proofErr w:type="spellStart"/>
      <w:r w:rsidRPr="00EC0C1C">
        <w:rPr>
          <w:lang w:val="en-GB"/>
        </w:rPr>
        <w:t>aluminum</w:t>
      </w:r>
      <w:proofErr w:type="spellEnd"/>
      <w:r w:rsidRPr="00EC0C1C">
        <w:rPr>
          <w:lang w:val="en-GB"/>
        </w:rPr>
        <w:t xml:space="preserve"> applied to the following harmonized system (HS) codes: </w:t>
      </w:r>
      <w:r>
        <w:rPr>
          <w:lang w:val="en-GB"/>
        </w:rPr>
        <w:t>unwrought</w:t>
      </w:r>
      <w:r w:rsidRPr="00EC0C1C">
        <w:rPr>
          <w:lang w:val="en-GB"/>
        </w:rPr>
        <w:t xml:space="preserve"> </w:t>
      </w:r>
      <w:proofErr w:type="spellStart"/>
      <w:r w:rsidRPr="00EC0C1C">
        <w:rPr>
          <w:lang w:val="en-GB"/>
        </w:rPr>
        <w:t>aluminum</w:t>
      </w:r>
      <w:proofErr w:type="spellEnd"/>
      <w:r w:rsidRPr="00EC0C1C">
        <w:rPr>
          <w:lang w:val="en-GB"/>
        </w:rPr>
        <w:t xml:space="preserve"> (HS 7601)</w:t>
      </w:r>
      <w:r>
        <w:rPr>
          <w:lang w:val="en-GB"/>
        </w:rPr>
        <w:t>;</w:t>
      </w:r>
      <w:r w:rsidRPr="00EC0C1C">
        <w:rPr>
          <w:lang w:val="en-GB"/>
        </w:rPr>
        <w:t xml:space="preserve"> </w:t>
      </w:r>
      <w:proofErr w:type="spellStart"/>
      <w:r>
        <w:rPr>
          <w:lang w:val="en-GB"/>
        </w:rPr>
        <w:t>aluminum</w:t>
      </w:r>
      <w:proofErr w:type="spellEnd"/>
      <w:r w:rsidRPr="00EC0C1C">
        <w:rPr>
          <w:lang w:val="en-GB"/>
        </w:rPr>
        <w:t xml:space="preserve"> bars, rods, and profiles (HS 7604)</w:t>
      </w:r>
      <w:r>
        <w:rPr>
          <w:lang w:val="en-GB"/>
        </w:rPr>
        <w:t>;</w:t>
      </w:r>
      <w:r w:rsidRPr="00EC0C1C">
        <w:rPr>
          <w:lang w:val="en-GB"/>
        </w:rPr>
        <w:t xml:space="preserve"> </w:t>
      </w:r>
      <w:proofErr w:type="spellStart"/>
      <w:r>
        <w:rPr>
          <w:lang w:val="en-GB"/>
        </w:rPr>
        <w:t>aluminum</w:t>
      </w:r>
      <w:proofErr w:type="spellEnd"/>
      <w:r w:rsidRPr="00EC0C1C">
        <w:rPr>
          <w:lang w:val="en-GB"/>
        </w:rPr>
        <w:t xml:space="preserve"> wire (HS 7605)</w:t>
      </w:r>
      <w:r>
        <w:rPr>
          <w:lang w:val="en-GB"/>
        </w:rPr>
        <w:t>;</w:t>
      </w:r>
      <w:r w:rsidRPr="00EC0C1C">
        <w:rPr>
          <w:lang w:val="en-GB"/>
        </w:rPr>
        <w:t xml:space="preserve"> </w:t>
      </w:r>
      <w:proofErr w:type="spellStart"/>
      <w:r>
        <w:rPr>
          <w:lang w:val="en-GB"/>
        </w:rPr>
        <w:t>aluminum</w:t>
      </w:r>
      <w:proofErr w:type="spellEnd"/>
      <w:r w:rsidRPr="00EC0C1C">
        <w:rPr>
          <w:lang w:val="en-GB"/>
        </w:rPr>
        <w:t xml:space="preserve"> plate, sheet, strip, and foil (HS 7606 and 7607)</w:t>
      </w:r>
      <w:r>
        <w:rPr>
          <w:lang w:val="en-GB"/>
        </w:rPr>
        <w:t>;</w:t>
      </w:r>
      <w:r w:rsidRPr="00EC0C1C">
        <w:rPr>
          <w:lang w:val="en-GB"/>
        </w:rPr>
        <w:t xml:space="preserve"> </w:t>
      </w:r>
      <w:proofErr w:type="spellStart"/>
      <w:r>
        <w:rPr>
          <w:lang w:val="en-GB"/>
        </w:rPr>
        <w:t>aluminum</w:t>
      </w:r>
      <w:proofErr w:type="spellEnd"/>
      <w:r w:rsidRPr="00EC0C1C">
        <w:rPr>
          <w:lang w:val="en-GB"/>
        </w:rPr>
        <w:t xml:space="preserve"> tubes and pipes and tube and pipe fitting (HS 7608 and 7609)</w:t>
      </w:r>
      <w:r>
        <w:rPr>
          <w:lang w:val="en-GB"/>
        </w:rPr>
        <w:t>;</w:t>
      </w:r>
      <w:r w:rsidRPr="00EC0C1C">
        <w:rPr>
          <w:lang w:val="en-GB"/>
        </w:rPr>
        <w:t xml:space="preserve"> and </w:t>
      </w:r>
      <w:proofErr w:type="spellStart"/>
      <w:r>
        <w:rPr>
          <w:lang w:val="en-GB"/>
        </w:rPr>
        <w:t>aluminum</w:t>
      </w:r>
      <w:proofErr w:type="spellEnd"/>
      <w:r w:rsidRPr="00EC0C1C">
        <w:rPr>
          <w:lang w:val="en-GB"/>
        </w:rPr>
        <w:t xml:space="preserve"> castings and forgings (HS 7616.99.51.60 and</w:t>
      </w:r>
      <w:r>
        <w:rPr>
          <w:lang w:val="en-GB"/>
        </w:rPr>
        <w:t xml:space="preserve"> HS</w:t>
      </w:r>
      <w:r w:rsidRPr="00EC0C1C">
        <w:rPr>
          <w:lang w:val="en-GB"/>
        </w:rPr>
        <w:t xml:space="preserve"> 7616.99.51.70).</w:t>
      </w:r>
      <w:r w:rsidRPr="00EC0C1C">
        <w:rPr>
          <w:vertAlign w:val="superscript"/>
          <w:lang w:val="en-GB"/>
        </w:rPr>
        <w:footnoteReference w:id="9"/>
      </w:r>
    </w:p>
    <w:p w14:paraId="05BD8ECB" w14:textId="77777777" w:rsidR="007A3862" w:rsidRPr="00EC0C1C" w:rsidRDefault="007A3862" w:rsidP="007A3862">
      <w:pPr>
        <w:pStyle w:val="BodyTextMain"/>
        <w:rPr>
          <w:lang w:val="en-GB"/>
        </w:rPr>
      </w:pPr>
    </w:p>
    <w:p w14:paraId="541BA9AF" w14:textId="77777777" w:rsidR="007A3862" w:rsidRPr="00EC0C1C" w:rsidRDefault="007A3862" w:rsidP="007A3862">
      <w:pPr>
        <w:pStyle w:val="BodyTextMain"/>
        <w:rPr>
          <w:lang w:val="en-GB"/>
        </w:rPr>
      </w:pPr>
      <w:r w:rsidRPr="00EC0C1C">
        <w:rPr>
          <w:lang w:val="en-GB"/>
        </w:rPr>
        <w:t xml:space="preserve">The tariffs for steel and </w:t>
      </w:r>
      <w:proofErr w:type="spellStart"/>
      <w:r w:rsidRPr="00EC0C1C">
        <w:rPr>
          <w:lang w:val="en-GB"/>
        </w:rPr>
        <w:t>aluminum</w:t>
      </w:r>
      <w:proofErr w:type="spellEnd"/>
      <w:r w:rsidRPr="00EC0C1C">
        <w:rPr>
          <w:lang w:val="en-GB"/>
        </w:rPr>
        <w:t xml:space="preserve"> went into effect for countries </w:t>
      </w:r>
      <w:r>
        <w:rPr>
          <w:lang w:val="en-GB"/>
        </w:rPr>
        <w:t>including</w:t>
      </w:r>
      <w:r w:rsidRPr="00EC0C1C">
        <w:rPr>
          <w:lang w:val="en-GB"/>
        </w:rPr>
        <w:t xml:space="preserve"> China, India, Japan, Russia, Taiwan, Turkey</w:t>
      </w:r>
      <w:r>
        <w:rPr>
          <w:lang w:val="en-GB"/>
        </w:rPr>
        <w:t>,</w:t>
      </w:r>
      <w:r w:rsidRPr="00EC0C1C">
        <w:rPr>
          <w:lang w:val="en-GB"/>
        </w:rPr>
        <w:t xml:space="preserve"> and the </w:t>
      </w:r>
      <w:r>
        <w:rPr>
          <w:lang w:val="en-GB"/>
        </w:rPr>
        <w:t>United Arab Emirates;</w:t>
      </w:r>
      <w:r w:rsidRPr="00EC0C1C">
        <w:rPr>
          <w:lang w:val="en-GB"/>
        </w:rPr>
        <w:t xml:space="preserve"> </w:t>
      </w:r>
      <w:r>
        <w:rPr>
          <w:lang w:val="en-GB"/>
        </w:rPr>
        <w:t>they</w:t>
      </w:r>
      <w:r w:rsidRPr="00EC0C1C">
        <w:rPr>
          <w:lang w:val="en-GB"/>
        </w:rPr>
        <w:t xml:space="preserve"> were placed on hold for Argentina, Australia, Brazil</w:t>
      </w:r>
      <w:r>
        <w:rPr>
          <w:lang w:val="en-GB"/>
        </w:rPr>
        <w:t>,</w:t>
      </w:r>
      <w:r w:rsidRPr="00EC0C1C">
        <w:rPr>
          <w:lang w:val="en-GB"/>
        </w:rPr>
        <w:t xml:space="preserve"> South Korea, Canada, Mexico</w:t>
      </w:r>
      <w:r>
        <w:rPr>
          <w:lang w:val="en-GB"/>
        </w:rPr>
        <w:t>,</w:t>
      </w:r>
      <w:r w:rsidRPr="00EC0C1C">
        <w:rPr>
          <w:lang w:val="en-GB"/>
        </w:rPr>
        <w:t xml:space="preserve"> and countries of the European Union</w:t>
      </w:r>
      <w:r>
        <w:rPr>
          <w:lang w:val="en-GB"/>
        </w:rPr>
        <w:t xml:space="preserve"> (EU)</w:t>
      </w:r>
      <w:r w:rsidRPr="00EC0C1C">
        <w:rPr>
          <w:lang w:val="en-GB"/>
        </w:rPr>
        <w:t>. While US negotiators eventually reached agreements with Argentina, Australia, and South Korea, the tariffs became binding for Brazil, Canada, the EU, and Mexico on June 1</w:t>
      </w:r>
      <w:r>
        <w:rPr>
          <w:lang w:val="en-GB"/>
        </w:rPr>
        <w:t>, 2018</w:t>
      </w:r>
      <w:r w:rsidRPr="00EC0C1C">
        <w:rPr>
          <w:lang w:val="en-GB"/>
        </w:rPr>
        <w:t>.</w:t>
      </w:r>
      <w:r w:rsidRPr="00EC0C1C">
        <w:rPr>
          <w:vertAlign w:val="superscript"/>
          <w:lang w:val="en-GB"/>
        </w:rPr>
        <w:footnoteReference w:id="10"/>
      </w:r>
    </w:p>
    <w:p w14:paraId="4449714C" w14:textId="77777777" w:rsidR="007A3862" w:rsidRPr="00EC0C1C" w:rsidRDefault="007A3862" w:rsidP="007A3862">
      <w:pPr>
        <w:pStyle w:val="BodyTextMain"/>
        <w:rPr>
          <w:lang w:val="en-GB"/>
        </w:rPr>
      </w:pPr>
    </w:p>
    <w:p w14:paraId="508C3877" w14:textId="77777777" w:rsidR="007A3862" w:rsidRPr="00EC0C1C" w:rsidRDefault="007A3862" w:rsidP="007A3862">
      <w:pPr>
        <w:pStyle w:val="BodyTextMain"/>
        <w:rPr>
          <w:lang w:val="en-GB"/>
        </w:rPr>
      </w:pPr>
      <w:r w:rsidRPr="00EC0C1C">
        <w:rPr>
          <w:lang w:val="en-GB"/>
        </w:rPr>
        <w:t xml:space="preserve">The </w:t>
      </w:r>
      <w:r>
        <w:rPr>
          <w:lang w:val="en-GB"/>
        </w:rPr>
        <w:t>United States</w:t>
      </w:r>
      <w:r w:rsidRPr="00EC0C1C">
        <w:rPr>
          <w:lang w:val="en-GB"/>
        </w:rPr>
        <w:t xml:space="preserve"> was Canada’s largest trade partner</w:t>
      </w:r>
      <w:r>
        <w:rPr>
          <w:lang w:val="en-GB"/>
        </w:rPr>
        <w:t>;</w:t>
      </w:r>
      <w:r w:rsidRPr="00EC0C1C">
        <w:rPr>
          <w:lang w:val="en-GB"/>
        </w:rPr>
        <w:t xml:space="preserve"> </w:t>
      </w:r>
      <w:r>
        <w:rPr>
          <w:lang w:val="en-GB"/>
        </w:rPr>
        <w:t>the</w:t>
      </w:r>
      <w:r w:rsidRPr="00EC0C1C">
        <w:rPr>
          <w:lang w:val="en-GB"/>
        </w:rPr>
        <w:t xml:space="preserve"> total estimated value of trade between the two </w:t>
      </w:r>
      <w:r>
        <w:rPr>
          <w:lang w:val="en-GB"/>
        </w:rPr>
        <w:t>countries was US</w:t>
      </w:r>
      <w:r w:rsidRPr="00EC0C1C">
        <w:rPr>
          <w:lang w:val="en-GB"/>
        </w:rPr>
        <w:t xml:space="preserve">$673.1 billion in 2017. Of this trade, US exports to Canada were </w:t>
      </w:r>
      <w:r>
        <w:rPr>
          <w:lang w:val="en-GB"/>
        </w:rPr>
        <w:t>US</w:t>
      </w:r>
      <w:r w:rsidRPr="00EC0C1C">
        <w:rPr>
          <w:lang w:val="en-GB"/>
        </w:rPr>
        <w:t>$340.7 billion</w:t>
      </w:r>
      <w:r>
        <w:rPr>
          <w:lang w:val="en-GB"/>
        </w:rPr>
        <w:t>;</w:t>
      </w:r>
      <w:r w:rsidRPr="00EC0C1C">
        <w:rPr>
          <w:lang w:val="en-GB"/>
        </w:rPr>
        <w:t xml:space="preserve"> US imports from Canada were </w:t>
      </w:r>
      <w:r>
        <w:rPr>
          <w:lang w:val="en-GB"/>
        </w:rPr>
        <w:t>US</w:t>
      </w:r>
      <w:r w:rsidRPr="00EC0C1C">
        <w:rPr>
          <w:lang w:val="en-GB"/>
        </w:rPr>
        <w:t>$332.3 billion.</w:t>
      </w:r>
      <w:r w:rsidRPr="00EC0C1C">
        <w:rPr>
          <w:vertAlign w:val="superscript"/>
          <w:lang w:val="en-GB"/>
        </w:rPr>
        <w:footnoteReference w:id="11"/>
      </w:r>
      <w:r w:rsidRPr="00EC0C1C">
        <w:rPr>
          <w:lang w:val="en-GB"/>
        </w:rPr>
        <w:t xml:space="preserve"> </w:t>
      </w:r>
    </w:p>
    <w:p w14:paraId="2E5F0E7D" w14:textId="77777777" w:rsidR="007A3862" w:rsidRPr="00EC0C1C" w:rsidRDefault="007A3862" w:rsidP="007A3862">
      <w:pPr>
        <w:pStyle w:val="BodyTextMain"/>
        <w:rPr>
          <w:lang w:val="en-GB"/>
        </w:rPr>
      </w:pPr>
    </w:p>
    <w:p w14:paraId="0FBBA269" w14:textId="77777777" w:rsidR="007A3862" w:rsidRPr="00EC0C1C" w:rsidRDefault="007A3862" w:rsidP="007A3862">
      <w:pPr>
        <w:pStyle w:val="BodyTextMain"/>
        <w:rPr>
          <w:lang w:val="en-GB"/>
        </w:rPr>
      </w:pPr>
      <w:r>
        <w:rPr>
          <w:lang w:val="en-GB"/>
        </w:rPr>
        <w:t>For</w:t>
      </w:r>
      <w:r w:rsidRPr="00EC0C1C">
        <w:rPr>
          <w:lang w:val="en-GB"/>
        </w:rPr>
        <w:t xml:space="preserve"> </w:t>
      </w:r>
      <w:proofErr w:type="spellStart"/>
      <w:r w:rsidRPr="00EC0C1C">
        <w:rPr>
          <w:lang w:val="en-GB"/>
        </w:rPr>
        <w:t>aluminum</w:t>
      </w:r>
      <w:proofErr w:type="spellEnd"/>
      <w:r w:rsidRPr="00EC0C1C">
        <w:rPr>
          <w:lang w:val="en-GB"/>
        </w:rPr>
        <w:t xml:space="preserve">, the </w:t>
      </w:r>
      <w:r>
        <w:rPr>
          <w:lang w:val="en-GB"/>
        </w:rPr>
        <w:t>United States</w:t>
      </w:r>
      <w:r w:rsidRPr="00EC0C1C">
        <w:rPr>
          <w:lang w:val="en-GB"/>
        </w:rPr>
        <w:t xml:space="preserve"> had an annual requirement of 5.5 million ton</w:t>
      </w:r>
      <w:r>
        <w:rPr>
          <w:lang w:val="en-GB"/>
        </w:rPr>
        <w:t>ne</w:t>
      </w:r>
      <w:r w:rsidRPr="00EC0C1C">
        <w:rPr>
          <w:lang w:val="en-GB"/>
        </w:rPr>
        <w:t>s but was producing just 0.7 million ton</w:t>
      </w:r>
      <w:r>
        <w:rPr>
          <w:lang w:val="en-GB"/>
        </w:rPr>
        <w:t>ne</w:t>
      </w:r>
      <w:r w:rsidRPr="00EC0C1C">
        <w:rPr>
          <w:lang w:val="en-GB"/>
        </w:rPr>
        <w:t xml:space="preserve">s. Canada was the single largest supplier of </w:t>
      </w:r>
      <w:proofErr w:type="spellStart"/>
      <w:r w:rsidRPr="00EC0C1C">
        <w:rPr>
          <w:lang w:val="en-GB"/>
        </w:rPr>
        <w:t>aluminum</w:t>
      </w:r>
      <w:proofErr w:type="spellEnd"/>
      <w:r w:rsidRPr="00EC0C1C">
        <w:rPr>
          <w:lang w:val="en-GB"/>
        </w:rPr>
        <w:t xml:space="preserve"> to the </w:t>
      </w:r>
      <w:r>
        <w:rPr>
          <w:lang w:val="en-GB"/>
        </w:rPr>
        <w:t>United States</w:t>
      </w:r>
      <w:r w:rsidRPr="00EC0C1C">
        <w:rPr>
          <w:lang w:val="en-GB"/>
        </w:rPr>
        <w:t xml:space="preserve">, </w:t>
      </w:r>
      <w:r>
        <w:rPr>
          <w:lang w:val="en-GB"/>
        </w:rPr>
        <w:t>supplying</w:t>
      </w:r>
      <w:r w:rsidRPr="00EC0C1C">
        <w:rPr>
          <w:lang w:val="en-GB"/>
        </w:rPr>
        <w:t xml:space="preserve"> 2.8 million ton</w:t>
      </w:r>
      <w:r>
        <w:rPr>
          <w:lang w:val="en-GB"/>
        </w:rPr>
        <w:t>ne</w:t>
      </w:r>
      <w:r w:rsidRPr="00EC0C1C">
        <w:rPr>
          <w:lang w:val="en-GB"/>
        </w:rPr>
        <w:t xml:space="preserve">s per annum. The </w:t>
      </w:r>
      <w:r>
        <w:rPr>
          <w:lang w:val="en-GB"/>
        </w:rPr>
        <w:t>United States</w:t>
      </w:r>
      <w:r w:rsidRPr="00EC0C1C">
        <w:rPr>
          <w:lang w:val="en-GB"/>
        </w:rPr>
        <w:t xml:space="preserve"> was using Canadian </w:t>
      </w:r>
      <w:proofErr w:type="spellStart"/>
      <w:r w:rsidRPr="00EC0C1C">
        <w:rPr>
          <w:lang w:val="en-GB"/>
        </w:rPr>
        <w:t>aluminum</w:t>
      </w:r>
      <w:proofErr w:type="spellEnd"/>
      <w:r w:rsidRPr="00EC0C1C">
        <w:rPr>
          <w:lang w:val="en-GB"/>
        </w:rPr>
        <w:t xml:space="preserve"> as an input for further processing into products for both domestic consumption</w:t>
      </w:r>
      <w:r>
        <w:rPr>
          <w:lang w:val="en-GB"/>
        </w:rPr>
        <w:t>—</w:t>
      </w:r>
      <w:r w:rsidRPr="00EC0C1C">
        <w:rPr>
          <w:lang w:val="en-GB"/>
        </w:rPr>
        <w:t>such as defence needs</w:t>
      </w:r>
      <w:r>
        <w:rPr>
          <w:lang w:val="en-GB"/>
        </w:rPr>
        <w:t>—</w:t>
      </w:r>
      <w:r w:rsidRPr="00EC0C1C">
        <w:rPr>
          <w:lang w:val="en-GB"/>
        </w:rPr>
        <w:t xml:space="preserve">and export markets. The </w:t>
      </w:r>
      <w:r>
        <w:rPr>
          <w:lang w:val="en-GB"/>
        </w:rPr>
        <w:t>United States</w:t>
      </w:r>
      <w:r w:rsidRPr="00EC0C1C">
        <w:rPr>
          <w:lang w:val="en-GB"/>
        </w:rPr>
        <w:t xml:space="preserve"> was also the single largest destination market for Canadian </w:t>
      </w:r>
      <w:proofErr w:type="spellStart"/>
      <w:r w:rsidRPr="00EC0C1C">
        <w:rPr>
          <w:lang w:val="en-GB"/>
        </w:rPr>
        <w:t>aluminum</w:t>
      </w:r>
      <w:proofErr w:type="spellEnd"/>
      <w:r w:rsidRPr="00EC0C1C">
        <w:rPr>
          <w:lang w:val="en-GB"/>
        </w:rPr>
        <w:t xml:space="preserve">, </w:t>
      </w:r>
      <w:r>
        <w:rPr>
          <w:lang w:val="en-GB"/>
        </w:rPr>
        <w:t>accounting for</w:t>
      </w:r>
      <w:r w:rsidRPr="00EC0C1C">
        <w:rPr>
          <w:lang w:val="en-GB"/>
        </w:rPr>
        <w:t xml:space="preserve"> 84 per cent of the latter’s domestic production. The two countries shared an integrated </w:t>
      </w:r>
      <w:proofErr w:type="spellStart"/>
      <w:r w:rsidRPr="00EC0C1C">
        <w:rPr>
          <w:lang w:val="en-GB"/>
        </w:rPr>
        <w:t>aluminum</w:t>
      </w:r>
      <w:proofErr w:type="spellEnd"/>
      <w:r w:rsidRPr="00EC0C1C">
        <w:rPr>
          <w:lang w:val="en-GB"/>
        </w:rPr>
        <w:t xml:space="preserve"> market with combined trade of more than US$11.4 billion annually. </w:t>
      </w:r>
      <w:r>
        <w:rPr>
          <w:lang w:val="en-GB"/>
        </w:rPr>
        <w:t>As part of NAFTA, t</w:t>
      </w:r>
      <w:r w:rsidRPr="00EC0C1C">
        <w:rPr>
          <w:lang w:val="en-GB"/>
        </w:rPr>
        <w:t xml:space="preserve">heir </w:t>
      </w:r>
      <w:proofErr w:type="spellStart"/>
      <w:r w:rsidRPr="00EC0C1C">
        <w:rPr>
          <w:lang w:val="en-GB"/>
        </w:rPr>
        <w:t>aluminum</w:t>
      </w:r>
      <w:proofErr w:type="spellEnd"/>
      <w:r w:rsidRPr="00EC0C1C">
        <w:rPr>
          <w:lang w:val="en-GB"/>
        </w:rPr>
        <w:t xml:space="preserve"> supply chains were designed to strengthen the global competitiveness of the two economies. </w:t>
      </w:r>
    </w:p>
    <w:p w14:paraId="2C52572F" w14:textId="77777777" w:rsidR="007A3862" w:rsidRPr="00EC0C1C" w:rsidRDefault="007A3862" w:rsidP="007A3862">
      <w:pPr>
        <w:pStyle w:val="BodyTextMain"/>
        <w:rPr>
          <w:lang w:val="en-GB"/>
        </w:rPr>
      </w:pPr>
    </w:p>
    <w:p w14:paraId="6DE77306" w14:textId="77777777" w:rsidR="007A3862" w:rsidRPr="00EC0C1C" w:rsidRDefault="007A3862" w:rsidP="007A3862">
      <w:pPr>
        <w:pStyle w:val="BodyTextMain"/>
        <w:rPr>
          <w:lang w:val="en-GB"/>
        </w:rPr>
      </w:pPr>
      <w:r>
        <w:rPr>
          <w:lang w:val="en-GB"/>
        </w:rPr>
        <w:t>With</w:t>
      </w:r>
      <w:r w:rsidRPr="00EC0C1C">
        <w:rPr>
          <w:lang w:val="en-GB"/>
        </w:rPr>
        <w:t xml:space="preserve"> a production cost of above </w:t>
      </w:r>
      <w:r>
        <w:rPr>
          <w:lang w:val="en-GB"/>
        </w:rPr>
        <w:t>US</w:t>
      </w:r>
      <w:r w:rsidRPr="00EC0C1C">
        <w:rPr>
          <w:lang w:val="en-GB"/>
        </w:rPr>
        <w:t>$2,000 per metric ton</w:t>
      </w:r>
      <w:r>
        <w:rPr>
          <w:lang w:val="en-GB"/>
        </w:rPr>
        <w:t>ne</w:t>
      </w:r>
      <w:r w:rsidRPr="00EC0C1C">
        <w:rPr>
          <w:lang w:val="en-GB"/>
        </w:rPr>
        <w:t xml:space="preserve"> and</w:t>
      </w:r>
      <w:r>
        <w:rPr>
          <w:lang w:val="en-GB"/>
        </w:rPr>
        <w:t xml:space="preserve"> an average age of </w:t>
      </w:r>
      <w:r w:rsidRPr="00EC0C1C">
        <w:rPr>
          <w:lang w:val="en-GB"/>
        </w:rPr>
        <w:t>47 years</w:t>
      </w:r>
      <w:r>
        <w:rPr>
          <w:lang w:val="en-GB"/>
        </w:rPr>
        <w:t xml:space="preserve">, </w:t>
      </w:r>
      <w:r w:rsidRPr="00EC0C1C">
        <w:rPr>
          <w:lang w:val="en-GB"/>
        </w:rPr>
        <w:t xml:space="preserve">US </w:t>
      </w:r>
      <w:proofErr w:type="spellStart"/>
      <w:r w:rsidRPr="00EC0C1C">
        <w:rPr>
          <w:lang w:val="en-GB"/>
        </w:rPr>
        <w:t>aluminum</w:t>
      </w:r>
      <w:proofErr w:type="spellEnd"/>
      <w:r w:rsidRPr="00EC0C1C">
        <w:rPr>
          <w:lang w:val="en-GB"/>
        </w:rPr>
        <w:t xml:space="preserve"> smelters</w:t>
      </w:r>
      <w:r>
        <w:rPr>
          <w:lang w:val="en-GB"/>
        </w:rPr>
        <w:t xml:space="preserve"> </w:t>
      </w:r>
      <w:r w:rsidRPr="00EC0C1C">
        <w:rPr>
          <w:lang w:val="en-GB"/>
        </w:rPr>
        <w:t xml:space="preserve">were among the costliest and oldest in the world. Since 2007, the number of operational smelters in the </w:t>
      </w:r>
      <w:r>
        <w:rPr>
          <w:lang w:val="en-GB"/>
        </w:rPr>
        <w:t>United States</w:t>
      </w:r>
      <w:r w:rsidRPr="00EC0C1C">
        <w:rPr>
          <w:lang w:val="en-GB"/>
        </w:rPr>
        <w:t xml:space="preserve"> had fallen from 18 to </w:t>
      </w:r>
      <w:r>
        <w:rPr>
          <w:lang w:val="en-GB"/>
        </w:rPr>
        <w:t>five</w:t>
      </w:r>
      <w:r w:rsidRPr="00EC0C1C">
        <w:rPr>
          <w:lang w:val="en-GB"/>
        </w:rPr>
        <w:t>.</w:t>
      </w:r>
      <w:r>
        <w:rPr>
          <w:lang w:val="en-GB"/>
        </w:rPr>
        <w:t xml:space="preserve"> </w:t>
      </w:r>
      <w:r w:rsidRPr="00EC0C1C">
        <w:rPr>
          <w:lang w:val="en-GB"/>
        </w:rPr>
        <w:t>Even though electricity costs for its smelters had declined by more than 20 per cent since 2013, the amount of electricity used by US smelters to produce a ton</w:t>
      </w:r>
      <w:r>
        <w:rPr>
          <w:lang w:val="en-GB"/>
        </w:rPr>
        <w:t>ne</w:t>
      </w:r>
      <w:r w:rsidRPr="00EC0C1C">
        <w:rPr>
          <w:lang w:val="en-GB"/>
        </w:rPr>
        <w:t xml:space="preserve"> of </w:t>
      </w:r>
      <w:proofErr w:type="spellStart"/>
      <w:r w:rsidRPr="00EC0C1C">
        <w:rPr>
          <w:lang w:val="en-GB"/>
        </w:rPr>
        <w:t>aluminum</w:t>
      </w:r>
      <w:proofErr w:type="spellEnd"/>
      <w:r w:rsidRPr="00EC0C1C">
        <w:rPr>
          <w:lang w:val="en-GB"/>
        </w:rPr>
        <w:t xml:space="preserve"> was still among the highest in the world.</w:t>
      </w:r>
    </w:p>
    <w:p w14:paraId="63349BEC" w14:textId="77777777" w:rsidR="007A3862" w:rsidRPr="00EC0C1C" w:rsidRDefault="007A3862" w:rsidP="007A3862">
      <w:pPr>
        <w:pStyle w:val="BodyTextMain"/>
        <w:rPr>
          <w:lang w:val="en-GB"/>
        </w:rPr>
      </w:pPr>
    </w:p>
    <w:p w14:paraId="744E988E" w14:textId="30A86C75" w:rsidR="007A3862" w:rsidRPr="00EC0C1C" w:rsidRDefault="007A3862" w:rsidP="007A3862">
      <w:pPr>
        <w:pStyle w:val="BodyTextMain"/>
        <w:rPr>
          <w:lang w:val="en-GB"/>
        </w:rPr>
      </w:pPr>
      <w:r w:rsidRPr="00EC0C1C">
        <w:rPr>
          <w:lang w:val="en-GB"/>
        </w:rPr>
        <w:t xml:space="preserve">In contrast, Canada's smelters, aged an average </w:t>
      </w:r>
      <w:r>
        <w:rPr>
          <w:lang w:val="en-GB"/>
        </w:rPr>
        <w:t xml:space="preserve">of </w:t>
      </w:r>
      <w:r w:rsidRPr="00EC0C1C">
        <w:rPr>
          <w:lang w:val="en-GB"/>
        </w:rPr>
        <w:t xml:space="preserve">26 years, could make the metal for about $1,500 </w:t>
      </w:r>
      <w:r w:rsidR="00ED6792">
        <w:rPr>
          <w:lang w:val="en-GB"/>
        </w:rPr>
        <w:t>per</w:t>
      </w:r>
      <w:r w:rsidRPr="00EC0C1C">
        <w:rPr>
          <w:lang w:val="en-GB"/>
        </w:rPr>
        <w:t xml:space="preserve"> ton</w:t>
      </w:r>
      <w:r>
        <w:rPr>
          <w:lang w:val="en-GB"/>
        </w:rPr>
        <w:t>ne</w:t>
      </w:r>
      <w:r w:rsidRPr="00EC0C1C">
        <w:rPr>
          <w:lang w:val="en-GB"/>
        </w:rPr>
        <w:t xml:space="preserve">. One source of Canada’s comparative advantage in </w:t>
      </w:r>
      <w:proofErr w:type="spellStart"/>
      <w:r w:rsidRPr="00EC0C1C">
        <w:rPr>
          <w:lang w:val="en-GB"/>
        </w:rPr>
        <w:t>aluminum</w:t>
      </w:r>
      <w:proofErr w:type="spellEnd"/>
      <w:r w:rsidRPr="00EC0C1C">
        <w:rPr>
          <w:lang w:val="en-GB"/>
        </w:rPr>
        <w:t xml:space="preserve"> production was its low cost of electricity, a key </w:t>
      </w:r>
      <w:r>
        <w:rPr>
          <w:lang w:val="en-GB"/>
        </w:rPr>
        <w:t>resource</w:t>
      </w:r>
      <w:r w:rsidRPr="00EC0C1C">
        <w:rPr>
          <w:lang w:val="en-GB"/>
        </w:rPr>
        <w:t xml:space="preserve"> for producing </w:t>
      </w:r>
      <w:proofErr w:type="spellStart"/>
      <w:r w:rsidRPr="00EC0C1C">
        <w:rPr>
          <w:lang w:val="en-GB"/>
        </w:rPr>
        <w:t>aluminum</w:t>
      </w:r>
      <w:proofErr w:type="spellEnd"/>
      <w:r w:rsidRPr="00EC0C1C">
        <w:rPr>
          <w:lang w:val="en-GB"/>
        </w:rPr>
        <w:t xml:space="preserve">. </w:t>
      </w:r>
    </w:p>
    <w:p w14:paraId="49870333" w14:textId="77777777" w:rsidR="007A3862" w:rsidRPr="00EC0C1C" w:rsidRDefault="007A3862" w:rsidP="007A3862">
      <w:pPr>
        <w:pStyle w:val="BodyTextMain"/>
        <w:rPr>
          <w:lang w:val="en-GB"/>
        </w:rPr>
      </w:pPr>
      <w:r w:rsidRPr="00EC0C1C">
        <w:rPr>
          <w:lang w:val="en-GB"/>
        </w:rPr>
        <w:lastRenderedPageBreak/>
        <w:t xml:space="preserve">As WTO intervention was unlikely, Canada resorted to counter-tariffs. Its retaliatory list included 70 categories of industrial and consumer products that </w:t>
      </w:r>
      <w:r>
        <w:rPr>
          <w:lang w:val="en-GB"/>
        </w:rPr>
        <w:t>the United States</w:t>
      </w:r>
      <w:r w:rsidRPr="00EC0C1C">
        <w:rPr>
          <w:lang w:val="en-GB"/>
        </w:rPr>
        <w:t xml:space="preserve"> was exporting to Canada. Many of these categories targeted the home states of key congressional leaders for political impact</w:t>
      </w:r>
      <w:r>
        <w:rPr>
          <w:lang w:val="en-GB"/>
        </w:rPr>
        <w:t xml:space="preserve">, including </w:t>
      </w:r>
      <w:r w:rsidRPr="00EC0C1C">
        <w:rPr>
          <w:lang w:val="en-GB"/>
        </w:rPr>
        <w:t xml:space="preserve">whiskies (from Kentucky, which was the home state of Senate Majority Leader Mitch McConnell), </w:t>
      </w:r>
      <w:r>
        <w:rPr>
          <w:lang w:val="en-GB"/>
        </w:rPr>
        <w:t>yogurt</w:t>
      </w:r>
      <w:r w:rsidRPr="00EC0C1C">
        <w:rPr>
          <w:lang w:val="en-GB"/>
        </w:rPr>
        <w:t xml:space="preserve"> products (from Wisconsin, the home state of </w:t>
      </w:r>
      <w:r>
        <w:rPr>
          <w:lang w:val="en-GB"/>
        </w:rPr>
        <w:t>P</w:t>
      </w:r>
      <w:r w:rsidRPr="001D45BD">
        <w:rPr>
          <w:lang w:val="en-GB"/>
        </w:rPr>
        <w:t>aul Ryan, Speaker of the House of Representatives</w:t>
      </w:r>
      <w:r w:rsidRPr="00EC0C1C">
        <w:rPr>
          <w:lang w:val="en-GB"/>
        </w:rPr>
        <w:t xml:space="preserve">), and orange juice (from Florida, which was a swing state in an upcoming </w:t>
      </w:r>
      <w:r>
        <w:rPr>
          <w:lang w:val="en-GB"/>
        </w:rPr>
        <w:t xml:space="preserve">fall 2018 </w:t>
      </w:r>
      <w:r w:rsidRPr="00EC0C1C">
        <w:rPr>
          <w:lang w:val="en-GB"/>
        </w:rPr>
        <w:t xml:space="preserve">election). In addition, Canada imposed a 10 per cent tariff on imports of </w:t>
      </w:r>
      <w:proofErr w:type="spellStart"/>
      <w:r w:rsidRPr="00EC0C1C">
        <w:rPr>
          <w:lang w:val="en-GB"/>
        </w:rPr>
        <w:t>aluminum</w:t>
      </w:r>
      <w:proofErr w:type="spellEnd"/>
      <w:r w:rsidRPr="00EC0C1C">
        <w:rPr>
          <w:lang w:val="en-GB"/>
        </w:rPr>
        <w:t xml:space="preserve"> products, effective July 1</w:t>
      </w:r>
      <w:r>
        <w:rPr>
          <w:lang w:val="en-GB"/>
        </w:rPr>
        <w:t>, 2018</w:t>
      </w:r>
      <w:r w:rsidRPr="00EC0C1C">
        <w:rPr>
          <w:lang w:val="en-GB"/>
        </w:rPr>
        <w:t xml:space="preserve">. </w:t>
      </w:r>
    </w:p>
    <w:p w14:paraId="5B92A4E0" w14:textId="77777777" w:rsidR="007A3862" w:rsidRPr="00EC0C1C" w:rsidRDefault="007A3862" w:rsidP="007A3862">
      <w:pPr>
        <w:pStyle w:val="BodyTextMain"/>
        <w:rPr>
          <w:lang w:val="en-GB"/>
        </w:rPr>
      </w:pPr>
    </w:p>
    <w:p w14:paraId="23CC0E0D" w14:textId="77777777" w:rsidR="007A3862" w:rsidRPr="00EC0C1C" w:rsidRDefault="007A3862" w:rsidP="007A3862">
      <w:pPr>
        <w:pStyle w:val="BodyTextMain"/>
        <w:rPr>
          <w:lang w:val="en-GB"/>
        </w:rPr>
      </w:pPr>
      <w:r w:rsidRPr="00EC0C1C">
        <w:rPr>
          <w:lang w:val="en-GB"/>
        </w:rPr>
        <w:t xml:space="preserve">The </w:t>
      </w:r>
      <w:r>
        <w:rPr>
          <w:lang w:val="en-GB"/>
        </w:rPr>
        <w:t>Office</w:t>
      </w:r>
      <w:r w:rsidRPr="00EC0C1C">
        <w:rPr>
          <w:lang w:val="en-GB"/>
        </w:rPr>
        <w:t xml:space="preserve"> of the US Trade Representative responded by challenging the Canadian tariffs at the WTO. It could do so because Canadian retaliation did not have an underlying national security angle. </w:t>
      </w:r>
    </w:p>
    <w:p w14:paraId="6643D90B" w14:textId="77777777" w:rsidR="007A3862" w:rsidRPr="00EC0C1C" w:rsidRDefault="007A3862" w:rsidP="007A3862">
      <w:pPr>
        <w:pStyle w:val="BodyTextMain"/>
        <w:rPr>
          <w:lang w:val="en-GB"/>
        </w:rPr>
      </w:pPr>
    </w:p>
    <w:p w14:paraId="53EA7068" w14:textId="77777777" w:rsidR="007A3862" w:rsidRPr="00EC0C1C" w:rsidRDefault="007A3862" w:rsidP="007A3862">
      <w:pPr>
        <w:pStyle w:val="BodyTextMain"/>
        <w:rPr>
          <w:lang w:val="en-GB"/>
        </w:rPr>
      </w:pPr>
      <w:r w:rsidRPr="00EC0C1C">
        <w:rPr>
          <w:lang w:val="en-GB"/>
        </w:rPr>
        <w:t xml:space="preserve">The International Monetary Fund saw the beginnings of a domino effect that could lead to a global trade war, claiming </w:t>
      </w:r>
      <w:r>
        <w:rPr>
          <w:lang w:val="en-GB"/>
        </w:rPr>
        <w:t xml:space="preserve">that </w:t>
      </w:r>
      <w:r w:rsidRPr="00EC0C1C">
        <w:rPr>
          <w:lang w:val="en-GB"/>
        </w:rPr>
        <w:t xml:space="preserve">such a trade war could lower worldwide growth by as much as 0.5 per cent. This would amount to </w:t>
      </w:r>
      <w:r>
        <w:rPr>
          <w:lang w:val="en-GB"/>
        </w:rPr>
        <w:t>US</w:t>
      </w:r>
      <w:r w:rsidRPr="00EC0C1C">
        <w:rPr>
          <w:lang w:val="en-GB"/>
        </w:rPr>
        <w:t>$430 billion in lost gross domestic product by 2020.</w:t>
      </w:r>
      <w:r w:rsidRPr="00EC0C1C">
        <w:rPr>
          <w:vertAlign w:val="superscript"/>
          <w:lang w:val="en-GB"/>
        </w:rPr>
        <w:footnoteReference w:id="12"/>
      </w:r>
    </w:p>
    <w:p w14:paraId="63E737D2" w14:textId="77777777" w:rsidR="007A3862" w:rsidRPr="00EC0C1C" w:rsidRDefault="007A3862" w:rsidP="007A3862">
      <w:pPr>
        <w:pStyle w:val="BodyTextMain"/>
        <w:rPr>
          <w:lang w:val="en-GB"/>
        </w:rPr>
      </w:pPr>
    </w:p>
    <w:p w14:paraId="38555EA9" w14:textId="77777777" w:rsidR="007A3862" w:rsidRPr="00EC0C1C" w:rsidRDefault="007A3862" w:rsidP="007A3862">
      <w:pPr>
        <w:pStyle w:val="BodyTextMain"/>
        <w:rPr>
          <w:lang w:val="en-GB"/>
        </w:rPr>
      </w:pPr>
      <w:r w:rsidRPr="00EC0C1C">
        <w:rPr>
          <w:lang w:val="en-GB"/>
        </w:rPr>
        <w:t>The Canadian</w:t>
      </w:r>
      <w:r w:rsidRPr="00EC0C1C">
        <w:rPr>
          <w:b/>
          <w:lang w:val="en-GB"/>
        </w:rPr>
        <w:t xml:space="preserve"> </w:t>
      </w:r>
      <w:r w:rsidRPr="00EC0C1C">
        <w:rPr>
          <w:lang w:val="en-GB"/>
        </w:rPr>
        <w:t xml:space="preserve">government had announced $2 billion in financial support for companies in the Canadian steel and </w:t>
      </w:r>
      <w:proofErr w:type="spellStart"/>
      <w:r w:rsidRPr="00EC0C1C">
        <w:rPr>
          <w:lang w:val="en-GB"/>
        </w:rPr>
        <w:t>aluminum</w:t>
      </w:r>
      <w:proofErr w:type="spellEnd"/>
      <w:r w:rsidRPr="00EC0C1C">
        <w:rPr>
          <w:lang w:val="en-GB"/>
        </w:rPr>
        <w:t xml:space="preserve"> manufacturing industries. The government was to spend $25 million to extend work-sharing agreements that would pre-empt </w:t>
      </w:r>
      <w:r>
        <w:rPr>
          <w:lang w:val="en-GB"/>
        </w:rPr>
        <w:t>shop-floor</w:t>
      </w:r>
      <w:r w:rsidRPr="00EC0C1C">
        <w:rPr>
          <w:lang w:val="en-GB"/>
        </w:rPr>
        <w:t xml:space="preserve"> layoffs</w:t>
      </w:r>
      <w:r>
        <w:rPr>
          <w:lang w:val="en-GB"/>
        </w:rPr>
        <w:t>,</w:t>
      </w:r>
      <w:r w:rsidRPr="00EC0C1C">
        <w:rPr>
          <w:lang w:val="en-GB"/>
        </w:rPr>
        <w:t xml:space="preserve"> and another $50 million on retraining people who would lose jobs. It also promised lending support for companies affected by the US tariffs through the Business Development Bank of Canada and Export Development Canada.</w:t>
      </w:r>
    </w:p>
    <w:p w14:paraId="3E1D5E66" w14:textId="77777777" w:rsidR="007A3862" w:rsidRPr="00EC0C1C" w:rsidRDefault="007A3862" w:rsidP="007A3862">
      <w:pPr>
        <w:pStyle w:val="BodyTextMain"/>
        <w:rPr>
          <w:lang w:val="en-GB"/>
        </w:rPr>
      </w:pPr>
    </w:p>
    <w:p w14:paraId="07BB4334" w14:textId="77777777" w:rsidR="007A3862" w:rsidRPr="00EC0C1C" w:rsidRDefault="007A3862" w:rsidP="007A3862">
      <w:pPr>
        <w:pStyle w:val="BodyTextMain"/>
        <w:rPr>
          <w:lang w:val="en-GB"/>
        </w:rPr>
      </w:pPr>
      <w:r>
        <w:rPr>
          <w:lang w:val="en-GB"/>
        </w:rPr>
        <w:t xml:space="preserve">On </w:t>
      </w:r>
      <w:r w:rsidRPr="00EC0C1C">
        <w:rPr>
          <w:lang w:val="en-GB"/>
        </w:rPr>
        <w:t xml:space="preserve">October 11, 2018, </w:t>
      </w:r>
      <w:r>
        <w:rPr>
          <w:lang w:val="en-GB"/>
        </w:rPr>
        <w:t>the</w:t>
      </w:r>
      <w:r w:rsidRPr="00EC0C1C">
        <w:rPr>
          <w:lang w:val="en-GB"/>
        </w:rPr>
        <w:t xml:space="preserve"> Canadian government had also promulgated the United States Surtax Remission Order as part of a relief package to Canadian businesses affected by the trade war.</w:t>
      </w:r>
      <w:r w:rsidRPr="00EC0C1C">
        <w:rPr>
          <w:vertAlign w:val="superscript"/>
          <w:lang w:val="en-GB"/>
        </w:rPr>
        <w:footnoteReference w:id="13"/>
      </w:r>
      <w:r w:rsidRPr="00EC0C1C">
        <w:rPr>
          <w:lang w:val="en-GB"/>
        </w:rPr>
        <w:t xml:space="preserve"> Accordingly, it would reimburse to Canadian importers and distributors, like Glenwood, the amount of Canadian surtax they would have paid on their US imports.</w:t>
      </w:r>
    </w:p>
    <w:p w14:paraId="360DD4B1" w14:textId="77777777" w:rsidR="007A3862" w:rsidRPr="00EC0C1C" w:rsidRDefault="007A3862" w:rsidP="007A3862">
      <w:pPr>
        <w:pStyle w:val="BodyTextMain"/>
        <w:rPr>
          <w:lang w:val="en-GB"/>
        </w:rPr>
      </w:pPr>
    </w:p>
    <w:p w14:paraId="4BA569FC" w14:textId="77777777" w:rsidR="007A3862" w:rsidRPr="00EC0C1C" w:rsidRDefault="007A3862" w:rsidP="007A3862">
      <w:pPr>
        <w:pStyle w:val="BodyTextMain"/>
        <w:rPr>
          <w:lang w:val="en-GB"/>
        </w:rPr>
      </w:pPr>
    </w:p>
    <w:p w14:paraId="23DFC0AA" w14:textId="77777777" w:rsidR="007A3862" w:rsidRPr="00EC0C1C" w:rsidRDefault="007A3862" w:rsidP="007A3862">
      <w:pPr>
        <w:pStyle w:val="Casehead1"/>
        <w:rPr>
          <w:lang w:val="en-GB"/>
        </w:rPr>
      </w:pPr>
      <w:r>
        <w:rPr>
          <w:lang w:val="en-GB"/>
        </w:rPr>
        <w:t>Options Going</w:t>
      </w:r>
      <w:r w:rsidRPr="00EC0C1C">
        <w:rPr>
          <w:lang w:val="en-GB"/>
        </w:rPr>
        <w:t xml:space="preserve"> FORWARD</w:t>
      </w:r>
    </w:p>
    <w:p w14:paraId="59EF049C" w14:textId="77777777" w:rsidR="007A3862" w:rsidRPr="00EC0C1C" w:rsidRDefault="007A3862" w:rsidP="007A3862">
      <w:pPr>
        <w:pStyle w:val="BodyTextMain"/>
        <w:rPr>
          <w:lang w:val="en-GB"/>
        </w:rPr>
      </w:pPr>
    </w:p>
    <w:p w14:paraId="4190C01F" w14:textId="77777777" w:rsidR="007A3862" w:rsidRDefault="007A3862" w:rsidP="007A3862">
      <w:pPr>
        <w:pStyle w:val="Casehead2"/>
        <w:rPr>
          <w:lang w:val="en-GB"/>
        </w:rPr>
      </w:pPr>
      <w:r w:rsidRPr="00EC0C1C">
        <w:rPr>
          <w:lang w:val="en-GB"/>
        </w:rPr>
        <w:t xml:space="preserve">Look for </w:t>
      </w:r>
      <w:r>
        <w:rPr>
          <w:lang w:val="en-GB"/>
        </w:rPr>
        <w:t>New Suppliers</w:t>
      </w:r>
      <w:r w:rsidRPr="00EC0C1C">
        <w:rPr>
          <w:lang w:val="en-GB"/>
        </w:rPr>
        <w:t xml:space="preserve"> in the Far East</w:t>
      </w:r>
    </w:p>
    <w:p w14:paraId="69272ADE" w14:textId="77777777" w:rsidR="007A3862" w:rsidRPr="00EF3B91" w:rsidRDefault="007A3862" w:rsidP="00EF3B91">
      <w:pPr>
        <w:pStyle w:val="BodyTextMain"/>
      </w:pPr>
    </w:p>
    <w:p w14:paraId="1EA47D0A" w14:textId="77777777" w:rsidR="007A3862" w:rsidRPr="00EC0C1C" w:rsidRDefault="007A3862" w:rsidP="007A3862">
      <w:pPr>
        <w:pStyle w:val="BodyTextMain"/>
        <w:rPr>
          <w:lang w:val="en-GB"/>
        </w:rPr>
      </w:pPr>
      <w:r w:rsidRPr="00EC0C1C">
        <w:rPr>
          <w:lang w:val="en-GB"/>
        </w:rPr>
        <w:t>Identifying alternative sources would be a strategic move</w:t>
      </w:r>
      <w:r>
        <w:rPr>
          <w:lang w:val="en-GB"/>
        </w:rPr>
        <w:t>—</w:t>
      </w:r>
      <w:r w:rsidRPr="00EC0C1C">
        <w:rPr>
          <w:lang w:val="en-GB"/>
        </w:rPr>
        <w:t xml:space="preserve">not only because imports would not be subject to the retaliatory duties imposed by the Canadian government but doing so would also allow the company to diversify its supplier pool. There were suppliers in countries in the Far East providing </w:t>
      </w:r>
      <w:proofErr w:type="spellStart"/>
      <w:r w:rsidRPr="00EC0C1C">
        <w:rPr>
          <w:lang w:val="en-GB"/>
        </w:rPr>
        <w:t>aluminum</w:t>
      </w:r>
      <w:proofErr w:type="spellEnd"/>
      <w:r w:rsidRPr="00EC0C1C">
        <w:rPr>
          <w:lang w:val="en-GB"/>
        </w:rPr>
        <w:t xml:space="preserve"> cylinders of comparable quality and whose basic unit prices were also likely cheaper. Glenwood had not dealt with any of them so far, and there were two issues that the company would have to address. </w:t>
      </w:r>
    </w:p>
    <w:p w14:paraId="275D9BD0" w14:textId="77777777" w:rsidR="007A3862" w:rsidRPr="00EC0C1C" w:rsidRDefault="007A3862" w:rsidP="007A3862">
      <w:pPr>
        <w:pStyle w:val="BodyTextMain"/>
        <w:rPr>
          <w:lang w:val="en-GB"/>
        </w:rPr>
      </w:pPr>
    </w:p>
    <w:p w14:paraId="4D2F305C" w14:textId="77777777" w:rsidR="007A3862" w:rsidRPr="00EC0C1C" w:rsidRDefault="007A3862" w:rsidP="007A3862">
      <w:pPr>
        <w:pStyle w:val="BodyTextMain"/>
        <w:rPr>
          <w:lang w:val="en-GB"/>
        </w:rPr>
      </w:pPr>
      <w:r w:rsidRPr="00EC0C1C">
        <w:rPr>
          <w:lang w:val="en-GB"/>
        </w:rPr>
        <w:t>First, the lead time for US shipment was less than 10 days. In contrast, the lead time for shipments from the Far East would be 90 days. Second, cylinders from the US were being imported in the form of single-deck loading platforms known as skids. Each skid housed 81 cylinders and Glenwood would import one to three skids per consignment. In contrast, the shipments from the Far East had to be in the form of containers. Each container would have a minimum of 26 skids holding about 2,100 cylinders</w:t>
      </w:r>
      <w:r>
        <w:rPr>
          <w:lang w:val="en-GB"/>
        </w:rPr>
        <w:t xml:space="preserve"> </w:t>
      </w:r>
      <w:r w:rsidRPr="00EC0C1C">
        <w:rPr>
          <w:lang w:val="en-GB"/>
        </w:rPr>
        <w:t xml:space="preserve">equivalent to nearly three years of inventory for Glenwood. A one-time purchase of that magnitude was not economical unless Glenwood sold a larger volume of cylinders in Canada. Imports from the Far East would be an incentive to </w:t>
      </w:r>
      <w:r w:rsidRPr="00EC0C1C">
        <w:rPr>
          <w:lang w:val="en-GB"/>
        </w:rPr>
        <w:lastRenderedPageBreak/>
        <w:t xml:space="preserve">improve Canadian distribution and </w:t>
      </w:r>
      <w:r>
        <w:rPr>
          <w:lang w:val="en-GB"/>
        </w:rPr>
        <w:t>acquire</w:t>
      </w:r>
      <w:r w:rsidRPr="00EC0C1C">
        <w:rPr>
          <w:lang w:val="en-GB"/>
        </w:rPr>
        <w:t xml:space="preserve"> more customers to generate more revenue. However, that would be part of demand, rather than supply, management.</w:t>
      </w:r>
    </w:p>
    <w:p w14:paraId="265F234C" w14:textId="77777777" w:rsidR="007A3862" w:rsidRPr="00EC0C1C" w:rsidRDefault="007A3862" w:rsidP="007A3862">
      <w:pPr>
        <w:pStyle w:val="BodyTextMain"/>
        <w:rPr>
          <w:lang w:val="en-GB"/>
        </w:rPr>
      </w:pPr>
    </w:p>
    <w:p w14:paraId="2AD9E756" w14:textId="77777777" w:rsidR="007A3862" w:rsidRDefault="007A3862" w:rsidP="007A3862">
      <w:pPr>
        <w:pStyle w:val="BodyTextMain"/>
        <w:rPr>
          <w:lang w:val="en-GB"/>
        </w:rPr>
      </w:pPr>
      <w:r w:rsidRPr="00EC0C1C">
        <w:rPr>
          <w:lang w:val="en-GB"/>
        </w:rPr>
        <w:t xml:space="preserve">A related alternative was to collaborate with competitors in Canada so that collective requirements could be consolidated into a container or two and then shipped locally. Coopetition, as it was called, was common on the supply side in several industries worldwide, as bulk buying was an effective tool in negotiating price discounts. A joint purchase agreement was also treated leniently in Canada under </w:t>
      </w:r>
      <w:r>
        <w:rPr>
          <w:lang w:val="en-GB"/>
        </w:rPr>
        <w:t>the</w:t>
      </w:r>
      <w:r w:rsidRPr="00EC0C1C">
        <w:rPr>
          <w:lang w:val="en-GB"/>
        </w:rPr>
        <w:t xml:space="preserve"> Competition Act, unlike an agreement between sellers in which signs of “collusion” were demonstrably evident. But coopetition was an untested ground for Glenwood. Building up the trust factor in the ecosystem was </w:t>
      </w:r>
      <w:r>
        <w:rPr>
          <w:lang w:val="en-GB"/>
        </w:rPr>
        <w:t>time-consuming,</w:t>
      </w:r>
      <w:r w:rsidRPr="00EC0C1C">
        <w:rPr>
          <w:lang w:val="en-GB"/>
        </w:rPr>
        <w:t xml:space="preserve"> and </w:t>
      </w:r>
      <w:proofErr w:type="spellStart"/>
      <w:r w:rsidRPr="00EC0C1C">
        <w:rPr>
          <w:lang w:val="en-GB"/>
        </w:rPr>
        <w:t>Benzoni</w:t>
      </w:r>
      <w:proofErr w:type="spellEnd"/>
      <w:r w:rsidRPr="00EC0C1C">
        <w:rPr>
          <w:lang w:val="en-GB"/>
        </w:rPr>
        <w:t xml:space="preserve"> was not sure he should take the lead.</w:t>
      </w:r>
    </w:p>
    <w:p w14:paraId="048CA816" w14:textId="77777777" w:rsidR="007A3862" w:rsidRDefault="007A3862" w:rsidP="007A3862">
      <w:pPr>
        <w:pStyle w:val="BodyTextMain"/>
        <w:rPr>
          <w:lang w:val="en-GB"/>
        </w:rPr>
      </w:pPr>
    </w:p>
    <w:p w14:paraId="2318FF4E" w14:textId="77777777" w:rsidR="007A3862" w:rsidRPr="00EC0C1C" w:rsidRDefault="007A3862" w:rsidP="007A3862">
      <w:pPr>
        <w:pStyle w:val="BodyTextMain"/>
        <w:rPr>
          <w:lang w:val="en-GB"/>
        </w:rPr>
      </w:pPr>
    </w:p>
    <w:p w14:paraId="1107065E" w14:textId="77777777" w:rsidR="007A3862" w:rsidRDefault="007A3862" w:rsidP="007A3862">
      <w:pPr>
        <w:pStyle w:val="Casehead2"/>
        <w:rPr>
          <w:lang w:val="en-GB"/>
        </w:rPr>
      </w:pPr>
      <w:r w:rsidRPr="00EC0C1C">
        <w:rPr>
          <w:lang w:val="en-GB"/>
        </w:rPr>
        <w:t xml:space="preserve">Sell to </w:t>
      </w:r>
      <w:r>
        <w:rPr>
          <w:lang w:val="en-GB"/>
        </w:rPr>
        <w:t>End-Users Directly</w:t>
      </w:r>
    </w:p>
    <w:p w14:paraId="558BEC02" w14:textId="77777777" w:rsidR="007A3862" w:rsidRDefault="007A3862" w:rsidP="007A3862">
      <w:pPr>
        <w:pStyle w:val="BodyTextMain"/>
        <w:rPr>
          <w:lang w:val="en-GB"/>
        </w:rPr>
      </w:pPr>
    </w:p>
    <w:p w14:paraId="73E9FAD7" w14:textId="77777777" w:rsidR="007A3862" w:rsidRPr="00EC0C1C" w:rsidRDefault="007A3862" w:rsidP="007A3862">
      <w:pPr>
        <w:pStyle w:val="BodyTextMain"/>
        <w:rPr>
          <w:lang w:val="en-GB"/>
        </w:rPr>
      </w:pPr>
      <w:r w:rsidRPr="00EC0C1C">
        <w:rPr>
          <w:lang w:val="en-GB"/>
        </w:rPr>
        <w:t xml:space="preserve">One way of reducing costs escalated by the trade war was to cut into the wholesaler’s </w:t>
      </w:r>
      <w:proofErr w:type="spellStart"/>
      <w:r w:rsidRPr="00EC0C1C">
        <w:rPr>
          <w:lang w:val="en-GB"/>
        </w:rPr>
        <w:t>markup</w:t>
      </w:r>
      <w:proofErr w:type="spellEnd"/>
      <w:r w:rsidRPr="00EC0C1C">
        <w:rPr>
          <w:lang w:val="en-GB"/>
        </w:rPr>
        <w:t xml:space="preserve"> by distributing </w:t>
      </w:r>
      <w:proofErr w:type="spellStart"/>
      <w:r w:rsidRPr="00EC0C1C">
        <w:rPr>
          <w:lang w:val="en-GB"/>
        </w:rPr>
        <w:t>aluminum</w:t>
      </w:r>
      <w:proofErr w:type="spellEnd"/>
      <w:r w:rsidRPr="00EC0C1C">
        <w:rPr>
          <w:lang w:val="en-GB"/>
        </w:rPr>
        <w:t xml:space="preserve"> cylinders directly to </w:t>
      </w:r>
      <w:r>
        <w:rPr>
          <w:lang w:val="en-GB"/>
        </w:rPr>
        <w:t>end-users</w:t>
      </w:r>
      <w:r w:rsidRPr="00EC0C1C">
        <w:rPr>
          <w:lang w:val="en-GB"/>
        </w:rPr>
        <w:t>. Wholesalers</w:t>
      </w:r>
      <w:r>
        <w:rPr>
          <w:lang w:val="en-GB"/>
        </w:rPr>
        <w:t>, which</w:t>
      </w:r>
      <w:r w:rsidRPr="00EC0C1C">
        <w:rPr>
          <w:lang w:val="en-GB"/>
        </w:rPr>
        <w:t xml:space="preserve"> comprised 75 per cent of Glenwood sales</w:t>
      </w:r>
      <w:r>
        <w:rPr>
          <w:lang w:val="en-GB"/>
        </w:rPr>
        <w:t>,</w:t>
      </w:r>
      <w:r w:rsidRPr="00EC0C1C">
        <w:rPr>
          <w:lang w:val="en-GB"/>
        </w:rPr>
        <w:t xml:space="preserve"> had extensive networks in Canadian </w:t>
      </w:r>
      <w:r>
        <w:rPr>
          <w:lang w:val="en-GB"/>
        </w:rPr>
        <w:t>health care</w:t>
      </w:r>
      <w:r w:rsidRPr="00EC0C1C">
        <w:rPr>
          <w:lang w:val="en-GB"/>
        </w:rPr>
        <w:t xml:space="preserve"> in addition </w:t>
      </w:r>
      <w:r>
        <w:rPr>
          <w:lang w:val="en-GB"/>
        </w:rPr>
        <w:t xml:space="preserve">to </w:t>
      </w:r>
      <w:r w:rsidRPr="00EC0C1C">
        <w:rPr>
          <w:lang w:val="en-GB"/>
        </w:rPr>
        <w:t xml:space="preserve">economies of scale. They also had “legs on the street,” as the </w:t>
      </w:r>
      <w:r>
        <w:rPr>
          <w:lang w:val="en-GB"/>
        </w:rPr>
        <w:t>sales force</w:t>
      </w:r>
      <w:r w:rsidRPr="00EC0C1C">
        <w:rPr>
          <w:lang w:val="en-GB"/>
        </w:rPr>
        <w:t xml:space="preserve"> was referred to in the industry, keeping tabs on </w:t>
      </w:r>
      <w:r>
        <w:rPr>
          <w:lang w:val="en-GB"/>
        </w:rPr>
        <w:t xml:space="preserve">the </w:t>
      </w:r>
      <w:r w:rsidRPr="00EC0C1C">
        <w:rPr>
          <w:lang w:val="en-GB"/>
        </w:rPr>
        <w:t xml:space="preserve">ground realities of the business. As a solo operator, Glenwood had none of these advantages. Although it had expertise, built up over the years in </w:t>
      </w:r>
      <w:r>
        <w:rPr>
          <w:lang w:val="en-GB"/>
        </w:rPr>
        <w:t>business-to-business</w:t>
      </w:r>
      <w:r w:rsidRPr="00EC0C1C">
        <w:rPr>
          <w:lang w:val="en-GB"/>
        </w:rPr>
        <w:t xml:space="preserve"> sales, doing business with customers</w:t>
      </w:r>
      <w:r>
        <w:rPr>
          <w:lang w:val="en-GB"/>
        </w:rPr>
        <w:t xml:space="preserve"> </w:t>
      </w:r>
      <w:r w:rsidRPr="00EC0C1C">
        <w:rPr>
          <w:lang w:val="en-GB"/>
        </w:rPr>
        <w:t xml:space="preserve">was not part of its skill set. Whatever sales it was providing to individual </w:t>
      </w:r>
      <w:r>
        <w:rPr>
          <w:lang w:val="en-GB"/>
        </w:rPr>
        <w:t>end-users</w:t>
      </w:r>
      <w:r w:rsidRPr="00EC0C1C">
        <w:rPr>
          <w:lang w:val="en-GB"/>
        </w:rPr>
        <w:t xml:space="preserve">, like dentists, was triggered by inbound calls from potential customers. Glenwood was not making any outbound calls or chasing sales leads on its own. </w:t>
      </w:r>
    </w:p>
    <w:p w14:paraId="7248FC71" w14:textId="77777777" w:rsidR="007A3862" w:rsidRPr="00EC0C1C" w:rsidRDefault="007A3862" w:rsidP="007A3862">
      <w:pPr>
        <w:pStyle w:val="BodyTextMain"/>
        <w:rPr>
          <w:lang w:val="en-GB"/>
        </w:rPr>
      </w:pPr>
    </w:p>
    <w:p w14:paraId="75098271" w14:textId="77777777" w:rsidR="007A3862" w:rsidRPr="00EC0C1C" w:rsidRDefault="007A3862" w:rsidP="007A3862">
      <w:pPr>
        <w:pStyle w:val="BodyTextMain"/>
        <w:rPr>
          <w:lang w:val="en-GB"/>
        </w:rPr>
      </w:pPr>
      <w:proofErr w:type="spellStart"/>
      <w:r w:rsidRPr="00EC0C1C">
        <w:rPr>
          <w:lang w:val="en-GB"/>
        </w:rPr>
        <w:t>Aluminum</w:t>
      </w:r>
      <w:proofErr w:type="spellEnd"/>
      <w:r w:rsidRPr="00EC0C1C">
        <w:rPr>
          <w:lang w:val="en-GB"/>
        </w:rPr>
        <w:t xml:space="preserve"> oxygen cylinders were different from other medical devices in two ways. First, while hospitals would buy in large numbers, the individual </w:t>
      </w:r>
      <w:r>
        <w:rPr>
          <w:lang w:val="en-GB"/>
        </w:rPr>
        <w:t>end-user</w:t>
      </w:r>
      <w:r w:rsidRPr="00EC0C1C">
        <w:rPr>
          <w:lang w:val="en-GB"/>
        </w:rPr>
        <w:t xml:space="preserve"> would buy only one, and not more than two</w:t>
      </w:r>
      <w:r>
        <w:rPr>
          <w:lang w:val="en-GB"/>
        </w:rPr>
        <w:t>,</w:t>
      </w:r>
      <w:r w:rsidRPr="00EC0C1C">
        <w:rPr>
          <w:lang w:val="en-GB"/>
        </w:rPr>
        <w:t xml:space="preserve"> cylinders at a time</w:t>
      </w:r>
      <w:r>
        <w:rPr>
          <w:lang w:val="en-GB"/>
        </w:rPr>
        <w:t>—</w:t>
      </w:r>
      <w:r w:rsidRPr="00EC0C1C">
        <w:rPr>
          <w:lang w:val="en-GB"/>
        </w:rPr>
        <w:t>one for regular use and one for stock.</w:t>
      </w:r>
      <w:r>
        <w:rPr>
          <w:lang w:val="en-GB"/>
        </w:rPr>
        <w:t xml:space="preserve"> </w:t>
      </w:r>
      <w:r w:rsidRPr="00EC0C1C">
        <w:rPr>
          <w:lang w:val="en-GB"/>
        </w:rPr>
        <w:t xml:space="preserve">Second, </w:t>
      </w:r>
      <w:r>
        <w:rPr>
          <w:lang w:val="en-GB"/>
        </w:rPr>
        <w:t>it</w:t>
      </w:r>
      <w:r w:rsidRPr="00EC0C1C">
        <w:rPr>
          <w:lang w:val="en-GB"/>
        </w:rPr>
        <w:t xml:space="preserve"> was always</w:t>
      </w:r>
      <w:r>
        <w:rPr>
          <w:lang w:val="en-GB"/>
        </w:rPr>
        <w:t xml:space="preserve"> a</w:t>
      </w:r>
      <w:r w:rsidRPr="00EC0C1C">
        <w:rPr>
          <w:lang w:val="en-GB"/>
        </w:rPr>
        <w:t xml:space="preserve"> one-time</w:t>
      </w:r>
      <w:r>
        <w:rPr>
          <w:lang w:val="en-GB"/>
        </w:rPr>
        <w:t xml:space="preserve"> sale</w:t>
      </w:r>
      <w:r w:rsidRPr="00EC0C1C">
        <w:rPr>
          <w:lang w:val="en-GB"/>
        </w:rPr>
        <w:t xml:space="preserve">; there was no provision for recurring sale because a cylinder had a shelf life of up to five years. Even at the end of five years, the cylinder could be refilled with oxygen at designated places for use for another five years. Glenwood was not involved in refilling cylinders. </w:t>
      </w:r>
    </w:p>
    <w:p w14:paraId="08DE31F3" w14:textId="77777777" w:rsidR="007A3862" w:rsidRPr="00EC0C1C" w:rsidRDefault="007A3862" w:rsidP="007A3862">
      <w:pPr>
        <w:pStyle w:val="BodyTextMain"/>
        <w:rPr>
          <w:lang w:val="en-GB"/>
        </w:rPr>
      </w:pPr>
    </w:p>
    <w:p w14:paraId="4F2EE55C" w14:textId="77777777" w:rsidR="007A3862" w:rsidRDefault="007A3862" w:rsidP="007A3862">
      <w:pPr>
        <w:pStyle w:val="BodyTextMain"/>
        <w:rPr>
          <w:lang w:val="en-GB"/>
        </w:rPr>
      </w:pPr>
      <w:r>
        <w:rPr>
          <w:lang w:val="en-GB"/>
        </w:rPr>
        <w:t>There</w:t>
      </w:r>
      <w:r w:rsidRPr="00EC0C1C">
        <w:rPr>
          <w:lang w:val="en-GB"/>
        </w:rPr>
        <w:t xml:space="preserve"> were</w:t>
      </w:r>
      <w:r>
        <w:rPr>
          <w:lang w:val="en-GB"/>
        </w:rPr>
        <w:t>, however,</w:t>
      </w:r>
      <w:r w:rsidRPr="00EC0C1C">
        <w:rPr>
          <w:lang w:val="en-GB"/>
        </w:rPr>
        <w:t xml:space="preserve"> several accessories of an oxygen cylinder </w:t>
      </w:r>
      <w:r>
        <w:rPr>
          <w:lang w:val="en-GB"/>
        </w:rPr>
        <w:t>that</w:t>
      </w:r>
      <w:r w:rsidRPr="00EC0C1C">
        <w:rPr>
          <w:lang w:val="en-GB"/>
        </w:rPr>
        <w:t xml:space="preserve"> were disposable and hence had provision for repeat purchases</w:t>
      </w:r>
      <w:r>
        <w:rPr>
          <w:lang w:val="en-GB"/>
        </w:rPr>
        <w:t>,</w:t>
      </w:r>
      <w:r w:rsidRPr="00EC0C1C">
        <w:rPr>
          <w:lang w:val="en-GB"/>
        </w:rPr>
        <w:t xml:space="preserve"> </w:t>
      </w:r>
      <w:r>
        <w:rPr>
          <w:lang w:val="en-GB"/>
        </w:rPr>
        <w:t>and these included</w:t>
      </w:r>
      <w:r w:rsidRPr="00EC0C1C">
        <w:rPr>
          <w:lang w:val="en-GB"/>
        </w:rPr>
        <w:t xml:space="preserve"> cannulas and oxygen masks. Glenwood had an opportunity to supply </w:t>
      </w:r>
      <w:r>
        <w:rPr>
          <w:lang w:val="en-GB"/>
        </w:rPr>
        <w:t>these accessories</w:t>
      </w:r>
      <w:r w:rsidRPr="00EC0C1C">
        <w:rPr>
          <w:lang w:val="en-GB"/>
        </w:rPr>
        <w:t xml:space="preserve"> in perpetuity for a one-time </w:t>
      </w:r>
      <w:r>
        <w:rPr>
          <w:lang w:val="en-GB"/>
        </w:rPr>
        <w:t>cylinder</w:t>
      </w:r>
      <w:r w:rsidRPr="00EC0C1C">
        <w:rPr>
          <w:lang w:val="en-GB"/>
        </w:rPr>
        <w:t xml:space="preserve">. They were indispensable commodities </w:t>
      </w:r>
      <w:r>
        <w:rPr>
          <w:lang w:val="en-GB"/>
        </w:rPr>
        <w:t xml:space="preserve">whenever </w:t>
      </w:r>
      <w:r w:rsidRPr="00EC0C1C">
        <w:rPr>
          <w:lang w:val="en-GB"/>
        </w:rPr>
        <w:t>the use of oxygen cylinders was involved. For example, Glenwood had generated revenue of $140,000 in 2018 from the sale of cannulas alone. Priced at an average of $20.93 per piece, the cannulas carried a profit margin of 38 per cent for Glenwood.</w:t>
      </w:r>
    </w:p>
    <w:p w14:paraId="5521C918" w14:textId="77777777" w:rsidR="007A3862" w:rsidRPr="00EC0C1C" w:rsidRDefault="007A3862" w:rsidP="007A3862">
      <w:pPr>
        <w:pStyle w:val="BodyTextMain"/>
        <w:rPr>
          <w:lang w:val="en-GB"/>
        </w:rPr>
      </w:pPr>
    </w:p>
    <w:p w14:paraId="0C2C9349" w14:textId="77777777" w:rsidR="007A3862" w:rsidRPr="00EC0C1C" w:rsidRDefault="007A3862" w:rsidP="007A3862">
      <w:pPr>
        <w:pStyle w:val="BodyTextMain"/>
        <w:rPr>
          <w:lang w:val="en-GB"/>
        </w:rPr>
      </w:pPr>
    </w:p>
    <w:p w14:paraId="251B0AC6" w14:textId="77777777" w:rsidR="007A3862" w:rsidRDefault="007A3862" w:rsidP="007A3862">
      <w:pPr>
        <w:pStyle w:val="Casehead2"/>
        <w:rPr>
          <w:lang w:val="en-GB"/>
        </w:rPr>
      </w:pPr>
      <w:r w:rsidRPr="00EC0C1C">
        <w:rPr>
          <w:lang w:val="en-GB"/>
        </w:rPr>
        <w:t xml:space="preserve">Look for </w:t>
      </w:r>
      <w:r>
        <w:rPr>
          <w:lang w:val="en-GB"/>
        </w:rPr>
        <w:t>Customers</w:t>
      </w:r>
      <w:r w:rsidRPr="00EC0C1C">
        <w:rPr>
          <w:lang w:val="en-GB"/>
        </w:rPr>
        <w:t xml:space="preserve"> beyond </w:t>
      </w:r>
      <w:r>
        <w:rPr>
          <w:lang w:val="en-GB"/>
        </w:rPr>
        <w:t>Medical Offices</w:t>
      </w:r>
    </w:p>
    <w:p w14:paraId="19790AB3" w14:textId="77777777" w:rsidR="007A3862" w:rsidRDefault="007A3862" w:rsidP="007A3862">
      <w:pPr>
        <w:pStyle w:val="BodyTextMain"/>
        <w:rPr>
          <w:lang w:val="en-GB"/>
        </w:rPr>
      </w:pPr>
    </w:p>
    <w:p w14:paraId="539C346A" w14:textId="77777777" w:rsidR="007A3862" w:rsidRPr="00EC0C1C" w:rsidRDefault="007A3862" w:rsidP="007A3862">
      <w:pPr>
        <w:pStyle w:val="BodyTextMain"/>
        <w:rPr>
          <w:lang w:val="en-GB"/>
        </w:rPr>
      </w:pPr>
      <w:r w:rsidRPr="000D77A5">
        <w:rPr>
          <w:lang w:val="en-GB"/>
        </w:rPr>
        <w:t xml:space="preserve">As an extension of getting into the </w:t>
      </w:r>
      <w:r>
        <w:rPr>
          <w:lang w:val="en-GB"/>
        </w:rPr>
        <w:t>business-to-consumer</w:t>
      </w:r>
      <w:r w:rsidRPr="000D77A5">
        <w:rPr>
          <w:lang w:val="en-GB"/>
        </w:rPr>
        <w:t xml:space="preserve"> markets,</w:t>
      </w:r>
      <w:r w:rsidRPr="00EC0C1C">
        <w:rPr>
          <w:lang w:val="en-GB"/>
        </w:rPr>
        <w:t xml:space="preserve"> the scope of </w:t>
      </w:r>
      <w:proofErr w:type="spellStart"/>
      <w:r>
        <w:rPr>
          <w:lang w:val="en-GB"/>
        </w:rPr>
        <w:t>aluminum</w:t>
      </w:r>
      <w:proofErr w:type="spellEnd"/>
      <w:r>
        <w:rPr>
          <w:lang w:val="en-GB"/>
        </w:rPr>
        <w:t xml:space="preserve"> cylinder </w:t>
      </w:r>
      <w:r w:rsidRPr="00EC0C1C">
        <w:rPr>
          <w:lang w:val="en-GB"/>
        </w:rPr>
        <w:t>usage</w:t>
      </w:r>
      <w:r>
        <w:rPr>
          <w:lang w:val="en-GB"/>
        </w:rPr>
        <w:t xml:space="preserve"> could be extended</w:t>
      </w:r>
      <w:r w:rsidRPr="00EC0C1C">
        <w:rPr>
          <w:lang w:val="en-GB"/>
        </w:rPr>
        <w:t xml:space="preserve">. The company had, of late, two instances of doing so with two different product categories of medical devices. </w:t>
      </w:r>
    </w:p>
    <w:p w14:paraId="2A93B9F9" w14:textId="77777777" w:rsidR="007A3862" w:rsidRPr="00EC0C1C" w:rsidRDefault="007A3862" w:rsidP="007A3862">
      <w:pPr>
        <w:pStyle w:val="BodyTextMain"/>
        <w:rPr>
          <w:lang w:val="en-GB"/>
        </w:rPr>
      </w:pPr>
    </w:p>
    <w:p w14:paraId="00525BC7" w14:textId="3305F1DD" w:rsidR="007A3862" w:rsidRPr="00EC0C1C" w:rsidRDefault="007A3862" w:rsidP="007A3862">
      <w:pPr>
        <w:pStyle w:val="BodyTextMain"/>
        <w:rPr>
          <w:lang w:val="en-GB"/>
        </w:rPr>
      </w:pPr>
      <w:r w:rsidRPr="00EC0C1C">
        <w:rPr>
          <w:lang w:val="en-GB"/>
        </w:rPr>
        <w:t xml:space="preserve">The first pertained to a </w:t>
      </w:r>
      <w:r>
        <w:rPr>
          <w:lang w:val="en-GB"/>
        </w:rPr>
        <w:t>class-I</w:t>
      </w:r>
      <w:r w:rsidRPr="00EC0C1C">
        <w:rPr>
          <w:lang w:val="en-GB"/>
        </w:rPr>
        <w:t xml:space="preserve"> sterile bandage. Made of 100 per cent cotton, it was popular as a dressing material in treating wounds. The bandage had found an application beyond </w:t>
      </w:r>
      <w:r>
        <w:rPr>
          <w:lang w:val="en-GB"/>
        </w:rPr>
        <w:t>health care</w:t>
      </w:r>
      <w:r w:rsidRPr="00EC0C1C">
        <w:rPr>
          <w:lang w:val="en-GB"/>
        </w:rPr>
        <w:t xml:space="preserve"> in northern Canada.</w:t>
      </w:r>
      <w:r>
        <w:rPr>
          <w:lang w:val="en-GB"/>
        </w:rPr>
        <w:t xml:space="preserve"> </w:t>
      </w:r>
      <w:r w:rsidRPr="00EC0C1C">
        <w:rPr>
          <w:lang w:val="en-GB"/>
        </w:rPr>
        <w:t xml:space="preserve">When pine trees were cut down and efforts were made to populate pine trees elsewhere, the roots would be placed in the bandage, </w:t>
      </w:r>
      <w:r w:rsidR="00ED6792">
        <w:rPr>
          <w:lang w:val="en-GB"/>
        </w:rPr>
        <w:t>placed</w:t>
      </w:r>
      <w:r w:rsidRPr="00EC0C1C">
        <w:rPr>
          <w:lang w:val="en-GB"/>
        </w:rPr>
        <w:t xml:space="preserve"> underground</w:t>
      </w:r>
      <w:r>
        <w:rPr>
          <w:lang w:val="en-GB"/>
        </w:rPr>
        <w:t>,</w:t>
      </w:r>
      <w:r w:rsidRPr="00EC0C1C">
        <w:rPr>
          <w:lang w:val="en-GB"/>
        </w:rPr>
        <w:t xml:space="preserve"> and covered with nutrients.</w:t>
      </w:r>
      <w:r>
        <w:rPr>
          <w:lang w:val="en-GB"/>
        </w:rPr>
        <w:t xml:space="preserve"> </w:t>
      </w:r>
      <w:r w:rsidRPr="00EC0C1C">
        <w:rPr>
          <w:lang w:val="en-GB"/>
        </w:rPr>
        <w:t>The bandage would envelop the roots protectively and, being made of cotton, disintegrate into the soil</w:t>
      </w:r>
      <w:r>
        <w:rPr>
          <w:lang w:val="en-GB"/>
        </w:rPr>
        <w:t>,</w:t>
      </w:r>
      <w:r w:rsidRPr="00EC0C1C">
        <w:rPr>
          <w:lang w:val="en-GB"/>
        </w:rPr>
        <w:t xml:space="preserve"> even as the new plant would begin to grow. A new and evolving market had opened in the </w:t>
      </w:r>
      <w:r>
        <w:rPr>
          <w:lang w:val="en-GB"/>
        </w:rPr>
        <w:t>tree-planting</w:t>
      </w:r>
      <w:r w:rsidRPr="00EC0C1C">
        <w:rPr>
          <w:lang w:val="en-GB"/>
        </w:rPr>
        <w:t xml:space="preserve"> industry for medical bandages. </w:t>
      </w:r>
    </w:p>
    <w:p w14:paraId="3DA30AB0" w14:textId="77777777" w:rsidR="007A3862" w:rsidRDefault="007A3862" w:rsidP="007A3862">
      <w:pPr>
        <w:pStyle w:val="BodyTextMain"/>
        <w:rPr>
          <w:lang w:val="en-GB"/>
        </w:rPr>
      </w:pPr>
      <w:r w:rsidRPr="00EC0C1C">
        <w:rPr>
          <w:lang w:val="en-GB"/>
        </w:rPr>
        <w:lastRenderedPageBreak/>
        <w:t>The second pertained to a product used in sports medicine and popular among basketball players as a treatment for soft tissue injuries on their</w:t>
      </w:r>
      <w:r>
        <w:rPr>
          <w:lang w:val="en-GB"/>
        </w:rPr>
        <w:t xml:space="preserve"> arms</w:t>
      </w:r>
      <w:r w:rsidRPr="00EC0C1C">
        <w:rPr>
          <w:lang w:val="en-GB"/>
        </w:rPr>
        <w:t xml:space="preserve">. It was a self-adhesive gauze that stayed in place with minimal taping </w:t>
      </w:r>
      <w:r>
        <w:rPr>
          <w:lang w:val="en-GB"/>
        </w:rPr>
        <w:t>and</w:t>
      </w:r>
      <w:r w:rsidRPr="00EC0C1C">
        <w:rPr>
          <w:lang w:val="en-GB"/>
        </w:rPr>
        <w:t xml:space="preserve"> </w:t>
      </w:r>
      <w:r>
        <w:rPr>
          <w:lang w:val="en-GB"/>
        </w:rPr>
        <w:t>conformed</w:t>
      </w:r>
      <w:r w:rsidRPr="00EC0C1C">
        <w:rPr>
          <w:lang w:val="en-GB"/>
        </w:rPr>
        <w:t xml:space="preserve"> to difficult body contours. It had become a sought-after product among welders who were using it to pre-empt burns on their sleeves caused by sparks. A new and evolving market had opened in the welding industry for a tubular sports medicine product.</w:t>
      </w:r>
    </w:p>
    <w:p w14:paraId="32DDCCF1" w14:textId="66B50A36" w:rsidR="007A3862" w:rsidRDefault="007A3862" w:rsidP="007A3862">
      <w:pPr>
        <w:pStyle w:val="BodyTextMain"/>
        <w:rPr>
          <w:lang w:val="en-GB"/>
        </w:rPr>
      </w:pPr>
    </w:p>
    <w:p w14:paraId="4A559C5F" w14:textId="77777777" w:rsidR="00EF3B91" w:rsidRPr="00EC0C1C" w:rsidRDefault="00EF3B91" w:rsidP="007A3862">
      <w:pPr>
        <w:pStyle w:val="BodyTextMain"/>
        <w:rPr>
          <w:lang w:val="en-GB"/>
        </w:rPr>
      </w:pPr>
    </w:p>
    <w:p w14:paraId="020C0C93" w14:textId="77777777" w:rsidR="007A3862" w:rsidRDefault="007A3862" w:rsidP="007A3862">
      <w:pPr>
        <w:pStyle w:val="Casehead2"/>
        <w:rPr>
          <w:lang w:val="en-GB"/>
        </w:rPr>
      </w:pPr>
      <w:r w:rsidRPr="00EC0C1C">
        <w:rPr>
          <w:lang w:val="en-GB"/>
        </w:rPr>
        <w:t xml:space="preserve">Seek </w:t>
      </w:r>
      <w:r>
        <w:rPr>
          <w:lang w:val="en-GB"/>
        </w:rPr>
        <w:t xml:space="preserve">Relief </w:t>
      </w:r>
      <w:r w:rsidRPr="00EC0C1C">
        <w:rPr>
          <w:lang w:val="en-GB"/>
        </w:rPr>
        <w:t xml:space="preserve">from the </w:t>
      </w:r>
      <w:r>
        <w:rPr>
          <w:lang w:val="en-GB"/>
        </w:rPr>
        <w:t>Government of Canada</w:t>
      </w:r>
      <w:r w:rsidRPr="00EC0C1C">
        <w:rPr>
          <w:lang w:val="en-GB"/>
        </w:rPr>
        <w:t xml:space="preserve"> </w:t>
      </w:r>
    </w:p>
    <w:p w14:paraId="234B20C5" w14:textId="77777777" w:rsidR="007A3862" w:rsidRDefault="007A3862" w:rsidP="007A3862">
      <w:pPr>
        <w:pStyle w:val="BodyTextMain"/>
        <w:rPr>
          <w:lang w:val="en-GB"/>
        </w:rPr>
      </w:pPr>
    </w:p>
    <w:p w14:paraId="1434F658" w14:textId="77777777" w:rsidR="007A3862" w:rsidRDefault="007A3862" w:rsidP="007A3862">
      <w:pPr>
        <w:pStyle w:val="BodyTextMain"/>
        <w:rPr>
          <w:lang w:val="en-GB"/>
        </w:rPr>
      </w:pPr>
      <w:r w:rsidRPr="00EC0C1C">
        <w:rPr>
          <w:lang w:val="en-GB"/>
        </w:rPr>
        <w:t xml:space="preserve">The relief available under the United States Surtax Remission Order was subject to </w:t>
      </w:r>
      <w:proofErr w:type="spellStart"/>
      <w:r w:rsidRPr="00EC0C1C">
        <w:rPr>
          <w:lang w:val="en-GB"/>
        </w:rPr>
        <w:t>fulfillment</w:t>
      </w:r>
      <w:proofErr w:type="spellEnd"/>
      <w:r w:rsidRPr="00EC0C1C">
        <w:rPr>
          <w:lang w:val="en-GB"/>
        </w:rPr>
        <w:t xml:space="preserve"> of two conditions</w:t>
      </w:r>
      <w:r>
        <w:rPr>
          <w:lang w:val="en-GB"/>
        </w:rPr>
        <w:t xml:space="preserve">: (1) </w:t>
      </w:r>
      <w:r w:rsidRPr="00EC0C1C">
        <w:rPr>
          <w:lang w:val="en-GB"/>
        </w:rPr>
        <w:t xml:space="preserve">evidence of short supply of </w:t>
      </w:r>
      <w:proofErr w:type="spellStart"/>
      <w:r w:rsidRPr="00EC0C1C">
        <w:rPr>
          <w:lang w:val="en-GB"/>
        </w:rPr>
        <w:t>aluminum</w:t>
      </w:r>
      <w:proofErr w:type="spellEnd"/>
      <w:r w:rsidRPr="00EC0C1C">
        <w:rPr>
          <w:lang w:val="en-GB"/>
        </w:rPr>
        <w:t xml:space="preserve"> cylinders in the Canadian market</w:t>
      </w:r>
      <w:r>
        <w:rPr>
          <w:lang w:val="en-GB"/>
        </w:rPr>
        <w:t>,</w:t>
      </w:r>
      <w:r w:rsidRPr="00EC0C1C">
        <w:rPr>
          <w:lang w:val="en-GB"/>
        </w:rPr>
        <w:t xml:space="preserve"> and </w:t>
      </w:r>
      <w:r>
        <w:rPr>
          <w:lang w:val="en-GB"/>
        </w:rPr>
        <w:t xml:space="preserve">(2) </w:t>
      </w:r>
      <w:r w:rsidRPr="00EC0C1C">
        <w:rPr>
          <w:lang w:val="en-GB"/>
        </w:rPr>
        <w:t xml:space="preserve">contractual obligations to import </w:t>
      </w:r>
      <w:proofErr w:type="spellStart"/>
      <w:r w:rsidRPr="00EC0C1C">
        <w:rPr>
          <w:lang w:val="en-GB"/>
        </w:rPr>
        <w:t>aluminum</w:t>
      </w:r>
      <w:proofErr w:type="spellEnd"/>
      <w:r w:rsidRPr="00EC0C1C">
        <w:rPr>
          <w:lang w:val="en-GB"/>
        </w:rPr>
        <w:t xml:space="preserve"> cylinders only from the </w:t>
      </w:r>
      <w:r>
        <w:rPr>
          <w:lang w:val="en-GB"/>
        </w:rPr>
        <w:t>United States</w:t>
      </w:r>
      <w:r w:rsidRPr="00EC0C1C">
        <w:rPr>
          <w:lang w:val="en-GB"/>
        </w:rPr>
        <w:t xml:space="preserve">. The process of claiming </w:t>
      </w:r>
      <w:r>
        <w:rPr>
          <w:lang w:val="en-GB"/>
        </w:rPr>
        <w:t xml:space="preserve">the </w:t>
      </w:r>
      <w:r w:rsidRPr="00EC0C1C">
        <w:rPr>
          <w:lang w:val="en-GB"/>
        </w:rPr>
        <w:t>refund was elaborate because the onus of proof lay with the applicant. It took time to collect information to approach the government for relief</w:t>
      </w:r>
      <w:r>
        <w:rPr>
          <w:lang w:val="en-GB"/>
        </w:rPr>
        <w:t>, and the</w:t>
      </w:r>
      <w:r w:rsidRPr="00EC0C1C">
        <w:rPr>
          <w:lang w:val="en-GB"/>
        </w:rPr>
        <w:t xml:space="preserve"> government took </w:t>
      </w:r>
      <w:r>
        <w:rPr>
          <w:lang w:val="en-GB"/>
        </w:rPr>
        <w:t>three to four</w:t>
      </w:r>
      <w:r w:rsidRPr="00EC0C1C">
        <w:rPr>
          <w:lang w:val="en-GB"/>
        </w:rPr>
        <w:t xml:space="preserve"> months to respond</w:t>
      </w:r>
      <w:r>
        <w:rPr>
          <w:lang w:val="en-GB"/>
        </w:rPr>
        <w:t>—</w:t>
      </w:r>
      <w:r w:rsidRPr="00EC0C1C">
        <w:rPr>
          <w:lang w:val="en-GB"/>
        </w:rPr>
        <w:t xml:space="preserve">and not always favourably. Once the amends </w:t>
      </w:r>
      <w:r>
        <w:rPr>
          <w:lang w:val="en-GB"/>
        </w:rPr>
        <w:t>was</w:t>
      </w:r>
      <w:r w:rsidRPr="00EC0C1C">
        <w:rPr>
          <w:lang w:val="en-GB"/>
        </w:rPr>
        <w:t xml:space="preserve"> submitted for refund of surtax, auditors took anywhere from </w:t>
      </w:r>
      <w:r>
        <w:rPr>
          <w:lang w:val="en-GB"/>
        </w:rPr>
        <w:t>three to nine</w:t>
      </w:r>
      <w:r w:rsidRPr="00EC0C1C">
        <w:rPr>
          <w:lang w:val="en-GB"/>
        </w:rPr>
        <w:t xml:space="preserve"> months to approve</w:t>
      </w:r>
      <w:r>
        <w:rPr>
          <w:lang w:val="en-GB"/>
        </w:rPr>
        <w:t xml:space="preserve"> it</w:t>
      </w:r>
      <w:r w:rsidRPr="00EC0C1C">
        <w:rPr>
          <w:lang w:val="en-GB"/>
        </w:rPr>
        <w:t xml:space="preserve">. There was also a fee of $75 per refund to be paid to the clearing agent. </w:t>
      </w:r>
      <w:proofErr w:type="spellStart"/>
      <w:r w:rsidRPr="00EC0C1C">
        <w:rPr>
          <w:lang w:val="en-GB"/>
        </w:rPr>
        <w:t>Benzoni</w:t>
      </w:r>
      <w:proofErr w:type="spellEnd"/>
      <w:r w:rsidRPr="00EC0C1C">
        <w:rPr>
          <w:lang w:val="en-GB"/>
        </w:rPr>
        <w:t xml:space="preserve"> was not sure if he should apply for relief. </w:t>
      </w:r>
    </w:p>
    <w:p w14:paraId="4EDB511B" w14:textId="77777777" w:rsidR="007A3862" w:rsidRDefault="007A3862" w:rsidP="007A3862">
      <w:pPr>
        <w:pStyle w:val="BodyTextMain"/>
        <w:rPr>
          <w:lang w:val="en-GB"/>
        </w:rPr>
      </w:pPr>
    </w:p>
    <w:p w14:paraId="4EC3490E" w14:textId="77777777" w:rsidR="007A3862" w:rsidRPr="00EC0C1C" w:rsidRDefault="007A3862" w:rsidP="007A3862">
      <w:pPr>
        <w:pStyle w:val="BodyTextMain"/>
        <w:rPr>
          <w:lang w:val="en-GB"/>
        </w:rPr>
      </w:pPr>
    </w:p>
    <w:p w14:paraId="34D68C88" w14:textId="77777777" w:rsidR="007A3862" w:rsidRDefault="007A3862" w:rsidP="007A3862">
      <w:pPr>
        <w:pStyle w:val="Casehead2"/>
        <w:rPr>
          <w:lang w:val="en-GB"/>
        </w:rPr>
      </w:pPr>
      <w:r w:rsidRPr="00EC0C1C">
        <w:rPr>
          <w:lang w:val="en-GB"/>
        </w:rPr>
        <w:t xml:space="preserve">Deal with the </w:t>
      </w:r>
      <w:r>
        <w:rPr>
          <w:lang w:val="en-GB"/>
        </w:rPr>
        <w:t>Exchange Rate Risk</w:t>
      </w:r>
      <w:r w:rsidRPr="00EC0C1C">
        <w:rPr>
          <w:lang w:val="en-GB"/>
        </w:rPr>
        <w:t xml:space="preserve"> </w:t>
      </w:r>
    </w:p>
    <w:p w14:paraId="25DA0D35" w14:textId="77777777" w:rsidR="007A3862" w:rsidRDefault="007A3862" w:rsidP="007A3862">
      <w:pPr>
        <w:pStyle w:val="BodyTextMain"/>
        <w:rPr>
          <w:lang w:val="en-GB"/>
        </w:rPr>
      </w:pPr>
    </w:p>
    <w:p w14:paraId="39396EE4" w14:textId="77777777" w:rsidR="007A3862" w:rsidRPr="00EC0C1C" w:rsidRDefault="007A3862" w:rsidP="007A3862">
      <w:pPr>
        <w:pStyle w:val="BodyTextMain"/>
        <w:rPr>
          <w:lang w:val="en-GB"/>
        </w:rPr>
      </w:pPr>
      <w:r w:rsidRPr="00EC0C1C">
        <w:rPr>
          <w:lang w:val="en-GB"/>
        </w:rPr>
        <w:t xml:space="preserve">A weakening Canadian dollar had been an ongoing issue since 2015 at Glenwood, </w:t>
      </w:r>
      <w:r>
        <w:rPr>
          <w:lang w:val="en-GB"/>
        </w:rPr>
        <w:t>which</w:t>
      </w:r>
      <w:r w:rsidRPr="00EC0C1C">
        <w:rPr>
          <w:lang w:val="en-GB"/>
        </w:rPr>
        <w:t xml:space="preserve"> had been trading about $700,000 per annum in US currency</w:t>
      </w:r>
      <w:r w:rsidRPr="000802CC">
        <w:rPr>
          <w:lang w:val="en-GB"/>
        </w:rPr>
        <w:t xml:space="preserve"> </w:t>
      </w:r>
      <w:r>
        <w:rPr>
          <w:lang w:val="en-GB"/>
        </w:rPr>
        <w:t>(</w:t>
      </w:r>
      <w:r w:rsidRPr="00EC0C1C">
        <w:rPr>
          <w:lang w:val="en-GB"/>
        </w:rPr>
        <w:t>see Exhibit 2). The company was dealing with the exchange rate fluctuations in two ways. First, it would incorporate the estimated loss due to changes in exchange rate into its pricing</w:t>
      </w:r>
      <w:r>
        <w:rPr>
          <w:lang w:val="en-GB"/>
        </w:rPr>
        <w:t>,</w:t>
      </w:r>
      <w:r w:rsidRPr="00EC0C1C">
        <w:rPr>
          <w:lang w:val="en-GB"/>
        </w:rPr>
        <w:t xml:space="preserve"> which it would revise at the beginning of each year. The customer would not be aware of the exchange buffer </w:t>
      </w:r>
      <w:r>
        <w:rPr>
          <w:lang w:val="en-GB"/>
        </w:rPr>
        <w:t>built</w:t>
      </w:r>
      <w:r w:rsidRPr="00EC0C1C">
        <w:rPr>
          <w:lang w:val="en-GB"/>
        </w:rPr>
        <w:t xml:space="preserve"> into pricing because the price increase would be communicated as part of adjusting general cost increases. Second, </w:t>
      </w:r>
      <w:r>
        <w:rPr>
          <w:lang w:val="en-GB"/>
        </w:rPr>
        <w:t>Glenwood</w:t>
      </w:r>
      <w:r w:rsidRPr="00EC0C1C">
        <w:rPr>
          <w:lang w:val="en-GB"/>
        </w:rPr>
        <w:t xml:space="preserve"> would buy its </w:t>
      </w:r>
      <w:r>
        <w:rPr>
          <w:lang w:val="en-GB"/>
        </w:rPr>
        <w:t>required</w:t>
      </w:r>
      <w:r w:rsidRPr="00EC0C1C">
        <w:rPr>
          <w:lang w:val="en-GB"/>
        </w:rPr>
        <w:t xml:space="preserve"> US dollars from </w:t>
      </w:r>
      <w:r>
        <w:rPr>
          <w:lang w:val="en-GB"/>
        </w:rPr>
        <w:t>second-tier</w:t>
      </w:r>
      <w:r w:rsidRPr="00EC0C1C">
        <w:rPr>
          <w:lang w:val="en-GB"/>
        </w:rPr>
        <w:t xml:space="preserve"> foreign exchange dealers rather than from commercial banks. If 1.31 was the exchange rate, the banks would charge 1.325</w:t>
      </w:r>
      <w:r>
        <w:rPr>
          <w:lang w:val="en-GB"/>
        </w:rPr>
        <w:t>,</w:t>
      </w:r>
      <w:r w:rsidRPr="00EC0C1C">
        <w:rPr>
          <w:lang w:val="en-GB"/>
        </w:rPr>
        <w:t xml:space="preserve"> while the dealers would charge 1.3175. </w:t>
      </w:r>
    </w:p>
    <w:p w14:paraId="6B5FE2FD" w14:textId="77777777" w:rsidR="007A3862" w:rsidRPr="00EC0C1C" w:rsidRDefault="007A3862" w:rsidP="007A3862">
      <w:pPr>
        <w:spacing w:after="200" w:line="276" w:lineRule="auto"/>
        <w:rPr>
          <w:sz w:val="22"/>
          <w:szCs w:val="22"/>
          <w:lang w:val="en-GB"/>
        </w:rPr>
      </w:pPr>
      <w:r w:rsidRPr="00EC0C1C">
        <w:rPr>
          <w:lang w:val="en-GB"/>
        </w:rPr>
        <w:br w:type="page"/>
      </w:r>
    </w:p>
    <w:p w14:paraId="5893ECA9" w14:textId="77777777" w:rsidR="007A3862" w:rsidRPr="00EC0C1C" w:rsidRDefault="007A3862" w:rsidP="007A3862">
      <w:pPr>
        <w:pStyle w:val="ExhibitHeading"/>
        <w:rPr>
          <w:lang w:val="en-GB"/>
        </w:rPr>
      </w:pPr>
      <w:bookmarkStart w:id="3" w:name="_Hlk4928729"/>
      <w:bookmarkStart w:id="4" w:name="_Hlk536808735"/>
      <w:r w:rsidRPr="00EC0C1C">
        <w:rPr>
          <w:lang w:val="en-GB"/>
        </w:rPr>
        <w:lastRenderedPageBreak/>
        <w:t xml:space="preserve">Exhibit 1: </w:t>
      </w:r>
      <w:r>
        <w:rPr>
          <w:lang w:val="en-GB"/>
        </w:rPr>
        <w:t>Pre- and Post-Tariff</w:t>
      </w:r>
      <w:r w:rsidRPr="00EC0C1C">
        <w:rPr>
          <w:lang w:val="en-GB"/>
        </w:rPr>
        <w:t xml:space="preserve"> SCENARIOS</w:t>
      </w:r>
    </w:p>
    <w:p w14:paraId="3DEAE6D6" w14:textId="77777777" w:rsidR="007A3862" w:rsidRPr="00EC0C1C" w:rsidRDefault="007A3862" w:rsidP="007A3862">
      <w:pPr>
        <w:pStyle w:val="BodyTextMain"/>
        <w:rPr>
          <w:lang w:val="en-GB"/>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906"/>
        <w:gridCol w:w="1527"/>
        <w:gridCol w:w="1260"/>
        <w:gridCol w:w="1636"/>
      </w:tblGrid>
      <w:tr w:rsidR="007A3862" w:rsidRPr="00EC0C1C" w14:paraId="5763FE6F" w14:textId="77777777" w:rsidTr="00563DF9">
        <w:trPr>
          <w:jc w:val="center"/>
        </w:trPr>
        <w:tc>
          <w:tcPr>
            <w:tcW w:w="4503" w:type="dxa"/>
            <w:gridSpan w:val="2"/>
            <w:shd w:val="clear" w:color="auto" w:fill="auto"/>
            <w:vAlign w:val="center"/>
          </w:tcPr>
          <w:p w14:paraId="77A6789B" w14:textId="77777777" w:rsidR="007A3862" w:rsidRPr="00EC0C1C" w:rsidRDefault="007A3862" w:rsidP="00563DF9">
            <w:pPr>
              <w:pStyle w:val="ExhibitText"/>
              <w:rPr>
                <w:lang w:val="en-GB"/>
              </w:rPr>
            </w:pPr>
          </w:p>
        </w:tc>
        <w:tc>
          <w:tcPr>
            <w:tcW w:w="1527" w:type="dxa"/>
            <w:shd w:val="clear" w:color="auto" w:fill="auto"/>
            <w:vAlign w:val="center"/>
          </w:tcPr>
          <w:p w14:paraId="486DBC7B" w14:textId="77777777" w:rsidR="007A3862" w:rsidRPr="00EC0C1C" w:rsidRDefault="007A3862" w:rsidP="00563DF9">
            <w:pPr>
              <w:pStyle w:val="ExhibitText"/>
              <w:jc w:val="center"/>
              <w:rPr>
                <w:lang w:val="en-GB"/>
              </w:rPr>
            </w:pPr>
            <w:r w:rsidRPr="00EC0C1C">
              <w:rPr>
                <w:lang w:val="en-GB"/>
              </w:rPr>
              <w:t>Pre-</w:t>
            </w:r>
            <w:r>
              <w:rPr>
                <w:lang w:val="en-GB"/>
              </w:rPr>
              <w:t>tariff</w:t>
            </w:r>
          </w:p>
        </w:tc>
        <w:tc>
          <w:tcPr>
            <w:tcW w:w="1260" w:type="dxa"/>
            <w:shd w:val="clear" w:color="auto" w:fill="auto"/>
            <w:vAlign w:val="center"/>
          </w:tcPr>
          <w:p w14:paraId="34E4A35C" w14:textId="77777777" w:rsidR="007A3862" w:rsidRPr="00EC0C1C" w:rsidRDefault="007A3862" w:rsidP="00563DF9">
            <w:pPr>
              <w:pStyle w:val="ExhibitText"/>
              <w:jc w:val="center"/>
              <w:rPr>
                <w:lang w:val="en-GB"/>
              </w:rPr>
            </w:pPr>
            <w:r w:rsidRPr="00EC0C1C">
              <w:rPr>
                <w:lang w:val="en-GB"/>
              </w:rPr>
              <w:t>Post</w:t>
            </w:r>
            <w:r>
              <w:rPr>
                <w:lang w:val="en-GB"/>
              </w:rPr>
              <w:t>–</w:t>
            </w:r>
            <w:r w:rsidRPr="00EC0C1C">
              <w:rPr>
                <w:lang w:val="en-GB"/>
              </w:rPr>
              <w:t xml:space="preserve">US </w:t>
            </w:r>
            <w:r>
              <w:rPr>
                <w:lang w:val="en-GB"/>
              </w:rPr>
              <w:t>tariff</w:t>
            </w:r>
          </w:p>
        </w:tc>
        <w:tc>
          <w:tcPr>
            <w:tcW w:w="1636" w:type="dxa"/>
            <w:shd w:val="clear" w:color="auto" w:fill="auto"/>
            <w:vAlign w:val="center"/>
          </w:tcPr>
          <w:p w14:paraId="425BD0BF" w14:textId="77777777" w:rsidR="007A3862" w:rsidRPr="00EC0C1C" w:rsidRDefault="007A3862" w:rsidP="00563DF9">
            <w:pPr>
              <w:pStyle w:val="ExhibitText"/>
              <w:jc w:val="center"/>
              <w:rPr>
                <w:lang w:val="en-GB"/>
              </w:rPr>
            </w:pPr>
            <w:r w:rsidRPr="00EC0C1C">
              <w:rPr>
                <w:lang w:val="en-GB"/>
              </w:rPr>
              <w:t>Post</w:t>
            </w:r>
            <w:r>
              <w:rPr>
                <w:lang w:val="en-GB"/>
              </w:rPr>
              <w:t>–Canadian</w:t>
            </w:r>
            <w:r w:rsidRPr="00EC0C1C">
              <w:rPr>
                <w:lang w:val="en-GB"/>
              </w:rPr>
              <w:t xml:space="preserve"> counter</w:t>
            </w:r>
            <w:r>
              <w:rPr>
                <w:lang w:val="en-GB"/>
              </w:rPr>
              <w:t>-</w:t>
            </w:r>
            <w:r w:rsidRPr="00EC0C1C">
              <w:rPr>
                <w:lang w:val="en-GB"/>
              </w:rPr>
              <w:t>tariff</w:t>
            </w:r>
          </w:p>
        </w:tc>
      </w:tr>
      <w:tr w:rsidR="007A3862" w:rsidRPr="00EC0C1C" w14:paraId="438CF8AB" w14:textId="77777777" w:rsidTr="00563DF9">
        <w:trPr>
          <w:jc w:val="center"/>
        </w:trPr>
        <w:tc>
          <w:tcPr>
            <w:tcW w:w="3597" w:type="dxa"/>
            <w:shd w:val="clear" w:color="auto" w:fill="auto"/>
            <w:vAlign w:val="center"/>
          </w:tcPr>
          <w:p w14:paraId="3224DA5E" w14:textId="77777777" w:rsidR="007A3862" w:rsidRPr="00EC0C1C" w:rsidRDefault="007A3862" w:rsidP="00563DF9">
            <w:pPr>
              <w:pStyle w:val="ExhibitText"/>
              <w:jc w:val="left"/>
              <w:rPr>
                <w:lang w:val="en-GB"/>
              </w:rPr>
            </w:pPr>
            <w:r w:rsidRPr="00EC0C1C">
              <w:rPr>
                <w:lang w:val="en-GB"/>
              </w:rPr>
              <w:t xml:space="preserve">Consignment </w:t>
            </w:r>
            <w:r>
              <w:rPr>
                <w:lang w:val="en-GB"/>
              </w:rPr>
              <w:t>date</w:t>
            </w:r>
            <w:r w:rsidRPr="00EC0C1C">
              <w:rPr>
                <w:lang w:val="en-GB"/>
              </w:rPr>
              <w:t xml:space="preserve"> (</w:t>
            </w:r>
            <w:r>
              <w:rPr>
                <w:lang w:val="en-GB"/>
              </w:rPr>
              <w:t>United States</w:t>
            </w:r>
            <w:r w:rsidRPr="00EC0C1C">
              <w:rPr>
                <w:lang w:val="en-GB"/>
              </w:rPr>
              <w:t xml:space="preserve"> to Canada)</w:t>
            </w:r>
          </w:p>
        </w:tc>
        <w:tc>
          <w:tcPr>
            <w:tcW w:w="906" w:type="dxa"/>
            <w:shd w:val="clear" w:color="auto" w:fill="auto"/>
          </w:tcPr>
          <w:p w14:paraId="4ADA0D28" w14:textId="77777777" w:rsidR="007A3862" w:rsidRPr="00EC0C1C" w:rsidRDefault="007A3862" w:rsidP="00563DF9">
            <w:pPr>
              <w:pStyle w:val="ExhibitText"/>
              <w:jc w:val="left"/>
              <w:rPr>
                <w:lang w:val="en-GB"/>
              </w:rPr>
            </w:pPr>
          </w:p>
        </w:tc>
        <w:tc>
          <w:tcPr>
            <w:tcW w:w="1527" w:type="dxa"/>
            <w:shd w:val="clear" w:color="auto" w:fill="auto"/>
            <w:vAlign w:val="center"/>
          </w:tcPr>
          <w:p w14:paraId="2A379C89" w14:textId="77777777" w:rsidR="007A3862" w:rsidRPr="00EC0C1C" w:rsidRDefault="007A3862" w:rsidP="00563DF9">
            <w:pPr>
              <w:pStyle w:val="ExhibitText"/>
              <w:jc w:val="center"/>
              <w:rPr>
                <w:b/>
                <w:lang w:val="en-GB"/>
              </w:rPr>
            </w:pPr>
            <w:r w:rsidRPr="00EC0C1C">
              <w:rPr>
                <w:b/>
                <w:lang w:val="en-GB"/>
              </w:rPr>
              <w:t>April 2018</w:t>
            </w:r>
          </w:p>
        </w:tc>
        <w:tc>
          <w:tcPr>
            <w:tcW w:w="1260" w:type="dxa"/>
            <w:shd w:val="clear" w:color="auto" w:fill="auto"/>
            <w:vAlign w:val="center"/>
          </w:tcPr>
          <w:p w14:paraId="327D07EA" w14:textId="77777777" w:rsidR="007A3862" w:rsidRPr="00EC0C1C" w:rsidRDefault="007A3862" w:rsidP="00563DF9">
            <w:pPr>
              <w:pStyle w:val="ExhibitText"/>
              <w:jc w:val="center"/>
              <w:rPr>
                <w:b/>
                <w:lang w:val="en-GB"/>
              </w:rPr>
            </w:pPr>
            <w:r w:rsidRPr="00EC0C1C">
              <w:rPr>
                <w:b/>
                <w:lang w:val="en-GB"/>
              </w:rPr>
              <w:t>July 2018</w:t>
            </w:r>
          </w:p>
        </w:tc>
        <w:tc>
          <w:tcPr>
            <w:tcW w:w="1636" w:type="dxa"/>
            <w:shd w:val="clear" w:color="auto" w:fill="auto"/>
            <w:vAlign w:val="center"/>
          </w:tcPr>
          <w:p w14:paraId="01A5752D" w14:textId="77777777" w:rsidR="007A3862" w:rsidRPr="00EC0C1C" w:rsidRDefault="007A3862" w:rsidP="00563DF9">
            <w:pPr>
              <w:pStyle w:val="ExhibitText"/>
              <w:jc w:val="center"/>
              <w:rPr>
                <w:b/>
                <w:lang w:val="en-GB"/>
              </w:rPr>
            </w:pPr>
            <w:r w:rsidRPr="00EC0C1C">
              <w:rPr>
                <w:b/>
                <w:lang w:val="en-GB"/>
              </w:rPr>
              <w:t>August 2018</w:t>
            </w:r>
          </w:p>
        </w:tc>
      </w:tr>
      <w:tr w:rsidR="007A3862" w:rsidRPr="00EC0C1C" w14:paraId="0BF4726F" w14:textId="77777777" w:rsidTr="00563DF9">
        <w:trPr>
          <w:jc w:val="center"/>
        </w:trPr>
        <w:tc>
          <w:tcPr>
            <w:tcW w:w="3597" w:type="dxa"/>
            <w:shd w:val="clear" w:color="auto" w:fill="auto"/>
            <w:vAlign w:val="center"/>
          </w:tcPr>
          <w:p w14:paraId="122C903E" w14:textId="77777777" w:rsidR="007A3862" w:rsidRPr="00EC0C1C" w:rsidRDefault="007A3862" w:rsidP="00563DF9">
            <w:pPr>
              <w:pStyle w:val="ExhibitText"/>
              <w:jc w:val="left"/>
              <w:rPr>
                <w:lang w:val="en-GB"/>
              </w:rPr>
            </w:pPr>
            <w:r w:rsidRPr="00EC0C1C">
              <w:rPr>
                <w:lang w:val="en-GB"/>
              </w:rPr>
              <w:t>Quantity of cylinders per consignment</w:t>
            </w:r>
          </w:p>
        </w:tc>
        <w:tc>
          <w:tcPr>
            <w:tcW w:w="906" w:type="dxa"/>
            <w:shd w:val="clear" w:color="auto" w:fill="auto"/>
            <w:vAlign w:val="center"/>
          </w:tcPr>
          <w:p w14:paraId="52A64A7A" w14:textId="77777777" w:rsidR="007A3862" w:rsidRPr="00EC0C1C" w:rsidRDefault="007A3862" w:rsidP="00563DF9">
            <w:pPr>
              <w:pStyle w:val="ExhibitText"/>
              <w:jc w:val="left"/>
              <w:rPr>
                <w:lang w:val="en-GB"/>
              </w:rPr>
            </w:pPr>
            <w:r w:rsidRPr="00EC0C1C">
              <w:rPr>
                <w:lang w:val="en-GB"/>
              </w:rPr>
              <w:t>No</w:t>
            </w:r>
            <w:r>
              <w:rPr>
                <w:lang w:val="en-GB"/>
              </w:rPr>
              <w:t>.</w:t>
            </w:r>
          </w:p>
        </w:tc>
        <w:tc>
          <w:tcPr>
            <w:tcW w:w="1527" w:type="dxa"/>
            <w:shd w:val="clear" w:color="auto" w:fill="auto"/>
            <w:vAlign w:val="center"/>
          </w:tcPr>
          <w:p w14:paraId="50840DC0" w14:textId="77777777" w:rsidR="007A3862" w:rsidRPr="00EC0C1C" w:rsidRDefault="007A3862" w:rsidP="00563DF9">
            <w:pPr>
              <w:pStyle w:val="ExhibitText"/>
              <w:jc w:val="right"/>
              <w:rPr>
                <w:lang w:val="en-GB"/>
              </w:rPr>
            </w:pPr>
            <w:r w:rsidRPr="00EC0C1C">
              <w:rPr>
                <w:lang w:val="en-GB"/>
              </w:rPr>
              <w:t>162</w:t>
            </w:r>
          </w:p>
        </w:tc>
        <w:tc>
          <w:tcPr>
            <w:tcW w:w="1260" w:type="dxa"/>
            <w:shd w:val="clear" w:color="auto" w:fill="auto"/>
            <w:vAlign w:val="center"/>
          </w:tcPr>
          <w:p w14:paraId="75105A02" w14:textId="77777777" w:rsidR="007A3862" w:rsidRPr="00EC0C1C" w:rsidRDefault="007A3862" w:rsidP="00563DF9">
            <w:pPr>
              <w:pStyle w:val="ExhibitText"/>
              <w:jc w:val="right"/>
              <w:rPr>
                <w:lang w:val="en-GB"/>
              </w:rPr>
            </w:pPr>
            <w:r w:rsidRPr="00EC0C1C">
              <w:rPr>
                <w:lang w:val="en-GB"/>
              </w:rPr>
              <w:t>81</w:t>
            </w:r>
          </w:p>
        </w:tc>
        <w:tc>
          <w:tcPr>
            <w:tcW w:w="1636" w:type="dxa"/>
            <w:shd w:val="clear" w:color="auto" w:fill="auto"/>
            <w:vAlign w:val="center"/>
          </w:tcPr>
          <w:p w14:paraId="0F5A0813" w14:textId="77777777" w:rsidR="007A3862" w:rsidRPr="00EC0C1C" w:rsidRDefault="007A3862" w:rsidP="00563DF9">
            <w:pPr>
              <w:pStyle w:val="ExhibitText"/>
              <w:jc w:val="right"/>
              <w:rPr>
                <w:lang w:val="en-GB"/>
              </w:rPr>
            </w:pPr>
            <w:r w:rsidRPr="00EC0C1C">
              <w:rPr>
                <w:lang w:val="en-GB"/>
              </w:rPr>
              <w:t>176</w:t>
            </w:r>
          </w:p>
        </w:tc>
      </w:tr>
      <w:tr w:rsidR="007A3862" w:rsidRPr="00EC0C1C" w14:paraId="378AB1B4" w14:textId="77777777" w:rsidTr="00563DF9">
        <w:trPr>
          <w:jc w:val="center"/>
        </w:trPr>
        <w:tc>
          <w:tcPr>
            <w:tcW w:w="3597" w:type="dxa"/>
            <w:shd w:val="clear" w:color="auto" w:fill="auto"/>
            <w:vAlign w:val="center"/>
          </w:tcPr>
          <w:p w14:paraId="3BD6C246" w14:textId="77777777" w:rsidR="007A3862" w:rsidRPr="00EC0C1C" w:rsidRDefault="007A3862" w:rsidP="00563DF9">
            <w:pPr>
              <w:pStyle w:val="ExhibitText"/>
              <w:jc w:val="left"/>
              <w:rPr>
                <w:lang w:val="en-GB"/>
              </w:rPr>
            </w:pPr>
            <w:r w:rsidRPr="00EC0C1C">
              <w:rPr>
                <w:lang w:val="en-GB"/>
              </w:rPr>
              <w:t>Basic price (per consignment)</w:t>
            </w:r>
          </w:p>
        </w:tc>
        <w:tc>
          <w:tcPr>
            <w:tcW w:w="906" w:type="dxa"/>
            <w:shd w:val="clear" w:color="auto" w:fill="auto"/>
            <w:vAlign w:val="center"/>
          </w:tcPr>
          <w:p w14:paraId="38E7C8E1" w14:textId="77777777" w:rsidR="007A3862" w:rsidRPr="00EC0C1C" w:rsidRDefault="007A3862" w:rsidP="00563DF9">
            <w:pPr>
              <w:pStyle w:val="ExhibitText"/>
              <w:jc w:val="left"/>
              <w:rPr>
                <w:lang w:val="en-GB"/>
              </w:rPr>
            </w:pPr>
            <w:r w:rsidRPr="00EC0C1C">
              <w:rPr>
                <w:lang w:val="en-GB"/>
              </w:rPr>
              <w:t>US$</w:t>
            </w:r>
          </w:p>
        </w:tc>
        <w:tc>
          <w:tcPr>
            <w:tcW w:w="1527" w:type="dxa"/>
            <w:shd w:val="clear" w:color="auto" w:fill="auto"/>
            <w:vAlign w:val="center"/>
          </w:tcPr>
          <w:p w14:paraId="2F122439" w14:textId="77777777" w:rsidR="007A3862" w:rsidRPr="00EC0C1C" w:rsidRDefault="007A3862" w:rsidP="00563DF9">
            <w:pPr>
              <w:pStyle w:val="ExhibitText"/>
              <w:jc w:val="right"/>
              <w:rPr>
                <w:lang w:val="en-GB"/>
              </w:rPr>
            </w:pPr>
            <w:r w:rsidRPr="00EC0C1C">
              <w:rPr>
                <w:lang w:val="en-GB"/>
              </w:rPr>
              <w:t>4,393.61</w:t>
            </w:r>
          </w:p>
        </w:tc>
        <w:tc>
          <w:tcPr>
            <w:tcW w:w="1260" w:type="dxa"/>
            <w:shd w:val="clear" w:color="auto" w:fill="auto"/>
            <w:vAlign w:val="center"/>
          </w:tcPr>
          <w:p w14:paraId="6604794B" w14:textId="77777777" w:rsidR="007A3862" w:rsidRPr="00EC0C1C" w:rsidRDefault="007A3862" w:rsidP="00563DF9">
            <w:pPr>
              <w:pStyle w:val="ExhibitText"/>
              <w:jc w:val="right"/>
              <w:rPr>
                <w:lang w:val="en-GB"/>
              </w:rPr>
            </w:pPr>
            <w:r w:rsidRPr="00EC0C1C">
              <w:rPr>
                <w:lang w:val="en-GB"/>
              </w:rPr>
              <w:t>2,046.87</w:t>
            </w:r>
          </w:p>
        </w:tc>
        <w:tc>
          <w:tcPr>
            <w:tcW w:w="1636" w:type="dxa"/>
            <w:shd w:val="clear" w:color="auto" w:fill="auto"/>
            <w:vAlign w:val="center"/>
          </w:tcPr>
          <w:p w14:paraId="54AE233D" w14:textId="77777777" w:rsidR="007A3862" w:rsidRPr="00EC0C1C" w:rsidRDefault="007A3862" w:rsidP="00563DF9">
            <w:pPr>
              <w:pStyle w:val="ExhibitText"/>
              <w:jc w:val="right"/>
              <w:rPr>
                <w:lang w:val="en-GB"/>
              </w:rPr>
            </w:pPr>
            <w:r w:rsidRPr="00EC0C1C">
              <w:rPr>
                <w:lang w:val="en-GB"/>
              </w:rPr>
              <w:t>5,388.64</w:t>
            </w:r>
          </w:p>
        </w:tc>
      </w:tr>
      <w:tr w:rsidR="007A3862" w:rsidRPr="00EC0C1C" w14:paraId="2CDDAE73" w14:textId="77777777" w:rsidTr="00563DF9">
        <w:trPr>
          <w:jc w:val="center"/>
        </w:trPr>
        <w:tc>
          <w:tcPr>
            <w:tcW w:w="3597" w:type="dxa"/>
            <w:shd w:val="clear" w:color="auto" w:fill="auto"/>
            <w:vAlign w:val="center"/>
          </w:tcPr>
          <w:p w14:paraId="5ED0185C" w14:textId="77777777" w:rsidR="007A3862" w:rsidRPr="00EC0C1C" w:rsidRDefault="007A3862" w:rsidP="00563DF9">
            <w:pPr>
              <w:pStyle w:val="ExhibitText"/>
              <w:jc w:val="left"/>
              <w:rPr>
                <w:lang w:val="en-GB"/>
              </w:rPr>
            </w:pPr>
            <w:r w:rsidRPr="00EC0C1C">
              <w:rPr>
                <w:lang w:val="en-GB"/>
              </w:rPr>
              <w:t>Exchange conversion rate</w:t>
            </w:r>
          </w:p>
        </w:tc>
        <w:tc>
          <w:tcPr>
            <w:tcW w:w="906" w:type="dxa"/>
            <w:shd w:val="clear" w:color="auto" w:fill="auto"/>
            <w:vAlign w:val="center"/>
          </w:tcPr>
          <w:p w14:paraId="704376AF" w14:textId="77777777" w:rsidR="007A3862" w:rsidRPr="00EC0C1C" w:rsidRDefault="007A3862" w:rsidP="00563DF9">
            <w:pPr>
              <w:pStyle w:val="ExhibitText"/>
              <w:jc w:val="left"/>
              <w:rPr>
                <w:lang w:val="en-GB"/>
              </w:rPr>
            </w:pPr>
            <w:r w:rsidRPr="00EC0C1C">
              <w:rPr>
                <w:lang w:val="en-GB"/>
              </w:rPr>
              <w:t>Multiple</w:t>
            </w:r>
          </w:p>
        </w:tc>
        <w:tc>
          <w:tcPr>
            <w:tcW w:w="1527" w:type="dxa"/>
            <w:shd w:val="clear" w:color="auto" w:fill="auto"/>
            <w:vAlign w:val="center"/>
          </w:tcPr>
          <w:p w14:paraId="672CFBAD" w14:textId="77777777" w:rsidR="007A3862" w:rsidRPr="00EC0C1C" w:rsidRDefault="007A3862" w:rsidP="00563DF9">
            <w:pPr>
              <w:pStyle w:val="ExhibitText"/>
              <w:jc w:val="right"/>
              <w:rPr>
                <w:lang w:val="en-GB"/>
              </w:rPr>
            </w:pPr>
            <w:r w:rsidRPr="00EC0C1C">
              <w:rPr>
                <w:lang w:val="en-GB"/>
              </w:rPr>
              <w:t>1.26</w:t>
            </w:r>
          </w:p>
        </w:tc>
        <w:tc>
          <w:tcPr>
            <w:tcW w:w="1260" w:type="dxa"/>
            <w:shd w:val="clear" w:color="auto" w:fill="auto"/>
            <w:vAlign w:val="center"/>
          </w:tcPr>
          <w:p w14:paraId="43C00F76" w14:textId="77777777" w:rsidR="007A3862" w:rsidRPr="00EC0C1C" w:rsidRDefault="007A3862" w:rsidP="00563DF9">
            <w:pPr>
              <w:pStyle w:val="ExhibitText"/>
              <w:jc w:val="right"/>
              <w:rPr>
                <w:lang w:val="en-GB"/>
              </w:rPr>
            </w:pPr>
            <w:r w:rsidRPr="00EC0C1C">
              <w:rPr>
                <w:lang w:val="en-GB"/>
              </w:rPr>
              <w:t>1.31</w:t>
            </w:r>
          </w:p>
        </w:tc>
        <w:tc>
          <w:tcPr>
            <w:tcW w:w="1636" w:type="dxa"/>
            <w:shd w:val="clear" w:color="auto" w:fill="auto"/>
            <w:vAlign w:val="center"/>
          </w:tcPr>
          <w:p w14:paraId="3A1E061F" w14:textId="77777777" w:rsidR="007A3862" w:rsidRPr="00EC0C1C" w:rsidRDefault="007A3862" w:rsidP="00563DF9">
            <w:pPr>
              <w:pStyle w:val="ExhibitText"/>
              <w:jc w:val="right"/>
              <w:rPr>
                <w:lang w:val="en-GB"/>
              </w:rPr>
            </w:pPr>
            <w:r w:rsidRPr="00EC0C1C">
              <w:rPr>
                <w:lang w:val="en-GB"/>
              </w:rPr>
              <w:t>1.30</w:t>
            </w:r>
          </w:p>
        </w:tc>
      </w:tr>
      <w:tr w:rsidR="007A3862" w:rsidRPr="00EC0C1C" w14:paraId="78159290" w14:textId="77777777" w:rsidTr="00563DF9">
        <w:trPr>
          <w:jc w:val="center"/>
        </w:trPr>
        <w:tc>
          <w:tcPr>
            <w:tcW w:w="3597" w:type="dxa"/>
            <w:shd w:val="clear" w:color="auto" w:fill="auto"/>
            <w:vAlign w:val="center"/>
          </w:tcPr>
          <w:p w14:paraId="4F7A4DCA" w14:textId="77777777" w:rsidR="007A3862" w:rsidRPr="00EC0C1C" w:rsidRDefault="007A3862" w:rsidP="00563DF9">
            <w:pPr>
              <w:pStyle w:val="ExhibitText"/>
              <w:jc w:val="left"/>
              <w:rPr>
                <w:lang w:val="en-GB"/>
              </w:rPr>
            </w:pPr>
            <w:r w:rsidRPr="00EC0C1C">
              <w:rPr>
                <w:lang w:val="en-GB"/>
              </w:rPr>
              <w:t>Basic price</w:t>
            </w:r>
          </w:p>
        </w:tc>
        <w:tc>
          <w:tcPr>
            <w:tcW w:w="906" w:type="dxa"/>
            <w:shd w:val="clear" w:color="auto" w:fill="auto"/>
            <w:vAlign w:val="center"/>
          </w:tcPr>
          <w:p w14:paraId="22071A52" w14:textId="77777777" w:rsidR="007A3862" w:rsidRPr="00EC0C1C" w:rsidRDefault="007A3862" w:rsidP="00563DF9">
            <w:pPr>
              <w:pStyle w:val="ExhibitText"/>
              <w:jc w:val="left"/>
              <w:rPr>
                <w:lang w:val="en-GB"/>
              </w:rPr>
            </w:pPr>
            <w:r>
              <w:rPr>
                <w:lang w:val="en-GB"/>
              </w:rPr>
              <w:t>CA$</w:t>
            </w:r>
          </w:p>
        </w:tc>
        <w:tc>
          <w:tcPr>
            <w:tcW w:w="1527" w:type="dxa"/>
            <w:shd w:val="clear" w:color="auto" w:fill="auto"/>
            <w:vAlign w:val="center"/>
          </w:tcPr>
          <w:p w14:paraId="058990C3" w14:textId="77777777" w:rsidR="007A3862" w:rsidRPr="00EC0C1C" w:rsidRDefault="007A3862" w:rsidP="00563DF9">
            <w:pPr>
              <w:pStyle w:val="ExhibitText"/>
              <w:jc w:val="right"/>
              <w:rPr>
                <w:lang w:val="en-GB"/>
              </w:rPr>
            </w:pPr>
            <w:r w:rsidRPr="00EC0C1C">
              <w:rPr>
                <w:lang w:val="en-GB"/>
              </w:rPr>
              <w:t>5,530.68</w:t>
            </w:r>
          </w:p>
        </w:tc>
        <w:tc>
          <w:tcPr>
            <w:tcW w:w="1260" w:type="dxa"/>
            <w:shd w:val="clear" w:color="auto" w:fill="auto"/>
            <w:vAlign w:val="center"/>
          </w:tcPr>
          <w:p w14:paraId="09833B92" w14:textId="77777777" w:rsidR="007A3862" w:rsidRPr="00EC0C1C" w:rsidRDefault="007A3862" w:rsidP="00563DF9">
            <w:pPr>
              <w:pStyle w:val="ExhibitText"/>
              <w:jc w:val="right"/>
              <w:rPr>
                <w:lang w:val="en-GB"/>
              </w:rPr>
            </w:pPr>
            <w:r w:rsidRPr="00EC0C1C">
              <w:rPr>
                <w:lang w:val="en-GB"/>
              </w:rPr>
              <w:t>2,695.93</w:t>
            </w:r>
          </w:p>
        </w:tc>
        <w:tc>
          <w:tcPr>
            <w:tcW w:w="1636" w:type="dxa"/>
            <w:shd w:val="clear" w:color="auto" w:fill="auto"/>
            <w:vAlign w:val="center"/>
          </w:tcPr>
          <w:p w14:paraId="0A910265" w14:textId="77777777" w:rsidR="007A3862" w:rsidRPr="00EC0C1C" w:rsidRDefault="007A3862" w:rsidP="00563DF9">
            <w:pPr>
              <w:pStyle w:val="ExhibitText"/>
              <w:jc w:val="right"/>
              <w:rPr>
                <w:lang w:val="en-GB"/>
              </w:rPr>
            </w:pPr>
            <w:r w:rsidRPr="00EC0C1C">
              <w:rPr>
                <w:lang w:val="en-GB"/>
              </w:rPr>
              <w:t>6,996.07</w:t>
            </w:r>
          </w:p>
        </w:tc>
      </w:tr>
      <w:tr w:rsidR="007A3862" w:rsidRPr="00EC0C1C" w14:paraId="088E1055" w14:textId="77777777" w:rsidTr="00563DF9">
        <w:trPr>
          <w:jc w:val="center"/>
        </w:trPr>
        <w:tc>
          <w:tcPr>
            <w:tcW w:w="3597" w:type="dxa"/>
            <w:shd w:val="clear" w:color="auto" w:fill="auto"/>
            <w:vAlign w:val="center"/>
          </w:tcPr>
          <w:p w14:paraId="6EA48F27" w14:textId="77777777" w:rsidR="007A3862" w:rsidRPr="00EC0C1C" w:rsidRDefault="007A3862" w:rsidP="00563DF9">
            <w:pPr>
              <w:pStyle w:val="ExhibitText"/>
              <w:jc w:val="left"/>
              <w:rPr>
                <w:lang w:val="en-GB"/>
              </w:rPr>
            </w:pPr>
            <w:r w:rsidRPr="00EC0C1C">
              <w:rPr>
                <w:lang w:val="en-GB"/>
              </w:rPr>
              <w:t xml:space="preserve">Surtax </w:t>
            </w:r>
          </w:p>
        </w:tc>
        <w:tc>
          <w:tcPr>
            <w:tcW w:w="906" w:type="dxa"/>
            <w:shd w:val="clear" w:color="auto" w:fill="auto"/>
            <w:vAlign w:val="center"/>
          </w:tcPr>
          <w:p w14:paraId="3A14BA4A" w14:textId="77777777" w:rsidR="007A3862" w:rsidRPr="00EC0C1C" w:rsidRDefault="007A3862" w:rsidP="00563DF9">
            <w:pPr>
              <w:pStyle w:val="ExhibitText"/>
              <w:jc w:val="left"/>
              <w:rPr>
                <w:lang w:val="en-GB"/>
              </w:rPr>
            </w:pPr>
            <w:r w:rsidRPr="00EC0C1C">
              <w:rPr>
                <w:lang w:val="en-GB"/>
              </w:rPr>
              <w:t>10%</w:t>
            </w:r>
          </w:p>
        </w:tc>
        <w:tc>
          <w:tcPr>
            <w:tcW w:w="1527" w:type="dxa"/>
            <w:shd w:val="clear" w:color="auto" w:fill="auto"/>
            <w:vAlign w:val="center"/>
          </w:tcPr>
          <w:p w14:paraId="483B6ABF" w14:textId="77777777" w:rsidR="007A3862" w:rsidRPr="00EC0C1C" w:rsidRDefault="007A3862" w:rsidP="00563DF9">
            <w:pPr>
              <w:pStyle w:val="ExhibitText"/>
              <w:jc w:val="right"/>
              <w:rPr>
                <w:lang w:val="en-GB"/>
              </w:rPr>
            </w:pPr>
            <w:r>
              <w:rPr>
                <w:lang w:val="en-GB"/>
              </w:rPr>
              <w:t>–</w:t>
            </w:r>
          </w:p>
        </w:tc>
        <w:tc>
          <w:tcPr>
            <w:tcW w:w="1260" w:type="dxa"/>
            <w:shd w:val="clear" w:color="auto" w:fill="auto"/>
            <w:vAlign w:val="center"/>
          </w:tcPr>
          <w:p w14:paraId="2A7AEE44" w14:textId="77777777" w:rsidR="007A3862" w:rsidRPr="00EC0C1C" w:rsidRDefault="007A3862" w:rsidP="00563DF9">
            <w:pPr>
              <w:pStyle w:val="ExhibitText"/>
              <w:jc w:val="right"/>
              <w:rPr>
                <w:lang w:val="en-GB"/>
              </w:rPr>
            </w:pPr>
            <w:r w:rsidRPr="00EC0C1C">
              <w:rPr>
                <w:lang w:val="en-GB"/>
              </w:rPr>
              <w:t>269.59</w:t>
            </w:r>
          </w:p>
        </w:tc>
        <w:tc>
          <w:tcPr>
            <w:tcW w:w="1636" w:type="dxa"/>
            <w:shd w:val="clear" w:color="auto" w:fill="auto"/>
            <w:vAlign w:val="center"/>
          </w:tcPr>
          <w:p w14:paraId="4913681E" w14:textId="77777777" w:rsidR="007A3862" w:rsidRPr="00EC0C1C" w:rsidRDefault="007A3862" w:rsidP="00563DF9">
            <w:pPr>
              <w:pStyle w:val="ExhibitText"/>
              <w:jc w:val="right"/>
              <w:rPr>
                <w:lang w:val="en-GB"/>
              </w:rPr>
            </w:pPr>
            <w:r w:rsidRPr="00EC0C1C">
              <w:rPr>
                <w:lang w:val="en-GB"/>
              </w:rPr>
              <w:t>699.61</w:t>
            </w:r>
          </w:p>
        </w:tc>
      </w:tr>
      <w:tr w:rsidR="007A3862" w:rsidRPr="00EC0C1C" w14:paraId="4FBE68E0" w14:textId="77777777" w:rsidTr="00563DF9">
        <w:trPr>
          <w:jc w:val="center"/>
        </w:trPr>
        <w:tc>
          <w:tcPr>
            <w:tcW w:w="3597" w:type="dxa"/>
            <w:shd w:val="clear" w:color="auto" w:fill="auto"/>
            <w:vAlign w:val="center"/>
          </w:tcPr>
          <w:p w14:paraId="4D1540A7" w14:textId="77777777" w:rsidR="007A3862" w:rsidRPr="00EC0C1C" w:rsidRDefault="007A3862" w:rsidP="00563DF9">
            <w:pPr>
              <w:pStyle w:val="ExhibitText"/>
              <w:jc w:val="left"/>
              <w:rPr>
                <w:lang w:val="en-GB"/>
              </w:rPr>
            </w:pPr>
            <w:r w:rsidRPr="00EC0C1C">
              <w:rPr>
                <w:lang w:val="en-GB"/>
              </w:rPr>
              <w:t xml:space="preserve">GST </w:t>
            </w:r>
            <w:r>
              <w:rPr>
                <w:lang w:val="en-GB"/>
              </w:rPr>
              <w:t>(</w:t>
            </w:r>
            <w:r w:rsidRPr="00EC0C1C">
              <w:rPr>
                <w:lang w:val="en-GB"/>
              </w:rPr>
              <w:t>on basic + surtax</w:t>
            </w:r>
            <w:r>
              <w:rPr>
                <w:lang w:val="en-GB"/>
              </w:rPr>
              <w:t>)</w:t>
            </w:r>
          </w:p>
        </w:tc>
        <w:tc>
          <w:tcPr>
            <w:tcW w:w="906" w:type="dxa"/>
            <w:shd w:val="clear" w:color="auto" w:fill="auto"/>
            <w:vAlign w:val="center"/>
          </w:tcPr>
          <w:p w14:paraId="435E3437" w14:textId="77777777" w:rsidR="007A3862" w:rsidRPr="00EC0C1C" w:rsidRDefault="007A3862" w:rsidP="00563DF9">
            <w:pPr>
              <w:pStyle w:val="ExhibitText"/>
              <w:jc w:val="left"/>
              <w:rPr>
                <w:lang w:val="en-GB"/>
              </w:rPr>
            </w:pPr>
            <w:r w:rsidRPr="00EC0C1C">
              <w:rPr>
                <w:lang w:val="en-GB"/>
              </w:rPr>
              <w:t>5%</w:t>
            </w:r>
          </w:p>
        </w:tc>
        <w:tc>
          <w:tcPr>
            <w:tcW w:w="1527" w:type="dxa"/>
            <w:shd w:val="clear" w:color="auto" w:fill="auto"/>
            <w:vAlign w:val="center"/>
          </w:tcPr>
          <w:p w14:paraId="1005EAE4" w14:textId="77777777" w:rsidR="007A3862" w:rsidRPr="00EC0C1C" w:rsidRDefault="007A3862" w:rsidP="00563DF9">
            <w:pPr>
              <w:pStyle w:val="ExhibitText"/>
              <w:jc w:val="right"/>
              <w:rPr>
                <w:lang w:val="en-GB"/>
              </w:rPr>
            </w:pPr>
            <w:r w:rsidRPr="00EC0C1C">
              <w:rPr>
                <w:lang w:val="en-GB"/>
              </w:rPr>
              <w:t>276.53</w:t>
            </w:r>
          </w:p>
        </w:tc>
        <w:tc>
          <w:tcPr>
            <w:tcW w:w="1260" w:type="dxa"/>
            <w:shd w:val="clear" w:color="auto" w:fill="auto"/>
            <w:vAlign w:val="center"/>
          </w:tcPr>
          <w:p w14:paraId="4E10D630" w14:textId="77777777" w:rsidR="007A3862" w:rsidRPr="00EC0C1C" w:rsidRDefault="007A3862" w:rsidP="00563DF9">
            <w:pPr>
              <w:pStyle w:val="ExhibitText"/>
              <w:jc w:val="right"/>
              <w:rPr>
                <w:lang w:val="en-GB"/>
              </w:rPr>
            </w:pPr>
            <w:r w:rsidRPr="00EC0C1C">
              <w:rPr>
                <w:lang w:val="en-GB"/>
              </w:rPr>
              <w:t>148.28</w:t>
            </w:r>
          </w:p>
        </w:tc>
        <w:tc>
          <w:tcPr>
            <w:tcW w:w="1636" w:type="dxa"/>
            <w:shd w:val="clear" w:color="auto" w:fill="auto"/>
            <w:vAlign w:val="center"/>
          </w:tcPr>
          <w:p w14:paraId="76F5D377" w14:textId="77777777" w:rsidR="007A3862" w:rsidRPr="00EC0C1C" w:rsidRDefault="007A3862" w:rsidP="00563DF9">
            <w:pPr>
              <w:pStyle w:val="ExhibitText"/>
              <w:jc w:val="right"/>
              <w:rPr>
                <w:lang w:val="en-GB"/>
              </w:rPr>
            </w:pPr>
            <w:r w:rsidRPr="00EC0C1C">
              <w:rPr>
                <w:lang w:val="en-GB"/>
              </w:rPr>
              <w:t>384.78</w:t>
            </w:r>
          </w:p>
        </w:tc>
      </w:tr>
      <w:tr w:rsidR="007A3862" w:rsidRPr="00EC0C1C" w14:paraId="68D6FC95" w14:textId="77777777" w:rsidTr="00563DF9">
        <w:trPr>
          <w:jc w:val="center"/>
        </w:trPr>
        <w:tc>
          <w:tcPr>
            <w:tcW w:w="3597" w:type="dxa"/>
            <w:shd w:val="clear" w:color="auto" w:fill="auto"/>
            <w:vAlign w:val="center"/>
          </w:tcPr>
          <w:p w14:paraId="56CA41E6" w14:textId="77777777" w:rsidR="007A3862" w:rsidRPr="00EC0C1C" w:rsidRDefault="007A3862" w:rsidP="00563DF9">
            <w:pPr>
              <w:pStyle w:val="ExhibitText"/>
              <w:jc w:val="left"/>
              <w:rPr>
                <w:lang w:val="en-GB"/>
              </w:rPr>
            </w:pPr>
            <w:r w:rsidRPr="00EC0C1C">
              <w:rPr>
                <w:lang w:val="en-GB"/>
              </w:rPr>
              <w:t xml:space="preserve">Landed cost </w:t>
            </w:r>
          </w:p>
        </w:tc>
        <w:tc>
          <w:tcPr>
            <w:tcW w:w="906" w:type="dxa"/>
            <w:shd w:val="clear" w:color="auto" w:fill="auto"/>
            <w:vAlign w:val="center"/>
          </w:tcPr>
          <w:p w14:paraId="284EFD4E" w14:textId="77777777" w:rsidR="007A3862" w:rsidRPr="00EC0C1C" w:rsidRDefault="007A3862" w:rsidP="00563DF9">
            <w:pPr>
              <w:pStyle w:val="ExhibitText"/>
              <w:jc w:val="left"/>
              <w:rPr>
                <w:lang w:val="en-GB"/>
              </w:rPr>
            </w:pPr>
            <w:r>
              <w:rPr>
                <w:lang w:val="en-GB"/>
              </w:rPr>
              <w:t>CA$</w:t>
            </w:r>
          </w:p>
        </w:tc>
        <w:tc>
          <w:tcPr>
            <w:tcW w:w="1527" w:type="dxa"/>
            <w:shd w:val="clear" w:color="auto" w:fill="auto"/>
            <w:vAlign w:val="center"/>
          </w:tcPr>
          <w:p w14:paraId="795870A0" w14:textId="77777777" w:rsidR="007A3862" w:rsidRPr="00EC0C1C" w:rsidRDefault="007A3862" w:rsidP="00563DF9">
            <w:pPr>
              <w:pStyle w:val="ExhibitText"/>
              <w:jc w:val="right"/>
              <w:rPr>
                <w:lang w:val="en-GB"/>
              </w:rPr>
            </w:pPr>
            <w:r w:rsidRPr="00EC0C1C">
              <w:rPr>
                <w:lang w:val="en-GB"/>
              </w:rPr>
              <w:t>5,807.21</w:t>
            </w:r>
          </w:p>
        </w:tc>
        <w:tc>
          <w:tcPr>
            <w:tcW w:w="1260" w:type="dxa"/>
            <w:shd w:val="clear" w:color="auto" w:fill="auto"/>
            <w:vAlign w:val="center"/>
          </w:tcPr>
          <w:p w14:paraId="50E59B6A" w14:textId="77777777" w:rsidR="007A3862" w:rsidRPr="00EC0C1C" w:rsidRDefault="007A3862" w:rsidP="00563DF9">
            <w:pPr>
              <w:pStyle w:val="ExhibitText"/>
              <w:jc w:val="right"/>
              <w:rPr>
                <w:lang w:val="en-GB"/>
              </w:rPr>
            </w:pPr>
            <w:r w:rsidRPr="00EC0C1C">
              <w:rPr>
                <w:lang w:val="en-GB"/>
              </w:rPr>
              <w:t>3,113.80</w:t>
            </w:r>
          </w:p>
        </w:tc>
        <w:tc>
          <w:tcPr>
            <w:tcW w:w="1636" w:type="dxa"/>
            <w:shd w:val="clear" w:color="auto" w:fill="auto"/>
            <w:vAlign w:val="center"/>
          </w:tcPr>
          <w:p w14:paraId="138823ED" w14:textId="77777777" w:rsidR="007A3862" w:rsidRPr="00EC0C1C" w:rsidRDefault="007A3862" w:rsidP="00563DF9">
            <w:pPr>
              <w:pStyle w:val="ExhibitText"/>
              <w:jc w:val="right"/>
              <w:rPr>
                <w:lang w:val="en-GB"/>
              </w:rPr>
            </w:pPr>
            <w:r w:rsidRPr="00EC0C1C">
              <w:rPr>
                <w:lang w:val="en-GB"/>
              </w:rPr>
              <w:t>8,080.46</w:t>
            </w:r>
          </w:p>
        </w:tc>
      </w:tr>
      <w:tr w:rsidR="007A3862" w:rsidRPr="00EC0C1C" w14:paraId="092F2190" w14:textId="77777777" w:rsidTr="00563DF9">
        <w:trPr>
          <w:jc w:val="center"/>
        </w:trPr>
        <w:tc>
          <w:tcPr>
            <w:tcW w:w="3597" w:type="dxa"/>
            <w:shd w:val="clear" w:color="auto" w:fill="auto"/>
            <w:vAlign w:val="center"/>
          </w:tcPr>
          <w:p w14:paraId="1AA4D6E5" w14:textId="77777777" w:rsidR="007A3862" w:rsidRPr="00EC0C1C" w:rsidRDefault="007A3862" w:rsidP="00563DF9">
            <w:pPr>
              <w:pStyle w:val="ExhibitText"/>
              <w:jc w:val="left"/>
              <w:rPr>
                <w:lang w:val="en-GB"/>
              </w:rPr>
            </w:pPr>
            <w:r w:rsidRPr="00EC0C1C">
              <w:rPr>
                <w:lang w:val="en-GB"/>
              </w:rPr>
              <w:t xml:space="preserve">Unit </w:t>
            </w:r>
            <w:r>
              <w:rPr>
                <w:lang w:val="en-GB"/>
              </w:rPr>
              <w:t>cost</w:t>
            </w:r>
            <w:r w:rsidRPr="00EC0C1C">
              <w:rPr>
                <w:lang w:val="en-GB"/>
              </w:rPr>
              <w:t xml:space="preserve"> (</w:t>
            </w:r>
            <w:r>
              <w:rPr>
                <w:lang w:val="en-GB"/>
              </w:rPr>
              <w:t>basic</w:t>
            </w:r>
            <w:r w:rsidRPr="00EC0C1C">
              <w:rPr>
                <w:lang w:val="en-GB"/>
              </w:rPr>
              <w:t xml:space="preserve">) </w:t>
            </w:r>
          </w:p>
        </w:tc>
        <w:tc>
          <w:tcPr>
            <w:tcW w:w="906" w:type="dxa"/>
            <w:shd w:val="clear" w:color="auto" w:fill="auto"/>
            <w:vAlign w:val="center"/>
          </w:tcPr>
          <w:p w14:paraId="40D4BED9" w14:textId="77777777" w:rsidR="007A3862" w:rsidRPr="00EC0C1C" w:rsidRDefault="007A3862" w:rsidP="00563DF9">
            <w:pPr>
              <w:pStyle w:val="ExhibitText"/>
              <w:jc w:val="left"/>
              <w:rPr>
                <w:lang w:val="en-GB"/>
              </w:rPr>
            </w:pPr>
            <w:r w:rsidRPr="00EC0C1C">
              <w:rPr>
                <w:lang w:val="en-GB"/>
              </w:rPr>
              <w:t>US$</w:t>
            </w:r>
          </w:p>
        </w:tc>
        <w:tc>
          <w:tcPr>
            <w:tcW w:w="1527" w:type="dxa"/>
            <w:shd w:val="clear" w:color="auto" w:fill="auto"/>
            <w:vAlign w:val="center"/>
          </w:tcPr>
          <w:p w14:paraId="3CAA5264" w14:textId="77777777" w:rsidR="007A3862" w:rsidRPr="00EC0C1C" w:rsidRDefault="007A3862" w:rsidP="00563DF9">
            <w:pPr>
              <w:pStyle w:val="ExhibitText"/>
              <w:jc w:val="right"/>
              <w:rPr>
                <w:lang w:val="en-GB"/>
              </w:rPr>
            </w:pPr>
            <w:r w:rsidRPr="00EC0C1C">
              <w:rPr>
                <w:lang w:val="en-GB"/>
              </w:rPr>
              <w:t>27.12</w:t>
            </w:r>
          </w:p>
        </w:tc>
        <w:tc>
          <w:tcPr>
            <w:tcW w:w="1260" w:type="dxa"/>
            <w:shd w:val="clear" w:color="auto" w:fill="auto"/>
            <w:vAlign w:val="center"/>
          </w:tcPr>
          <w:p w14:paraId="6D278BB6" w14:textId="77777777" w:rsidR="007A3862" w:rsidRPr="00EC0C1C" w:rsidRDefault="007A3862" w:rsidP="00563DF9">
            <w:pPr>
              <w:pStyle w:val="ExhibitText"/>
              <w:jc w:val="right"/>
              <w:rPr>
                <w:lang w:val="en-GB"/>
              </w:rPr>
            </w:pPr>
            <w:r w:rsidRPr="00EC0C1C">
              <w:rPr>
                <w:lang w:val="en-GB"/>
              </w:rPr>
              <w:t>25.27</w:t>
            </w:r>
          </w:p>
        </w:tc>
        <w:tc>
          <w:tcPr>
            <w:tcW w:w="1636" w:type="dxa"/>
            <w:shd w:val="clear" w:color="auto" w:fill="auto"/>
            <w:vAlign w:val="center"/>
          </w:tcPr>
          <w:p w14:paraId="2127A69A" w14:textId="77777777" w:rsidR="007A3862" w:rsidRPr="00EC0C1C" w:rsidRDefault="007A3862" w:rsidP="00563DF9">
            <w:pPr>
              <w:pStyle w:val="ExhibitText"/>
              <w:jc w:val="right"/>
              <w:rPr>
                <w:lang w:val="en-GB"/>
              </w:rPr>
            </w:pPr>
            <w:r w:rsidRPr="00EC0C1C">
              <w:rPr>
                <w:lang w:val="en-GB"/>
              </w:rPr>
              <w:t>30.61</w:t>
            </w:r>
          </w:p>
        </w:tc>
      </w:tr>
      <w:tr w:rsidR="007A3862" w:rsidRPr="00EC0C1C" w14:paraId="6A5DC904" w14:textId="77777777" w:rsidTr="00563DF9">
        <w:trPr>
          <w:jc w:val="center"/>
        </w:trPr>
        <w:tc>
          <w:tcPr>
            <w:tcW w:w="3597" w:type="dxa"/>
            <w:shd w:val="clear" w:color="auto" w:fill="auto"/>
            <w:vAlign w:val="center"/>
          </w:tcPr>
          <w:p w14:paraId="70274CF4" w14:textId="77777777" w:rsidR="007A3862" w:rsidRPr="00EC0C1C" w:rsidRDefault="007A3862" w:rsidP="00563DF9">
            <w:pPr>
              <w:pStyle w:val="ExhibitText"/>
              <w:jc w:val="left"/>
              <w:rPr>
                <w:lang w:val="en-GB"/>
              </w:rPr>
            </w:pPr>
            <w:r w:rsidRPr="00EC0C1C">
              <w:rPr>
                <w:lang w:val="en-GB"/>
              </w:rPr>
              <w:t xml:space="preserve">Unit </w:t>
            </w:r>
            <w:r>
              <w:rPr>
                <w:lang w:val="en-GB"/>
              </w:rPr>
              <w:t>cost</w:t>
            </w:r>
            <w:r w:rsidRPr="00EC0C1C">
              <w:rPr>
                <w:lang w:val="en-GB"/>
              </w:rPr>
              <w:t xml:space="preserve"> (</w:t>
            </w:r>
            <w:r>
              <w:rPr>
                <w:lang w:val="en-GB"/>
              </w:rPr>
              <w:t>basic</w:t>
            </w:r>
            <w:r w:rsidRPr="00EC0C1C">
              <w:rPr>
                <w:lang w:val="en-GB"/>
              </w:rPr>
              <w:t xml:space="preserve">) </w:t>
            </w:r>
          </w:p>
        </w:tc>
        <w:tc>
          <w:tcPr>
            <w:tcW w:w="906" w:type="dxa"/>
            <w:shd w:val="clear" w:color="auto" w:fill="auto"/>
            <w:vAlign w:val="center"/>
          </w:tcPr>
          <w:p w14:paraId="2EC01CF6" w14:textId="77777777" w:rsidR="007A3862" w:rsidRPr="00EC0C1C" w:rsidRDefault="007A3862" w:rsidP="00563DF9">
            <w:pPr>
              <w:pStyle w:val="ExhibitText"/>
              <w:jc w:val="left"/>
              <w:rPr>
                <w:lang w:val="en-GB"/>
              </w:rPr>
            </w:pPr>
            <w:r>
              <w:rPr>
                <w:lang w:val="en-GB"/>
              </w:rPr>
              <w:t>CA$</w:t>
            </w:r>
          </w:p>
        </w:tc>
        <w:tc>
          <w:tcPr>
            <w:tcW w:w="1527" w:type="dxa"/>
            <w:shd w:val="clear" w:color="auto" w:fill="auto"/>
            <w:vAlign w:val="center"/>
          </w:tcPr>
          <w:p w14:paraId="1B23C7A3" w14:textId="77777777" w:rsidR="007A3862" w:rsidRPr="00EC0C1C" w:rsidRDefault="007A3862" w:rsidP="00563DF9">
            <w:pPr>
              <w:pStyle w:val="ExhibitText"/>
              <w:jc w:val="right"/>
              <w:rPr>
                <w:lang w:val="en-GB"/>
              </w:rPr>
            </w:pPr>
            <w:r w:rsidRPr="00EC0C1C">
              <w:rPr>
                <w:lang w:val="en-GB"/>
              </w:rPr>
              <w:t>34.14</w:t>
            </w:r>
          </w:p>
        </w:tc>
        <w:tc>
          <w:tcPr>
            <w:tcW w:w="1260" w:type="dxa"/>
            <w:shd w:val="clear" w:color="auto" w:fill="auto"/>
            <w:vAlign w:val="center"/>
          </w:tcPr>
          <w:p w14:paraId="46AE6985" w14:textId="77777777" w:rsidR="007A3862" w:rsidRPr="00EC0C1C" w:rsidRDefault="007A3862" w:rsidP="00563DF9">
            <w:pPr>
              <w:pStyle w:val="ExhibitText"/>
              <w:jc w:val="right"/>
              <w:rPr>
                <w:lang w:val="en-GB"/>
              </w:rPr>
            </w:pPr>
            <w:r w:rsidRPr="00EC0C1C">
              <w:rPr>
                <w:lang w:val="en-GB"/>
              </w:rPr>
              <w:t>33.27</w:t>
            </w:r>
          </w:p>
        </w:tc>
        <w:tc>
          <w:tcPr>
            <w:tcW w:w="1636" w:type="dxa"/>
            <w:shd w:val="clear" w:color="auto" w:fill="auto"/>
            <w:vAlign w:val="center"/>
          </w:tcPr>
          <w:p w14:paraId="2C12DABA" w14:textId="77777777" w:rsidR="007A3862" w:rsidRPr="00EC0C1C" w:rsidRDefault="007A3862" w:rsidP="00563DF9">
            <w:pPr>
              <w:pStyle w:val="ExhibitText"/>
              <w:jc w:val="right"/>
              <w:rPr>
                <w:lang w:val="en-GB"/>
              </w:rPr>
            </w:pPr>
            <w:r w:rsidRPr="00EC0C1C">
              <w:rPr>
                <w:lang w:val="en-GB"/>
              </w:rPr>
              <w:t>39.75</w:t>
            </w:r>
          </w:p>
        </w:tc>
      </w:tr>
      <w:tr w:rsidR="007A3862" w:rsidRPr="00EC0C1C" w14:paraId="299CCE9B" w14:textId="77777777" w:rsidTr="00563DF9">
        <w:trPr>
          <w:jc w:val="center"/>
        </w:trPr>
        <w:tc>
          <w:tcPr>
            <w:tcW w:w="3597" w:type="dxa"/>
            <w:shd w:val="clear" w:color="auto" w:fill="auto"/>
            <w:vAlign w:val="center"/>
          </w:tcPr>
          <w:p w14:paraId="2AF5882E" w14:textId="77777777" w:rsidR="007A3862" w:rsidRPr="00EC0C1C" w:rsidRDefault="007A3862" w:rsidP="00563DF9">
            <w:pPr>
              <w:pStyle w:val="ExhibitText"/>
              <w:jc w:val="left"/>
              <w:rPr>
                <w:lang w:val="en-GB"/>
              </w:rPr>
            </w:pPr>
            <w:r w:rsidRPr="00EC0C1C">
              <w:rPr>
                <w:lang w:val="en-GB"/>
              </w:rPr>
              <w:t xml:space="preserve">Unit </w:t>
            </w:r>
            <w:r>
              <w:rPr>
                <w:lang w:val="en-GB"/>
              </w:rPr>
              <w:t>cost</w:t>
            </w:r>
            <w:r w:rsidRPr="00EC0C1C">
              <w:rPr>
                <w:lang w:val="en-GB"/>
              </w:rPr>
              <w:t xml:space="preserve"> (</w:t>
            </w:r>
            <w:r>
              <w:rPr>
                <w:lang w:val="en-GB"/>
              </w:rPr>
              <w:t>landed</w:t>
            </w:r>
            <w:r w:rsidRPr="00EC0C1C">
              <w:rPr>
                <w:lang w:val="en-GB"/>
              </w:rPr>
              <w:t>)</w:t>
            </w:r>
          </w:p>
        </w:tc>
        <w:tc>
          <w:tcPr>
            <w:tcW w:w="906" w:type="dxa"/>
            <w:shd w:val="clear" w:color="auto" w:fill="auto"/>
            <w:vAlign w:val="center"/>
          </w:tcPr>
          <w:p w14:paraId="28760B81" w14:textId="77777777" w:rsidR="007A3862" w:rsidRPr="00EC0C1C" w:rsidRDefault="007A3862" w:rsidP="00563DF9">
            <w:pPr>
              <w:pStyle w:val="ExhibitText"/>
              <w:jc w:val="left"/>
              <w:rPr>
                <w:lang w:val="en-GB"/>
              </w:rPr>
            </w:pPr>
            <w:r>
              <w:rPr>
                <w:lang w:val="en-GB"/>
              </w:rPr>
              <w:t>CA$</w:t>
            </w:r>
          </w:p>
        </w:tc>
        <w:tc>
          <w:tcPr>
            <w:tcW w:w="1527" w:type="dxa"/>
            <w:shd w:val="clear" w:color="auto" w:fill="auto"/>
            <w:vAlign w:val="center"/>
          </w:tcPr>
          <w:p w14:paraId="53A40F95" w14:textId="77777777" w:rsidR="007A3862" w:rsidRPr="00EC0C1C" w:rsidRDefault="007A3862" w:rsidP="00563DF9">
            <w:pPr>
              <w:pStyle w:val="ExhibitText"/>
              <w:jc w:val="right"/>
              <w:rPr>
                <w:lang w:val="en-GB"/>
              </w:rPr>
            </w:pPr>
            <w:r w:rsidRPr="00EC0C1C">
              <w:rPr>
                <w:lang w:val="en-GB"/>
              </w:rPr>
              <w:t>35.85</w:t>
            </w:r>
          </w:p>
        </w:tc>
        <w:tc>
          <w:tcPr>
            <w:tcW w:w="1260" w:type="dxa"/>
            <w:shd w:val="clear" w:color="auto" w:fill="auto"/>
            <w:vAlign w:val="center"/>
          </w:tcPr>
          <w:p w14:paraId="57F6980D" w14:textId="77777777" w:rsidR="007A3862" w:rsidRPr="00EC0C1C" w:rsidRDefault="007A3862" w:rsidP="00563DF9">
            <w:pPr>
              <w:pStyle w:val="ExhibitText"/>
              <w:jc w:val="right"/>
              <w:rPr>
                <w:lang w:val="en-GB"/>
              </w:rPr>
            </w:pPr>
            <w:r w:rsidRPr="00EC0C1C">
              <w:rPr>
                <w:lang w:val="en-GB"/>
              </w:rPr>
              <w:t>38.41</w:t>
            </w:r>
          </w:p>
        </w:tc>
        <w:tc>
          <w:tcPr>
            <w:tcW w:w="1636" w:type="dxa"/>
            <w:shd w:val="clear" w:color="auto" w:fill="auto"/>
            <w:vAlign w:val="center"/>
          </w:tcPr>
          <w:p w14:paraId="2A340B28" w14:textId="77777777" w:rsidR="007A3862" w:rsidRPr="00EC0C1C" w:rsidRDefault="007A3862" w:rsidP="00563DF9">
            <w:pPr>
              <w:pStyle w:val="ExhibitText"/>
              <w:jc w:val="right"/>
              <w:rPr>
                <w:lang w:val="en-GB"/>
              </w:rPr>
            </w:pPr>
            <w:r w:rsidRPr="00EC0C1C">
              <w:rPr>
                <w:lang w:val="en-GB"/>
              </w:rPr>
              <w:t>45.91</w:t>
            </w:r>
          </w:p>
        </w:tc>
      </w:tr>
      <w:tr w:rsidR="007A3862" w:rsidRPr="00EC0C1C" w14:paraId="7146D857" w14:textId="77777777" w:rsidTr="00563DF9">
        <w:trPr>
          <w:jc w:val="center"/>
        </w:trPr>
        <w:tc>
          <w:tcPr>
            <w:tcW w:w="3597" w:type="dxa"/>
            <w:shd w:val="clear" w:color="auto" w:fill="auto"/>
            <w:vAlign w:val="center"/>
          </w:tcPr>
          <w:p w14:paraId="7FAED850" w14:textId="77777777" w:rsidR="007A3862" w:rsidRPr="00EC0C1C" w:rsidRDefault="007A3862" w:rsidP="00563DF9">
            <w:pPr>
              <w:pStyle w:val="ExhibitText"/>
              <w:jc w:val="left"/>
              <w:rPr>
                <w:lang w:val="en-GB"/>
              </w:rPr>
            </w:pPr>
            <w:r w:rsidRPr="00EC0C1C">
              <w:rPr>
                <w:lang w:val="en-GB"/>
              </w:rPr>
              <w:t xml:space="preserve">End </w:t>
            </w:r>
            <w:r>
              <w:rPr>
                <w:lang w:val="en-GB"/>
              </w:rPr>
              <w:t>price to customers in Canada</w:t>
            </w:r>
          </w:p>
        </w:tc>
        <w:tc>
          <w:tcPr>
            <w:tcW w:w="906" w:type="dxa"/>
            <w:shd w:val="clear" w:color="auto" w:fill="auto"/>
            <w:vAlign w:val="center"/>
          </w:tcPr>
          <w:p w14:paraId="71AD6441" w14:textId="77777777" w:rsidR="007A3862" w:rsidRPr="00EC0C1C" w:rsidRDefault="007A3862" w:rsidP="00563DF9">
            <w:pPr>
              <w:pStyle w:val="ExhibitText"/>
              <w:jc w:val="left"/>
              <w:rPr>
                <w:lang w:val="en-GB"/>
              </w:rPr>
            </w:pPr>
            <w:r>
              <w:rPr>
                <w:lang w:val="en-GB"/>
              </w:rPr>
              <w:t>CA$</w:t>
            </w:r>
          </w:p>
        </w:tc>
        <w:tc>
          <w:tcPr>
            <w:tcW w:w="1527" w:type="dxa"/>
            <w:shd w:val="clear" w:color="auto" w:fill="auto"/>
            <w:vAlign w:val="center"/>
          </w:tcPr>
          <w:p w14:paraId="23EC00BC" w14:textId="77777777" w:rsidR="007A3862" w:rsidRPr="00EC0C1C" w:rsidRDefault="007A3862" w:rsidP="00563DF9">
            <w:pPr>
              <w:pStyle w:val="ExhibitText"/>
              <w:jc w:val="right"/>
              <w:rPr>
                <w:lang w:val="en-GB"/>
              </w:rPr>
            </w:pPr>
            <w:r w:rsidRPr="00EC0C1C">
              <w:rPr>
                <w:lang w:val="en-GB"/>
              </w:rPr>
              <w:t>55.99</w:t>
            </w:r>
          </w:p>
        </w:tc>
        <w:tc>
          <w:tcPr>
            <w:tcW w:w="1260" w:type="dxa"/>
            <w:shd w:val="clear" w:color="auto" w:fill="auto"/>
            <w:vAlign w:val="center"/>
          </w:tcPr>
          <w:p w14:paraId="2FE4EE29" w14:textId="77777777" w:rsidR="007A3862" w:rsidRPr="00EC0C1C" w:rsidRDefault="007A3862" w:rsidP="00563DF9">
            <w:pPr>
              <w:pStyle w:val="ExhibitText"/>
              <w:jc w:val="right"/>
              <w:rPr>
                <w:lang w:val="en-GB"/>
              </w:rPr>
            </w:pPr>
            <w:r w:rsidRPr="00EC0C1C">
              <w:rPr>
                <w:lang w:val="en-GB"/>
              </w:rPr>
              <w:t>61.99</w:t>
            </w:r>
          </w:p>
        </w:tc>
        <w:tc>
          <w:tcPr>
            <w:tcW w:w="1636" w:type="dxa"/>
            <w:shd w:val="clear" w:color="auto" w:fill="auto"/>
            <w:vAlign w:val="center"/>
          </w:tcPr>
          <w:p w14:paraId="7C9167C5" w14:textId="77777777" w:rsidR="007A3862" w:rsidRPr="00EC0C1C" w:rsidRDefault="007A3862" w:rsidP="00563DF9">
            <w:pPr>
              <w:pStyle w:val="ExhibitText"/>
              <w:jc w:val="right"/>
              <w:rPr>
                <w:lang w:val="en-GB"/>
              </w:rPr>
            </w:pPr>
            <w:r>
              <w:rPr>
                <w:lang w:val="en-GB"/>
              </w:rPr>
              <w:t>74.09</w:t>
            </w:r>
          </w:p>
        </w:tc>
      </w:tr>
      <w:bookmarkEnd w:id="3"/>
    </w:tbl>
    <w:p w14:paraId="45E67179" w14:textId="77777777" w:rsidR="007A3862" w:rsidRDefault="007A3862" w:rsidP="007A3862">
      <w:pPr>
        <w:pStyle w:val="Footnote"/>
        <w:rPr>
          <w:lang w:val="en-GB"/>
        </w:rPr>
      </w:pPr>
    </w:p>
    <w:p w14:paraId="349C1024" w14:textId="77777777" w:rsidR="007A3862" w:rsidRDefault="007A3862" w:rsidP="007A3862">
      <w:pPr>
        <w:pStyle w:val="Footnote"/>
        <w:rPr>
          <w:lang w:val="en-GB"/>
        </w:rPr>
      </w:pPr>
      <w:r>
        <w:rPr>
          <w:lang w:val="en-GB"/>
        </w:rPr>
        <w:t>Note: GST = goods and services tax.</w:t>
      </w:r>
    </w:p>
    <w:p w14:paraId="6223FF1B" w14:textId="77777777" w:rsidR="007A3862" w:rsidRPr="00EC0C1C" w:rsidRDefault="007A3862" w:rsidP="007A3862">
      <w:pPr>
        <w:pStyle w:val="Footnote"/>
        <w:rPr>
          <w:lang w:val="en-GB"/>
        </w:rPr>
      </w:pPr>
      <w:r w:rsidRPr="00EC0C1C">
        <w:rPr>
          <w:lang w:val="en-GB"/>
        </w:rPr>
        <w:t>Source: Company</w:t>
      </w:r>
      <w:r>
        <w:rPr>
          <w:lang w:val="en-GB"/>
        </w:rPr>
        <w:t xml:space="preserve"> documents.</w:t>
      </w:r>
    </w:p>
    <w:p w14:paraId="19FE9A55" w14:textId="77777777" w:rsidR="007A3862" w:rsidRPr="00EC0C1C" w:rsidRDefault="007A3862" w:rsidP="007A3862">
      <w:pPr>
        <w:pStyle w:val="BodyTextMain"/>
        <w:rPr>
          <w:lang w:val="en-GB"/>
        </w:rPr>
      </w:pPr>
    </w:p>
    <w:p w14:paraId="57737B74" w14:textId="77777777" w:rsidR="007A3862" w:rsidRPr="00EC0C1C" w:rsidRDefault="007A3862" w:rsidP="007A3862">
      <w:pPr>
        <w:pStyle w:val="BodyTextMain"/>
        <w:rPr>
          <w:lang w:val="en-GB"/>
        </w:rPr>
      </w:pPr>
    </w:p>
    <w:bookmarkEnd w:id="4"/>
    <w:p w14:paraId="04540369" w14:textId="77777777" w:rsidR="007A3862" w:rsidRPr="00EC0C1C" w:rsidRDefault="007A3862" w:rsidP="007A3862">
      <w:pPr>
        <w:pStyle w:val="ExhibitHeading"/>
        <w:rPr>
          <w:lang w:val="en-GB"/>
        </w:rPr>
      </w:pPr>
      <w:r w:rsidRPr="00EC0C1C">
        <w:rPr>
          <w:lang w:val="en-GB"/>
        </w:rPr>
        <w:t xml:space="preserve">Exhibit 2: </w:t>
      </w:r>
      <w:r>
        <w:rPr>
          <w:lang w:val="en-GB"/>
        </w:rPr>
        <w:t xml:space="preserve">US–Canadian </w:t>
      </w:r>
      <w:r w:rsidRPr="00EC0C1C">
        <w:rPr>
          <w:lang w:val="en-GB"/>
        </w:rPr>
        <w:t>EXCHANGE RATE FLUCTUATION</w:t>
      </w:r>
      <w:r>
        <w:rPr>
          <w:lang w:val="en-GB"/>
        </w:rPr>
        <w:t>,</w:t>
      </w:r>
      <w:r w:rsidRPr="00EC0C1C">
        <w:rPr>
          <w:lang w:val="en-GB"/>
        </w:rPr>
        <w:t xml:space="preserve"> 2010</w:t>
      </w:r>
      <w:r>
        <w:rPr>
          <w:lang w:val="en-GB"/>
        </w:rPr>
        <w:t>–</w:t>
      </w:r>
      <w:r w:rsidRPr="00EC0C1C">
        <w:rPr>
          <w:lang w:val="en-GB"/>
        </w:rPr>
        <w:t>2018</w:t>
      </w:r>
    </w:p>
    <w:p w14:paraId="261386B2" w14:textId="77777777" w:rsidR="007A3862" w:rsidRPr="00EC0C1C" w:rsidRDefault="007A3862" w:rsidP="007A3862">
      <w:pPr>
        <w:pStyle w:val="BodyTextMain"/>
        <w:rPr>
          <w:lang w:val="en-GB"/>
        </w:rPr>
      </w:pPr>
    </w:p>
    <w:p w14:paraId="5623334E" w14:textId="77777777" w:rsidR="007A3862" w:rsidRPr="00EC0C1C" w:rsidRDefault="007A3862" w:rsidP="007A3862">
      <w:pPr>
        <w:pStyle w:val="BodyTextMain"/>
        <w:jc w:val="center"/>
        <w:rPr>
          <w:lang w:val="en-GB"/>
        </w:rPr>
      </w:pPr>
      <w:r w:rsidRPr="00EC0C1C">
        <w:rPr>
          <w:noProof/>
          <w:lang w:val="en-CA" w:eastAsia="en-CA"/>
        </w:rPr>
        <w:drawing>
          <wp:inline distT="0" distB="0" distL="0" distR="0" wp14:anchorId="237006E1" wp14:editId="70E8EDB9">
            <wp:extent cx="5947410" cy="303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grayscl/>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rcRect b="6685"/>
                    <a:stretch/>
                  </pic:blipFill>
                  <pic:spPr bwMode="auto">
                    <a:xfrm>
                      <a:off x="0" y="0"/>
                      <a:ext cx="5947410" cy="3037398"/>
                    </a:xfrm>
                    <a:prstGeom prst="rect">
                      <a:avLst/>
                    </a:prstGeom>
                    <a:noFill/>
                    <a:ln>
                      <a:noFill/>
                    </a:ln>
                    <a:extLst>
                      <a:ext uri="{53640926-AAD7-44D8-BBD7-CCE9431645EC}">
                        <a14:shadowObscured xmlns:a14="http://schemas.microsoft.com/office/drawing/2010/main"/>
                      </a:ext>
                    </a:extLst>
                  </pic:spPr>
                </pic:pic>
              </a:graphicData>
            </a:graphic>
          </wp:inline>
        </w:drawing>
      </w:r>
    </w:p>
    <w:p w14:paraId="1F740C9B" w14:textId="77777777" w:rsidR="007A3862" w:rsidRDefault="007A3862" w:rsidP="007A3862">
      <w:pPr>
        <w:pStyle w:val="Footnote"/>
        <w:rPr>
          <w:lang w:val="en-GB"/>
        </w:rPr>
      </w:pPr>
    </w:p>
    <w:p w14:paraId="421464E9" w14:textId="77777777" w:rsidR="007A3862" w:rsidRPr="00EC0C1C" w:rsidRDefault="007A3862" w:rsidP="007A3862">
      <w:pPr>
        <w:pStyle w:val="Footnote"/>
        <w:rPr>
          <w:lang w:val="en-GB"/>
        </w:rPr>
      </w:pPr>
      <w:r w:rsidRPr="00EC0C1C">
        <w:rPr>
          <w:lang w:val="en-GB"/>
        </w:rPr>
        <w:t xml:space="preserve">Source: </w:t>
      </w:r>
      <w:r>
        <w:rPr>
          <w:lang w:val="en-GB"/>
        </w:rPr>
        <w:t xml:space="preserve">“Canadian Dollar,” </w:t>
      </w:r>
      <w:r w:rsidRPr="00EC0C1C">
        <w:rPr>
          <w:lang w:val="en-GB"/>
        </w:rPr>
        <w:t>Trading Economics, accessed March 6, 2019, https://tradingeconomics.com/canada/currency.</w:t>
      </w:r>
    </w:p>
    <w:p w14:paraId="1A3782F6" w14:textId="77777777" w:rsidR="007A3862" w:rsidRDefault="007A3862" w:rsidP="007A3862">
      <w:pPr>
        <w:pStyle w:val="BodyTextMain"/>
      </w:pPr>
    </w:p>
    <w:sectPr w:rsidR="007A3862"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08C7C39" w14:textId="77777777" w:rsidR="007A3862" w:rsidRPr="00B778F9" w:rsidRDefault="007A3862" w:rsidP="007A3862">
      <w:pPr>
        <w:pStyle w:val="FootnoteText"/>
        <w:rPr>
          <w:rFonts w:ascii="Arial" w:hAnsi="Arial" w:cs="Arial"/>
          <w:sz w:val="17"/>
          <w:szCs w:val="17"/>
          <w:lang w:val="en-CA"/>
        </w:rPr>
      </w:pPr>
      <w:r w:rsidRPr="00B778F9">
        <w:rPr>
          <w:rStyle w:val="FootnoteReference"/>
          <w:rFonts w:ascii="Arial" w:hAnsi="Arial" w:cs="Arial"/>
          <w:sz w:val="17"/>
          <w:szCs w:val="17"/>
        </w:rPr>
        <w:footnoteRef/>
      </w:r>
      <w:r w:rsidRPr="00B778F9">
        <w:rPr>
          <w:rFonts w:ascii="Arial" w:hAnsi="Arial" w:cs="Arial"/>
          <w:sz w:val="17"/>
          <w:szCs w:val="17"/>
        </w:rPr>
        <w:t xml:space="preserve"> </w:t>
      </w:r>
      <w:r w:rsidRPr="00B778F9">
        <w:rPr>
          <w:rFonts w:ascii="Arial" w:hAnsi="Arial" w:cs="Arial"/>
          <w:sz w:val="17"/>
          <w:szCs w:val="17"/>
          <w:lang w:val="en-CA"/>
        </w:rPr>
        <w:t>All amounts are in Canadian dollars unless otherwise specified.</w:t>
      </w:r>
    </w:p>
  </w:footnote>
  <w:footnote w:id="2">
    <w:p w14:paraId="288644CA" w14:textId="77777777" w:rsidR="007A3862" w:rsidRPr="00F72BB9" w:rsidRDefault="007A3862" w:rsidP="007A3862">
      <w:pPr>
        <w:pStyle w:val="FootnoteText1"/>
        <w:rPr>
          <w:lang w:val="en-GB"/>
        </w:rPr>
      </w:pPr>
      <w:r w:rsidRPr="00DE40D8">
        <w:rPr>
          <w:rStyle w:val="FootnoteReference"/>
          <w:lang w:val="en-GB"/>
        </w:rPr>
        <w:footnoteRef/>
      </w:r>
      <w:r w:rsidRPr="00DE40D8">
        <w:rPr>
          <w:lang w:val="en-GB"/>
        </w:rPr>
        <w:t xml:space="preserve"> IBISWorld Canada, “Medical Supplies Wholesaling – Canada Market Research Report,”</w:t>
      </w:r>
      <w:r>
        <w:rPr>
          <w:lang w:val="en-GB"/>
        </w:rPr>
        <w:t xml:space="preserve"> accessed February 12, 2019,</w:t>
      </w:r>
      <w:r w:rsidRPr="00DE40D8">
        <w:rPr>
          <w:lang w:val="en-GB"/>
        </w:rPr>
        <w:t xml:space="preserve"> </w:t>
      </w:r>
      <w:r w:rsidRPr="00A639C8">
        <w:rPr>
          <w:lang w:val="en-GB"/>
        </w:rPr>
        <w:t>www.ibisworld.ca/industry-trends/market-research-reports/wholesale-trade/medical-supplies-wholesaling.html.</w:t>
      </w:r>
    </w:p>
  </w:footnote>
  <w:footnote w:id="3">
    <w:p w14:paraId="4209C80F" w14:textId="77777777"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“Regulatory Affairs,” </w:t>
      </w:r>
      <w:proofErr w:type="spellStart"/>
      <w:r w:rsidRPr="00DE40D8">
        <w:rPr>
          <w:lang w:val="en-GB"/>
        </w:rPr>
        <w:t>Medtech</w:t>
      </w:r>
      <w:proofErr w:type="spellEnd"/>
      <w:r w:rsidRPr="00DE40D8">
        <w:rPr>
          <w:lang w:val="en-GB"/>
        </w:rPr>
        <w:t xml:space="preserve"> Canada, accessed February 1, 2019, www.medec.org/page/RegulatoryAffairs.</w:t>
      </w:r>
    </w:p>
  </w:footnote>
  <w:footnote w:id="4">
    <w:p w14:paraId="0C4CC227" w14:textId="7469E133" w:rsidR="007A3862" w:rsidRPr="00EF3B91" w:rsidRDefault="007A3862" w:rsidP="007A3862">
      <w:pPr>
        <w:pStyle w:val="FootnoteText1"/>
      </w:pPr>
      <w:r w:rsidRPr="00DE40D8">
        <w:rPr>
          <w:rStyle w:val="FootnoteReference"/>
          <w:lang w:val="en-GB"/>
        </w:rPr>
        <w:footnoteRef/>
      </w:r>
      <w:r w:rsidRPr="00DE40D8">
        <w:rPr>
          <w:lang w:val="en-GB"/>
        </w:rPr>
        <w:t xml:space="preserve"> </w:t>
      </w:r>
      <w:r w:rsidRPr="00EF3B91">
        <w:t xml:space="preserve">IBISWorld, “Medical Device Manufacturing – Canada Market Research Report,” 33451bCA, accessed February 12, 2019, </w:t>
      </w:r>
      <w:r w:rsidRPr="00EF3B91">
        <w:rPr>
          <w:lang w:val="en-GB"/>
        </w:rPr>
        <w:t>www.ibisworld.ca/industry-trends/market-research-reports/manufacturing/medical-device-manufacturing.html</w:t>
      </w:r>
      <w:r w:rsidRPr="00EF3B91">
        <w:t xml:space="preserve">. </w:t>
      </w:r>
    </w:p>
  </w:footnote>
  <w:footnote w:id="5">
    <w:p w14:paraId="77C1141A" w14:textId="77777777"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Ibid. </w:t>
      </w:r>
    </w:p>
  </w:footnote>
  <w:footnote w:id="6">
    <w:p w14:paraId="452D23A7" w14:textId="77777777" w:rsidR="007A3862" w:rsidRPr="00F72BB9" w:rsidRDefault="007A3862" w:rsidP="007A3862">
      <w:pPr>
        <w:pStyle w:val="FootnoteText1"/>
        <w:rPr>
          <w:lang w:val="en-GB"/>
        </w:rPr>
      </w:pPr>
      <w:r w:rsidRPr="00DE40D8">
        <w:rPr>
          <w:rStyle w:val="FootnoteReference"/>
          <w:lang w:val="en-GB"/>
        </w:rPr>
        <w:footnoteRef/>
      </w:r>
      <w:r w:rsidRPr="00DE40D8">
        <w:rPr>
          <w:lang w:val="en-GB"/>
        </w:rPr>
        <w:t xml:space="preserve"> Statistics Canada, “Chart 4: The Ratio of Duties to Canada’s Value of Imports from the United States,</w:t>
      </w:r>
      <w:r w:rsidRPr="00F72BB9">
        <w:rPr>
          <w:lang w:val="en-GB"/>
        </w:rPr>
        <w:t>” accessed January 30, 2019, www150.statcan.gc.ca/n1/daily-quotidien/181019/cg-d004-eng.htm.</w:t>
      </w:r>
    </w:p>
  </w:footnote>
  <w:footnote w:id="7">
    <w:p w14:paraId="6FBDA165" w14:textId="77777777"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Congressional Research Service, </w:t>
      </w:r>
      <w:r w:rsidRPr="00B778F9">
        <w:rPr>
          <w:i/>
          <w:lang w:val="en-GB"/>
        </w:rPr>
        <w:t>Section 232 of the Trade Expansion Act of 1962</w:t>
      </w:r>
      <w:r w:rsidRPr="00DE40D8">
        <w:rPr>
          <w:lang w:val="en-GB"/>
        </w:rPr>
        <w:t>, February 23, 2018, accessed January 30, 2019, https://fas.org/sgp/crs/misc/IF10667.pdf.</w:t>
      </w:r>
    </w:p>
  </w:footnote>
  <w:footnote w:id="8">
    <w:p w14:paraId="58E596D4" w14:textId="77777777" w:rsidR="007A3862" w:rsidRPr="00DD7586" w:rsidRDefault="007A3862" w:rsidP="007A3862">
      <w:pPr>
        <w:pStyle w:val="FootnoteText1"/>
        <w:rPr>
          <w:lang w:val="en-GB"/>
        </w:rPr>
      </w:pPr>
      <w:r w:rsidRPr="00DE40D8">
        <w:rPr>
          <w:rStyle w:val="FootnoteReference"/>
          <w:lang w:val="en-GB"/>
        </w:rPr>
        <w:footnoteRef/>
      </w:r>
      <w:r w:rsidRPr="00DE40D8">
        <w:rPr>
          <w:lang w:val="en-GB"/>
        </w:rPr>
        <w:t xml:space="preserve"> “Presidential Proclamation on Adjusting Imports of </w:t>
      </w:r>
      <w:proofErr w:type="spellStart"/>
      <w:r w:rsidRPr="00DE40D8">
        <w:rPr>
          <w:lang w:val="en-GB"/>
        </w:rPr>
        <w:t>Aluminum</w:t>
      </w:r>
      <w:proofErr w:type="spellEnd"/>
      <w:r w:rsidRPr="00DE40D8">
        <w:rPr>
          <w:lang w:val="en-GB"/>
        </w:rPr>
        <w:t xml:space="preserve"> into the United States,” The White House, March 8, 2018, accessed February 7, 2019, www.whitehouse.gov/presidential-actions/presidential-proclamation</w:t>
      </w:r>
      <w:r w:rsidRPr="00DD7586">
        <w:rPr>
          <w:lang w:val="en-GB"/>
        </w:rPr>
        <w:t>-adjusting-imports-aluminum-united-states/.</w:t>
      </w:r>
    </w:p>
  </w:footnote>
  <w:footnote w:id="9">
    <w:p w14:paraId="7AD815A9" w14:textId="77777777"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Export Development Canada, “Worried about U.S. Tariffs on Steel and </w:t>
      </w:r>
      <w:proofErr w:type="spellStart"/>
      <w:r w:rsidRPr="00DE40D8">
        <w:rPr>
          <w:lang w:val="en-GB"/>
        </w:rPr>
        <w:t>Aluminum</w:t>
      </w:r>
      <w:proofErr w:type="spellEnd"/>
      <w:r w:rsidRPr="00DE40D8">
        <w:rPr>
          <w:lang w:val="en-GB"/>
        </w:rPr>
        <w:t>? Here’s a Primer</w:t>
      </w:r>
      <w:r w:rsidRPr="00F72BB9">
        <w:rPr>
          <w:lang w:val="en-GB"/>
        </w:rPr>
        <w:t xml:space="preserve">,” </w:t>
      </w:r>
      <w:proofErr w:type="spellStart"/>
      <w:r w:rsidRPr="00B778F9">
        <w:rPr>
          <w:i/>
          <w:lang w:val="en-GB"/>
        </w:rPr>
        <w:t>TradeInsights</w:t>
      </w:r>
      <w:proofErr w:type="spellEnd"/>
      <w:r w:rsidRPr="00DE40D8">
        <w:rPr>
          <w:lang w:val="en-GB"/>
        </w:rPr>
        <w:t xml:space="preserve"> (newsletter), June 6, 2018, accessed March 30, 2019, www.edc.ca/en/article/us-tariffs-on-steel-and-aluminum.html.</w:t>
      </w:r>
    </w:p>
  </w:footnote>
  <w:footnote w:id="10">
    <w:p w14:paraId="4EC3DBA5" w14:textId="77777777" w:rsidR="007A3862" w:rsidRPr="00DD7586" w:rsidRDefault="007A3862" w:rsidP="007A3862">
      <w:pPr>
        <w:pStyle w:val="FootnoteText1"/>
        <w:rPr>
          <w:lang w:val="en-GB"/>
        </w:rPr>
      </w:pPr>
      <w:r w:rsidRPr="00DE40D8">
        <w:rPr>
          <w:rStyle w:val="FootnoteReference"/>
          <w:lang w:val="en-GB"/>
        </w:rPr>
        <w:footnoteRef/>
      </w:r>
      <w:r w:rsidRPr="00DE40D8">
        <w:rPr>
          <w:lang w:val="en-GB"/>
        </w:rPr>
        <w:t xml:space="preserve"> “Presidential Proclamation on Adjusting Imports of </w:t>
      </w:r>
      <w:proofErr w:type="spellStart"/>
      <w:r w:rsidRPr="00DE40D8">
        <w:rPr>
          <w:lang w:val="en-GB"/>
        </w:rPr>
        <w:t>Aluminum</w:t>
      </w:r>
      <w:proofErr w:type="spellEnd"/>
      <w:r w:rsidRPr="00DE40D8">
        <w:rPr>
          <w:lang w:val="en-GB"/>
        </w:rPr>
        <w:t xml:space="preserve"> into the United States,” op. cit.</w:t>
      </w:r>
    </w:p>
  </w:footnote>
  <w:footnote w:id="11">
    <w:p w14:paraId="4ACE2E78" w14:textId="77777777"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“Canada,” Office of the United States Trade Representative, accessed February 1, 2019, https://ustr.gov/countries-regions/americas/canada.</w:t>
      </w:r>
    </w:p>
  </w:footnote>
  <w:footnote w:id="12">
    <w:p w14:paraId="62D99027" w14:textId="184F3725" w:rsidR="007A3862" w:rsidRPr="00DE40D8" w:rsidRDefault="007A3862" w:rsidP="007A3862">
      <w:pPr>
        <w:pStyle w:val="FootnoteText1"/>
        <w:rPr>
          <w:lang w:val="en-GB"/>
        </w:rPr>
      </w:pPr>
      <w:r w:rsidRPr="00DE40D8">
        <w:rPr>
          <w:rStyle w:val="FootnoteReference"/>
          <w:lang w:val="en-GB"/>
        </w:rPr>
        <w:footnoteRef/>
      </w:r>
      <w:r w:rsidRPr="00DE40D8">
        <w:rPr>
          <w:lang w:val="en-GB"/>
        </w:rPr>
        <w:t xml:space="preserve"> Shailesh </w:t>
      </w:r>
      <w:proofErr w:type="spellStart"/>
      <w:r w:rsidRPr="00DE40D8">
        <w:rPr>
          <w:lang w:val="en-GB"/>
        </w:rPr>
        <w:t>Bhadauria</w:t>
      </w:r>
      <w:proofErr w:type="spellEnd"/>
      <w:r w:rsidRPr="00DE40D8">
        <w:rPr>
          <w:lang w:val="en-GB"/>
        </w:rPr>
        <w:t xml:space="preserve">, “How Tariff-Proof Is Your Supply Chain </w:t>
      </w:r>
      <w:proofErr w:type="gramStart"/>
      <w:r w:rsidRPr="00DE40D8">
        <w:rPr>
          <w:lang w:val="en-GB"/>
        </w:rPr>
        <w:t>Strategy?,</w:t>
      </w:r>
      <w:proofErr w:type="gramEnd"/>
      <w:r w:rsidRPr="00DE40D8">
        <w:rPr>
          <w:lang w:val="en-GB"/>
        </w:rPr>
        <w:t xml:space="preserve">” </w:t>
      </w:r>
      <w:proofErr w:type="spellStart"/>
      <w:r w:rsidRPr="00B778F9">
        <w:rPr>
          <w:i/>
          <w:lang w:val="en-GB"/>
        </w:rPr>
        <w:t>IndustryWeek</w:t>
      </w:r>
      <w:proofErr w:type="spellEnd"/>
      <w:r w:rsidRPr="00DE40D8">
        <w:rPr>
          <w:lang w:val="en-GB"/>
        </w:rPr>
        <w:t>, August 20, 2018, accessed March 30, 2019, www.industryweek.com/supply-chain/how-tariff-proof-your-supply-chain-strategy.</w:t>
      </w:r>
    </w:p>
  </w:footnote>
  <w:footnote w:id="13">
    <w:p w14:paraId="4F7C0AD9" w14:textId="77777777" w:rsidR="007A3862" w:rsidRPr="00DD7586" w:rsidRDefault="007A3862" w:rsidP="007A3862">
      <w:pPr>
        <w:pStyle w:val="FootnoteText1"/>
        <w:rPr>
          <w:lang w:val="en-GB"/>
        </w:rPr>
      </w:pPr>
      <w:r w:rsidRPr="00DE40D8">
        <w:rPr>
          <w:rStyle w:val="FootnoteReference"/>
          <w:lang w:val="en-GB"/>
        </w:rPr>
        <w:footnoteRef/>
      </w:r>
      <w:r w:rsidRPr="00DE40D8">
        <w:rPr>
          <w:lang w:val="en-GB"/>
        </w:rPr>
        <w:t xml:space="preserve"> “Backgrounder – Relief for Canadian Businesses from Countermeasures on Certain U.S. Imports,</w:t>
      </w:r>
      <w:r w:rsidRPr="00DD7586">
        <w:rPr>
          <w:lang w:val="en-GB"/>
        </w:rPr>
        <w:t>” Government of Canada, last modified October 11, 2018, accessed April 11, 2019, www.canada.ca/en/department-finance/news/2018/10/backgrounder--relief-for-canadian-businesses-from-countermeasures-on-certain-us-imports.html.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0DBC11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7061C6">
      <w:rPr>
        <w:rFonts w:ascii="Arial" w:hAnsi="Arial"/>
        <w:b/>
      </w:rPr>
      <w:t>9B19M116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F445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06B9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8ED4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A037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EA1C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BE59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6C5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220E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726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2E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B62"/>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52CF7"/>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61C6"/>
    <w:rsid w:val="00711642"/>
    <w:rsid w:val="007507C6"/>
    <w:rsid w:val="00751E0B"/>
    <w:rsid w:val="00752BCD"/>
    <w:rsid w:val="00766DA1"/>
    <w:rsid w:val="00780D94"/>
    <w:rsid w:val="007866A6"/>
    <w:rsid w:val="007A130D"/>
    <w:rsid w:val="007A3862"/>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6792"/>
    <w:rsid w:val="00ED7922"/>
    <w:rsid w:val="00EE02C4"/>
    <w:rsid w:val="00EE1F37"/>
    <w:rsid w:val="00EF3B91"/>
    <w:rsid w:val="00F0159C"/>
    <w:rsid w:val="00F105B7"/>
    <w:rsid w:val="00F13220"/>
    <w:rsid w:val="00F17A21"/>
    <w:rsid w:val="00F36FC2"/>
    <w:rsid w:val="00F37B27"/>
    <w:rsid w:val="00F46556"/>
    <w:rsid w:val="00F50E91"/>
    <w:rsid w:val="00F56799"/>
    <w:rsid w:val="00F57D29"/>
    <w:rsid w:val="00F60786"/>
    <w:rsid w:val="00F73F2C"/>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EFB09-2961-48B1-BDB4-55B688B7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6</cp:revision>
  <cp:lastPrinted>2015-03-04T20:34:00Z</cp:lastPrinted>
  <dcterms:created xsi:type="dcterms:W3CDTF">2019-09-13T17:50:00Z</dcterms:created>
  <dcterms:modified xsi:type="dcterms:W3CDTF">2019-09-19T11:38:00Z</dcterms:modified>
</cp:coreProperties>
</file>