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0D45" w14:textId="0412B7AE" w:rsidR="00B95B11" w:rsidRPr="0081358C" w:rsidRDefault="00F91873" w:rsidP="00C02410">
      <w:pPr>
        <w:pBdr>
          <w:bottom w:val="single" w:sz="18" w:space="1" w:color="auto"/>
        </w:pBdr>
        <w:tabs>
          <w:tab w:val="left" w:pos="-1440"/>
          <w:tab w:val="left" w:pos="-720"/>
          <w:tab w:val="left" w:pos="1"/>
        </w:tabs>
        <w:jc w:val="both"/>
        <w:rPr>
          <w:rFonts w:ascii="Arial" w:hAnsi="Arial"/>
          <w:b/>
          <w:noProof/>
          <w:sz w:val="24"/>
          <w:lang w:val="en-GB" w:eastAsia="en-CA"/>
        </w:rPr>
      </w:pPr>
      <w:r w:rsidRPr="00F91873">
        <w:rPr>
          <w:rFonts w:ascii="Arial" w:hAnsi="Arial"/>
          <w:b/>
          <w:noProof/>
          <w:sz w:val="24"/>
          <w:lang w:val="en-CA" w:eastAsia="en-CA"/>
        </w:rPr>
        <w:drawing>
          <wp:inline distT="0" distB="0" distL="0" distR="0" wp14:anchorId="3169040D" wp14:editId="24CD3FF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731AED7" w:rsidR="00C02410" w:rsidRPr="0081358C" w:rsidRDefault="00EE0633" w:rsidP="00C02410">
      <w:pPr>
        <w:pStyle w:val="ProductNumber"/>
        <w:rPr>
          <w:lang w:val="en-GB"/>
        </w:rPr>
      </w:pPr>
      <w:r w:rsidRPr="0081358C">
        <w:rPr>
          <w:lang w:val="en-GB"/>
        </w:rPr>
        <w:t>9B19M</w:t>
      </w:r>
      <w:r w:rsidR="00CC3BF2">
        <w:rPr>
          <w:lang w:val="en-GB"/>
        </w:rPr>
        <w:t>119</w:t>
      </w:r>
    </w:p>
    <w:p w14:paraId="4E057522" w14:textId="7A113CB1" w:rsidR="00D75295" w:rsidRPr="0081358C" w:rsidRDefault="00D75295" w:rsidP="00D75295">
      <w:pPr>
        <w:jc w:val="right"/>
        <w:rPr>
          <w:rFonts w:ascii="Arial" w:hAnsi="Arial"/>
          <w:b/>
          <w:lang w:val="en-GB"/>
        </w:rPr>
      </w:pPr>
    </w:p>
    <w:p w14:paraId="02524312" w14:textId="77777777" w:rsidR="001901C0" w:rsidRPr="0081358C" w:rsidRDefault="001901C0" w:rsidP="00D75295">
      <w:pPr>
        <w:jc w:val="right"/>
        <w:rPr>
          <w:rFonts w:ascii="Arial" w:hAnsi="Arial"/>
          <w:b/>
          <w:lang w:val="en-GB"/>
        </w:rPr>
      </w:pPr>
    </w:p>
    <w:p w14:paraId="2F03D26A" w14:textId="78D74384" w:rsidR="004D4CD3" w:rsidRPr="0081358C" w:rsidRDefault="00231552" w:rsidP="00013360">
      <w:pPr>
        <w:pStyle w:val="CaseTitle"/>
        <w:spacing w:after="0" w:line="240" w:lineRule="auto"/>
        <w:rPr>
          <w:sz w:val="20"/>
          <w:szCs w:val="20"/>
          <w:lang w:val="en-GB"/>
        </w:rPr>
      </w:pPr>
      <w:r w:rsidRPr="0081358C">
        <w:rPr>
          <w:lang w:val="en-GB"/>
        </w:rPr>
        <w:t>RITE AID CORPORATION: AN UNCERTAIN FUTURE</w:t>
      </w:r>
      <w:r w:rsidR="004D4CD3" w:rsidRPr="0081358C">
        <w:rPr>
          <w:rStyle w:val="EndnoteReference"/>
          <w:lang w:val="en-GB"/>
        </w:rPr>
        <w:endnoteReference w:id="1"/>
      </w:r>
    </w:p>
    <w:p w14:paraId="40ABF6FD" w14:textId="77777777" w:rsidR="004D4CD3" w:rsidRPr="0081358C" w:rsidRDefault="004D4CD3" w:rsidP="00013360">
      <w:pPr>
        <w:pStyle w:val="CaseTitle"/>
        <w:spacing w:after="0" w:line="240" w:lineRule="auto"/>
        <w:rPr>
          <w:sz w:val="20"/>
          <w:szCs w:val="20"/>
          <w:lang w:val="en-GB"/>
        </w:rPr>
      </w:pPr>
    </w:p>
    <w:p w14:paraId="202F1085" w14:textId="77777777" w:rsidR="004D4CD3" w:rsidRPr="0081358C" w:rsidRDefault="004D4CD3" w:rsidP="00013360">
      <w:pPr>
        <w:pStyle w:val="CaseTitle"/>
        <w:spacing w:after="0" w:line="240" w:lineRule="auto"/>
        <w:rPr>
          <w:sz w:val="20"/>
          <w:szCs w:val="20"/>
          <w:lang w:val="en-GB"/>
        </w:rPr>
      </w:pPr>
    </w:p>
    <w:p w14:paraId="58B0C73F" w14:textId="25EFDEE4" w:rsidR="004D4CD3" w:rsidRPr="0081358C" w:rsidRDefault="004D4CD3" w:rsidP="00086B26">
      <w:pPr>
        <w:pStyle w:val="StyleCopyrightStatementAfter0ptBottomSinglesolidline1"/>
        <w:rPr>
          <w:lang w:val="en-GB"/>
        </w:rPr>
      </w:pPr>
      <w:r w:rsidRPr="0081358C">
        <w:rPr>
          <w:lang w:val="en-GB"/>
        </w:rPr>
        <w:t>Ken Mark wrote this case under the supervision of David Wood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DE378A8" w:rsidR="004D4CD3" w:rsidRDefault="004D4CD3" w:rsidP="00086B26">
      <w:pPr>
        <w:pStyle w:val="StyleCopyrightStatementAfter0ptBottomSinglesolidline1"/>
        <w:rPr>
          <w:lang w:val="en-GB"/>
        </w:rPr>
      </w:pPr>
    </w:p>
    <w:p w14:paraId="08564800" w14:textId="77777777" w:rsidR="00F91873" w:rsidRDefault="00F91873" w:rsidP="00F91873">
      <w:pPr>
        <w:pStyle w:val="StyleStyleCopyrightStatementAfter0ptBottomSinglesolid"/>
        <w:rPr>
          <w:rFonts w:cs="Arial"/>
          <w:color w:val="FFFFFF" w:themeColor="background1"/>
          <w:szCs w:val="16"/>
        </w:rPr>
      </w:pPr>
      <w:r w:rsidRPr="00A323B0">
        <w:rPr>
          <w:rFonts w:cs="Arial"/>
          <w:szCs w:val="16"/>
        </w:rPr>
        <w:t>This publication may not be transmitted, photocopied, digitiz</w:t>
      </w:r>
      <w:bookmarkStart w:id="0" w:name="_GoBack"/>
      <w:bookmarkEnd w:id="0"/>
      <w:r w:rsidRPr="00A323B0">
        <w:rPr>
          <w:rFonts w:cs="Arial"/>
          <w:szCs w:val="16"/>
        </w:rPr>
        <w:t xml:space="preserve">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15416D" w14:textId="77777777" w:rsidR="00F91873" w:rsidRDefault="00F91873" w:rsidP="00F91873">
      <w:pPr>
        <w:pStyle w:val="StyleStyleCopyrightStatementAfter0ptBottomSinglesolid"/>
        <w:rPr>
          <w:rFonts w:cs="Arial"/>
          <w:color w:val="FFFFFF" w:themeColor="background1"/>
          <w:szCs w:val="16"/>
        </w:rPr>
      </w:pPr>
    </w:p>
    <w:p w14:paraId="3922E14F" w14:textId="73D58292" w:rsidR="004D4CD3" w:rsidRPr="00F91873" w:rsidRDefault="00F91873"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4D4CD3" w:rsidRPr="0081358C">
        <w:rPr>
          <w:rFonts w:cs="Arial"/>
          <w:iCs w:val="0"/>
          <w:color w:val="auto"/>
          <w:szCs w:val="16"/>
          <w:lang w:val="en-GB"/>
        </w:rPr>
        <w:tab/>
        <w:t>Version: 2019-09-</w:t>
      </w:r>
      <w:r w:rsidR="00596187">
        <w:rPr>
          <w:rFonts w:cs="Arial"/>
          <w:iCs w:val="0"/>
          <w:color w:val="auto"/>
          <w:szCs w:val="16"/>
          <w:lang w:val="en-GB"/>
        </w:rPr>
        <w:t>2</w:t>
      </w:r>
      <w:r w:rsidR="002A358A">
        <w:rPr>
          <w:rFonts w:cs="Arial"/>
          <w:iCs w:val="0"/>
          <w:color w:val="auto"/>
          <w:szCs w:val="16"/>
          <w:lang w:val="en-GB"/>
        </w:rPr>
        <w:t>7</w:t>
      </w:r>
    </w:p>
    <w:p w14:paraId="0A2A54E4" w14:textId="0D9A08E0" w:rsidR="004D4CD3" w:rsidRPr="0081358C" w:rsidRDefault="004D4CD3" w:rsidP="00751E0B">
      <w:pPr>
        <w:pStyle w:val="StyleCopyrightStatementAfter0ptBottomSinglesolidline1"/>
        <w:rPr>
          <w:rFonts w:ascii="Times New Roman" w:hAnsi="Times New Roman"/>
          <w:sz w:val="20"/>
          <w:lang w:val="en-GB"/>
        </w:rPr>
      </w:pPr>
    </w:p>
    <w:p w14:paraId="695334DE" w14:textId="77777777" w:rsidR="004D4CD3" w:rsidRPr="0081358C" w:rsidRDefault="004D4CD3" w:rsidP="00751E0B">
      <w:pPr>
        <w:pStyle w:val="StyleCopyrightStatementAfter0ptBottomSinglesolidline1"/>
        <w:rPr>
          <w:rFonts w:ascii="Times New Roman" w:hAnsi="Times New Roman"/>
          <w:sz w:val="20"/>
          <w:lang w:val="en-GB"/>
        </w:rPr>
      </w:pPr>
    </w:p>
    <w:p w14:paraId="03C3572F" w14:textId="1CEFC1F0" w:rsidR="004D4CD3" w:rsidRPr="0081358C" w:rsidRDefault="007076FE" w:rsidP="00231552">
      <w:pPr>
        <w:pStyle w:val="BodyTextMain"/>
        <w:rPr>
          <w:lang w:val="en-GB"/>
        </w:rPr>
      </w:pPr>
      <w:r>
        <w:rPr>
          <w:lang w:val="en-GB"/>
        </w:rPr>
        <w:t>The s</w:t>
      </w:r>
      <w:r w:rsidR="004D4CD3" w:rsidRPr="0081358C">
        <w:rPr>
          <w:lang w:val="en-GB"/>
        </w:rPr>
        <w:t xml:space="preserve">hareholders for Rite Aid Corporation (Rite Aid) were frustrated and outspoken at the annual meeting on October 30, 2018. </w:t>
      </w:r>
      <w:r w:rsidR="004D4CD3">
        <w:rPr>
          <w:lang w:val="en-GB"/>
        </w:rPr>
        <w:t>The shareholders had not only</w:t>
      </w:r>
      <w:r w:rsidR="004D4CD3" w:rsidRPr="0081358C">
        <w:rPr>
          <w:lang w:val="en-GB"/>
        </w:rPr>
        <w:t xml:space="preserve"> turned down a US$3 million</w:t>
      </w:r>
      <w:r w:rsidR="004D4CD3">
        <w:rPr>
          <w:rStyle w:val="EndnoteReference"/>
          <w:lang w:val="en-GB"/>
        </w:rPr>
        <w:endnoteReference w:id="2"/>
      </w:r>
      <w:r w:rsidR="004D4CD3" w:rsidRPr="0081358C">
        <w:rPr>
          <w:lang w:val="en-GB"/>
        </w:rPr>
        <w:t xml:space="preserve"> bonus proposed for John Standley, the chief executive officer (CEO) of Rite Aid</w:t>
      </w:r>
      <w:r w:rsidR="004D4CD3">
        <w:rPr>
          <w:lang w:val="en-GB"/>
        </w:rPr>
        <w:t>,</w:t>
      </w:r>
      <w:r w:rsidR="004D4CD3" w:rsidRPr="0081358C">
        <w:rPr>
          <w:lang w:val="en-GB"/>
        </w:rPr>
        <w:t xml:space="preserve"> but </w:t>
      </w:r>
      <w:r w:rsidR="004D4CD3">
        <w:rPr>
          <w:lang w:val="en-GB"/>
        </w:rPr>
        <w:t xml:space="preserve">had </w:t>
      </w:r>
      <w:r w:rsidR="004D4CD3" w:rsidRPr="0081358C">
        <w:rPr>
          <w:lang w:val="en-GB"/>
        </w:rPr>
        <w:t>also elected a new independent board chair, Bruce G. Bodaken.</w:t>
      </w:r>
      <w:r w:rsidR="004D4CD3" w:rsidRPr="0081358C">
        <w:rPr>
          <w:rStyle w:val="EndnoteReference"/>
          <w:lang w:val="en-GB"/>
        </w:rPr>
        <w:endnoteReference w:id="3"/>
      </w:r>
      <w:r w:rsidR="004D4CD3" w:rsidRPr="0081358C">
        <w:rPr>
          <w:lang w:val="en-GB"/>
        </w:rPr>
        <w:t xml:space="preserve"> As the new chair of the Pennsylvania-based Rite Aid, the </w:t>
      </w:r>
      <w:r w:rsidR="004D4CD3">
        <w:rPr>
          <w:lang w:val="en-GB"/>
        </w:rPr>
        <w:t>third</w:t>
      </w:r>
      <w:r>
        <w:rPr>
          <w:lang w:val="en-GB"/>
        </w:rPr>
        <w:t xml:space="preserve"> </w:t>
      </w:r>
      <w:r w:rsidR="004D4CD3">
        <w:rPr>
          <w:lang w:val="en-GB"/>
        </w:rPr>
        <w:t>largest</w:t>
      </w:r>
      <w:r w:rsidR="004D4CD3" w:rsidRPr="0081358C">
        <w:rPr>
          <w:lang w:val="en-GB"/>
        </w:rPr>
        <w:t xml:space="preserve"> </w:t>
      </w:r>
      <w:r w:rsidR="004D4CD3">
        <w:rPr>
          <w:lang w:val="en-GB"/>
        </w:rPr>
        <w:t>drugstore</w:t>
      </w:r>
      <w:r w:rsidR="004D4CD3" w:rsidRPr="0081358C">
        <w:rPr>
          <w:lang w:val="en-GB"/>
        </w:rPr>
        <w:t xml:space="preserve"> chain in the United States, </w:t>
      </w:r>
      <w:r w:rsidR="004D4CD3">
        <w:rPr>
          <w:lang w:val="en-GB"/>
        </w:rPr>
        <w:t>Bodaken</w:t>
      </w:r>
      <w:r w:rsidR="004D4CD3" w:rsidRPr="0081358C">
        <w:rPr>
          <w:lang w:val="en-GB"/>
        </w:rPr>
        <w:t xml:space="preserve"> had a difficult task ahead of him—how best to ensure Rite Aid’s survival.</w:t>
      </w:r>
    </w:p>
    <w:p w14:paraId="77F44DEF" w14:textId="77777777" w:rsidR="004D4CD3" w:rsidRPr="0081358C" w:rsidRDefault="004D4CD3" w:rsidP="00231552">
      <w:pPr>
        <w:pStyle w:val="BodyTextMain"/>
        <w:rPr>
          <w:lang w:val="en-GB"/>
        </w:rPr>
      </w:pPr>
    </w:p>
    <w:p w14:paraId="725EBBF0" w14:textId="5EAE1083" w:rsidR="004D4CD3" w:rsidRPr="00F91873" w:rsidRDefault="004D4CD3" w:rsidP="00231552">
      <w:pPr>
        <w:pStyle w:val="BodyTextMain"/>
        <w:rPr>
          <w:spacing w:val="-2"/>
          <w:kern w:val="22"/>
          <w:lang w:val="en-GB"/>
        </w:rPr>
      </w:pPr>
      <w:r w:rsidRPr="00F91873">
        <w:rPr>
          <w:spacing w:val="-2"/>
          <w:kern w:val="22"/>
          <w:lang w:val="en-GB"/>
        </w:rPr>
        <w:t>For the past three years, Rite Aid had been planning to be acquired. However, regulators had dismissed a plan to sell Rite Aid to Walgreens Company (Walgreens) in 2015, and the amended plan, to sell over 2,300 stores to Walgreens in return for cash, took nearly three years to complete. A second deal to sell the remaining stores to Albertsons Companies Inc. (Albertsons), a US grocery gain, was scrapped in early August 2018 when it became clear that shareholders were not likely to approve the acquisition.</w:t>
      </w:r>
      <w:r w:rsidRPr="00F91873">
        <w:rPr>
          <w:rStyle w:val="EndnoteReference"/>
          <w:spacing w:val="-2"/>
          <w:kern w:val="22"/>
          <w:lang w:val="en-GB"/>
        </w:rPr>
        <w:endnoteReference w:id="4"/>
      </w:r>
      <w:r w:rsidRPr="00F91873">
        <w:rPr>
          <w:spacing w:val="-2"/>
          <w:kern w:val="22"/>
          <w:lang w:val="en-GB"/>
        </w:rPr>
        <w:t xml:space="preserve"> Having dealt with falling sales, shrinking profits, the sale of over half of its stores, and, most recently, the news that Amazon.com Inc. (Amazon) had acquired the online pharmacy PillPack, Rite Aid seemed to be facing challenges from all sides. Bodaken needed to revisit management’s strategy for the drugstore chain</w:t>
      </w:r>
      <w:r w:rsidR="007076FE" w:rsidRPr="00F91873">
        <w:rPr>
          <w:spacing w:val="-2"/>
          <w:kern w:val="22"/>
          <w:lang w:val="en-GB"/>
        </w:rPr>
        <w:t xml:space="preserve"> if it were to survive</w:t>
      </w:r>
      <w:r w:rsidRPr="00F91873">
        <w:rPr>
          <w:spacing w:val="-2"/>
          <w:kern w:val="22"/>
          <w:lang w:val="en-GB"/>
        </w:rPr>
        <w:t>.</w:t>
      </w:r>
      <w:r w:rsidRPr="00F91873">
        <w:rPr>
          <w:rStyle w:val="EndnoteReference"/>
          <w:spacing w:val="-2"/>
          <w:kern w:val="22"/>
          <w:lang w:val="en-GB"/>
        </w:rPr>
        <w:endnoteReference w:id="5"/>
      </w:r>
    </w:p>
    <w:p w14:paraId="375CD89B" w14:textId="09020161" w:rsidR="004D4CD3" w:rsidRPr="0081358C" w:rsidRDefault="004D4CD3" w:rsidP="00231552">
      <w:pPr>
        <w:pStyle w:val="BodyTextMain"/>
        <w:rPr>
          <w:lang w:val="en-GB"/>
        </w:rPr>
      </w:pPr>
    </w:p>
    <w:p w14:paraId="2CFB9FA3" w14:textId="77777777" w:rsidR="004D4CD3" w:rsidRPr="0081358C" w:rsidRDefault="004D4CD3" w:rsidP="00231552">
      <w:pPr>
        <w:pStyle w:val="BodyTextMain"/>
        <w:rPr>
          <w:lang w:val="en-GB"/>
        </w:rPr>
      </w:pPr>
    </w:p>
    <w:p w14:paraId="7FEE73DE" w14:textId="77777777" w:rsidR="004D4CD3" w:rsidRPr="0081358C" w:rsidRDefault="004D4CD3" w:rsidP="00231552">
      <w:pPr>
        <w:pStyle w:val="Casehead1"/>
        <w:rPr>
          <w:lang w:val="en-GB"/>
        </w:rPr>
      </w:pPr>
      <w:r w:rsidRPr="0081358C">
        <w:rPr>
          <w:lang w:val="en-GB"/>
        </w:rPr>
        <w:t>THE DRUGSTORE AND PHARMACY Industry</w:t>
      </w:r>
    </w:p>
    <w:p w14:paraId="79E00960" w14:textId="77777777" w:rsidR="004D4CD3" w:rsidRPr="0081358C" w:rsidRDefault="004D4CD3" w:rsidP="00231552">
      <w:pPr>
        <w:pStyle w:val="BodyTextMain"/>
        <w:rPr>
          <w:lang w:val="en-GB"/>
        </w:rPr>
      </w:pPr>
    </w:p>
    <w:p w14:paraId="22D4A049" w14:textId="58E6CB3E" w:rsidR="004D4CD3" w:rsidRPr="0081358C" w:rsidRDefault="004D4CD3" w:rsidP="00231552">
      <w:pPr>
        <w:pStyle w:val="BodyTextMain"/>
        <w:rPr>
          <w:lang w:val="en-GB"/>
        </w:rPr>
      </w:pPr>
      <w:r w:rsidRPr="0081358C">
        <w:rPr>
          <w:lang w:val="en-GB"/>
        </w:rPr>
        <w:t xml:space="preserve">The United States had about 30,000 pharmacies and </w:t>
      </w:r>
      <w:r>
        <w:rPr>
          <w:lang w:val="en-GB"/>
        </w:rPr>
        <w:t>drugstores</w:t>
      </w:r>
      <w:r w:rsidRPr="0081358C">
        <w:rPr>
          <w:lang w:val="en-GB"/>
        </w:rPr>
        <w:t>, and the two largest pharmacies were CVS Pharmacy (CVS)</w:t>
      </w:r>
      <w:r>
        <w:rPr>
          <w:lang w:val="en-GB"/>
        </w:rPr>
        <w:t>,</w:t>
      </w:r>
      <w:r w:rsidRPr="0081358C">
        <w:rPr>
          <w:lang w:val="en-GB"/>
        </w:rPr>
        <w:t xml:space="preserve"> with 9,778 stores in 2017</w:t>
      </w:r>
      <w:r>
        <w:rPr>
          <w:lang w:val="en-GB"/>
        </w:rPr>
        <w:t>,</w:t>
      </w:r>
      <w:r w:rsidRPr="0081358C">
        <w:rPr>
          <w:lang w:val="en-GB"/>
        </w:rPr>
        <w:t xml:space="preserve"> and Walgreens</w:t>
      </w:r>
      <w:r>
        <w:rPr>
          <w:lang w:val="en-GB"/>
        </w:rPr>
        <w:t>,</w:t>
      </w:r>
      <w:r w:rsidRPr="0081358C">
        <w:rPr>
          <w:lang w:val="en-GB"/>
        </w:rPr>
        <w:t xml:space="preserve"> with 9,560 stores in August 2018.</w:t>
      </w:r>
      <w:r w:rsidRPr="0081358C">
        <w:rPr>
          <w:rStyle w:val="EndnoteReference"/>
          <w:lang w:val="en-GB"/>
        </w:rPr>
        <w:endnoteReference w:id="6"/>
      </w:r>
      <w:r w:rsidRPr="0081358C">
        <w:rPr>
          <w:lang w:val="en-GB"/>
        </w:rPr>
        <w:t xml:space="preserve"> With 2,548 stores in March 2018, Rite Aid was the </w:t>
      </w:r>
      <w:r>
        <w:rPr>
          <w:lang w:val="en-GB"/>
        </w:rPr>
        <w:t>third</w:t>
      </w:r>
      <w:r w:rsidR="007076FE">
        <w:rPr>
          <w:lang w:val="en-GB"/>
        </w:rPr>
        <w:t xml:space="preserve"> </w:t>
      </w:r>
      <w:r>
        <w:rPr>
          <w:lang w:val="en-GB"/>
        </w:rPr>
        <w:t>largest</w:t>
      </w:r>
      <w:r w:rsidRPr="0081358C">
        <w:rPr>
          <w:lang w:val="en-GB"/>
        </w:rPr>
        <w:t xml:space="preserve"> player; the remaining market was made up of large grocery chains and a collection of direct-to-consumer programs and smaller pharmacies (see Exhibit </w:t>
      </w:r>
      <w:r>
        <w:rPr>
          <w:lang w:val="en-GB"/>
        </w:rPr>
        <w:t>1)</w:t>
      </w:r>
      <w:r w:rsidRPr="0081358C">
        <w:rPr>
          <w:lang w:val="en-GB"/>
        </w:rPr>
        <w:t>.</w:t>
      </w:r>
      <w:r w:rsidRPr="0081358C">
        <w:rPr>
          <w:rStyle w:val="EndnoteReference"/>
          <w:lang w:val="en-GB"/>
        </w:rPr>
        <w:endnoteReference w:id="7"/>
      </w:r>
    </w:p>
    <w:p w14:paraId="5215E676" w14:textId="77777777" w:rsidR="004D4CD3" w:rsidRPr="0081358C" w:rsidRDefault="004D4CD3" w:rsidP="00231552">
      <w:pPr>
        <w:pStyle w:val="BodyTextMain"/>
        <w:rPr>
          <w:lang w:val="en-GB"/>
        </w:rPr>
      </w:pPr>
    </w:p>
    <w:p w14:paraId="2D3723D2" w14:textId="09D2BAD3" w:rsidR="004D4CD3" w:rsidRPr="0081358C" w:rsidRDefault="004D4CD3" w:rsidP="00231552">
      <w:pPr>
        <w:pStyle w:val="BodyTextMain"/>
        <w:rPr>
          <w:lang w:val="en-GB"/>
        </w:rPr>
      </w:pPr>
      <w:r w:rsidRPr="0081358C">
        <w:rPr>
          <w:lang w:val="en-GB"/>
        </w:rPr>
        <w:t xml:space="preserve">The </w:t>
      </w:r>
      <w:r>
        <w:rPr>
          <w:lang w:val="en-GB"/>
        </w:rPr>
        <w:t>health care</w:t>
      </w:r>
      <w:r w:rsidR="007076FE">
        <w:rPr>
          <w:lang w:val="en-GB"/>
        </w:rPr>
        <w:t xml:space="preserve"> </w:t>
      </w:r>
      <w:r>
        <w:rPr>
          <w:lang w:val="en-GB"/>
        </w:rPr>
        <w:t>distribution</w:t>
      </w:r>
      <w:r w:rsidRPr="0081358C">
        <w:rPr>
          <w:lang w:val="en-GB"/>
        </w:rPr>
        <w:t xml:space="preserve"> value chain was complex and involved drug manufacturers, third-party payers and health </w:t>
      </w:r>
      <w:r>
        <w:rPr>
          <w:lang w:val="en-GB"/>
        </w:rPr>
        <w:t>plan</w:t>
      </w:r>
      <w:r w:rsidRPr="0081358C">
        <w:rPr>
          <w:lang w:val="en-GB"/>
        </w:rPr>
        <w:t xml:space="preserve"> providers, pharmacy benefit managers (PBMs), wholesalers, and pharmacies. Drug manufacturers</w:t>
      </w:r>
      <w:r>
        <w:rPr>
          <w:lang w:val="en-GB"/>
        </w:rPr>
        <w:t>—</w:t>
      </w:r>
      <w:r w:rsidRPr="0081358C">
        <w:rPr>
          <w:lang w:val="en-GB"/>
        </w:rPr>
        <w:t>for example</w:t>
      </w:r>
      <w:r>
        <w:rPr>
          <w:lang w:val="en-GB"/>
        </w:rPr>
        <w:t>,</w:t>
      </w:r>
      <w:r w:rsidRPr="0081358C">
        <w:rPr>
          <w:lang w:val="en-GB"/>
        </w:rPr>
        <w:t xml:space="preserve"> Johnson &amp; Johnson, Merck &amp; Co. Inc., and AbbVie Inc.</w:t>
      </w:r>
      <w:r>
        <w:rPr>
          <w:lang w:val="en-GB"/>
        </w:rPr>
        <w:t>—</w:t>
      </w:r>
      <w:r w:rsidRPr="0081358C">
        <w:rPr>
          <w:lang w:val="en-GB"/>
        </w:rPr>
        <w:t>spent considerable resources researching and developing patentable drugs.</w:t>
      </w:r>
      <w:r w:rsidRPr="0081358C">
        <w:rPr>
          <w:rStyle w:val="EndnoteReference"/>
          <w:lang w:val="en-GB"/>
        </w:rPr>
        <w:endnoteReference w:id="8"/>
      </w:r>
      <w:r w:rsidRPr="0081358C">
        <w:rPr>
          <w:lang w:val="en-GB"/>
        </w:rPr>
        <w:t xml:space="preserve"> Third-party payers included the </w:t>
      </w:r>
      <w:r>
        <w:rPr>
          <w:lang w:val="en-GB"/>
        </w:rPr>
        <w:t>US</w:t>
      </w:r>
      <w:r w:rsidRPr="0081358C">
        <w:rPr>
          <w:lang w:val="en-GB"/>
        </w:rPr>
        <w:t xml:space="preserve"> state-sponsored Medicaid and Medicare Part D plans, which covered the costs of a limited range of medication for eligible participants.</w:t>
      </w:r>
      <w:r w:rsidRPr="0081358C">
        <w:rPr>
          <w:rStyle w:val="EndnoteReference"/>
          <w:lang w:val="en-GB"/>
        </w:rPr>
        <w:endnoteReference w:id="9"/>
      </w:r>
      <w:r w:rsidRPr="0081358C">
        <w:rPr>
          <w:lang w:val="en-GB"/>
        </w:rPr>
        <w:t xml:space="preserve"> </w:t>
      </w:r>
    </w:p>
    <w:p w14:paraId="3765F8CB" w14:textId="77777777" w:rsidR="004D4CD3" w:rsidRPr="0081358C" w:rsidRDefault="004D4CD3" w:rsidP="00231552">
      <w:pPr>
        <w:pStyle w:val="BodyTextMain"/>
        <w:rPr>
          <w:lang w:val="en-GB"/>
        </w:rPr>
      </w:pPr>
    </w:p>
    <w:p w14:paraId="5E0664DA" w14:textId="1C6E6B10" w:rsidR="004D4CD3" w:rsidRPr="0081358C" w:rsidRDefault="004D4CD3" w:rsidP="00231552">
      <w:pPr>
        <w:pStyle w:val="BodyTextMain"/>
        <w:rPr>
          <w:lang w:val="en-GB"/>
        </w:rPr>
      </w:pPr>
      <w:r w:rsidRPr="0081358C">
        <w:rPr>
          <w:lang w:val="en-GB"/>
        </w:rPr>
        <w:t xml:space="preserve">Health plan clients such as private and public corporations offered </w:t>
      </w:r>
      <w:r>
        <w:rPr>
          <w:lang w:val="en-GB"/>
        </w:rPr>
        <w:t>privately funded</w:t>
      </w:r>
      <w:r w:rsidRPr="0081358C">
        <w:rPr>
          <w:lang w:val="en-GB"/>
        </w:rPr>
        <w:t xml:space="preserve"> drug coverage for their employees. These companies typically bought plans from insurance companies or worked with PBMs, </w:t>
      </w:r>
      <w:r w:rsidRPr="0081358C">
        <w:rPr>
          <w:lang w:val="en-GB"/>
        </w:rPr>
        <w:lastRenderedPageBreak/>
        <w:t>which were third-party administrators, to offer drug programs. PBMs had a variety of roles: they oversaw formularies or lists of medicines that benefit plans were willing to pay for negotiated bulk discounts with drug manufacturers</w:t>
      </w:r>
      <w:r>
        <w:rPr>
          <w:lang w:val="en-GB"/>
        </w:rPr>
        <w:t>,</w:t>
      </w:r>
      <w:r w:rsidRPr="0081358C">
        <w:rPr>
          <w:lang w:val="en-GB"/>
        </w:rPr>
        <w:t xml:space="preserve"> passed a portion of these savings on to their clients, and worked with retail locations—pharmacies— to ensure drugs could be widely available. Some PBMs, such as Express Scripts</w:t>
      </w:r>
      <w:r>
        <w:rPr>
          <w:lang w:val="en-GB"/>
        </w:rPr>
        <w:t xml:space="preserve"> Inc. (Express Scripts)</w:t>
      </w:r>
      <w:r w:rsidRPr="0081358C">
        <w:rPr>
          <w:lang w:val="en-GB"/>
        </w:rPr>
        <w:t xml:space="preserve">, offered </w:t>
      </w:r>
      <w:r>
        <w:rPr>
          <w:lang w:val="en-GB"/>
        </w:rPr>
        <w:t>mail-order</w:t>
      </w:r>
      <w:r w:rsidRPr="0081358C">
        <w:rPr>
          <w:lang w:val="en-GB"/>
        </w:rPr>
        <w:t xml:space="preserve"> delivery for drugs. PBMs also processed and tracked drug claims.</w:t>
      </w:r>
      <w:r w:rsidRPr="0081358C">
        <w:rPr>
          <w:rStyle w:val="EndnoteReference"/>
          <w:lang w:val="en-GB"/>
        </w:rPr>
        <w:endnoteReference w:id="10"/>
      </w:r>
    </w:p>
    <w:p w14:paraId="3657E89F" w14:textId="77777777" w:rsidR="004D4CD3" w:rsidRPr="0081358C" w:rsidRDefault="004D4CD3" w:rsidP="00231552">
      <w:pPr>
        <w:pStyle w:val="BodyTextMain"/>
        <w:rPr>
          <w:lang w:val="en-GB"/>
        </w:rPr>
      </w:pPr>
    </w:p>
    <w:p w14:paraId="6583E50A" w14:textId="5A9079D4" w:rsidR="004D4CD3" w:rsidRPr="00F91873" w:rsidRDefault="004D4CD3" w:rsidP="00231552">
      <w:pPr>
        <w:pStyle w:val="BodyTextMain"/>
        <w:rPr>
          <w:spacing w:val="-6"/>
          <w:kern w:val="22"/>
          <w:lang w:val="en-GB"/>
        </w:rPr>
      </w:pPr>
      <w:r w:rsidRPr="00F91873">
        <w:rPr>
          <w:spacing w:val="-6"/>
          <w:kern w:val="22"/>
          <w:lang w:val="en-GB"/>
        </w:rPr>
        <w:t>Wholesalers such as AmerisourceBergen Corporation, Cardinal Health Inc., and McKesson Corporation (McKesson) purchased drugs in bulk and distributed them—and other products—to pharmacy chains and independent drugstores.</w:t>
      </w:r>
      <w:r w:rsidRPr="00F91873">
        <w:rPr>
          <w:rStyle w:val="EndnoteReference"/>
          <w:spacing w:val="-6"/>
          <w:kern w:val="22"/>
          <w:lang w:val="en-GB"/>
        </w:rPr>
        <w:endnoteReference w:id="11"/>
      </w:r>
      <w:r w:rsidRPr="00F91873">
        <w:rPr>
          <w:spacing w:val="-6"/>
          <w:kern w:val="22"/>
          <w:lang w:val="en-GB"/>
        </w:rPr>
        <w:t xml:space="preserve"> Margins earned by each of the players in the pharmacy industry varied (see Exhibit 2).</w:t>
      </w:r>
    </w:p>
    <w:p w14:paraId="0FF6A334" w14:textId="77777777" w:rsidR="004D4CD3" w:rsidRPr="0081358C" w:rsidRDefault="004D4CD3" w:rsidP="00231552">
      <w:pPr>
        <w:pStyle w:val="BodyTextMain"/>
        <w:rPr>
          <w:lang w:val="en-GB"/>
        </w:rPr>
      </w:pPr>
    </w:p>
    <w:p w14:paraId="03DFAAF5" w14:textId="37E3817A" w:rsidR="004D4CD3" w:rsidRPr="0081358C" w:rsidRDefault="004D4CD3" w:rsidP="00231552">
      <w:pPr>
        <w:pStyle w:val="BodyTextMain"/>
        <w:rPr>
          <w:lang w:val="en-GB"/>
        </w:rPr>
      </w:pPr>
      <w:r>
        <w:rPr>
          <w:lang w:val="en-GB"/>
        </w:rPr>
        <w:t>Drugstore</w:t>
      </w:r>
      <w:r w:rsidRPr="0081358C">
        <w:rPr>
          <w:lang w:val="en-GB"/>
        </w:rPr>
        <w:t xml:space="preserve"> chains supplemented their sales of prescription and over-the-counter (OTC) drugs with other products including health and beauty care items, packaged food, and drinks. For a typical </w:t>
      </w:r>
      <w:r>
        <w:rPr>
          <w:lang w:val="en-GB"/>
        </w:rPr>
        <w:t>drugstore</w:t>
      </w:r>
      <w:r w:rsidRPr="0081358C">
        <w:rPr>
          <w:lang w:val="en-GB"/>
        </w:rPr>
        <w:t>, about 53 per cent of revenues were from branded prescription drugs</w:t>
      </w:r>
      <w:r>
        <w:rPr>
          <w:lang w:val="en-GB"/>
        </w:rPr>
        <w:t>;</w:t>
      </w:r>
      <w:r w:rsidRPr="0081358C">
        <w:rPr>
          <w:lang w:val="en-GB"/>
        </w:rPr>
        <w:t xml:space="preserve"> 18.7 per cent from generic drugs</w:t>
      </w:r>
      <w:r>
        <w:rPr>
          <w:lang w:val="en-GB"/>
        </w:rPr>
        <w:t>;</w:t>
      </w:r>
      <w:r w:rsidRPr="0081358C">
        <w:rPr>
          <w:lang w:val="en-GB"/>
        </w:rPr>
        <w:t xml:space="preserve"> 5.1 per cent from OTC drugs</w:t>
      </w:r>
      <w:r>
        <w:rPr>
          <w:lang w:val="en-GB"/>
        </w:rPr>
        <w:t>;</w:t>
      </w:r>
      <w:r w:rsidRPr="0081358C">
        <w:rPr>
          <w:lang w:val="en-GB"/>
        </w:rPr>
        <w:t xml:space="preserve"> and 4.8 per cent from personal health supplies. The remaining revenues came from groceries, cosmetics, supplements, and other categories (see Exhibit 3).</w:t>
      </w:r>
      <w:r w:rsidRPr="0081358C">
        <w:rPr>
          <w:rStyle w:val="EndnoteReference"/>
          <w:lang w:val="en-GB"/>
        </w:rPr>
        <w:endnoteReference w:id="12"/>
      </w:r>
      <w:r w:rsidRPr="0081358C">
        <w:rPr>
          <w:lang w:val="en-GB"/>
        </w:rPr>
        <w:t xml:space="preserve"> </w:t>
      </w:r>
    </w:p>
    <w:p w14:paraId="36AE1ACC" w14:textId="77777777" w:rsidR="004D4CD3" w:rsidRPr="0081358C" w:rsidRDefault="004D4CD3" w:rsidP="00231552">
      <w:pPr>
        <w:pStyle w:val="BodyTextMain"/>
        <w:rPr>
          <w:lang w:val="en-GB"/>
        </w:rPr>
      </w:pPr>
    </w:p>
    <w:p w14:paraId="5046DAE0" w14:textId="77777777" w:rsidR="004D4CD3" w:rsidRPr="0081358C" w:rsidRDefault="004D4CD3" w:rsidP="00231552">
      <w:pPr>
        <w:pStyle w:val="BodyTextMain"/>
        <w:rPr>
          <w:lang w:val="en-GB"/>
        </w:rPr>
      </w:pPr>
    </w:p>
    <w:p w14:paraId="4947AA40" w14:textId="2DEB0874" w:rsidR="004D4CD3" w:rsidRPr="0081358C" w:rsidRDefault="004D4CD3" w:rsidP="00231552">
      <w:pPr>
        <w:pStyle w:val="Casehead1"/>
        <w:rPr>
          <w:lang w:val="en-GB"/>
        </w:rPr>
      </w:pPr>
      <w:r w:rsidRPr="0081358C">
        <w:rPr>
          <w:lang w:val="en-GB"/>
        </w:rPr>
        <w:t xml:space="preserve">Rite Aid </w:t>
      </w:r>
    </w:p>
    <w:p w14:paraId="5D5B4226" w14:textId="77777777" w:rsidR="004D4CD3" w:rsidRPr="0081358C" w:rsidRDefault="004D4CD3" w:rsidP="00231552">
      <w:pPr>
        <w:pStyle w:val="BodyTextMain"/>
        <w:rPr>
          <w:lang w:val="en-GB"/>
        </w:rPr>
      </w:pPr>
    </w:p>
    <w:p w14:paraId="11059109" w14:textId="786A7381" w:rsidR="004D4CD3" w:rsidRPr="00F91873" w:rsidRDefault="004D4CD3" w:rsidP="00231552">
      <w:pPr>
        <w:pStyle w:val="BodyTextMain"/>
        <w:rPr>
          <w:spacing w:val="-2"/>
          <w:kern w:val="22"/>
          <w:lang w:val="en-GB"/>
        </w:rPr>
      </w:pPr>
      <w:r w:rsidRPr="00F91873">
        <w:rPr>
          <w:spacing w:val="-2"/>
          <w:kern w:val="22"/>
          <w:lang w:val="en-GB"/>
        </w:rPr>
        <w:t>Thrift D Discount Center, founded in 1962 in Scranton, Pennsylvania, by Alex Grass, later became known as Rite Aid Corporation.</w:t>
      </w:r>
      <w:r w:rsidRPr="00F91873">
        <w:rPr>
          <w:rStyle w:val="EndnoteReference"/>
          <w:spacing w:val="-2"/>
          <w:kern w:val="22"/>
          <w:lang w:val="en-GB"/>
        </w:rPr>
        <w:endnoteReference w:id="13"/>
      </w:r>
      <w:r w:rsidRPr="00F91873">
        <w:rPr>
          <w:spacing w:val="-2"/>
          <w:kern w:val="22"/>
          <w:lang w:val="en-GB"/>
        </w:rPr>
        <w:t xml:space="preserve"> By the time Grass turned over the leadership of Rite Aid to his son, Martin Grass, Rite Aid was one of the largest drugstore chains in the United States. However, under Martin Grass’s leadership, Rite Aid took on significant debt to fund acquisitions and corporate spending. In 2002, Rite Aid ran into trouble: Martin Grass and several other executives were charged and later convicted of accounting fraud.</w:t>
      </w:r>
      <w:r w:rsidRPr="00F91873">
        <w:rPr>
          <w:rStyle w:val="EndnoteReference"/>
          <w:spacing w:val="-2"/>
          <w:kern w:val="22"/>
          <w:lang w:val="en-GB"/>
        </w:rPr>
        <w:endnoteReference w:id="14"/>
      </w:r>
    </w:p>
    <w:p w14:paraId="1D99C8F5" w14:textId="77777777" w:rsidR="004D4CD3" w:rsidRPr="0081358C" w:rsidRDefault="004D4CD3" w:rsidP="00231552">
      <w:pPr>
        <w:pStyle w:val="BodyTextMain"/>
        <w:rPr>
          <w:lang w:val="en-GB"/>
        </w:rPr>
      </w:pPr>
    </w:p>
    <w:p w14:paraId="2FBF2BCF" w14:textId="71715666" w:rsidR="004D4CD3" w:rsidRPr="0081358C" w:rsidRDefault="004D4CD3" w:rsidP="00231552">
      <w:pPr>
        <w:pStyle w:val="BodyTextMain"/>
        <w:rPr>
          <w:lang w:val="en-GB"/>
        </w:rPr>
      </w:pPr>
      <w:r w:rsidRPr="0081358C">
        <w:rPr>
          <w:lang w:val="en-GB"/>
        </w:rPr>
        <w:t>After several failed attempts to recover from high levels of debt and a lack of investor confidence, John Standley was appointed president of Rite Aid in 2008.</w:t>
      </w:r>
      <w:r w:rsidRPr="0081358C">
        <w:rPr>
          <w:rStyle w:val="EndnoteReference"/>
          <w:lang w:val="en-GB"/>
        </w:rPr>
        <w:endnoteReference w:id="15"/>
      </w:r>
      <w:r w:rsidRPr="0081358C">
        <w:rPr>
          <w:lang w:val="en-GB"/>
        </w:rPr>
        <w:t xml:space="preserve"> Between fiscal years 2010</w:t>
      </w:r>
      <w:r>
        <w:rPr>
          <w:lang w:val="en-GB"/>
        </w:rPr>
        <w:t xml:space="preserve"> and </w:t>
      </w:r>
      <w:r w:rsidRPr="0081358C">
        <w:rPr>
          <w:lang w:val="en-GB"/>
        </w:rPr>
        <w:t xml:space="preserve">2018, Standley made significant progress </w:t>
      </w:r>
      <w:r>
        <w:rPr>
          <w:lang w:val="en-GB"/>
        </w:rPr>
        <w:t xml:space="preserve">in </w:t>
      </w:r>
      <w:r w:rsidRPr="0081358C">
        <w:rPr>
          <w:lang w:val="en-GB"/>
        </w:rPr>
        <w:t xml:space="preserve">helping Rite Aid </w:t>
      </w:r>
      <w:r>
        <w:rPr>
          <w:lang w:val="en-GB"/>
        </w:rPr>
        <w:t xml:space="preserve">to </w:t>
      </w:r>
      <w:r w:rsidRPr="0081358C">
        <w:rPr>
          <w:lang w:val="en-GB"/>
        </w:rPr>
        <w:t xml:space="preserve">recover. Net income rose from a loss of $526 million to a net income of $943 million, </w:t>
      </w:r>
      <w:r>
        <w:rPr>
          <w:lang w:val="en-GB"/>
        </w:rPr>
        <w:t>long-term</w:t>
      </w:r>
      <w:r w:rsidRPr="0081358C">
        <w:rPr>
          <w:lang w:val="en-GB"/>
        </w:rPr>
        <w:t xml:space="preserve"> debt declined from $6.0 billion to $3.3 billion, and shareholders’ equity increased from </w:t>
      </w:r>
      <w:r>
        <w:rPr>
          <w:rFonts w:ascii="Arial" w:hAnsi="Arial" w:cs="Arial"/>
          <w:lang w:val="en-GB"/>
        </w:rPr>
        <w:t>−</w:t>
      </w:r>
      <w:r w:rsidRPr="0081358C">
        <w:rPr>
          <w:lang w:val="en-GB"/>
        </w:rPr>
        <w:t>$2.2 billion to $1.6 billion during these same eight years (see Exhibit 4).</w:t>
      </w:r>
      <w:r w:rsidRPr="0081358C">
        <w:rPr>
          <w:rStyle w:val="EndnoteReference"/>
          <w:lang w:val="en-GB"/>
        </w:rPr>
        <w:endnoteReference w:id="16"/>
      </w:r>
      <w:r w:rsidRPr="0081358C">
        <w:rPr>
          <w:lang w:val="en-GB"/>
        </w:rPr>
        <w:t xml:space="preserve"> After returning the business to profitability and lowering the total debt of Rite Aid, Standley began to look for a strategic partner to acquire the troubled drug retailer.</w:t>
      </w:r>
      <w:r w:rsidRPr="0081358C">
        <w:rPr>
          <w:rStyle w:val="EndnoteReference"/>
          <w:lang w:val="en-GB"/>
        </w:rPr>
        <w:endnoteReference w:id="17"/>
      </w:r>
      <w:r w:rsidRPr="0081358C">
        <w:rPr>
          <w:lang w:val="en-GB"/>
        </w:rPr>
        <w:t xml:space="preserve"> </w:t>
      </w:r>
    </w:p>
    <w:p w14:paraId="54005EA4" w14:textId="77777777" w:rsidR="004D4CD3" w:rsidRPr="0081358C" w:rsidRDefault="004D4CD3" w:rsidP="00231552">
      <w:pPr>
        <w:pStyle w:val="BodyTextMain"/>
        <w:rPr>
          <w:lang w:val="en-GB"/>
        </w:rPr>
      </w:pPr>
    </w:p>
    <w:p w14:paraId="2D3BAD7E" w14:textId="0F602425" w:rsidR="004D4CD3" w:rsidRPr="0081358C" w:rsidRDefault="004D4CD3" w:rsidP="00231552">
      <w:pPr>
        <w:pStyle w:val="BodyTextMain"/>
        <w:rPr>
          <w:lang w:val="en-GB"/>
        </w:rPr>
      </w:pPr>
      <w:r w:rsidRPr="0081358C">
        <w:rPr>
          <w:lang w:val="en-GB"/>
        </w:rPr>
        <w:t>In 2015, Walgreens agreed to buy Rite Aid for $17.2 billion.</w:t>
      </w:r>
      <w:r w:rsidRPr="0081358C">
        <w:rPr>
          <w:rStyle w:val="EndnoteReference"/>
          <w:lang w:val="en-GB"/>
        </w:rPr>
        <w:endnoteReference w:id="18"/>
      </w:r>
      <w:r w:rsidRPr="0081358C">
        <w:rPr>
          <w:lang w:val="en-GB"/>
        </w:rPr>
        <w:t xml:space="preserve"> However, nearly two years later</w:t>
      </w:r>
      <w:r>
        <w:rPr>
          <w:lang w:val="en-GB"/>
        </w:rPr>
        <w:t xml:space="preserve">, </w:t>
      </w:r>
      <w:r w:rsidRPr="0081358C">
        <w:rPr>
          <w:lang w:val="en-GB"/>
        </w:rPr>
        <w:t>government regulators would approve only a $4.4 billion deal for 1,932 Rite Aid stores.</w:t>
      </w:r>
      <w:r w:rsidRPr="0081358C">
        <w:rPr>
          <w:rStyle w:val="EndnoteReference"/>
          <w:lang w:val="en-GB"/>
        </w:rPr>
        <w:endnoteReference w:id="19"/>
      </w:r>
      <w:r w:rsidRPr="0081358C">
        <w:rPr>
          <w:lang w:val="en-GB"/>
        </w:rPr>
        <w:t xml:space="preserve"> Then</w:t>
      </w:r>
      <w:r>
        <w:rPr>
          <w:lang w:val="en-GB"/>
        </w:rPr>
        <w:t>,</w:t>
      </w:r>
      <w:r w:rsidRPr="0081358C">
        <w:rPr>
          <w:lang w:val="en-GB"/>
        </w:rPr>
        <w:t xml:space="preserve"> in February 2018, Albertsons, one of the largest </w:t>
      </w:r>
      <w:r>
        <w:rPr>
          <w:lang w:val="en-GB"/>
        </w:rPr>
        <w:t>US</w:t>
      </w:r>
      <w:r w:rsidRPr="0081358C">
        <w:rPr>
          <w:lang w:val="en-GB"/>
        </w:rPr>
        <w:t xml:space="preserve"> grocery chains, agreed to merge with Rite Aid.</w:t>
      </w:r>
      <w:r w:rsidRPr="0081358C">
        <w:rPr>
          <w:rStyle w:val="EndnoteReference"/>
          <w:lang w:val="en-GB"/>
        </w:rPr>
        <w:endnoteReference w:id="20"/>
      </w:r>
      <w:r w:rsidRPr="0081358C">
        <w:rPr>
          <w:lang w:val="en-GB"/>
        </w:rPr>
        <w:t xml:space="preserve"> At the time of the announcement, Rite Aid had a market value of $2.3 billion.</w:t>
      </w:r>
      <w:r w:rsidRPr="0081358C">
        <w:rPr>
          <w:rStyle w:val="EndnoteReference"/>
          <w:lang w:val="en-GB"/>
        </w:rPr>
        <w:endnoteReference w:id="21"/>
      </w:r>
      <w:r w:rsidRPr="0081358C">
        <w:rPr>
          <w:lang w:val="en-GB"/>
        </w:rPr>
        <w:t xml:space="preserve"> However, six months later</w:t>
      </w:r>
      <w:r>
        <w:rPr>
          <w:lang w:val="en-GB"/>
        </w:rPr>
        <w:t>,</w:t>
      </w:r>
      <w:r w:rsidRPr="0081358C">
        <w:rPr>
          <w:lang w:val="en-GB"/>
        </w:rPr>
        <w:t xml:space="preserve"> the merger was called off due to a lack of shareholder support.</w:t>
      </w:r>
      <w:r w:rsidRPr="0081358C">
        <w:rPr>
          <w:rStyle w:val="EndnoteReference"/>
          <w:lang w:val="en-GB"/>
        </w:rPr>
        <w:endnoteReference w:id="22"/>
      </w:r>
      <w:r w:rsidRPr="0081358C">
        <w:rPr>
          <w:lang w:val="en-GB"/>
        </w:rPr>
        <w:t xml:space="preserve"> </w:t>
      </w:r>
    </w:p>
    <w:p w14:paraId="657B9489" w14:textId="77777777" w:rsidR="004D4CD3" w:rsidRPr="0081358C" w:rsidRDefault="004D4CD3" w:rsidP="00231552">
      <w:pPr>
        <w:pStyle w:val="BodyTextMain"/>
        <w:rPr>
          <w:lang w:val="en-GB"/>
        </w:rPr>
      </w:pPr>
    </w:p>
    <w:p w14:paraId="50FE3CD6" w14:textId="0E70FA6B" w:rsidR="004D4CD3" w:rsidRPr="0081358C" w:rsidRDefault="004D4CD3" w:rsidP="00231552">
      <w:pPr>
        <w:pStyle w:val="BodyTextMain"/>
        <w:rPr>
          <w:lang w:val="en-GB"/>
        </w:rPr>
      </w:pPr>
      <w:r w:rsidRPr="0081358C">
        <w:rPr>
          <w:lang w:val="en-GB"/>
        </w:rPr>
        <w:t>Rite Aid’s stores sold prescription drugs and a wide assortment of other merchandise, also known as front-end products. In fiscal 2018, prescription drug sales accounted for 65.9 per cent of total drugstore sales.</w:t>
      </w:r>
      <w:r w:rsidRPr="0081358C">
        <w:rPr>
          <w:rStyle w:val="EndnoteReference"/>
          <w:lang w:val="en-GB"/>
        </w:rPr>
        <w:endnoteReference w:id="23"/>
      </w:r>
      <w:r w:rsidRPr="0081358C">
        <w:rPr>
          <w:lang w:val="en-GB"/>
        </w:rPr>
        <w:t xml:space="preserve"> Rite Aid had a distribution agreement with McKesson to source and distribute branded and generic drugs. McKesson provided daily, direct-to-store delivery to Rite Aid stores. This agreement was set to expire at the end of March 2019.</w:t>
      </w:r>
      <w:r w:rsidRPr="0081358C">
        <w:rPr>
          <w:rStyle w:val="EndnoteReference"/>
          <w:lang w:val="en-GB"/>
        </w:rPr>
        <w:endnoteReference w:id="24"/>
      </w:r>
      <w:r w:rsidRPr="0081358C">
        <w:rPr>
          <w:lang w:val="en-GB"/>
        </w:rPr>
        <w:t xml:space="preserve"> In August 2018, the issue of scale in driving purchasing efficiencies was brought to the forefront; Rite Aid announced that drug purchasing efficiencies were expected to be $80 million lower than estimated.</w:t>
      </w:r>
      <w:r w:rsidRPr="0081358C">
        <w:rPr>
          <w:rStyle w:val="EndnoteReference"/>
          <w:lang w:val="en-GB"/>
        </w:rPr>
        <w:endnoteReference w:id="25"/>
      </w:r>
      <w:r w:rsidRPr="0081358C">
        <w:rPr>
          <w:lang w:val="en-GB"/>
        </w:rPr>
        <w:t xml:space="preserve"> Rite Aid, with 2,500 stores in the United States, had a smaller store footprint than its two larger rivals—CVS and Walgreens.</w:t>
      </w:r>
      <w:r w:rsidRPr="0081358C">
        <w:rPr>
          <w:rStyle w:val="EndnoteReference"/>
          <w:lang w:val="en-GB"/>
        </w:rPr>
        <w:endnoteReference w:id="26"/>
      </w:r>
      <w:r w:rsidRPr="0081358C">
        <w:rPr>
          <w:lang w:val="en-GB"/>
        </w:rPr>
        <w:t xml:space="preserve"> Brian Tanquilt, an analyst for Jefferies Group LLC (an American investment company), noted: “Rite Aid sold half its stores to Walgreens. When you do that, you have less purchasing power. </w:t>
      </w:r>
      <w:r>
        <w:rPr>
          <w:lang w:val="en-GB"/>
        </w:rPr>
        <w:t>It’s</w:t>
      </w:r>
      <w:r w:rsidRPr="0081358C">
        <w:rPr>
          <w:lang w:val="en-GB"/>
        </w:rPr>
        <w:t xml:space="preserve"> really a reduction in purchasing scale.”</w:t>
      </w:r>
      <w:r w:rsidRPr="0081358C">
        <w:rPr>
          <w:rStyle w:val="EndnoteReference"/>
          <w:lang w:val="en-GB"/>
        </w:rPr>
        <w:endnoteReference w:id="27"/>
      </w:r>
    </w:p>
    <w:p w14:paraId="51787963" w14:textId="59FDE785" w:rsidR="004D4CD3" w:rsidRPr="0081358C" w:rsidRDefault="004D4CD3" w:rsidP="00231552">
      <w:pPr>
        <w:pStyle w:val="BodyTextMain"/>
        <w:rPr>
          <w:lang w:val="en-GB"/>
        </w:rPr>
      </w:pPr>
      <w:r w:rsidRPr="0081358C">
        <w:rPr>
          <w:lang w:val="en-GB"/>
        </w:rPr>
        <w:lastRenderedPageBreak/>
        <w:t xml:space="preserve">Supplementing Rite Aid’s sales of prescription drugs was its line of front-end products in various categories. These included OTC medications and other products that customers would buy in a drugstore or a convenience store. Rite Aid sold health and beauty aids, personal care products, cosmetics, household products, food, and beverages. To capture a larger share of its customers’ </w:t>
      </w:r>
      <w:r>
        <w:rPr>
          <w:lang w:val="en-GB"/>
        </w:rPr>
        <w:t>wallets</w:t>
      </w:r>
      <w:r w:rsidRPr="0081358C">
        <w:rPr>
          <w:lang w:val="en-GB"/>
        </w:rPr>
        <w:t>, a growing number of Rite Aid stores had a broader range of health-related items. The average Rite Aid store was 13,600 square feet; 64 per cent of its store network had been remodelled into “Wellness</w:t>
      </w:r>
      <w:r>
        <w:rPr>
          <w:lang w:val="en-GB"/>
        </w:rPr>
        <w:t xml:space="preserve"> Store</w:t>
      </w:r>
      <w:r w:rsidRPr="0081358C">
        <w:rPr>
          <w:lang w:val="en-GB"/>
        </w:rPr>
        <w:t xml:space="preserve">” </w:t>
      </w:r>
      <w:r>
        <w:rPr>
          <w:lang w:val="en-GB"/>
        </w:rPr>
        <w:t>formats</w:t>
      </w:r>
      <w:r w:rsidRPr="0081358C">
        <w:rPr>
          <w:lang w:val="en-GB"/>
        </w:rPr>
        <w:t>, which featured higher-end fixtures, a larger range of clinical pharmacy services, and wellness products. To build customer loyalty, Rite Aid had a “wellness+ rewards” loyalty program. The company also worked with partners to augment its offering: about 59 per cent of all Rite Aid stores had a GNC Holdings Inc. (a vitamin and mineral supplement retailer) store within its footprint.</w:t>
      </w:r>
      <w:r w:rsidR="00777AEF" w:rsidRPr="0081358C">
        <w:rPr>
          <w:rStyle w:val="EndnoteReference"/>
          <w:lang w:val="en-GB"/>
        </w:rPr>
        <w:endnoteReference w:id="28"/>
      </w:r>
    </w:p>
    <w:p w14:paraId="29379373" w14:textId="77777777" w:rsidR="004D4CD3" w:rsidRPr="0081358C" w:rsidRDefault="004D4CD3" w:rsidP="00231552">
      <w:pPr>
        <w:pStyle w:val="BodyTextMain"/>
        <w:rPr>
          <w:lang w:val="en-GB"/>
        </w:rPr>
      </w:pPr>
    </w:p>
    <w:p w14:paraId="54205B6C" w14:textId="15A32A66" w:rsidR="004D4CD3" w:rsidRPr="0081358C" w:rsidRDefault="004D4CD3" w:rsidP="00231552">
      <w:pPr>
        <w:pStyle w:val="BodyTextMain"/>
        <w:rPr>
          <w:lang w:val="en-GB"/>
        </w:rPr>
      </w:pPr>
      <w:r w:rsidRPr="0081358C">
        <w:rPr>
          <w:lang w:val="en-GB"/>
        </w:rPr>
        <w:t xml:space="preserve">Aside from its </w:t>
      </w:r>
      <w:r>
        <w:rPr>
          <w:lang w:val="en-GB"/>
        </w:rPr>
        <w:t>Rite Aid</w:t>
      </w:r>
      <w:r w:rsidR="007076FE">
        <w:rPr>
          <w:lang w:val="en-GB"/>
        </w:rPr>
        <w:t xml:space="preserve"> </w:t>
      </w:r>
      <w:r>
        <w:rPr>
          <w:lang w:val="en-GB"/>
        </w:rPr>
        <w:t>branded</w:t>
      </w:r>
      <w:r w:rsidRPr="0081358C">
        <w:rPr>
          <w:lang w:val="en-GB"/>
        </w:rPr>
        <w:t xml:space="preserve"> stores, the company had a chain of 39 retail clinics named RediClinic LLC (RediClinic). Acquired in April 2014 and run as a subsidiary, </w:t>
      </w:r>
      <w:r>
        <w:rPr>
          <w:lang w:val="en-GB"/>
        </w:rPr>
        <w:t>RediClinic</w:t>
      </w:r>
      <w:r w:rsidRPr="0081358C">
        <w:rPr>
          <w:lang w:val="en-GB"/>
        </w:rPr>
        <w:t xml:space="preserve"> had certified health practitioners who could treat up to 30 common medical conditions and provide medical services such as screenings, tests, immunizations, and physical exams. </w:t>
      </w:r>
      <w:r>
        <w:rPr>
          <w:lang w:val="en-GB"/>
        </w:rPr>
        <w:t>RediClinic</w:t>
      </w:r>
      <w:r w:rsidRPr="0081358C">
        <w:rPr>
          <w:lang w:val="en-GB"/>
        </w:rPr>
        <w:t xml:space="preserve"> aimed to support a local network of physicians who were affiliated with a </w:t>
      </w:r>
      <w:r>
        <w:rPr>
          <w:lang w:val="en-GB"/>
        </w:rPr>
        <w:t>health care</w:t>
      </w:r>
      <w:r w:rsidRPr="0081358C">
        <w:rPr>
          <w:lang w:val="en-GB"/>
        </w:rPr>
        <w:t xml:space="preserve"> system in a particular market.</w:t>
      </w:r>
      <w:r w:rsidRPr="0081358C">
        <w:rPr>
          <w:rStyle w:val="EndnoteReference"/>
          <w:lang w:val="en-GB"/>
        </w:rPr>
        <w:endnoteReference w:id="29"/>
      </w:r>
      <w:r w:rsidRPr="0081358C">
        <w:rPr>
          <w:lang w:val="en-GB"/>
        </w:rPr>
        <w:t xml:space="preserve"> </w:t>
      </w:r>
    </w:p>
    <w:p w14:paraId="7860245C" w14:textId="77777777" w:rsidR="004D4CD3" w:rsidRPr="0081358C" w:rsidRDefault="004D4CD3" w:rsidP="00231552">
      <w:pPr>
        <w:pStyle w:val="BodyTextMain"/>
        <w:rPr>
          <w:lang w:val="en-GB"/>
        </w:rPr>
      </w:pPr>
    </w:p>
    <w:p w14:paraId="1B5FCD5E" w14:textId="71C89BBA" w:rsidR="004D4CD3" w:rsidRPr="00777AEF" w:rsidRDefault="004D4CD3" w:rsidP="00231552">
      <w:pPr>
        <w:pStyle w:val="BodyTextMain"/>
        <w:rPr>
          <w:spacing w:val="-2"/>
          <w:kern w:val="22"/>
          <w:lang w:val="en-GB"/>
        </w:rPr>
      </w:pPr>
      <w:r w:rsidRPr="00777AEF">
        <w:rPr>
          <w:spacing w:val="-2"/>
          <w:kern w:val="22"/>
          <w:lang w:val="en-GB"/>
        </w:rPr>
        <w:t>In April 2014, Rite Aid purchased Health Dialog. This subsidiary provided supplementary health care coaching and disease management advice that health plans and employers could offer their members. These services, staffed by nurse practitioners, were accessible by plan members via telephone and a web interface.</w:t>
      </w:r>
      <w:r w:rsidR="00777AEF" w:rsidRPr="00777AEF">
        <w:rPr>
          <w:rStyle w:val="EndnoteReference"/>
          <w:spacing w:val="-2"/>
          <w:kern w:val="22"/>
          <w:lang w:val="en-GB"/>
        </w:rPr>
        <w:endnoteReference w:id="30"/>
      </w:r>
    </w:p>
    <w:p w14:paraId="45565103" w14:textId="77777777" w:rsidR="004D4CD3" w:rsidRPr="0081358C" w:rsidRDefault="004D4CD3" w:rsidP="00231552">
      <w:pPr>
        <w:pStyle w:val="BodyTextMain"/>
        <w:rPr>
          <w:lang w:val="en-GB"/>
        </w:rPr>
      </w:pPr>
    </w:p>
    <w:p w14:paraId="1B6EACF8" w14:textId="642FCEAD" w:rsidR="004D4CD3" w:rsidRPr="0081358C" w:rsidRDefault="004D4CD3" w:rsidP="00231552">
      <w:pPr>
        <w:pStyle w:val="BodyTextMain"/>
        <w:rPr>
          <w:lang w:val="en-GB"/>
        </w:rPr>
      </w:pPr>
      <w:r w:rsidRPr="0081358C">
        <w:rPr>
          <w:lang w:val="en-GB"/>
        </w:rPr>
        <w:t xml:space="preserve">In February 2015, Rite Aid further expanded its services when it purchased </w:t>
      </w:r>
      <w:r w:rsidR="007076FE" w:rsidRPr="0081358C">
        <w:rPr>
          <w:lang w:val="en-GB"/>
        </w:rPr>
        <w:t>Envision Pharmaceutical Services LLC (Envis</w:t>
      </w:r>
      <w:r w:rsidR="007076FE">
        <w:rPr>
          <w:lang w:val="en-GB"/>
        </w:rPr>
        <w:t>i</w:t>
      </w:r>
      <w:r w:rsidR="007076FE" w:rsidRPr="0081358C">
        <w:rPr>
          <w:lang w:val="en-GB"/>
        </w:rPr>
        <w:t>onRx)</w:t>
      </w:r>
      <w:r w:rsidR="007076FE">
        <w:rPr>
          <w:lang w:val="en-GB"/>
        </w:rPr>
        <w:t>,</w:t>
      </w:r>
      <w:r w:rsidRPr="0081358C">
        <w:rPr>
          <w:lang w:val="en-GB"/>
        </w:rPr>
        <w:t xml:space="preserve"> </w:t>
      </w:r>
      <w:r w:rsidR="007076FE">
        <w:rPr>
          <w:lang w:val="en-GB"/>
        </w:rPr>
        <w:t xml:space="preserve">a </w:t>
      </w:r>
      <w:r w:rsidRPr="0081358C">
        <w:rPr>
          <w:lang w:val="en-GB"/>
        </w:rPr>
        <w:t>full-service PBM, from TPG, a private equity firm, for $2 billion in cash and stock. At the time of its purchase, Envis</w:t>
      </w:r>
      <w:r w:rsidR="002D219A">
        <w:rPr>
          <w:lang w:val="en-GB"/>
        </w:rPr>
        <w:t>i</w:t>
      </w:r>
      <w:r w:rsidRPr="0081358C">
        <w:rPr>
          <w:lang w:val="en-GB"/>
        </w:rPr>
        <w:t>onRx had $5 billion in revenues.</w:t>
      </w:r>
      <w:r w:rsidRPr="0081358C">
        <w:rPr>
          <w:rStyle w:val="EndnoteReference"/>
          <w:lang w:val="en-GB"/>
        </w:rPr>
        <w:endnoteReference w:id="31"/>
      </w:r>
      <w:r w:rsidRPr="0081358C">
        <w:rPr>
          <w:lang w:val="en-GB"/>
        </w:rPr>
        <w:t xml:space="preserve"> EnvisionRX provided PBM services and had software that was licensed to other PBMs in the United States. The company offered mail, specialty, and other pharmacy services through its EnvisionPharmacies service. Through its insurance and national drug plan services, EnvisionRx was positioned to serve the </w:t>
      </w:r>
      <w:r>
        <w:rPr>
          <w:lang w:val="en-GB"/>
        </w:rPr>
        <w:t>fast-growing</w:t>
      </w:r>
      <w:r w:rsidRPr="0081358C">
        <w:rPr>
          <w:lang w:val="en-GB"/>
        </w:rPr>
        <w:t xml:space="preserve"> Medicare Part D market.</w:t>
      </w:r>
      <w:r w:rsidRPr="0081358C">
        <w:rPr>
          <w:rStyle w:val="EndnoteReference"/>
          <w:lang w:val="en-GB"/>
        </w:rPr>
        <w:endnoteReference w:id="32"/>
      </w:r>
    </w:p>
    <w:p w14:paraId="3615F8C8" w14:textId="1EA4819D" w:rsidR="004D4CD3" w:rsidRPr="0081358C" w:rsidRDefault="004D4CD3" w:rsidP="00231552">
      <w:pPr>
        <w:pStyle w:val="BodyTextMain"/>
        <w:rPr>
          <w:lang w:val="en-GB"/>
        </w:rPr>
      </w:pPr>
    </w:p>
    <w:p w14:paraId="03F5D8F7" w14:textId="1114E749" w:rsidR="004D4CD3" w:rsidRPr="0081358C" w:rsidRDefault="004D4CD3" w:rsidP="00231552">
      <w:pPr>
        <w:pStyle w:val="BodyTextMain"/>
        <w:rPr>
          <w:lang w:val="en-GB"/>
        </w:rPr>
      </w:pPr>
      <w:r w:rsidRPr="0081358C">
        <w:rPr>
          <w:lang w:val="en-GB"/>
        </w:rPr>
        <w:t>EnvisionRX “covered about 500,000 lives.”</w:t>
      </w:r>
      <w:r w:rsidRPr="0081358C">
        <w:rPr>
          <w:rStyle w:val="EndnoteReference"/>
          <w:lang w:val="en-GB"/>
        </w:rPr>
        <w:endnoteReference w:id="33"/>
      </w:r>
      <w:r w:rsidRPr="0081358C">
        <w:rPr>
          <w:lang w:val="en-GB"/>
        </w:rPr>
        <w:t xml:space="preserve"> In contrast, CVS Caremark’s PBM had 20 million medical health plan members.</w:t>
      </w:r>
      <w:r w:rsidRPr="0081358C">
        <w:rPr>
          <w:rStyle w:val="EndnoteReference"/>
          <w:lang w:val="en-GB"/>
        </w:rPr>
        <w:endnoteReference w:id="34"/>
      </w:r>
      <w:r w:rsidRPr="0081358C">
        <w:rPr>
          <w:lang w:val="en-GB"/>
        </w:rPr>
        <w:t xml:space="preserve"> Observers characterized EnvisionRX as “a small, struggling regional PBM with limited growth. Its revenues in 2017 have been declining. There also appears to be no material synergies between Rite Aid’s retail pharmacy business and its Envision PBM.”</w:t>
      </w:r>
      <w:r w:rsidRPr="0081358C">
        <w:rPr>
          <w:rStyle w:val="EndnoteReference"/>
          <w:lang w:val="en-GB"/>
        </w:rPr>
        <w:endnoteReference w:id="35"/>
      </w:r>
    </w:p>
    <w:p w14:paraId="09913A13" w14:textId="7AF9DDCF" w:rsidR="004D4CD3" w:rsidRPr="0081358C" w:rsidRDefault="004D4CD3" w:rsidP="00231552">
      <w:pPr>
        <w:pStyle w:val="BodyTextMain"/>
        <w:rPr>
          <w:lang w:val="en-GB"/>
        </w:rPr>
      </w:pPr>
    </w:p>
    <w:p w14:paraId="5EBF47E2" w14:textId="77777777" w:rsidR="004D4CD3" w:rsidRPr="0081358C" w:rsidRDefault="004D4CD3" w:rsidP="00231552">
      <w:pPr>
        <w:pStyle w:val="BodyTextMain"/>
        <w:rPr>
          <w:lang w:val="en-GB"/>
        </w:rPr>
      </w:pPr>
    </w:p>
    <w:p w14:paraId="236DA32D" w14:textId="19189DE3" w:rsidR="004D4CD3" w:rsidRPr="0081358C" w:rsidRDefault="004D4CD3" w:rsidP="00231552">
      <w:pPr>
        <w:pStyle w:val="Casehead1"/>
        <w:rPr>
          <w:lang w:val="en-GB"/>
        </w:rPr>
      </w:pPr>
      <w:r w:rsidRPr="0081358C">
        <w:rPr>
          <w:lang w:val="en-GB"/>
        </w:rPr>
        <w:t xml:space="preserve">Rite-Aid’s New </w:t>
      </w:r>
      <w:r>
        <w:rPr>
          <w:lang w:val="en-GB"/>
        </w:rPr>
        <w:t>stand-alone</w:t>
      </w:r>
      <w:r w:rsidRPr="0081358C">
        <w:rPr>
          <w:lang w:val="en-GB"/>
        </w:rPr>
        <w:t xml:space="preserve"> Strategy</w:t>
      </w:r>
    </w:p>
    <w:p w14:paraId="4019B8A2" w14:textId="77777777" w:rsidR="004D4CD3" w:rsidRPr="0081358C" w:rsidRDefault="004D4CD3" w:rsidP="00231552">
      <w:pPr>
        <w:pStyle w:val="BodyTextMain"/>
        <w:rPr>
          <w:lang w:val="en-GB"/>
        </w:rPr>
      </w:pPr>
    </w:p>
    <w:p w14:paraId="35CCFD0A" w14:textId="606DDB8A" w:rsidR="004D4CD3" w:rsidRPr="0081358C" w:rsidRDefault="004D4CD3" w:rsidP="00231552">
      <w:pPr>
        <w:pStyle w:val="BodyTextMain"/>
        <w:rPr>
          <w:lang w:val="en-GB"/>
        </w:rPr>
      </w:pPr>
      <w:r w:rsidRPr="0081358C">
        <w:rPr>
          <w:lang w:val="en-GB"/>
        </w:rPr>
        <w:t xml:space="preserve">In 2018, Rite Aid announced </w:t>
      </w:r>
      <w:r>
        <w:rPr>
          <w:lang w:val="en-GB"/>
        </w:rPr>
        <w:t xml:space="preserve">that </w:t>
      </w:r>
      <w:r w:rsidRPr="0081358C">
        <w:rPr>
          <w:lang w:val="en-GB"/>
        </w:rPr>
        <w:t>it would focus on three key initiatives</w:t>
      </w:r>
      <w:r>
        <w:rPr>
          <w:lang w:val="en-GB"/>
        </w:rPr>
        <w:t>—expanding health care services, leveraging its PBM, and store remodels.</w:t>
      </w:r>
      <w:r w:rsidRPr="0081358C">
        <w:rPr>
          <w:rStyle w:val="EndnoteReference"/>
          <w:lang w:val="en-GB"/>
        </w:rPr>
        <w:endnoteReference w:id="36"/>
      </w:r>
    </w:p>
    <w:p w14:paraId="1414287A" w14:textId="77777777" w:rsidR="004D4CD3" w:rsidRPr="0081358C" w:rsidRDefault="004D4CD3" w:rsidP="00231552">
      <w:pPr>
        <w:pStyle w:val="BodyTextMain"/>
        <w:rPr>
          <w:lang w:val="en-GB"/>
        </w:rPr>
      </w:pPr>
    </w:p>
    <w:p w14:paraId="64617A81" w14:textId="39781E38" w:rsidR="004D4CD3" w:rsidRPr="0081358C" w:rsidRDefault="004D4CD3" w:rsidP="00231552">
      <w:pPr>
        <w:pStyle w:val="BodyTextMain"/>
        <w:rPr>
          <w:lang w:val="en-GB"/>
        </w:rPr>
      </w:pPr>
      <w:r w:rsidRPr="0081358C">
        <w:rPr>
          <w:lang w:val="en-GB"/>
        </w:rPr>
        <w:t xml:space="preserve">Rite Aid wanted to expand the role of pharmacists </w:t>
      </w:r>
      <w:r>
        <w:rPr>
          <w:lang w:val="en-GB"/>
        </w:rPr>
        <w:t>to</w:t>
      </w:r>
      <w:r w:rsidRPr="0081358C">
        <w:rPr>
          <w:lang w:val="en-GB"/>
        </w:rPr>
        <w:t xml:space="preserve"> </w:t>
      </w:r>
      <w:r>
        <w:rPr>
          <w:lang w:val="en-GB"/>
        </w:rPr>
        <w:t xml:space="preserve">include </w:t>
      </w:r>
      <w:r w:rsidRPr="0081358C">
        <w:rPr>
          <w:lang w:val="en-GB"/>
        </w:rPr>
        <w:t>delivering wellness services that went beyond filling prescriptions</w:t>
      </w:r>
      <w:r>
        <w:rPr>
          <w:lang w:val="en-GB"/>
        </w:rPr>
        <w:t>—such as</w:t>
      </w:r>
      <w:r w:rsidRPr="0081358C">
        <w:rPr>
          <w:lang w:val="en-GB"/>
        </w:rPr>
        <w:t xml:space="preserve"> </w:t>
      </w:r>
      <w:r>
        <w:rPr>
          <w:lang w:val="en-GB"/>
        </w:rPr>
        <w:t xml:space="preserve">the wellness services offered through </w:t>
      </w:r>
      <w:r w:rsidRPr="0081358C">
        <w:rPr>
          <w:lang w:val="en-GB"/>
        </w:rPr>
        <w:t>Rite Aid’s immunization programs. Another service for customers was OneTrip Refills</w:t>
      </w:r>
      <w:r>
        <w:rPr>
          <w:lang w:val="en-GB"/>
        </w:rPr>
        <w:t>,</w:t>
      </w:r>
      <w:r w:rsidRPr="0081358C">
        <w:rPr>
          <w:lang w:val="en-GB"/>
        </w:rPr>
        <w:t xml:space="preserve"> in 2017, which allowed patients to refill all of their monthly maintenance medications in a single trip to the pharmacy.</w:t>
      </w:r>
      <w:r w:rsidRPr="0081358C">
        <w:rPr>
          <w:rStyle w:val="EndnoteReference"/>
          <w:lang w:val="en-GB"/>
        </w:rPr>
        <w:endnoteReference w:id="37"/>
      </w:r>
      <w:r w:rsidRPr="0081358C">
        <w:rPr>
          <w:lang w:val="en-GB"/>
        </w:rPr>
        <w:t xml:space="preserve"> Rite Aid’s wellness+ rewards was a loyalty program with 13 million customers. In 2018, over 60 per cent of transactions involved a wellness+ rewards card. As part of its efforts to offer a wider range of health clinic services through pharmacies, Rite Aid launched RediClinic facilities inside Rite Aid stores, offering health advice; care for minor illnesses such as coughs, colds, and flu; medical tests; and immunizations.</w:t>
      </w:r>
      <w:r w:rsidRPr="0081358C">
        <w:rPr>
          <w:rStyle w:val="EndnoteReference"/>
          <w:lang w:val="en-GB"/>
        </w:rPr>
        <w:endnoteReference w:id="38"/>
      </w:r>
      <w:r w:rsidRPr="0081358C">
        <w:rPr>
          <w:lang w:val="en-GB"/>
        </w:rPr>
        <w:t xml:space="preserve"> Rite Aid was also expanding Health Dialog’s services to third-party payers and employers</w:t>
      </w:r>
      <w:r>
        <w:rPr>
          <w:lang w:val="en-GB"/>
        </w:rPr>
        <w:t xml:space="preserve"> and</w:t>
      </w:r>
      <w:r w:rsidRPr="0081358C">
        <w:rPr>
          <w:lang w:val="en-GB"/>
        </w:rPr>
        <w:t xml:space="preserve"> providing automated wellness advice and medication therapy management.</w:t>
      </w:r>
      <w:r w:rsidRPr="0081358C">
        <w:rPr>
          <w:rStyle w:val="EndnoteReference"/>
          <w:lang w:val="en-GB"/>
        </w:rPr>
        <w:endnoteReference w:id="39"/>
      </w:r>
    </w:p>
    <w:p w14:paraId="0BCB599B" w14:textId="154A61E2" w:rsidR="004D4CD3" w:rsidRPr="0081358C" w:rsidRDefault="004D4CD3" w:rsidP="00231552">
      <w:pPr>
        <w:pStyle w:val="BodyTextMain"/>
        <w:rPr>
          <w:lang w:val="en-GB"/>
        </w:rPr>
      </w:pPr>
      <w:r w:rsidRPr="0081358C">
        <w:rPr>
          <w:lang w:val="en-GB"/>
        </w:rPr>
        <w:lastRenderedPageBreak/>
        <w:t>While there seemed to be few synergies between Rite Aid’s store operations and its Envis</w:t>
      </w:r>
      <w:r w:rsidR="002D219A">
        <w:rPr>
          <w:lang w:val="en-GB"/>
        </w:rPr>
        <w:t>i</w:t>
      </w:r>
      <w:r w:rsidRPr="0081358C">
        <w:rPr>
          <w:lang w:val="en-GB"/>
        </w:rPr>
        <w:t>onRX PBM, Rite Aid was focused on continuing to grow the number of lives managed at EnvisionRX. To do this, it needed to offer attractive plans, administer the plans effectively, and be an expert at formulary management. Formulary management was the process of drawing up a list of medications that clinicians could prescribe to their patients. Drugs were chosen on the basis of efficacy, safety, and cost effectiveness.</w:t>
      </w:r>
      <w:r w:rsidRPr="0081358C">
        <w:rPr>
          <w:rStyle w:val="EndnoteReference"/>
          <w:lang w:val="en-GB"/>
        </w:rPr>
        <w:endnoteReference w:id="40"/>
      </w:r>
      <w:r w:rsidRPr="0081358C">
        <w:rPr>
          <w:lang w:val="en-GB"/>
        </w:rPr>
        <w:t xml:space="preserve"> EnvisionRxOptions made significant progress in Medicare Part D enrolment by adding approximately 188,000 new lives</w:t>
      </w:r>
      <w:r>
        <w:rPr>
          <w:lang w:val="en-GB"/>
        </w:rPr>
        <w:t>,</w:t>
      </w:r>
      <w:r w:rsidRPr="0081358C">
        <w:rPr>
          <w:lang w:val="en-GB"/>
        </w:rPr>
        <w:t xml:space="preserve"> as of January 2018. For perspective, Envis</w:t>
      </w:r>
      <w:r w:rsidR="002D219A">
        <w:rPr>
          <w:lang w:val="en-GB"/>
        </w:rPr>
        <w:t>i</w:t>
      </w:r>
      <w:r w:rsidRPr="0081358C">
        <w:rPr>
          <w:lang w:val="en-GB"/>
        </w:rPr>
        <w:t xml:space="preserve">onRx had a </w:t>
      </w:r>
      <w:r w:rsidR="007076FE">
        <w:rPr>
          <w:lang w:val="en-GB"/>
        </w:rPr>
        <w:t>six</w:t>
      </w:r>
      <w:r w:rsidRPr="0081358C">
        <w:rPr>
          <w:lang w:val="en-GB"/>
        </w:rPr>
        <w:t xml:space="preserve"> per cent market share in the PBM industry; the largest players were Express Scripts, CVS, and OptumRx</w:t>
      </w:r>
      <w:r>
        <w:rPr>
          <w:lang w:val="en-GB"/>
        </w:rPr>
        <w:t>,</w:t>
      </w:r>
      <w:r w:rsidRPr="0081358C">
        <w:rPr>
          <w:lang w:val="en-GB"/>
        </w:rPr>
        <w:t xml:space="preserve"> with market shares of 28 per cent, 26 per cent, and 19 per cent, respectively.</w:t>
      </w:r>
      <w:r w:rsidRPr="0081358C">
        <w:rPr>
          <w:rStyle w:val="EndnoteReference"/>
          <w:lang w:val="en-GB"/>
        </w:rPr>
        <w:endnoteReference w:id="41"/>
      </w:r>
    </w:p>
    <w:p w14:paraId="13395572" w14:textId="77777777" w:rsidR="004D4CD3" w:rsidRPr="00F91873" w:rsidRDefault="004D4CD3" w:rsidP="00231552">
      <w:pPr>
        <w:pStyle w:val="BodyTextMain"/>
        <w:rPr>
          <w:sz w:val="18"/>
          <w:szCs w:val="18"/>
          <w:lang w:val="en-GB"/>
        </w:rPr>
      </w:pPr>
    </w:p>
    <w:p w14:paraId="198FAA7E" w14:textId="062D2223" w:rsidR="004D4CD3" w:rsidRPr="0081358C" w:rsidRDefault="004D4CD3" w:rsidP="00231552">
      <w:pPr>
        <w:pStyle w:val="BodyTextMain"/>
        <w:rPr>
          <w:lang w:val="en-GB"/>
        </w:rPr>
      </w:pPr>
      <w:r w:rsidRPr="0081358C">
        <w:rPr>
          <w:lang w:val="en-GB"/>
        </w:rPr>
        <w:t>In 2018, the goal was to strengthen Rite Aid as a wellness destination by completing additional Wellness Store remodels. Wellness Stores had updated interior designs, lower shelves, widened aisles, and an expanded offering of clinical pharmacy services, and health and wellness products. Almost two-thirds of Rite Aid’s stores</w:t>
      </w:r>
      <w:r>
        <w:rPr>
          <w:lang w:val="en-GB"/>
        </w:rPr>
        <w:t>—</w:t>
      </w:r>
      <w:r w:rsidRPr="0081358C">
        <w:rPr>
          <w:lang w:val="en-GB"/>
        </w:rPr>
        <w:t>or</w:t>
      </w:r>
      <w:r>
        <w:rPr>
          <w:lang w:val="en-GB"/>
        </w:rPr>
        <w:t>,</w:t>
      </w:r>
      <w:r w:rsidRPr="0081358C">
        <w:rPr>
          <w:lang w:val="en-GB"/>
        </w:rPr>
        <w:t xml:space="preserve"> 1,649 stores</w:t>
      </w:r>
      <w:r>
        <w:rPr>
          <w:lang w:val="en-GB"/>
        </w:rPr>
        <w:t>—</w:t>
      </w:r>
      <w:r w:rsidRPr="0081358C">
        <w:rPr>
          <w:lang w:val="en-GB"/>
        </w:rPr>
        <w:t xml:space="preserve">were Wellness Stores by the start of 2018. For 2019, Rite Aid aimed to remodel another 132 stores to its Wellness </w:t>
      </w:r>
      <w:r>
        <w:rPr>
          <w:lang w:val="en-GB"/>
        </w:rPr>
        <w:t xml:space="preserve">Store </w:t>
      </w:r>
      <w:r w:rsidRPr="0081358C">
        <w:rPr>
          <w:lang w:val="en-GB"/>
        </w:rPr>
        <w:t>format, relocate three stores, and open two new stores.</w:t>
      </w:r>
      <w:r w:rsidRPr="0081358C">
        <w:rPr>
          <w:rStyle w:val="EndnoteReference"/>
          <w:lang w:val="en-GB"/>
        </w:rPr>
        <w:endnoteReference w:id="42"/>
      </w:r>
      <w:r w:rsidRPr="0081358C">
        <w:rPr>
          <w:lang w:val="en-GB"/>
        </w:rPr>
        <w:t xml:space="preserve"> </w:t>
      </w:r>
    </w:p>
    <w:p w14:paraId="376A75DE" w14:textId="77777777" w:rsidR="004D4CD3" w:rsidRPr="00F91873" w:rsidRDefault="004D4CD3" w:rsidP="00231552">
      <w:pPr>
        <w:pStyle w:val="BodyTextMain"/>
        <w:rPr>
          <w:sz w:val="18"/>
          <w:szCs w:val="18"/>
          <w:lang w:val="en-GB"/>
        </w:rPr>
      </w:pPr>
    </w:p>
    <w:p w14:paraId="0F7F78CB" w14:textId="1738A3A8" w:rsidR="004D4CD3" w:rsidRPr="00F91873" w:rsidRDefault="004D4CD3" w:rsidP="00231552">
      <w:pPr>
        <w:pStyle w:val="BodyTextMain"/>
        <w:rPr>
          <w:spacing w:val="-2"/>
          <w:kern w:val="22"/>
          <w:lang w:val="en-GB"/>
        </w:rPr>
      </w:pPr>
      <w:r w:rsidRPr="00F91873">
        <w:rPr>
          <w:spacing w:val="-2"/>
          <w:kern w:val="22"/>
          <w:lang w:val="en-GB"/>
        </w:rPr>
        <w:t>Standley indicated that Rite Aid’s new and smaller footprint included stores in 19 states, roughly situated along the East Coast and the West Coast. In four of the states—Pennsylvania, Michigan, Ohio, and Oregon—more than half of the stores were the top-ranking stores in their local markets. In another three states—California, New York, and Washington—40 per cent of the stores were first or second in their markets.</w:t>
      </w:r>
      <w:r w:rsidRPr="00F91873">
        <w:rPr>
          <w:rStyle w:val="EndnoteReference"/>
          <w:spacing w:val="-2"/>
          <w:kern w:val="22"/>
          <w:lang w:val="en-GB"/>
        </w:rPr>
        <w:endnoteReference w:id="43"/>
      </w:r>
    </w:p>
    <w:p w14:paraId="2849C456" w14:textId="77777777" w:rsidR="004D4CD3" w:rsidRPr="00F91873" w:rsidRDefault="004D4CD3" w:rsidP="00231552">
      <w:pPr>
        <w:pStyle w:val="BodyTextMain"/>
        <w:rPr>
          <w:sz w:val="18"/>
          <w:szCs w:val="18"/>
          <w:lang w:val="en-GB"/>
        </w:rPr>
      </w:pPr>
    </w:p>
    <w:p w14:paraId="30FDE0C0" w14:textId="77777777" w:rsidR="004D4CD3" w:rsidRPr="00F91873" w:rsidRDefault="004D4CD3" w:rsidP="00231552">
      <w:pPr>
        <w:pStyle w:val="BodyTextMain"/>
        <w:rPr>
          <w:sz w:val="18"/>
          <w:szCs w:val="18"/>
          <w:lang w:val="en-GB"/>
        </w:rPr>
      </w:pPr>
    </w:p>
    <w:p w14:paraId="16A3E07F" w14:textId="77777777" w:rsidR="004D4CD3" w:rsidRPr="0081358C" w:rsidRDefault="004D4CD3" w:rsidP="00231552">
      <w:pPr>
        <w:pStyle w:val="Casehead1"/>
        <w:rPr>
          <w:lang w:val="en-GB"/>
        </w:rPr>
      </w:pPr>
      <w:r w:rsidRPr="0081358C">
        <w:rPr>
          <w:lang w:val="en-GB"/>
        </w:rPr>
        <w:t>Changing Industry Dynamics</w:t>
      </w:r>
    </w:p>
    <w:p w14:paraId="27E82B33" w14:textId="77777777" w:rsidR="004D4CD3" w:rsidRPr="00F91873" w:rsidRDefault="004D4CD3" w:rsidP="00231552">
      <w:pPr>
        <w:pStyle w:val="BodyTextMain"/>
        <w:rPr>
          <w:sz w:val="18"/>
          <w:szCs w:val="18"/>
          <w:lang w:val="en-GB"/>
        </w:rPr>
      </w:pPr>
    </w:p>
    <w:p w14:paraId="10CE0CCF" w14:textId="013EE38C" w:rsidR="004D4CD3" w:rsidRPr="0081358C" w:rsidRDefault="004D4CD3" w:rsidP="00231552">
      <w:pPr>
        <w:pStyle w:val="Casehead1"/>
        <w:rPr>
          <w:rFonts w:ascii="Times New Roman" w:hAnsi="Times New Roman" w:cs="Times New Roman"/>
          <w:b w:val="0"/>
          <w:caps w:val="0"/>
          <w:sz w:val="22"/>
          <w:szCs w:val="22"/>
          <w:lang w:val="en-GB"/>
        </w:rPr>
      </w:pPr>
      <w:r w:rsidRPr="0081358C">
        <w:rPr>
          <w:rFonts w:ascii="Times New Roman" w:hAnsi="Times New Roman" w:cs="Times New Roman"/>
          <w:b w:val="0"/>
          <w:caps w:val="0"/>
          <w:sz w:val="22"/>
          <w:szCs w:val="22"/>
          <w:lang w:val="en-GB"/>
        </w:rPr>
        <w:t>Three emerging trends were likely to have an impact on the industry’s competitive dynamics. First, there seemed to be ongoing interest in vertical integration. The latest example of this was CVS’s purchase of Aetna</w:t>
      </w:r>
      <w:r>
        <w:rPr>
          <w:rFonts w:ascii="Times New Roman" w:hAnsi="Times New Roman" w:cs="Times New Roman"/>
          <w:b w:val="0"/>
          <w:caps w:val="0"/>
          <w:sz w:val="22"/>
          <w:szCs w:val="22"/>
          <w:lang w:val="en-GB"/>
        </w:rPr>
        <w:t xml:space="preserve"> Inc. (Aetna)</w:t>
      </w:r>
      <w:r w:rsidRPr="0081358C">
        <w:rPr>
          <w:rFonts w:ascii="Times New Roman" w:hAnsi="Times New Roman" w:cs="Times New Roman"/>
          <w:b w:val="0"/>
          <w:caps w:val="0"/>
          <w:sz w:val="22"/>
          <w:szCs w:val="22"/>
          <w:lang w:val="en-GB"/>
        </w:rPr>
        <w:t xml:space="preserve">, an insurance company, for $70 billion on November 28, 2018. CVS indicated that the merger would deliver savings of $750 million </w:t>
      </w:r>
      <w:r>
        <w:rPr>
          <w:rFonts w:ascii="Times New Roman" w:hAnsi="Times New Roman" w:cs="Times New Roman"/>
          <w:b w:val="0"/>
          <w:caps w:val="0"/>
          <w:sz w:val="22"/>
          <w:szCs w:val="22"/>
          <w:lang w:val="en-GB"/>
        </w:rPr>
        <w:t>within</w:t>
      </w:r>
      <w:r w:rsidRPr="0081358C">
        <w:rPr>
          <w:rFonts w:ascii="Times New Roman" w:hAnsi="Times New Roman" w:cs="Times New Roman"/>
          <w:b w:val="0"/>
          <w:caps w:val="0"/>
          <w:sz w:val="22"/>
          <w:szCs w:val="22"/>
          <w:lang w:val="en-GB"/>
        </w:rPr>
        <w:t xml:space="preserve"> two years of the deal’s closing. The addition of Aetna allowed CVS to offer additional </w:t>
      </w:r>
      <w:r>
        <w:rPr>
          <w:rFonts w:ascii="Times New Roman" w:hAnsi="Times New Roman" w:cs="Times New Roman"/>
          <w:b w:val="0"/>
          <w:caps w:val="0"/>
          <w:sz w:val="22"/>
          <w:szCs w:val="22"/>
          <w:lang w:val="en-GB"/>
        </w:rPr>
        <w:t xml:space="preserve">health care </w:t>
      </w:r>
      <w:r w:rsidRPr="0081358C">
        <w:rPr>
          <w:rFonts w:ascii="Times New Roman" w:hAnsi="Times New Roman" w:cs="Times New Roman"/>
          <w:b w:val="0"/>
          <w:caps w:val="0"/>
          <w:sz w:val="22"/>
          <w:szCs w:val="22"/>
          <w:lang w:val="en-GB"/>
        </w:rPr>
        <w:t>services at CVS clinics, offer more coordinated care by working with hospitals and physicians, and harness the data gathered from patients to provide customers with targeted services</w:t>
      </w:r>
      <w:r>
        <w:rPr>
          <w:rFonts w:ascii="Times New Roman" w:hAnsi="Times New Roman" w:cs="Times New Roman"/>
          <w:b w:val="0"/>
          <w:caps w:val="0"/>
          <w:sz w:val="22"/>
          <w:szCs w:val="22"/>
          <w:lang w:val="en-GB"/>
        </w:rPr>
        <w:t>,</w:t>
      </w:r>
      <w:r w:rsidRPr="0081358C">
        <w:rPr>
          <w:rFonts w:ascii="Times New Roman" w:hAnsi="Times New Roman" w:cs="Times New Roman"/>
          <w:b w:val="0"/>
          <w:caps w:val="0"/>
          <w:sz w:val="22"/>
          <w:szCs w:val="22"/>
          <w:lang w:val="en-GB"/>
        </w:rPr>
        <w:t xml:space="preserve"> such as preventative counselling and health alerts via text messages.</w:t>
      </w:r>
      <w:r w:rsidRPr="0081358C">
        <w:rPr>
          <w:rStyle w:val="EndnoteReference"/>
          <w:rFonts w:ascii="Times New Roman" w:hAnsi="Times New Roman" w:cs="Times New Roman"/>
          <w:b w:val="0"/>
          <w:caps w:val="0"/>
          <w:sz w:val="22"/>
          <w:szCs w:val="22"/>
          <w:lang w:val="en-GB"/>
        </w:rPr>
        <w:endnoteReference w:id="44"/>
      </w:r>
    </w:p>
    <w:p w14:paraId="4BCE2D67" w14:textId="77777777" w:rsidR="004D4CD3" w:rsidRPr="00F91873" w:rsidRDefault="004D4CD3" w:rsidP="00231552">
      <w:pPr>
        <w:pStyle w:val="Casehead1"/>
        <w:rPr>
          <w:rFonts w:ascii="Times New Roman" w:hAnsi="Times New Roman" w:cs="Times New Roman"/>
          <w:b w:val="0"/>
          <w:caps w:val="0"/>
          <w:sz w:val="18"/>
          <w:szCs w:val="18"/>
          <w:lang w:val="en-GB"/>
        </w:rPr>
      </w:pPr>
    </w:p>
    <w:p w14:paraId="3FB097D8" w14:textId="244EED41" w:rsidR="004D4CD3" w:rsidRPr="0081358C" w:rsidRDefault="004D4CD3" w:rsidP="00231552">
      <w:pPr>
        <w:pStyle w:val="BodyTextMain"/>
        <w:rPr>
          <w:lang w:val="en-GB"/>
        </w:rPr>
      </w:pPr>
      <w:r w:rsidRPr="0081358C">
        <w:rPr>
          <w:lang w:val="en-GB"/>
        </w:rPr>
        <w:t>Second, there were new and well-capitalized entrants looking to gain market share. Amazon announced on June 28, 2018, that it was buying PillPack, an online pharmacy, for $1 billion. PillPack collected, packaged, organized, and delivered drugs to consumers and was licensed to ship prescriptions in 49 states. When the deal was announced, shares of Walgreens, CVS, and Rite Aid lost a collective $11 billion.</w:t>
      </w:r>
      <w:r w:rsidRPr="0081358C">
        <w:rPr>
          <w:rStyle w:val="EndnoteReference"/>
          <w:lang w:val="en-GB"/>
        </w:rPr>
        <w:endnoteReference w:id="45"/>
      </w:r>
      <w:r w:rsidRPr="0081358C">
        <w:rPr>
          <w:lang w:val="en-GB"/>
        </w:rPr>
        <w:t xml:space="preserve"> Amazon’s first move was to </w:t>
      </w:r>
      <w:r>
        <w:rPr>
          <w:lang w:val="en-GB"/>
        </w:rPr>
        <w:t>roll out</w:t>
      </w:r>
      <w:r w:rsidRPr="0081358C">
        <w:rPr>
          <w:lang w:val="en-GB"/>
        </w:rPr>
        <w:t xml:space="preserve"> PillPack’s services to its own workforce of 250,000 </w:t>
      </w:r>
      <w:r>
        <w:rPr>
          <w:lang w:val="en-GB"/>
        </w:rPr>
        <w:t>US</w:t>
      </w:r>
      <w:r w:rsidRPr="0081358C">
        <w:rPr>
          <w:lang w:val="en-GB"/>
        </w:rPr>
        <w:t xml:space="preserve"> employees.</w:t>
      </w:r>
      <w:r w:rsidRPr="0081358C">
        <w:rPr>
          <w:rStyle w:val="EndnoteReference"/>
          <w:lang w:val="en-GB"/>
        </w:rPr>
        <w:endnoteReference w:id="46"/>
      </w:r>
    </w:p>
    <w:p w14:paraId="74BE019F" w14:textId="77777777" w:rsidR="004D4CD3" w:rsidRPr="00F91873" w:rsidRDefault="004D4CD3" w:rsidP="00231552">
      <w:pPr>
        <w:pStyle w:val="BodyTextMain"/>
        <w:rPr>
          <w:sz w:val="18"/>
          <w:szCs w:val="18"/>
          <w:lang w:val="en-GB"/>
        </w:rPr>
      </w:pPr>
    </w:p>
    <w:p w14:paraId="38512DE5" w14:textId="720FC9FE" w:rsidR="004D4CD3" w:rsidRPr="0081358C" w:rsidRDefault="004D4CD3" w:rsidP="00231552">
      <w:pPr>
        <w:pStyle w:val="BodyTextMain"/>
        <w:rPr>
          <w:lang w:val="en-GB"/>
        </w:rPr>
      </w:pPr>
      <w:r w:rsidRPr="0081358C">
        <w:rPr>
          <w:lang w:val="en-GB"/>
        </w:rPr>
        <w:t xml:space="preserve">Third, there was the threat of disintermediation of insurance and drug delivery. In March 2018, Cigna, another large </w:t>
      </w:r>
      <w:r>
        <w:rPr>
          <w:lang w:val="en-GB"/>
        </w:rPr>
        <w:t>US</w:t>
      </w:r>
      <w:r w:rsidRPr="0081358C">
        <w:rPr>
          <w:lang w:val="en-GB"/>
        </w:rPr>
        <w:t xml:space="preserve"> health insurer, agreed to buy Express Scripts Holding Company, the largest </w:t>
      </w:r>
      <w:r>
        <w:rPr>
          <w:lang w:val="en-GB"/>
        </w:rPr>
        <w:t>US</w:t>
      </w:r>
      <w:r w:rsidRPr="0081358C">
        <w:rPr>
          <w:lang w:val="en-GB"/>
        </w:rPr>
        <w:t xml:space="preserve"> PBM, for $52 billion.</w:t>
      </w:r>
      <w:r w:rsidRPr="0081358C">
        <w:rPr>
          <w:rStyle w:val="EndnoteReference"/>
          <w:lang w:val="en-GB"/>
        </w:rPr>
        <w:endnoteReference w:id="47"/>
      </w:r>
      <w:r w:rsidRPr="0081358C">
        <w:rPr>
          <w:lang w:val="en-GB"/>
        </w:rPr>
        <w:t xml:space="preserve"> David Cordani, Cigna’s CEO, stated that the acquisition would allow the company to deliver savings by negotiating better drug prices and deliver better coordination of care, and that “the preponderance of all the medical and pharmacy costs savings </w:t>
      </w:r>
      <w:r>
        <w:rPr>
          <w:lang w:val="en-GB"/>
        </w:rPr>
        <w:t>[</w:t>
      </w:r>
      <w:r w:rsidRPr="0081358C">
        <w:rPr>
          <w:lang w:val="en-GB"/>
        </w:rPr>
        <w:t>will</w:t>
      </w:r>
      <w:r>
        <w:rPr>
          <w:lang w:val="en-GB"/>
        </w:rPr>
        <w:t>]</w:t>
      </w:r>
      <w:r w:rsidRPr="0081358C">
        <w:rPr>
          <w:lang w:val="en-GB"/>
        </w:rPr>
        <w:t xml:space="preserve"> float to our clients and customers.”</w:t>
      </w:r>
      <w:r w:rsidRPr="0081358C">
        <w:rPr>
          <w:rStyle w:val="EndnoteReference"/>
          <w:lang w:val="en-GB"/>
        </w:rPr>
        <w:endnoteReference w:id="48"/>
      </w:r>
    </w:p>
    <w:p w14:paraId="1D5A6ADB" w14:textId="77777777" w:rsidR="00231552" w:rsidRPr="00F91873" w:rsidRDefault="00231552" w:rsidP="00231552">
      <w:pPr>
        <w:pStyle w:val="BodyTextMain"/>
        <w:rPr>
          <w:sz w:val="18"/>
          <w:szCs w:val="18"/>
          <w:lang w:val="en-GB"/>
        </w:rPr>
      </w:pPr>
    </w:p>
    <w:p w14:paraId="30C22408" w14:textId="77777777" w:rsidR="00231552" w:rsidRPr="00F91873" w:rsidRDefault="00231552" w:rsidP="00231552">
      <w:pPr>
        <w:pStyle w:val="BodyTextMain"/>
        <w:rPr>
          <w:sz w:val="18"/>
          <w:szCs w:val="18"/>
          <w:lang w:val="en-GB"/>
        </w:rPr>
      </w:pPr>
    </w:p>
    <w:p w14:paraId="22ED23E5" w14:textId="77777777" w:rsidR="00231552" w:rsidRPr="0081358C" w:rsidRDefault="00231552" w:rsidP="00231552">
      <w:pPr>
        <w:pStyle w:val="Casehead1"/>
        <w:rPr>
          <w:lang w:val="en-GB"/>
        </w:rPr>
      </w:pPr>
      <w:r w:rsidRPr="0081358C">
        <w:rPr>
          <w:lang w:val="en-GB"/>
        </w:rPr>
        <w:t>Conclusion</w:t>
      </w:r>
    </w:p>
    <w:p w14:paraId="143EA540" w14:textId="05082DA0" w:rsidR="00231552" w:rsidRPr="00F91873" w:rsidRDefault="00231552" w:rsidP="00231552">
      <w:pPr>
        <w:pStyle w:val="BodyTextMain"/>
        <w:rPr>
          <w:sz w:val="14"/>
          <w:szCs w:val="14"/>
          <w:lang w:val="en-GB"/>
        </w:rPr>
      </w:pPr>
    </w:p>
    <w:p w14:paraId="2C183161" w14:textId="64B9683A" w:rsidR="00231552" w:rsidRPr="00F91873" w:rsidRDefault="00866DF3" w:rsidP="00F91873">
      <w:pPr>
        <w:pStyle w:val="BodyTextMain"/>
        <w:rPr>
          <w:lang w:val="en-GB"/>
        </w:rPr>
      </w:pPr>
      <w:r w:rsidRPr="0081358C">
        <w:rPr>
          <w:lang w:val="en-GB"/>
        </w:rPr>
        <w:t xml:space="preserve">Knowing </w:t>
      </w:r>
      <w:r w:rsidR="00967EAD">
        <w:rPr>
          <w:lang w:val="en-GB"/>
        </w:rPr>
        <w:t xml:space="preserve">that </w:t>
      </w:r>
      <w:r w:rsidRPr="0081358C">
        <w:rPr>
          <w:lang w:val="en-GB"/>
        </w:rPr>
        <w:t>the</w:t>
      </w:r>
      <w:r w:rsidR="00231552" w:rsidRPr="0081358C">
        <w:rPr>
          <w:lang w:val="en-GB"/>
        </w:rPr>
        <w:t xml:space="preserve"> </w:t>
      </w:r>
      <w:r w:rsidR="00967EAD">
        <w:rPr>
          <w:lang w:val="en-GB"/>
        </w:rPr>
        <w:t>drugstore</w:t>
      </w:r>
      <w:r w:rsidR="00231552" w:rsidRPr="0081358C">
        <w:rPr>
          <w:lang w:val="en-GB"/>
        </w:rPr>
        <w:t xml:space="preserve"> industry </w:t>
      </w:r>
      <w:r w:rsidRPr="0081358C">
        <w:rPr>
          <w:lang w:val="en-GB"/>
        </w:rPr>
        <w:t xml:space="preserve">was </w:t>
      </w:r>
      <w:r w:rsidR="00231552" w:rsidRPr="0081358C">
        <w:rPr>
          <w:lang w:val="en-GB"/>
        </w:rPr>
        <w:t xml:space="preserve">in turmoil and </w:t>
      </w:r>
      <w:r w:rsidRPr="0081358C">
        <w:rPr>
          <w:lang w:val="en-GB"/>
        </w:rPr>
        <w:t xml:space="preserve">that Rite Aid had failed to </w:t>
      </w:r>
      <w:r w:rsidR="00231552" w:rsidRPr="0081358C">
        <w:rPr>
          <w:lang w:val="en-GB"/>
        </w:rPr>
        <w:t>secure a buyer</w:t>
      </w:r>
      <w:r w:rsidRPr="0081358C">
        <w:rPr>
          <w:lang w:val="en-GB"/>
        </w:rPr>
        <w:t xml:space="preserve">, the incoming chair knew </w:t>
      </w:r>
      <w:r w:rsidR="00967EAD">
        <w:rPr>
          <w:lang w:val="en-GB"/>
        </w:rPr>
        <w:t xml:space="preserve">that </w:t>
      </w:r>
      <w:r w:rsidRPr="0081358C">
        <w:rPr>
          <w:lang w:val="en-GB"/>
        </w:rPr>
        <w:t xml:space="preserve">he </w:t>
      </w:r>
      <w:r w:rsidR="00231552" w:rsidRPr="0081358C">
        <w:rPr>
          <w:lang w:val="en-GB"/>
        </w:rPr>
        <w:t xml:space="preserve">needed to review the company’s strategy and its management’s capabilities. In the face of consolidation, vertical integration, and disruption from new entrants, survival was uncertain. Could Rite Aid survive on </w:t>
      </w:r>
      <w:r w:rsidRPr="0081358C">
        <w:rPr>
          <w:lang w:val="en-GB"/>
        </w:rPr>
        <w:t>its</w:t>
      </w:r>
      <w:r w:rsidR="00231552" w:rsidRPr="0081358C">
        <w:rPr>
          <w:lang w:val="en-GB"/>
        </w:rPr>
        <w:t xml:space="preserve"> own</w:t>
      </w:r>
      <w:r w:rsidRPr="0081358C">
        <w:rPr>
          <w:lang w:val="en-GB"/>
        </w:rPr>
        <w:t>? W</w:t>
      </w:r>
      <w:r w:rsidR="00231552" w:rsidRPr="0081358C">
        <w:rPr>
          <w:lang w:val="en-GB"/>
        </w:rPr>
        <w:t>ould it be feasible to attempt a third merger agreement, or were more radical options needed?</w:t>
      </w:r>
      <w:r w:rsidR="00231552" w:rsidRPr="0081358C">
        <w:rPr>
          <w:lang w:val="en-GB"/>
        </w:rPr>
        <w:br w:type="page"/>
      </w:r>
    </w:p>
    <w:p w14:paraId="03FB9C00" w14:textId="77777777" w:rsidR="007E2503" w:rsidRPr="0081358C" w:rsidRDefault="007E2503" w:rsidP="007E2503">
      <w:pPr>
        <w:pStyle w:val="ExhibitHeading"/>
        <w:rPr>
          <w:lang w:val="en-GB"/>
        </w:rPr>
      </w:pPr>
      <w:r w:rsidRPr="0081358C">
        <w:rPr>
          <w:lang w:val="en-GB"/>
        </w:rPr>
        <w:lastRenderedPageBreak/>
        <w:t xml:space="preserve">Exhibit </w:t>
      </w:r>
      <w:r>
        <w:rPr>
          <w:lang w:val="en-GB"/>
        </w:rPr>
        <w:t>1</w:t>
      </w:r>
      <w:r w:rsidRPr="0081358C">
        <w:rPr>
          <w:lang w:val="en-GB"/>
        </w:rPr>
        <w:t>: Largest Pharmacies by Total Prescription Revenues</w:t>
      </w:r>
    </w:p>
    <w:p w14:paraId="669C5270" w14:textId="77777777" w:rsidR="007E2503" w:rsidRPr="0081358C" w:rsidRDefault="007E2503" w:rsidP="007E2503">
      <w:pPr>
        <w:pStyle w:val="ExhibitText"/>
        <w:rPr>
          <w:lang w:val="en-GB"/>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425"/>
        <w:gridCol w:w="2070"/>
        <w:gridCol w:w="1530"/>
        <w:gridCol w:w="1260"/>
        <w:gridCol w:w="1924"/>
      </w:tblGrid>
      <w:tr w:rsidR="007E2503" w:rsidRPr="00F91873" w14:paraId="6C6558A7" w14:textId="77777777" w:rsidTr="00F91873">
        <w:trPr>
          <w:trHeight w:val="454"/>
          <w:jc w:val="center"/>
        </w:trPr>
        <w:tc>
          <w:tcPr>
            <w:tcW w:w="2425" w:type="dxa"/>
            <w:shd w:val="clear" w:color="auto" w:fill="auto"/>
            <w:noWrap/>
            <w:vAlign w:val="center"/>
            <w:hideMark/>
          </w:tcPr>
          <w:p w14:paraId="1613737F" w14:textId="77777777" w:rsidR="007E2503" w:rsidRPr="00F91873" w:rsidRDefault="007E2503" w:rsidP="002621C2">
            <w:pPr>
              <w:jc w:val="center"/>
              <w:rPr>
                <w:rFonts w:ascii="Arial" w:hAnsi="Arial" w:cs="Arial"/>
                <w:b/>
                <w:color w:val="000000"/>
                <w:sz w:val="18"/>
                <w:szCs w:val="18"/>
                <w:lang w:val="en-GB"/>
              </w:rPr>
            </w:pPr>
            <w:r w:rsidRPr="00F91873">
              <w:rPr>
                <w:rFonts w:ascii="Arial" w:hAnsi="Arial" w:cs="Arial"/>
                <w:b/>
                <w:color w:val="000000"/>
                <w:sz w:val="18"/>
                <w:szCs w:val="18"/>
                <w:lang w:val="en-GB"/>
              </w:rPr>
              <w:t>Company</w:t>
            </w:r>
          </w:p>
        </w:tc>
        <w:tc>
          <w:tcPr>
            <w:tcW w:w="2070" w:type="dxa"/>
            <w:shd w:val="clear" w:color="auto" w:fill="auto"/>
            <w:vAlign w:val="center"/>
            <w:hideMark/>
          </w:tcPr>
          <w:p w14:paraId="03429CB1" w14:textId="77777777" w:rsidR="007E2503" w:rsidRPr="00F91873" w:rsidRDefault="007E2503" w:rsidP="002621C2">
            <w:pPr>
              <w:jc w:val="center"/>
              <w:rPr>
                <w:rFonts w:ascii="Arial" w:hAnsi="Arial" w:cs="Arial"/>
                <w:b/>
                <w:color w:val="000000"/>
                <w:sz w:val="18"/>
                <w:szCs w:val="18"/>
                <w:lang w:val="en-GB"/>
              </w:rPr>
            </w:pPr>
            <w:r w:rsidRPr="00F91873">
              <w:rPr>
                <w:rFonts w:ascii="Arial" w:hAnsi="Arial" w:cs="Arial"/>
                <w:b/>
                <w:color w:val="000000"/>
                <w:sz w:val="18"/>
                <w:szCs w:val="18"/>
                <w:lang w:val="en-GB"/>
              </w:rPr>
              <w:t>Estimated 2017 Prescription Revenues (US$ Billions)</w:t>
            </w:r>
          </w:p>
        </w:tc>
        <w:tc>
          <w:tcPr>
            <w:tcW w:w="1530" w:type="dxa"/>
            <w:shd w:val="clear" w:color="auto" w:fill="auto"/>
            <w:vAlign w:val="center"/>
            <w:hideMark/>
          </w:tcPr>
          <w:p w14:paraId="2D81E5B4" w14:textId="77777777" w:rsidR="007E2503" w:rsidRPr="00F91873" w:rsidRDefault="007E2503" w:rsidP="002621C2">
            <w:pPr>
              <w:jc w:val="center"/>
              <w:rPr>
                <w:rFonts w:ascii="Arial" w:hAnsi="Arial" w:cs="Arial"/>
                <w:b/>
                <w:color w:val="000000"/>
                <w:sz w:val="18"/>
                <w:szCs w:val="18"/>
                <w:lang w:val="en-GB"/>
              </w:rPr>
            </w:pPr>
            <w:r w:rsidRPr="00F91873">
              <w:rPr>
                <w:rFonts w:ascii="Arial" w:hAnsi="Arial" w:cs="Arial"/>
                <w:b/>
                <w:color w:val="000000"/>
                <w:sz w:val="18"/>
                <w:szCs w:val="18"/>
                <w:lang w:val="en-GB"/>
              </w:rPr>
              <w:t>Share of 2017 Prescription Revenues (%)</w:t>
            </w:r>
          </w:p>
        </w:tc>
        <w:tc>
          <w:tcPr>
            <w:tcW w:w="1260" w:type="dxa"/>
            <w:shd w:val="clear" w:color="auto" w:fill="auto"/>
            <w:vAlign w:val="center"/>
            <w:hideMark/>
          </w:tcPr>
          <w:p w14:paraId="6B55F518" w14:textId="77777777" w:rsidR="007E2503" w:rsidRPr="00F91873" w:rsidRDefault="007E2503" w:rsidP="002621C2">
            <w:pPr>
              <w:jc w:val="center"/>
              <w:rPr>
                <w:rFonts w:ascii="Arial" w:hAnsi="Arial" w:cs="Arial"/>
                <w:b/>
                <w:color w:val="000000"/>
                <w:sz w:val="18"/>
                <w:szCs w:val="18"/>
                <w:lang w:val="en-GB"/>
              </w:rPr>
            </w:pPr>
            <w:r w:rsidRPr="00F91873">
              <w:rPr>
                <w:rFonts w:ascii="Arial" w:hAnsi="Arial" w:cs="Arial"/>
                <w:b/>
                <w:color w:val="000000"/>
                <w:sz w:val="18"/>
                <w:szCs w:val="18"/>
                <w:lang w:val="en-GB"/>
              </w:rPr>
              <w:t>Change in Revenues versus 2016</w:t>
            </w:r>
          </w:p>
        </w:tc>
        <w:tc>
          <w:tcPr>
            <w:tcW w:w="1924" w:type="dxa"/>
            <w:shd w:val="clear" w:color="auto" w:fill="auto"/>
            <w:vAlign w:val="center"/>
            <w:hideMark/>
          </w:tcPr>
          <w:p w14:paraId="5BA88E3B" w14:textId="77777777" w:rsidR="007E2503" w:rsidRPr="00F91873" w:rsidRDefault="007E2503" w:rsidP="002621C2">
            <w:pPr>
              <w:jc w:val="center"/>
              <w:rPr>
                <w:rFonts w:ascii="Arial" w:hAnsi="Arial" w:cs="Arial"/>
                <w:b/>
                <w:color w:val="000000"/>
                <w:sz w:val="18"/>
                <w:szCs w:val="18"/>
                <w:lang w:val="en-GB"/>
              </w:rPr>
            </w:pPr>
            <w:r w:rsidRPr="00F91873">
              <w:rPr>
                <w:rFonts w:ascii="Arial" w:hAnsi="Arial" w:cs="Arial"/>
                <w:b/>
                <w:color w:val="000000"/>
                <w:sz w:val="18"/>
                <w:szCs w:val="18"/>
                <w:lang w:val="en-GB"/>
              </w:rPr>
              <w:t>Primary Dispensing Format</w:t>
            </w:r>
          </w:p>
        </w:tc>
      </w:tr>
      <w:tr w:rsidR="007E2503" w:rsidRPr="00F91873" w14:paraId="730DB0A7" w14:textId="77777777" w:rsidTr="00F91873">
        <w:trPr>
          <w:trHeight w:val="80"/>
          <w:jc w:val="center"/>
        </w:trPr>
        <w:tc>
          <w:tcPr>
            <w:tcW w:w="2425" w:type="dxa"/>
            <w:shd w:val="clear" w:color="auto" w:fill="auto"/>
            <w:noWrap/>
            <w:vAlign w:val="center"/>
            <w:hideMark/>
          </w:tcPr>
          <w:p w14:paraId="0706FC1A"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CVS Health Corporation</w:t>
            </w:r>
          </w:p>
        </w:tc>
        <w:tc>
          <w:tcPr>
            <w:tcW w:w="2070" w:type="dxa"/>
            <w:shd w:val="clear" w:color="auto" w:fill="auto"/>
            <w:noWrap/>
            <w:vAlign w:val="center"/>
            <w:hideMark/>
          </w:tcPr>
          <w:p w14:paraId="3202279F" w14:textId="77777777" w:rsidR="007E2503" w:rsidRPr="00F91873" w:rsidRDefault="007E2503" w:rsidP="002621C2">
            <w:pPr>
              <w:jc w:val="center"/>
              <w:rPr>
                <w:rFonts w:ascii="Arial" w:hAnsi="Arial" w:cs="Arial"/>
                <w:color w:val="000000"/>
                <w:sz w:val="18"/>
                <w:szCs w:val="18"/>
                <w:lang w:val="en-GB"/>
              </w:rPr>
            </w:pPr>
          </w:p>
        </w:tc>
        <w:tc>
          <w:tcPr>
            <w:tcW w:w="1530" w:type="dxa"/>
            <w:shd w:val="clear" w:color="auto" w:fill="auto"/>
            <w:noWrap/>
            <w:vAlign w:val="center"/>
            <w:hideMark/>
          </w:tcPr>
          <w:p w14:paraId="17B6BEC1" w14:textId="77777777" w:rsidR="007E2503" w:rsidRPr="00F91873" w:rsidRDefault="007E2503" w:rsidP="002621C2">
            <w:pPr>
              <w:jc w:val="center"/>
              <w:rPr>
                <w:rFonts w:ascii="Arial" w:hAnsi="Arial" w:cs="Arial"/>
                <w:sz w:val="18"/>
                <w:szCs w:val="18"/>
                <w:lang w:val="en-GB"/>
              </w:rPr>
            </w:pPr>
          </w:p>
        </w:tc>
        <w:tc>
          <w:tcPr>
            <w:tcW w:w="1260" w:type="dxa"/>
            <w:shd w:val="clear" w:color="auto" w:fill="auto"/>
            <w:noWrap/>
            <w:vAlign w:val="center"/>
            <w:hideMark/>
          </w:tcPr>
          <w:p w14:paraId="58C0AA3C" w14:textId="77777777" w:rsidR="007E2503" w:rsidRPr="00F91873" w:rsidRDefault="007E2503" w:rsidP="002621C2">
            <w:pPr>
              <w:jc w:val="center"/>
              <w:rPr>
                <w:rFonts w:ascii="Arial" w:hAnsi="Arial" w:cs="Arial"/>
                <w:sz w:val="18"/>
                <w:szCs w:val="18"/>
                <w:lang w:val="en-GB"/>
              </w:rPr>
            </w:pPr>
          </w:p>
        </w:tc>
        <w:tc>
          <w:tcPr>
            <w:tcW w:w="1924" w:type="dxa"/>
            <w:shd w:val="clear" w:color="auto" w:fill="auto"/>
            <w:noWrap/>
            <w:vAlign w:val="bottom"/>
            <w:hideMark/>
          </w:tcPr>
          <w:p w14:paraId="724F9B82" w14:textId="77777777" w:rsidR="007E2503" w:rsidRPr="00F91873" w:rsidRDefault="007E2503" w:rsidP="002621C2">
            <w:pPr>
              <w:rPr>
                <w:rFonts w:ascii="Arial" w:hAnsi="Arial" w:cs="Arial"/>
                <w:sz w:val="18"/>
                <w:szCs w:val="18"/>
                <w:lang w:val="en-GB"/>
              </w:rPr>
            </w:pPr>
          </w:p>
        </w:tc>
      </w:tr>
      <w:tr w:rsidR="007E2503" w:rsidRPr="00F91873" w14:paraId="5E3C6268" w14:textId="77777777" w:rsidTr="00F91873">
        <w:trPr>
          <w:trHeight w:val="170"/>
          <w:jc w:val="center"/>
        </w:trPr>
        <w:tc>
          <w:tcPr>
            <w:tcW w:w="2425" w:type="dxa"/>
            <w:shd w:val="clear" w:color="auto" w:fill="auto"/>
            <w:noWrap/>
            <w:vAlign w:val="center"/>
            <w:hideMark/>
          </w:tcPr>
          <w:p w14:paraId="6F3EDC31"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 Retail Pharmacy</w:t>
            </w:r>
          </w:p>
        </w:tc>
        <w:tc>
          <w:tcPr>
            <w:tcW w:w="2070" w:type="dxa"/>
            <w:shd w:val="clear" w:color="auto" w:fill="auto"/>
            <w:noWrap/>
            <w:vAlign w:val="center"/>
            <w:hideMark/>
          </w:tcPr>
          <w:p w14:paraId="599248CC"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59.5</w:t>
            </w:r>
          </w:p>
        </w:tc>
        <w:tc>
          <w:tcPr>
            <w:tcW w:w="1530" w:type="dxa"/>
            <w:shd w:val="clear" w:color="auto" w:fill="auto"/>
            <w:noWrap/>
            <w:vAlign w:val="center"/>
            <w:hideMark/>
          </w:tcPr>
          <w:p w14:paraId="5BFFA3D5"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14.4</w:t>
            </w:r>
          </w:p>
        </w:tc>
        <w:tc>
          <w:tcPr>
            <w:tcW w:w="1260" w:type="dxa"/>
            <w:shd w:val="clear" w:color="auto" w:fill="auto"/>
            <w:noWrap/>
            <w:vAlign w:val="center"/>
            <w:hideMark/>
          </w:tcPr>
          <w:p w14:paraId="793D0787"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−2.1</w:t>
            </w:r>
          </w:p>
        </w:tc>
        <w:tc>
          <w:tcPr>
            <w:tcW w:w="1924" w:type="dxa"/>
            <w:shd w:val="clear" w:color="auto" w:fill="auto"/>
            <w:noWrap/>
            <w:vAlign w:val="center"/>
            <w:hideMark/>
          </w:tcPr>
          <w:p w14:paraId="3556CE7D"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Chain drugstore/Long-term care pharmacy</w:t>
            </w:r>
          </w:p>
        </w:tc>
      </w:tr>
      <w:tr w:rsidR="007E2503" w:rsidRPr="00F91873" w14:paraId="738CEF44" w14:textId="77777777" w:rsidTr="00F91873">
        <w:trPr>
          <w:trHeight w:val="227"/>
          <w:jc w:val="center"/>
        </w:trPr>
        <w:tc>
          <w:tcPr>
            <w:tcW w:w="2425" w:type="dxa"/>
            <w:shd w:val="clear" w:color="auto" w:fill="auto"/>
            <w:noWrap/>
            <w:vAlign w:val="center"/>
            <w:hideMark/>
          </w:tcPr>
          <w:p w14:paraId="4D98172F"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 Pharmacy Services</w:t>
            </w:r>
          </w:p>
        </w:tc>
        <w:tc>
          <w:tcPr>
            <w:tcW w:w="2070" w:type="dxa"/>
            <w:shd w:val="clear" w:color="auto" w:fill="auto"/>
            <w:noWrap/>
            <w:vAlign w:val="center"/>
            <w:hideMark/>
          </w:tcPr>
          <w:p w14:paraId="5EBE3306"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38.6</w:t>
            </w:r>
          </w:p>
        </w:tc>
        <w:tc>
          <w:tcPr>
            <w:tcW w:w="1530" w:type="dxa"/>
            <w:shd w:val="clear" w:color="auto" w:fill="auto"/>
            <w:noWrap/>
            <w:vAlign w:val="center"/>
            <w:hideMark/>
          </w:tcPr>
          <w:p w14:paraId="41B85BED"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9.4</w:t>
            </w:r>
          </w:p>
        </w:tc>
        <w:tc>
          <w:tcPr>
            <w:tcW w:w="1260" w:type="dxa"/>
            <w:shd w:val="clear" w:color="auto" w:fill="auto"/>
            <w:noWrap/>
            <w:vAlign w:val="center"/>
            <w:hideMark/>
          </w:tcPr>
          <w:p w14:paraId="58AB5868"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8.2</w:t>
            </w:r>
          </w:p>
        </w:tc>
        <w:tc>
          <w:tcPr>
            <w:tcW w:w="1924" w:type="dxa"/>
            <w:shd w:val="clear" w:color="auto" w:fill="auto"/>
            <w:noWrap/>
            <w:vAlign w:val="center"/>
            <w:hideMark/>
          </w:tcPr>
          <w:p w14:paraId="406B684C"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pharmacy</w:t>
            </w:r>
          </w:p>
        </w:tc>
      </w:tr>
      <w:tr w:rsidR="007E2503" w:rsidRPr="00F91873" w14:paraId="156434A9" w14:textId="77777777" w:rsidTr="00F91873">
        <w:trPr>
          <w:trHeight w:val="227"/>
          <w:jc w:val="center"/>
        </w:trPr>
        <w:tc>
          <w:tcPr>
            <w:tcW w:w="2425" w:type="dxa"/>
            <w:shd w:val="clear" w:color="auto" w:fill="auto"/>
            <w:noWrap/>
            <w:vAlign w:val="center"/>
            <w:hideMark/>
          </w:tcPr>
          <w:p w14:paraId="00C404BC" w14:textId="77777777" w:rsidR="007E2503" w:rsidRPr="00F91873" w:rsidRDefault="007E2503" w:rsidP="002621C2">
            <w:pPr>
              <w:rPr>
                <w:rFonts w:ascii="Arial" w:hAnsi="Arial" w:cs="Arial"/>
                <w:color w:val="000000"/>
                <w:spacing w:val="-4"/>
                <w:kern w:val="18"/>
                <w:sz w:val="18"/>
                <w:szCs w:val="18"/>
                <w:lang w:val="en-GB"/>
              </w:rPr>
            </w:pPr>
            <w:r w:rsidRPr="00F91873">
              <w:rPr>
                <w:rFonts w:ascii="Arial" w:hAnsi="Arial" w:cs="Arial"/>
                <w:color w:val="000000"/>
                <w:spacing w:val="-4"/>
                <w:kern w:val="18"/>
                <w:sz w:val="18"/>
                <w:szCs w:val="18"/>
                <w:lang w:val="en-GB"/>
              </w:rPr>
              <w:t>Walgreens Boots Alliance Inc.</w:t>
            </w:r>
          </w:p>
        </w:tc>
        <w:tc>
          <w:tcPr>
            <w:tcW w:w="2070" w:type="dxa"/>
            <w:shd w:val="clear" w:color="auto" w:fill="auto"/>
            <w:noWrap/>
            <w:vAlign w:val="center"/>
            <w:hideMark/>
          </w:tcPr>
          <w:p w14:paraId="7AF64BAD"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64.3</w:t>
            </w:r>
          </w:p>
        </w:tc>
        <w:tc>
          <w:tcPr>
            <w:tcW w:w="1530" w:type="dxa"/>
            <w:shd w:val="clear" w:color="auto" w:fill="auto"/>
            <w:noWrap/>
            <w:vAlign w:val="center"/>
            <w:hideMark/>
          </w:tcPr>
          <w:p w14:paraId="55C23292"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15.6</w:t>
            </w:r>
          </w:p>
        </w:tc>
        <w:tc>
          <w:tcPr>
            <w:tcW w:w="1260" w:type="dxa"/>
            <w:shd w:val="clear" w:color="auto" w:fill="auto"/>
            <w:noWrap/>
            <w:vAlign w:val="center"/>
            <w:hideMark/>
          </w:tcPr>
          <w:p w14:paraId="161AE0AF"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13.9</w:t>
            </w:r>
          </w:p>
        </w:tc>
        <w:tc>
          <w:tcPr>
            <w:tcW w:w="1924" w:type="dxa"/>
            <w:shd w:val="clear" w:color="auto" w:fill="auto"/>
            <w:noWrap/>
            <w:vAlign w:val="center"/>
            <w:hideMark/>
          </w:tcPr>
          <w:p w14:paraId="202A64A8"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 xml:space="preserve">Chain drugstore </w:t>
            </w:r>
          </w:p>
        </w:tc>
      </w:tr>
      <w:tr w:rsidR="007E2503" w:rsidRPr="00F91873" w14:paraId="02FC2933" w14:textId="77777777" w:rsidTr="00F91873">
        <w:trPr>
          <w:trHeight w:val="227"/>
          <w:jc w:val="center"/>
        </w:trPr>
        <w:tc>
          <w:tcPr>
            <w:tcW w:w="2425" w:type="dxa"/>
            <w:shd w:val="clear" w:color="auto" w:fill="auto"/>
            <w:noWrap/>
            <w:vAlign w:val="center"/>
            <w:hideMark/>
          </w:tcPr>
          <w:p w14:paraId="4044F0A4"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Express Scripts Inc.</w:t>
            </w:r>
          </w:p>
        </w:tc>
        <w:tc>
          <w:tcPr>
            <w:tcW w:w="2070" w:type="dxa"/>
            <w:shd w:val="clear" w:color="auto" w:fill="auto"/>
            <w:noWrap/>
            <w:vAlign w:val="center"/>
            <w:hideMark/>
          </w:tcPr>
          <w:p w14:paraId="2FD094BA"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44.8</w:t>
            </w:r>
          </w:p>
        </w:tc>
        <w:tc>
          <w:tcPr>
            <w:tcW w:w="1530" w:type="dxa"/>
            <w:shd w:val="clear" w:color="auto" w:fill="auto"/>
            <w:noWrap/>
            <w:vAlign w:val="center"/>
            <w:hideMark/>
          </w:tcPr>
          <w:p w14:paraId="6FE6728B"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10.9</w:t>
            </w:r>
          </w:p>
        </w:tc>
        <w:tc>
          <w:tcPr>
            <w:tcW w:w="1260" w:type="dxa"/>
            <w:shd w:val="clear" w:color="auto" w:fill="auto"/>
            <w:noWrap/>
            <w:vAlign w:val="center"/>
            <w:hideMark/>
          </w:tcPr>
          <w:p w14:paraId="76C52991"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2.5</w:t>
            </w:r>
          </w:p>
        </w:tc>
        <w:tc>
          <w:tcPr>
            <w:tcW w:w="1924" w:type="dxa"/>
            <w:shd w:val="clear" w:color="auto" w:fill="auto"/>
            <w:noWrap/>
            <w:vAlign w:val="center"/>
            <w:hideMark/>
          </w:tcPr>
          <w:p w14:paraId="04D88F3F"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pharmacy</w:t>
            </w:r>
          </w:p>
        </w:tc>
      </w:tr>
      <w:tr w:rsidR="007E2503" w:rsidRPr="00F91873" w14:paraId="6A8CB369" w14:textId="77777777" w:rsidTr="00F91873">
        <w:trPr>
          <w:trHeight w:val="227"/>
          <w:jc w:val="center"/>
        </w:trPr>
        <w:tc>
          <w:tcPr>
            <w:tcW w:w="2425" w:type="dxa"/>
            <w:shd w:val="clear" w:color="auto" w:fill="auto"/>
            <w:noWrap/>
            <w:vAlign w:val="center"/>
            <w:hideMark/>
          </w:tcPr>
          <w:p w14:paraId="1EC53DAE"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UnitedHealth Group Inc.</w:t>
            </w:r>
          </w:p>
        </w:tc>
        <w:tc>
          <w:tcPr>
            <w:tcW w:w="2070" w:type="dxa"/>
            <w:shd w:val="clear" w:color="auto" w:fill="auto"/>
            <w:noWrap/>
            <w:vAlign w:val="center"/>
            <w:hideMark/>
          </w:tcPr>
          <w:p w14:paraId="0FDBFFE0"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21.0</w:t>
            </w:r>
          </w:p>
        </w:tc>
        <w:tc>
          <w:tcPr>
            <w:tcW w:w="1530" w:type="dxa"/>
            <w:shd w:val="clear" w:color="auto" w:fill="auto"/>
            <w:noWrap/>
            <w:vAlign w:val="center"/>
            <w:hideMark/>
          </w:tcPr>
          <w:p w14:paraId="05F3FFAF"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5.1</w:t>
            </w:r>
          </w:p>
        </w:tc>
        <w:tc>
          <w:tcPr>
            <w:tcW w:w="1260" w:type="dxa"/>
            <w:shd w:val="clear" w:color="auto" w:fill="auto"/>
            <w:noWrap/>
            <w:vAlign w:val="center"/>
            <w:hideMark/>
          </w:tcPr>
          <w:p w14:paraId="7CA47EBD"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14.9</w:t>
            </w:r>
          </w:p>
        </w:tc>
        <w:tc>
          <w:tcPr>
            <w:tcW w:w="1924" w:type="dxa"/>
            <w:shd w:val="clear" w:color="auto" w:fill="auto"/>
            <w:noWrap/>
            <w:vAlign w:val="center"/>
            <w:hideMark/>
          </w:tcPr>
          <w:p w14:paraId="4D9F1245"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pharmacy</w:t>
            </w:r>
          </w:p>
        </w:tc>
      </w:tr>
      <w:tr w:rsidR="007E2503" w:rsidRPr="00F91873" w14:paraId="51DAC7D7" w14:textId="77777777" w:rsidTr="00F91873">
        <w:trPr>
          <w:trHeight w:val="116"/>
          <w:jc w:val="center"/>
        </w:trPr>
        <w:tc>
          <w:tcPr>
            <w:tcW w:w="2425" w:type="dxa"/>
            <w:shd w:val="clear" w:color="auto" w:fill="auto"/>
            <w:noWrap/>
            <w:vAlign w:val="center"/>
            <w:hideMark/>
          </w:tcPr>
          <w:p w14:paraId="32CBB4E3"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Walmart Inc.</w:t>
            </w:r>
          </w:p>
        </w:tc>
        <w:tc>
          <w:tcPr>
            <w:tcW w:w="2070" w:type="dxa"/>
            <w:shd w:val="clear" w:color="auto" w:fill="auto"/>
            <w:noWrap/>
            <w:vAlign w:val="center"/>
            <w:hideMark/>
          </w:tcPr>
          <w:p w14:paraId="4BE737F7"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20.5</w:t>
            </w:r>
          </w:p>
        </w:tc>
        <w:tc>
          <w:tcPr>
            <w:tcW w:w="1530" w:type="dxa"/>
            <w:shd w:val="clear" w:color="auto" w:fill="auto"/>
            <w:noWrap/>
            <w:vAlign w:val="center"/>
            <w:hideMark/>
          </w:tcPr>
          <w:p w14:paraId="005ACDDC"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5.0</w:t>
            </w:r>
          </w:p>
        </w:tc>
        <w:tc>
          <w:tcPr>
            <w:tcW w:w="1260" w:type="dxa"/>
            <w:shd w:val="clear" w:color="auto" w:fill="auto"/>
            <w:noWrap/>
            <w:vAlign w:val="center"/>
            <w:hideMark/>
          </w:tcPr>
          <w:p w14:paraId="36981D35"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−0.4</w:t>
            </w:r>
          </w:p>
        </w:tc>
        <w:tc>
          <w:tcPr>
            <w:tcW w:w="1924" w:type="dxa"/>
            <w:shd w:val="clear" w:color="auto" w:fill="auto"/>
            <w:noWrap/>
            <w:vAlign w:val="center"/>
            <w:hideMark/>
          </w:tcPr>
          <w:p w14:paraId="04A53B26"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Mass merchant with pharmacy</w:t>
            </w:r>
          </w:p>
        </w:tc>
      </w:tr>
      <w:tr w:rsidR="007E2503" w:rsidRPr="00F91873" w14:paraId="2D2C7D6B" w14:textId="77777777" w:rsidTr="00F91873">
        <w:trPr>
          <w:trHeight w:val="56"/>
          <w:jc w:val="center"/>
        </w:trPr>
        <w:tc>
          <w:tcPr>
            <w:tcW w:w="2425" w:type="dxa"/>
            <w:shd w:val="clear" w:color="auto" w:fill="auto"/>
            <w:noWrap/>
            <w:vAlign w:val="center"/>
            <w:hideMark/>
          </w:tcPr>
          <w:p w14:paraId="5131754C"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Rite Aid Corporation</w:t>
            </w:r>
          </w:p>
        </w:tc>
        <w:tc>
          <w:tcPr>
            <w:tcW w:w="2070" w:type="dxa"/>
            <w:shd w:val="clear" w:color="auto" w:fill="auto"/>
            <w:noWrap/>
            <w:vAlign w:val="center"/>
            <w:hideMark/>
          </w:tcPr>
          <w:p w14:paraId="716DB78D"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15.8</w:t>
            </w:r>
          </w:p>
        </w:tc>
        <w:tc>
          <w:tcPr>
            <w:tcW w:w="1530" w:type="dxa"/>
            <w:shd w:val="clear" w:color="auto" w:fill="auto"/>
            <w:noWrap/>
            <w:vAlign w:val="center"/>
            <w:hideMark/>
          </w:tcPr>
          <w:p w14:paraId="19279F5A"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3.8</w:t>
            </w:r>
          </w:p>
        </w:tc>
        <w:tc>
          <w:tcPr>
            <w:tcW w:w="1260" w:type="dxa"/>
            <w:shd w:val="clear" w:color="auto" w:fill="auto"/>
            <w:noWrap/>
            <w:vAlign w:val="center"/>
            <w:hideMark/>
          </w:tcPr>
          <w:p w14:paraId="2018EE61"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−17.1</w:t>
            </w:r>
          </w:p>
        </w:tc>
        <w:tc>
          <w:tcPr>
            <w:tcW w:w="1924" w:type="dxa"/>
            <w:shd w:val="clear" w:color="auto" w:fill="auto"/>
            <w:noWrap/>
            <w:vAlign w:val="center"/>
            <w:hideMark/>
          </w:tcPr>
          <w:p w14:paraId="777DB8EE"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Chain drugstore</w:t>
            </w:r>
          </w:p>
        </w:tc>
      </w:tr>
      <w:tr w:rsidR="007E2503" w:rsidRPr="00F91873" w14:paraId="3A61A2F1" w14:textId="77777777" w:rsidTr="00F91873">
        <w:trPr>
          <w:trHeight w:val="227"/>
          <w:jc w:val="center"/>
        </w:trPr>
        <w:tc>
          <w:tcPr>
            <w:tcW w:w="2425" w:type="dxa"/>
            <w:shd w:val="clear" w:color="auto" w:fill="auto"/>
            <w:noWrap/>
            <w:vAlign w:val="center"/>
            <w:hideMark/>
          </w:tcPr>
          <w:p w14:paraId="1ED44E8F"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The Kroger Company</w:t>
            </w:r>
          </w:p>
        </w:tc>
        <w:tc>
          <w:tcPr>
            <w:tcW w:w="2070" w:type="dxa"/>
            <w:shd w:val="clear" w:color="auto" w:fill="auto"/>
            <w:noWrap/>
            <w:vAlign w:val="center"/>
            <w:hideMark/>
          </w:tcPr>
          <w:p w14:paraId="51D691E0"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13.1</w:t>
            </w:r>
          </w:p>
        </w:tc>
        <w:tc>
          <w:tcPr>
            <w:tcW w:w="1530" w:type="dxa"/>
            <w:shd w:val="clear" w:color="auto" w:fill="auto"/>
            <w:noWrap/>
            <w:vAlign w:val="center"/>
            <w:hideMark/>
          </w:tcPr>
          <w:p w14:paraId="2FA7149E"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3.2</w:t>
            </w:r>
          </w:p>
        </w:tc>
        <w:tc>
          <w:tcPr>
            <w:tcW w:w="1260" w:type="dxa"/>
            <w:shd w:val="clear" w:color="auto" w:fill="auto"/>
            <w:noWrap/>
            <w:vAlign w:val="center"/>
            <w:hideMark/>
          </w:tcPr>
          <w:p w14:paraId="37CECDDC"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6.4</w:t>
            </w:r>
          </w:p>
        </w:tc>
        <w:tc>
          <w:tcPr>
            <w:tcW w:w="1924" w:type="dxa"/>
            <w:shd w:val="clear" w:color="auto" w:fill="auto"/>
            <w:noWrap/>
            <w:vAlign w:val="center"/>
            <w:hideMark/>
          </w:tcPr>
          <w:p w14:paraId="13BC504F"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Supermarket with pharmacy</w:t>
            </w:r>
          </w:p>
        </w:tc>
      </w:tr>
      <w:tr w:rsidR="007E2503" w:rsidRPr="00F91873" w14:paraId="627C78B6" w14:textId="77777777" w:rsidTr="00F91873">
        <w:trPr>
          <w:trHeight w:val="227"/>
          <w:jc w:val="center"/>
        </w:trPr>
        <w:tc>
          <w:tcPr>
            <w:tcW w:w="2425" w:type="dxa"/>
            <w:shd w:val="clear" w:color="auto" w:fill="auto"/>
            <w:noWrap/>
            <w:vAlign w:val="center"/>
            <w:hideMark/>
          </w:tcPr>
          <w:p w14:paraId="4EB4D2E3"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Humana Pharmacy Solutions</w:t>
            </w:r>
          </w:p>
        </w:tc>
        <w:tc>
          <w:tcPr>
            <w:tcW w:w="2070" w:type="dxa"/>
            <w:shd w:val="clear" w:color="auto" w:fill="auto"/>
            <w:noWrap/>
            <w:vAlign w:val="center"/>
            <w:hideMark/>
          </w:tcPr>
          <w:p w14:paraId="0A0B386B"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6.3</w:t>
            </w:r>
          </w:p>
        </w:tc>
        <w:tc>
          <w:tcPr>
            <w:tcW w:w="1530" w:type="dxa"/>
            <w:shd w:val="clear" w:color="auto" w:fill="auto"/>
            <w:noWrap/>
            <w:vAlign w:val="center"/>
            <w:hideMark/>
          </w:tcPr>
          <w:p w14:paraId="6B800E33"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1.5</w:t>
            </w:r>
          </w:p>
        </w:tc>
        <w:tc>
          <w:tcPr>
            <w:tcW w:w="1260" w:type="dxa"/>
            <w:shd w:val="clear" w:color="auto" w:fill="auto"/>
            <w:noWrap/>
            <w:vAlign w:val="center"/>
            <w:hideMark/>
          </w:tcPr>
          <w:p w14:paraId="2AADB69C"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5.0</w:t>
            </w:r>
          </w:p>
        </w:tc>
        <w:tc>
          <w:tcPr>
            <w:tcW w:w="1924" w:type="dxa"/>
            <w:shd w:val="clear" w:color="auto" w:fill="auto"/>
            <w:noWrap/>
            <w:vAlign w:val="center"/>
            <w:hideMark/>
          </w:tcPr>
          <w:p w14:paraId="654350B7"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pharmacy</w:t>
            </w:r>
          </w:p>
        </w:tc>
      </w:tr>
      <w:tr w:rsidR="007E2503" w:rsidRPr="00F91873" w14:paraId="2EE89D27" w14:textId="77777777" w:rsidTr="00F91873">
        <w:trPr>
          <w:trHeight w:val="227"/>
          <w:jc w:val="center"/>
        </w:trPr>
        <w:tc>
          <w:tcPr>
            <w:tcW w:w="2425" w:type="dxa"/>
            <w:shd w:val="clear" w:color="auto" w:fill="auto"/>
            <w:noWrap/>
            <w:vAlign w:val="center"/>
            <w:hideMark/>
          </w:tcPr>
          <w:p w14:paraId="5C2FBE19"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Albertsons Companies Inc.</w:t>
            </w:r>
          </w:p>
        </w:tc>
        <w:tc>
          <w:tcPr>
            <w:tcW w:w="2070" w:type="dxa"/>
            <w:shd w:val="clear" w:color="auto" w:fill="auto"/>
            <w:noWrap/>
            <w:vAlign w:val="center"/>
            <w:hideMark/>
          </w:tcPr>
          <w:p w14:paraId="2E9CB913"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5.0</w:t>
            </w:r>
          </w:p>
        </w:tc>
        <w:tc>
          <w:tcPr>
            <w:tcW w:w="1530" w:type="dxa"/>
            <w:shd w:val="clear" w:color="auto" w:fill="auto"/>
            <w:noWrap/>
            <w:vAlign w:val="center"/>
            <w:hideMark/>
          </w:tcPr>
          <w:p w14:paraId="4D74C845"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1.2</w:t>
            </w:r>
          </w:p>
        </w:tc>
        <w:tc>
          <w:tcPr>
            <w:tcW w:w="1260" w:type="dxa"/>
            <w:shd w:val="clear" w:color="auto" w:fill="auto"/>
            <w:noWrap/>
            <w:vAlign w:val="center"/>
            <w:hideMark/>
          </w:tcPr>
          <w:p w14:paraId="1433EC04"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−2.0</w:t>
            </w:r>
          </w:p>
        </w:tc>
        <w:tc>
          <w:tcPr>
            <w:tcW w:w="1924" w:type="dxa"/>
            <w:shd w:val="clear" w:color="auto" w:fill="auto"/>
            <w:noWrap/>
            <w:vAlign w:val="center"/>
            <w:hideMark/>
          </w:tcPr>
          <w:p w14:paraId="26F20CFA"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Supermarket with pharmacy</w:t>
            </w:r>
          </w:p>
        </w:tc>
      </w:tr>
      <w:tr w:rsidR="007E2503" w:rsidRPr="00F91873" w14:paraId="26DAD4DB" w14:textId="77777777" w:rsidTr="00F91873">
        <w:trPr>
          <w:trHeight w:val="227"/>
          <w:jc w:val="center"/>
        </w:trPr>
        <w:tc>
          <w:tcPr>
            <w:tcW w:w="2425" w:type="dxa"/>
            <w:shd w:val="clear" w:color="auto" w:fill="auto"/>
            <w:noWrap/>
            <w:vAlign w:val="center"/>
            <w:hideMark/>
          </w:tcPr>
          <w:p w14:paraId="2CE19BD7"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Diplomat Pharmacy Inc.</w:t>
            </w:r>
          </w:p>
        </w:tc>
        <w:tc>
          <w:tcPr>
            <w:tcW w:w="2070" w:type="dxa"/>
            <w:shd w:val="clear" w:color="auto" w:fill="auto"/>
            <w:noWrap/>
            <w:vAlign w:val="center"/>
            <w:hideMark/>
          </w:tcPr>
          <w:p w14:paraId="66244332"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4.5</w:t>
            </w:r>
          </w:p>
        </w:tc>
        <w:tc>
          <w:tcPr>
            <w:tcW w:w="1530" w:type="dxa"/>
            <w:shd w:val="clear" w:color="auto" w:fill="auto"/>
            <w:noWrap/>
            <w:vAlign w:val="center"/>
            <w:hideMark/>
          </w:tcPr>
          <w:p w14:paraId="1832C8EE"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1.1</w:t>
            </w:r>
          </w:p>
        </w:tc>
        <w:tc>
          <w:tcPr>
            <w:tcW w:w="1260" w:type="dxa"/>
            <w:shd w:val="clear" w:color="auto" w:fill="auto"/>
            <w:noWrap/>
            <w:vAlign w:val="center"/>
            <w:hideMark/>
          </w:tcPr>
          <w:p w14:paraId="6F531E49"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2.6</w:t>
            </w:r>
          </w:p>
        </w:tc>
        <w:tc>
          <w:tcPr>
            <w:tcW w:w="1924" w:type="dxa"/>
            <w:shd w:val="clear" w:color="auto" w:fill="auto"/>
            <w:noWrap/>
            <w:vAlign w:val="center"/>
            <w:hideMark/>
          </w:tcPr>
          <w:p w14:paraId="62BDCFD4"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pharmacy</w:t>
            </w:r>
          </w:p>
        </w:tc>
      </w:tr>
      <w:tr w:rsidR="007E2503" w:rsidRPr="00F91873" w14:paraId="07B87CD0" w14:textId="77777777" w:rsidTr="00F91873">
        <w:trPr>
          <w:trHeight w:val="227"/>
          <w:jc w:val="center"/>
        </w:trPr>
        <w:tc>
          <w:tcPr>
            <w:tcW w:w="2425" w:type="dxa"/>
            <w:shd w:val="clear" w:color="auto" w:fill="auto"/>
            <w:noWrap/>
            <w:vAlign w:val="center"/>
            <w:hideMark/>
          </w:tcPr>
          <w:p w14:paraId="34248B0F"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 xml:space="preserve">Cigna </w:t>
            </w:r>
          </w:p>
        </w:tc>
        <w:tc>
          <w:tcPr>
            <w:tcW w:w="2070" w:type="dxa"/>
            <w:shd w:val="clear" w:color="auto" w:fill="auto"/>
            <w:noWrap/>
            <w:vAlign w:val="center"/>
            <w:hideMark/>
          </w:tcPr>
          <w:p w14:paraId="78F78C72"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3.0</w:t>
            </w:r>
          </w:p>
        </w:tc>
        <w:tc>
          <w:tcPr>
            <w:tcW w:w="1530" w:type="dxa"/>
            <w:shd w:val="clear" w:color="auto" w:fill="auto"/>
            <w:noWrap/>
            <w:vAlign w:val="center"/>
            <w:hideMark/>
          </w:tcPr>
          <w:p w14:paraId="4BD3F4FD"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0.7</w:t>
            </w:r>
          </w:p>
        </w:tc>
        <w:tc>
          <w:tcPr>
            <w:tcW w:w="1260" w:type="dxa"/>
            <w:shd w:val="clear" w:color="auto" w:fill="auto"/>
            <w:noWrap/>
            <w:vAlign w:val="center"/>
            <w:hideMark/>
          </w:tcPr>
          <w:p w14:paraId="1D6A6641"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0.4</w:t>
            </w:r>
          </w:p>
        </w:tc>
        <w:tc>
          <w:tcPr>
            <w:tcW w:w="1924" w:type="dxa"/>
            <w:shd w:val="clear" w:color="auto" w:fill="auto"/>
            <w:noWrap/>
            <w:vAlign w:val="center"/>
            <w:hideMark/>
          </w:tcPr>
          <w:p w14:paraId="15E18503"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Mail/Specialty corporation</w:t>
            </w:r>
          </w:p>
        </w:tc>
      </w:tr>
      <w:tr w:rsidR="007E2503" w:rsidRPr="00F91873" w14:paraId="1FFE1038" w14:textId="77777777" w:rsidTr="00F91873">
        <w:trPr>
          <w:trHeight w:val="227"/>
          <w:jc w:val="center"/>
        </w:trPr>
        <w:tc>
          <w:tcPr>
            <w:tcW w:w="2425" w:type="dxa"/>
            <w:shd w:val="clear" w:color="auto" w:fill="auto"/>
            <w:noWrap/>
            <w:vAlign w:val="center"/>
            <w:hideMark/>
          </w:tcPr>
          <w:p w14:paraId="4B98FE4B"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Costco Wholesale Corporation</w:t>
            </w:r>
          </w:p>
        </w:tc>
        <w:tc>
          <w:tcPr>
            <w:tcW w:w="2070" w:type="dxa"/>
            <w:shd w:val="clear" w:color="auto" w:fill="auto"/>
            <w:noWrap/>
            <w:vAlign w:val="center"/>
            <w:hideMark/>
          </w:tcPr>
          <w:p w14:paraId="47606F11"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2.6</w:t>
            </w:r>
          </w:p>
        </w:tc>
        <w:tc>
          <w:tcPr>
            <w:tcW w:w="1530" w:type="dxa"/>
            <w:shd w:val="clear" w:color="auto" w:fill="auto"/>
            <w:noWrap/>
            <w:vAlign w:val="center"/>
            <w:hideMark/>
          </w:tcPr>
          <w:p w14:paraId="5991C7A0"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0.6</w:t>
            </w:r>
          </w:p>
        </w:tc>
        <w:tc>
          <w:tcPr>
            <w:tcW w:w="1260" w:type="dxa"/>
            <w:shd w:val="clear" w:color="auto" w:fill="auto"/>
            <w:noWrap/>
            <w:vAlign w:val="center"/>
            <w:hideMark/>
          </w:tcPr>
          <w:p w14:paraId="48A426E8"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0.5</w:t>
            </w:r>
          </w:p>
        </w:tc>
        <w:tc>
          <w:tcPr>
            <w:tcW w:w="1924" w:type="dxa"/>
            <w:shd w:val="clear" w:color="auto" w:fill="auto"/>
            <w:noWrap/>
            <w:vAlign w:val="center"/>
            <w:hideMark/>
          </w:tcPr>
          <w:p w14:paraId="5C756DB1"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Mass merchant with pharmacy</w:t>
            </w:r>
          </w:p>
        </w:tc>
      </w:tr>
      <w:tr w:rsidR="007E2503" w:rsidRPr="00F91873" w14:paraId="5E051C9C" w14:textId="77777777" w:rsidTr="00F91873">
        <w:trPr>
          <w:trHeight w:val="227"/>
          <w:jc w:val="center"/>
        </w:trPr>
        <w:tc>
          <w:tcPr>
            <w:tcW w:w="2425" w:type="dxa"/>
            <w:shd w:val="clear" w:color="auto" w:fill="auto"/>
            <w:noWrap/>
            <w:vAlign w:val="center"/>
            <w:hideMark/>
          </w:tcPr>
          <w:p w14:paraId="70C103EA"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Ahold Delhaize</w:t>
            </w:r>
          </w:p>
        </w:tc>
        <w:tc>
          <w:tcPr>
            <w:tcW w:w="2070" w:type="dxa"/>
            <w:shd w:val="clear" w:color="auto" w:fill="auto"/>
            <w:noWrap/>
            <w:vAlign w:val="center"/>
            <w:hideMark/>
          </w:tcPr>
          <w:p w14:paraId="37C02477"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2.2</w:t>
            </w:r>
          </w:p>
        </w:tc>
        <w:tc>
          <w:tcPr>
            <w:tcW w:w="1530" w:type="dxa"/>
            <w:shd w:val="clear" w:color="auto" w:fill="auto"/>
            <w:noWrap/>
            <w:vAlign w:val="center"/>
            <w:hideMark/>
          </w:tcPr>
          <w:p w14:paraId="6143B7D4"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0.5</w:t>
            </w:r>
          </w:p>
        </w:tc>
        <w:tc>
          <w:tcPr>
            <w:tcW w:w="1260" w:type="dxa"/>
            <w:shd w:val="clear" w:color="auto" w:fill="auto"/>
            <w:noWrap/>
            <w:vAlign w:val="center"/>
            <w:hideMark/>
          </w:tcPr>
          <w:p w14:paraId="7DF02E9B"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−1.4</w:t>
            </w:r>
          </w:p>
        </w:tc>
        <w:tc>
          <w:tcPr>
            <w:tcW w:w="1924" w:type="dxa"/>
            <w:shd w:val="clear" w:color="auto" w:fill="auto"/>
            <w:noWrap/>
            <w:vAlign w:val="center"/>
            <w:hideMark/>
          </w:tcPr>
          <w:p w14:paraId="0238F469"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Supermarket with pharmacy</w:t>
            </w:r>
          </w:p>
        </w:tc>
      </w:tr>
      <w:tr w:rsidR="007E2503" w:rsidRPr="00F91873" w14:paraId="5EC5D478" w14:textId="77777777" w:rsidTr="00F91873">
        <w:trPr>
          <w:trHeight w:val="227"/>
          <w:jc w:val="center"/>
        </w:trPr>
        <w:tc>
          <w:tcPr>
            <w:tcW w:w="2425" w:type="dxa"/>
            <w:shd w:val="clear" w:color="auto" w:fill="auto"/>
            <w:noWrap/>
            <w:vAlign w:val="center"/>
            <w:hideMark/>
          </w:tcPr>
          <w:p w14:paraId="52DFE655"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PharMerica</w:t>
            </w:r>
          </w:p>
        </w:tc>
        <w:tc>
          <w:tcPr>
            <w:tcW w:w="2070" w:type="dxa"/>
            <w:shd w:val="clear" w:color="auto" w:fill="auto"/>
            <w:noWrap/>
            <w:vAlign w:val="center"/>
            <w:hideMark/>
          </w:tcPr>
          <w:p w14:paraId="72943D37"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2.3</w:t>
            </w:r>
          </w:p>
        </w:tc>
        <w:tc>
          <w:tcPr>
            <w:tcW w:w="1530" w:type="dxa"/>
            <w:shd w:val="clear" w:color="auto" w:fill="auto"/>
            <w:noWrap/>
            <w:vAlign w:val="center"/>
            <w:hideMark/>
          </w:tcPr>
          <w:p w14:paraId="3BFD6E3A"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0.6</w:t>
            </w:r>
          </w:p>
        </w:tc>
        <w:tc>
          <w:tcPr>
            <w:tcW w:w="1260" w:type="dxa"/>
            <w:shd w:val="clear" w:color="auto" w:fill="auto"/>
            <w:noWrap/>
            <w:vAlign w:val="center"/>
            <w:hideMark/>
          </w:tcPr>
          <w:p w14:paraId="047A7BAB"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11.8</w:t>
            </w:r>
          </w:p>
        </w:tc>
        <w:tc>
          <w:tcPr>
            <w:tcW w:w="1924" w:type="dxa"/>
            <w:shd w:val="clear" w:color="auto" w:fill="auto"/>
            <w:noWrap/>
            <w:vAlign w:val="center"/>
            <w:hideMark/>
          </w:tcPr>
          <w:p w14:paraId="69E7055E"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Long-term care pharmacy</w:t>
            </w:r>
          </w:p>
        </w:tc>
      </w:tr>
      <w:tr w:rsidR="007E2503" w:rsidRPr="00F91873" w14:paraId="7A7778FB" w14:textId="77777777" w:rsidTr="00F91873">
        <w:trPr>
          <w:trHeight w:val="227"/>
          <w:jc w:val="center"/>
        </w:trPr>
        <w:tc>
          <w:tcPr>
            <w:tcW w:w="2425" w:type="dxa"/>
            <w:shd w:val="clear" w:color="auto" w:fill="auto"/>
            <w:noWrap/>
            <w:vAlign w:val="center"/>
            <w:hideMark/>
          </w:tcPr>
          <w:p w14:paraId="6674D9F5"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Publix Super Markets Inc.</w:t>
            </w:r>
          </w:p>
        </w:tc>
        <w:tc>
          <w:tcPr>
            <w:tcW w:w="2070" w:type="dxa"/>
            <w:shd w:val="clear" w:color="auto" w:fill="auto"/>
            <w:noWrap/>
            <w:vAlign w:val="center"/>
            <w:hideMark/>
          </w:tcPr>
          <w:p w14:paraId="2BDA6818"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2.0</w:t>
            </w:r>
          </w:p>
        </w:tc>
        <w:tc>
          <w:tcPr>
            <w:tcW w:w="1530" w:type="dxa"/>
            <w:shd w:val="clear" w:color="auto" w:fill="auto"/>
            <w:noWrap/>
            <w:vAlign w:val="center"/>
            <w:hideMark/>
          </w:tcPr>
          <w:p w14:paraId="74D81D42"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0.5</w:t>
            </w:r>
          </w:p>
        </w:tc>
        <w:tc>
          <w:tcPr>
            <w:tcW w:w="1260" w:type="dxa"/>
            <w:shd w:val="clear" w:color="auto" w:fill="auto"/>
            <w:noWrap/>
            <w:vAlign w:val="center"/>
            <w:hideMark/>
          </w:tcPr>
          <w:p w14:paraId="21E76431"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0.5</w:t>
            </w:r>
          </w:p>
        </w:tc>
        <w:tc>
          <w:tcPr>
            <w:tcW w:w="1924" w:type="dxa"/>
            <w:shd w:val="clear" w:color="auto" w:fill="auto"/>
            <w:noWrap/>
            <w:vAlign w:val="center"/>
            <w:hideMark/>
          </w:tcPr>
          <w:p w14:paraId="44FB5EFA" w14:textId="77777777" w:rsidR="007E2503" w:rsidRPr="00F91873" w:rsidRDefault="007E2503" w:rsidP="002621C2">
            <w:pPr>
              <w:rPr>
                <w:rFonts w:ascii="Arial" w:hAnsi="Arial" w:cs="Arial"/>
                <w:color w:val="000000"/>
                <w:sz w:val="18"/>
                <w:szCs w:val="18"/>
                <w:lang w:val="en-GB"/>
              </w:rPr>
            </w:pPr>
            <w:r w:rsidRPr="00F91873">
              <w:rPr>
                <w:rFonts w:ascii="Arial" w:hAnsi="Arial" w:cs="Arial"/>
                <w:color w:val="000000"/>
                <w:sz w:val="18"/>
                <w:szCs w:val="18"/>
                <w:lang w:val="en-GB"/>
              </w:rPr>
              <w:t>Supermarket with pharmacy</w:t>
            </w:r>
          </w:p>
        </w:tc>
      </w:tr>
      <w:tr w:rsidR="007E2503" w:rsidRPr="00F91873" w14:paraId="71D80AE7" w14:textId="77777777" w:rsidTr="00F91873">
        <w:trPr>
          <w:trHeight w:val="56"/>
          <w:jc w:val="center"/>
        </w:trPr>
        <w:tc>
          <w:tcPr>
            <w:tcW w:w="2425" w:type="dxa"/>
            <w:shd w:val="clear" w:color="auto" w:fill="auto"/>
            <w:noWrap/>
            <w:vAlign w:val="center"/>
            <w:hideMark/>
          </w:tcPr>
          <w:p w14:paraId="54691F0E" w14:textId="77777777" w:rsidR="007E2503" w:rsidRPr="00F91873" w:rsidRDefault="007E2503" w:rsidP="002621C2">
            <w:pPr>
              <w:rPr>
                <w:rFonts w:ascii="Arial" w:hAnsi="Arial" w:cs="Arial"/>
                <w:b/>
                <w:color w:val="000000"/>
                <w:sz w:val="18"/>
                <w:szCs w:val="18"/>
                <w:lang w:val="en-GB"/>
              </w:rPr>
            </w:pPr>
            <w:r w:rsidRPr="00F91873">
              <w:rPr>
                <w:rFonts w:ascii="Arial" w:hAnsi="Arial" w:cs="Arial"/>
                <w:b/>
                <w:color w:val="000000"/>
                <w:sz w:val="18"/>
                <w:szCs w:val="18"/>
                <w:lang w:val="en-GB"/>
              </w:rPr>
              <w:t>Subtotal (top 15)</w:t>
            </w:r>
          </w:p>
        </w:tc>
        <w:tc>
          <w:tcPr>
            <w:tcW w:w="2070" w:type="dxa"/>
            <w:shd w:val="clear" w:color="auto" w:fill="auto"/>
            <w:noWrap/>
            <w:vAlign w:val="center"/>
            <w:hideMark/>
          </w:tcPr>
          <w:p w14:paraId="5FD94F40"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305.5</w:t>
            </w:r>
          </w:p>
        </w:tc>
        <w:tc>
          <w:tcPr>
            <w:tcW w:w="1530" w:type="dxa"/>
            <w:shd w:val="clear" w:color="auto" w:fill="auto"/>
            <w:noWrap/>
            <w:vAlign w:val="center"/>
            <w:hideMark/>
          </w:tcPr>
          <w:p w14:paraId="2EC22B0F"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74.0</w:t>
            </w:r>
          </w:p>
        </w:tc>
        <w:tc>
          <w:tcPr>
            <w:tcW w:w="1260" w:type="dxa"/>
            <w:shd w:val="clear" w:color="auto" w:fill="auto"/>
            <w:noWrap/>
            <w:vAlign w:val="center"/>
            <w:hideMark/>
          </w:tcPr>
          <w:p w14:paraId="69FAABFF" w14:textId="77777777" w:rsidR="007E2503" w:rsidRPr="00F91873" w:rsidRDefault="007E2503" w:rsidP="002621C2">
            <w:pPr>
              <w:jc w:val="right"/>
              <w:rPr>
                <w:rFonts w:ascii="Arial" w:hAnsi="Arial" w:cs="Arial"/>
                <w:color w:val="000000"/>
                <w:sz w:val="18"/>
                <w:szCs w:val="18"/>
                <w:lang w:val="en-GB"/>
              </w:rPr>
            </w:pPr>
          </w:p>
        </w:tc>
        <w:tc>
          <w:tcPr>
            <w:tcW w:w="1924" w:type="dxa"/>
            <w:shd w:val="clear" w:color="auto" w:fill="auto"/>
            <w:noWrap/>
            <w:vAlign w:val="bottom"/>
            <w:hideMark/>
          </w:tcPr>
          <w:p w14:paraId="50A555C3" w14:textId="77777777" w:rsidR="007E2503" w:rsidRPr="00F91873" w:rsidRDefault="007E2503" w:rsidP="002621C2">
            <w:pPr>
              <w:rPr>
                <w:rFonts w:ascii="Arial" w:hAnsi="Arial" w:cs="Arial"/>
                <w:sz w:val="18"/>
                <w:szCs w:val="18"/>
                <w:lang w:val="en-GB"/>
              </w:rPr>
            </w:pPr>
          </w:p>
        </w:tc>
      </w:tr>
      <w:tr w:rsidR="007E2503" w:rsidRPr="00F91873" w14:paraId="0C6DE41F" w14:textId="77777777" w:rsidTr="00F91873">
        <w:trPr>
          <w:trHeight w:val="56"/>
          <w:jc w:val="center"/>
        </w:trPr>
        <w:tc>
          <w:tcPr>
            <w:tcW w:w="2425" w:type="dxa"/>
            <w:shd w:val="clear" w:color="auto" w:fill="auto"/>
            <w:noWrap/>
            <w:vAlign w:val="center"/>
            <w:hideMark/>
          </w:tcPr>
          <w:p w14:paraId="082743CC" w14:textId="77777777" w:rsidR="007E2503" w:rsidRPr="00F91873" w:rsidRDefault="007E2503" w:rsidP="002621C2">
            <w:pPr>
              <w:rPr>
                <w:rFonts w:ascii="Arial" w:hAnsi="Arial" w:cs="Arial"/>
                <w:b/>
                <w:color w:val="000000"/>
                <w:sz w:val="18"/>
                <w:szCs w:val="18"/>
                <w:lang w:val="en-GB"/>
              </w:rPr>
            </w:pPr>
            <w:r w:rsidRPr="00F91873">
              <w:rPr>
                <w:rFonts w:ascii="Arial" w:hAnsi="Arial" w:cs="Arial"/>
                <w:b/>
                <w:color w:val="000000"/>
                <w:sz w:val="18"/>
                <w:szCs w:val="18"/>
                <w:lang w:val="en-GB"/>
              </w:rPr>
              <w:t>Total pharmacy industry</w:t>
            </w:r>
          </w:p>
        </w:tc>
        <w:tc>
          <w:tcPr>
            <w:tcW w:w="2070" w:type="dxa"/>
            <w:shd w:val="clear" w:color="auto" w:fill="auto"/>
            <w:noWrap/>
            <w:vAlign w:val="center"/>
            <w:hideMark/>
          </w:tcPr>
          <w:p w14:paraId="65609098"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412.6</w:t>
            </w:r>
          </w:p>
        </w:tc>
        <w:tc>
          <w:tcPr>
            <w:tcW w:w="1530" w:type="dxa"/>
            <w:shd w:val="clear" w:color="auto" w:fill="auto"/>
            <w:noWrap/>
            <w:vAlign w:val="center"/>
            <w:hideMark/>
          </w:tcPr>
          <w:p w14:paraId="44980CDB" w14:textId="77777777" w:rsidR="007E2503" w:rsidRPr="00F91873" w:rsidRDefault="007E2503" w:rsidP="002621C2">
            <w:pPr>
              <w:jc w:val="right"/>
              <w:rPr>
                <w:rFonts w:ascii="Arial" w:hAnsi="Arial" w:cs="Arial"/>
                <w:color w:val="000000"/>
                <w:sz w:val="18"/>
                <w:szCs w:val="18"/>
                <w:lang w:val="en-GB"/>
              </w:rPr>
            </w:pPr>
            <w:r w:rsidRPr="00F91873">
              <w:rPr>
                <w:rFonts w:ascii="Arial" w:hAnsi="Arial" w:cs="Arial"/>
                <w:color w:val="000000"/>
                <w:sz w:val="18"/>
                <w:szCs w:val="18"/>
                <w:lang w:val="en-GB"/>
              </w:rPr>
              <w:t>100.0</w:t>
            </w:r>
          </w:p>
        </w:tc>
        <w:tc>
          <w:tcPr>
            <w:tcW w:w="1260" w:type="dxa"/>
            <w:shd w:val="clear" w:color="auto" w:fill="auto"/>
            <w:noWrap/>
            <w:vAlign w:val="center"/>
            <w:hideMark/>
          </w:tcPr>
          <w:p w14:paraId="18320E25" w14:textId="77777777" w:rsidR="007E2503" w:rsidRPr="00F91873" w:rsidRDefault="007E2503" w:rsidP="002621C2">
            <w:pPr>
              <w:jc w:val="right"/>
              <w:rPr>
                <w:rFonts w:ascii="Arial" w:hAnsi="Arial" w:cs="Arial"/>
                <w:color w:val="000000"/>
                <w:sz w:val="18"/>
                <w:szCs w:val="18"/>
                <w:lang w:val="en-GB"/>
              </w:rPr>
            </w:pPr>
          </w:p>
        </w:tc>
        <w:tc>
          <w:tcPr>
            <w:tcW w:w="1924" w:type="dxa"/>
            <w:shd w:val="clear" w:color="auto" w:fill="auto"/>
            <w:noWrap/>
            <w:vAlign w:val="bottom"/>
            <w:hideMark/>
          </w:tcPr>
          <w:p w14:paraId="53555A16" w14:textId="77777777" w:rsidR="007E2503" w:rsidRPr="00F91873" w:rsidRDefault="007E2503" w:rsidP="002621C2">
            <w:pPr>
              <w:rPr>
                <w:rFonts w:ascii="Arial" w:hAnsi="Arial" w:cs="Arial"/>
                <w:sz w:val="18"/>
                <w:szCs w:val="18"/>
                <w:lang w:val="en-GB"/>
              </w:rPr>
            </w:pPr>
          </w:p>
        </w:tc>
      </w:tr>
    </w:tbl>
    <w:p w14:paraId="6ED542D7" w14:textId="77777777" w:rsidR="007E2503" w:rsidRPr="0081358C" w:rsidRDefault="007E2503" w:rsidP="007E2503">
      <w:pPr>
        <w:pStyle w:val="ExhibitText"/>
        <w:rPr>
          <w:sz w:val="12"/>
          <w:szCs w:val="12"/>
          <w:lang w:val="en-GB"/>
        </w:rPr>
      </w:pPr>
    </w:p>
    <w:p w14:paraId="06721A2F" w14:textId="77777777" w:rsidR="007E2503" w:rsidRPr="00F91873" w:rsidRDefault="007E2503" w:rsidP="007E2503">
      <w:pPr>
        <w:pStyle w:val="ExhibitText"/>
        <w:numPr>
          <w:ilvl w:val="0"/>
          <w:numId w:val="14"/>
        </w:numPr>
        <w:rPr>
          <w:sz w:val="18"/>
          <w:szCs w:val="18"/>
          <w:lang w:val="en-GB"/>
        </w:rPr>
      </w:pPr>
      <w:r w:rsidRPr="00F91873">
        <w:rPr>
          <w:sz w:val="18"/>
          <w:szCs w:val="18"/>
          <w:lang w:val="en-GB"/>
        </w:rPr>
        <w:t>Many of the largest pharmacies were now central-fill mail and specialty pharmacies operated by such pharmacy benefit managers as Express Scripts Inc., Caremark, and UnitedHealth Group Inc.’s OptumRx. This reflected the growing role of specialty drugs in the pharmacy industry. Specialty drugs were estimated to account for one-third of the pharmacy industry’s revenues in 2017.</w:t>
      </w:r>
    </w:p>
    <w:p w14:paraId="62633C16" w14:textId="77777777" w:rsidR="007E2503" w:rsidRPr="00F91873" w:rsidRDefault="007E2503" w:rsidP="007E2503">
      <w:pPr>
        <w:pStyle w:val="ExhibitText"/>
        <w:numPr>
          <w:ilvl w:val="0"/>
          <w:numId w:val="14"/>
        </w:numPr>
        <w:rPr>
          <w:sz w:val="18"/>
          <w:szCs w:val="18"/>
          <w:lang w:val="en-GB"/>
        </w:rPr>
      </w:pPr>
      <w:r w:rsidRPr="00F91873">
        <w:rPr>
          <w:sz w:val="18"/>
          <w:szCs w:val="18"/>
          <w:lang w:val="en-GB"/>
        </w:rPr>
        <w:t>Amid the ongoing growth in specialty revenues, dispensing revenues from traditional (non-specialty) drugs declined in 2017. Retail pharmacies that focused on traditional drugs accounted for a majority of the industry’s dispensed prescriptions but a decreasing share of the industry’s revenues.</w:t>
      </w:r>
    </w:p>
    <w:p w14:paraId="14050EFB" w14:textId="77777777" w:rsidR="007E2503" w:rsidRPr="00F91873" w:rsidRDefault="007E2503" w:rsidP="007E2503">
      <w:pPr>
        <w:pStyle w:val="ExhibitText"/>
        <w:numPr>
          <w:ilvl w:val="0"/>
          <w:numId w:val="14"/>
        </w:numPr>
        <w:rPr>
          <w:spacing w:val="-2"/>
          <w:kern w:val="20"/>
          <w:sz w:val="18"/>
          <w:szCs w:val="18"/>
          <w:lang w:val="en-GB"/>
        </w:rPr>
      </w:pPr>
      <w:r w:rsidRPr="00F91873">
        <w:rPr>
          <w:spacing w:val="-2"/>
          <w:kern w:val="20"/>
          <w:sz w:val="18"/>
          <w:szCs w:val="18"/>
          <w:lang w:val="en-GB"/>
        </w:rPr>
        <w:t>CVS Health Corporation’s retail and long-term care business declined in 2017, due largely to the company’s non-participation as a preferred pharmacy in many plans. For 2018, these trends would likely reverse because CVS altered its strategy and aimed to become a preferred pharmacy in payer networks.</w:t>
      </w:r>
    </w:p>
    <w:p w14:paraId="211C77BF" w14:textId="77777777" w:rsidR="007E2503" w:rsidRPr="00F91873" w:rsidRDefault="007E2503" w:rsidP="007E2503">
      <w:pPr>
        <w:pStyle w:val="ExhibitText"/>
        <w:numPr>
          <w:ilvl w:val="0"/>
          <w:numId w:val="14"/>
        </w:numPr>
        <w:rPr>
          <w:sz w:val="18"/>
          <w:szCs w:val="18"/>
          <w:lang w:val="en-GB"/>
        </w:rPr>
      </w:pPr>
      <w:r w:rsidRPr="00F91873">
        <w:rPr>
          <w:sz w:val="18"/>
          <w:szCs w:val="18"/>
          <w:lang w:val="en-GB"/>
        </w:rPr>
        <w:t>Walgreens Boots Alliance Inc.’s (Walgreens) US prescription revenues grew in 2017. Its same-store prescription growth was much higher than its peers’ growth. This reflected its aggressive participation in commercial and Medicare Part D narrow networks. Three notable transactions boosted Walgreens’ pharmacy revenues in 2017 and affected 2018 figures: its acquisition of Rite Aid stores, the formation of AllianceRx Walgreens Prime, and its minority investment in PharMerica.</w:t>
      </w:r>
    </w:p>
    <w:p w14:paraId="5C2A9594" w14:textId="77777777" w:rsidR="007E2503" w:rsidRPr="00F91873" w:rsidRDefault="007E2503" w:rsidP="007E2503">
      <w:pPr>
        <w:pStyle w:val="ExhibitText"/>
        <w:numPr>
          <w:ilvl w:val="0"/>
          <w:numId w:val="14"/>
        </w:numPr>
        <w:rPr>
          <w:spacing w:val="-4"/>
          <w:kern w:val="20"/>
          <w:sz w:val="18"/>
          <w:szCs w:val="18"/>
          <w:lang w:val="en-GB"/>
        </w:rPr>
      </w:pPr>
      <w:r w:rsidRPr="00F91873">
        <w:rPr>
          <w:spacing w:val="-4"/>
          <w:kern w:val="20"/>
          <w:sz w:val="18"/>
          <w:szCs w:val="18"/>
          <w:lang w:val="en-GB"/>
        </w:rPr>
        <w:t>The Kroger Company had been an active acquirer of competing supermarket chains and specialty pharmacies. Consequently, it was the country’s second-largest supermarket and seventh-largest pharmacy.</w:t>
      </w:r>
    </w:p>
    <w:p w14:paraId="68B93BA2" w14:textId="77777777" w:rsidR="007E2503" w:rsidRPr="0081358C" w:rsidRDefault="007E2503" w:rsidP="007E2503">
      <w:pPr>
        <w:pStyle w:val="ExhibitText"/>
        <w:rPr>
          <w:sz w:val="12"/>
          <w:szCs w:val="12"/>
          <w:lang w:val="en-GB"/>
        </w:rPr>
      </w:pPr>
    </w:p>
    <w:p w14:paraId="58BB5142" w14:textId="2531B322" w:rsidR="007E2503" w:rsidRDefault="007E2503" w:rsidP="00596187">
      <w:pPr>
        <w:pStyle w:val="Footnote"/>
        <w:rPr>
          <w:lang w:val="en-GB"/>
        </w:rPr>
      </w:pPr>
      <w:r w:rsidRPr="0081358C">
        <w:rPr>
          <w:rStyle w:val="Hyperlink"/>
          <w:color w:val="auto"/>
          <w:u w:val="none"/>
          <w:lang w:val="en-GB"/>
        </w:rPr>
        <w:t xml:space="preserve">Source: Adam J. Fein, “The Top 15 U.S. Pharmacies of 2017: Market Shares and Key Developments for the Biggest Companies,” Drug Channels, February 21, 2018, accessed August 23, 2018, </w:t>
      </w:r>
      <w:hyperlink r:id="rId9" w:history="1">
        <w:r w:rsidRPr="0081358C">
          <w:rPr>
            <w:rStyle w:val="Hyperlink"/>
            <w:color w:val="auto"/>
            <w:u w:val="none"/>
            <w:lang w:val="en-GB"/>
          </w:rPr>
          <w:t>www.drugchannels.net/2018/02/the-top-15-us-pharmacies-of-2017-market.html</w:t>
        </w:r>
      </w:hyperlink>
      <w:r w:rsidRPr="0081358C">
        <w:rPr>
          <w:rStyle w:val="Hyperlink"/>
          <w:color w:val="auto"/>
          <w:u w:val="none"/>
          <w:lang w:val="en-GB"/>
        </w:rPr>
        <w:t>.</w:t>
      </w:r>
    </w:p>
    <w:p w14:paraId="6C96CB16" w14:textId="49CDB1AF" w:rsidR="00231552" w:rsidRPr="0081358C" w:rsidRDefault="00231552" w:rsidP="00231552">
      <w:pPr>
        <w:pStyle w:val="ExhibitHeading"/>
        <w:rPr>
          <w:lang w:val="en-GB"/>
        </w:rPr>
      </w:pPr>
      <w:r w:rsidRPr="0081358C">
        <w:rPr>
          <w:lang w:val="en-GB"/>
        </w:rPr>
        <w:lastRenderedPageBreak/>
        <w:t xml:space="preserve">Exhibit </w:t>
      </w:r>
      <w:r w:rsidR="007E2503">
        <w:rPr>
          <w:lang w:val="en-GB"/>
        </w:rPr>
        <w:t>2</w:t>
      </w:r>
      <w:r w:rsidRPr="0081358C">
        <w:rPr>
          <w:lang w:val="en-GB"/>
        </w:rPr>
        <w:t>: Sample Drug Economics</w:t>
      </w:r>
      <w:r w:rsidR="00A8729D">
        <w:rPr>
          <w:lang w:val="en-GB"/>
        </w:rPr>
        <w:t xml:space="preserve"> </w:t>
      </w:r>
      <w:r w:rsidRPr="0081358C">
        <w:rPr>
          <w:lang w:val="en-GB"/>
        </w:rPr>
        <w:t>For a $612 EpiPen</w:t>
      </w:r>
    </w:p>
    <w:p w14:paraId="6FFA014D" w14:textId="77777777" w:rsidR="00231552" w:rsidRPr="0081358C" w:rsidRDefault="00231552" w:rsidP="00F91873">
      <w:pPr>
        <w:pStyle w:val="ExhibitText"/>
        <w:rPr>
          <w:lang w:val="en-GB"/>
        </w:rPr>
      </w:pPr>
    </w:p>
    <w:tbl>
      <w:tblPr>
        <w:tblStyle w:val="TableGrid"/>
        <w:tblW w:w="0" w:type="auto"/>
        <w:tblLook w:val="04A0" w:firstRow="1" w:lastRow="0" w:firstColumn="1" w:lastColumn="0" w:noHBand="0" w:noVBand="1"/>
      </w:tblPr>
      <w:tblGrid>
        <w:gridCol w:w="3235"/>
        <w:gridCol w:w="1260"/>
        <w:gridCol w:w="810"/>
        <w:gridCol w:w="4045"/>
      </w:tblGrid>
      <w:tr w:rsidR="00231552" w:rsidRPr="0081358C" w14:paraId="5BDC3DE7" w14:textId="77777777" w:rsidTr="00777AEF">
        <w:tc>
          <w:tcPr>
            <w:tcW w:w="4495" w:type="dxa"/>
            <w:gridSpan w:val="2"/>
            <w:vAlign w:val="center"/>
          </w:tcPr>
          <w:p w14:paraId="6510DFFB" w14:textId="73265F36" w:rsidR="00231552" w:rsidRPr="0081358C" w:rsidRDefault="00271644" w:rsidP="00596187">
            <w:pPr>
              <w:pStyle w:val="ExhibitNumber"/>
              <w:rPr>
                <w:lang w:val="en-GB"/>
              </w:rPr>
            </w:pPr>
            <w:r w:rsidRPr="00271644">
              <w:rPr>
                <w:lang w:val="en-GB"/>
              </w:rPr>
              <w:t>Actual Value Retained by Channel</w:t>
            </w:r>
          </w:p>
        </w:tc>
        <w:tc>
          <w:tcPr>
            <w:tcW w:w="810" w:type="dxa"/>
            <w:vAlign w:val="center"/>
          </w:tcPr>
          <w:p w14:paraId="536D8782" w14:textId="77777777" w:rsidR="00231552" w:rsidRPr="0081358C" w:rsidRDefault="00231552" w:rsidP="00596187">
            <w:pPr>
              <w:pStyle w:val="ExhibitNumber"/>
              <w:rPr>
                <w:lang w:val="en-GB"/>
              </w:rPr>
            </w:pPr>
            <w:r w:rsidRPr="0081358C">
              <w:rPr>
                <w:lang w:val="en-GB"/>
              </w:rPr>
              <w:t>%</w:t>
            </w:r>
          </w:p>
        </w:tc>
        <w:tc>
          <w:tcPr>
            <w:tcW w:w="4045" w:type="dxa"/>
            <w:vAlign w:val="center"/>
          </w:tcPr>
          <w:p w14:paraId="2BF47293" w14:textId="77777777" w:rsidR="00231552" w:rsidRPr="0081358C" w:rsidRDefault="00231552" w:rsidP="00596187">
            <w:pPr>
              <w:pStyle w:val="ExhibitNumber"/>
              <w:rPr>
                <w:lang w:val="en-GB"/>
              </w:rPr>
            </w:pPr>
            <w:r w:rsidRPr="0081358C">
              <w:rPr>
                <w:lang w:val="en-GB"/>
              </w:rPr>
              <w:t>Comments</w:t>
            </w:r>
          </w:p>
        </w:tc>
      </w:tr>
      <w:tr w:rsidR="00231552" w:rsidRPr="0081358C" w14:paraId="3A98A00F" w14:textId="77777777" w:rsidTr="00777AEF">
        <w:tc>
          <w:tcPr>
            <w:tcW w:w="3235" w:type="dxa"/>
            <w:vAlign w:val="center"/>
          </w:tcPr>
          <w:p w14:paraId="2B3FB238" w14:textId="77777777" w:rsidR="00231552" w:rsidRPr="0081358C" w:rsidRDefault="00231552" w:rsidP="00596187">
            <w:pPr>
              <w:pStyle w:val="ExhibitText"/>
              <w:jc w:val="left"/>
              <w:rPr>
                <w:lang w:val="en-GB"/>
              </w:rPr>
            </w:pPr>
            <w:r w:rsidRPr="0081358C">
              <w:rPr>
                <w:lang w:val="en-GB"/>
              </w:rPr>
              <w:t>Wholesaler margin</w:t>
            </w:r>
          </w:p>
        </w:tc>
        <w:tc>
          <w:tcPr>
            <w:tcW w:w="1260" w:type="dxa"/>
            <w:vAlign w:val="center"/>
          </w:tcPr>
          <w:p w14:paraId="45A4C604" w14:textId="77777777" w:rsidR="00231552" w:rsidRPr="0081358C" w:rsidRDefault="00231552" w:rsidP="00596187">
            <w:pPr>
              <w:pStyle w:val="ExhibitText"/>
              <w:jc w:val="right"/>
              <w:rPr>
                <w:lang w:val="en-GB"/>
              </w:rPr>
            </w:pPr>
            <w:r w:rsidRPr="0081358C">
              <w:rPr>
                <w:lang w:val="en-GB"/>
              </w:rPr>
              <w:t>$15.20</w:t>
            </w:r>
          </w:p>
        </w:tc>
        <w:tc>
          <w:tcPr>
            <w:tcW w:w="810" w:type="dxa"/>
            <w:vAlign w:val="center"/>
          </w:tcPr>
          <w:p w14:paraId="5D4D5FB8" w14:textId="77777777" w:rsidR="00231552" w:rsidRPr="0081358C" w:rsidRDefault="00231552" w:rsidP="00596187">
            <w:pPr>
              <w:pStyle w:val="ExhibitText"/>
              <w:jc w:val="right"/>
              <w:rPr>
                <w:lang w:val="en-GB"/>
              </w:rPr>
            </w:pPr>
            <w:r w:rsidRPr="0081358C">
              <w:rPr>
                <w:lang w:val="en-GB"/>
              </w:rPr>
              <w:t>21</w:t>
            </w:r>
          </w:p>
        </w:tc>
        <w:tc>
          <w:tcPr>
            <w:tcW w:w="4045" w:type="dxa"/>
            <w:vAlign w:val="center"/>
          </w:tcPr>
          <w:p w14:paraId="7C5DEEA1" w14:textId="1A3F782F" w:rsidR="00231552" w:rsidRPr="0081358C" w:rsidRDefault="00231552" w:rsidP="00596187">
            <w:pPr>
              <w:pStyle w:val="ExhibitText"/>
              <w:jc w:val="left"/>
              <w:rPr>
                <w:lang w:val="en-GB"/>
              </w:rPr>
            </w:pPr>
            <w:r w:rsidRPr="0081358C">
              <w:rPr>
                <w:lang w:val="en-GB"/>
              </w:rPr>
              <w:t>Industry consolidation led to pricing power</w:t>
            </w:r>
          </w:p>
        </w:tc>
      </w:tr>
      <w:tr w:rsidR="00231552" w:rsidRPr="0081358C" w14:paraId="62861E2C" w14:textId="77777777" w:rsidTr="00777AEF">
        <w:tc>
          <w:tcPr>
            <w:tcW w:w="3235" w:type="dxa"/>
            <w:vAlign w:val="center"/>
          </w:tcPr>
          <w:p w14:paraId="0C4125CF" w14:textId="77777777" w:rsidR="00231552" w:rsidRPr="0081358C" w:rsidRDefault="00231552" w:rsidP="00596187">
            <w:pPr>
              <w:pStyle w:val="ExhibitText"/>
              <w:jc w:val="left"/>
              <w:rPr>
                <w:lang w:val="en-GB"/>
              </w:rPr>
            </w:pPr>
            <w:r w:rsidRPr="0081358C">
              <w:rPr>
                <w:lang w:val="en-GB"/>
              </w:rPr>
              <w:t>Retailer margin</w:t>
            </w:r>
          </w:p>
        </w:tc>
        <w:tc>
          <w:tcPr>
            <w:tcW w:w="1260" w:type="dxa"/>
            <w:vAlign w:val="center"/>
          </w:tcPr>
          <w:p w14:paraId="3A543F2E" w14:textId="77777777" w:rsidR="00231552" w:rsidRPr="0081358C" w:rsidRDefault="00231552" w:rsidP="00596187">
            <w:pPr>
              <w:pStyle w:val="ExhibitText"/>
              <w:jc w:val="right"/>
              <w:rPr>
                <w:lang w:val="en-GB"/>
              </w:rPr>
            </w:pPr>
            <w:r w:rsidRPr="0081358C">
              <w:rPr>
                <w:lang w:val="en-GB"/>
              </w:rPr>
              <w:t>$26.14</w:t>
            </w:r>
          </w:p>
        </w:tc>
        <w:tc>
          <w:tcPr>
            <w:tcW w:w="810" w:type="dxa"/>
            <w:vAlign w:val="center"/>
          </w:tcPr>
          <w:p w14:paraId="4D089E67" w14:textId="77777777" w:rsidR="00231552" w:rsidRPr="0081358C" w:rsidRDefault="00231552" w:rsidP="00596187">
            <w:pPr>
              <w:pStyle w:val="ExhibitText"/>
              <w:jc w:val="right"/>
              <w:rPr>
                <w:lang w:val="en-GB"/>
              </w:rPr>
            </w:pPr>
            <w:r w:rsidRPr="0081358C">
              <w:rPr>
                <w:lang w:val="en-GB"/>
              </w:rPr>
              <w:t>37</w:t>
            </w:r>
          </w:p>
        </w:tc>
        <w:tc>
          <w:tcPr>
            <w:tcW w:w="4045" w:type="dxa"/>
            <w:vAlign w:val="center"/>
          </w:tcPr>
          <w:p w14:paraId="5EB1B553" w14:textId="77777777" w:rsidR="00231552" w:rsidRPr="0081358C" w:rsidRDefault="00231552" w:rsidP="00596187">
            <w:pPr>
              <w:pStyle w:val="ExhibitText"/>
              <w:jc w:val="left"/>
              <w:rPr>
                <w:lang w:val="en-GB"/>
              </w:rPr>
            </w:pPr>
            <w:r w:rsidRPr="0081358C">
              <w:rPr>
                <w:lang w:val="en-GB"/>
              </w:rPr>
              <w:t>Still a healthy margin</w:t>
            </w:r>
          </w:p>
        </w:tc>
      </w:tr>
      <w:tr w:rsidR="00231552" w:rsidRPr="0081358C" w14:paraId="606D9233" w14:textId="77777777" w:rsidTr="00777AEF">
        <w:tc>
          <w:tcPr>
            <w:tcW w:w="3235" w:type="dxa"/>
            <w:vAlign w:val="center"/>
          </w:tcPr>
          <w:p w14:paraId="4E4062D6" w14:textId="77777777" w:rsidR="00231552" w:rsidRPr="0081358C" w:rsidRDefault="00231552" w:rsidP="00596187">
            <w:pPr>
              <w:pStyle w:val="ExhibitText"/>
              <w:jc w:val="left"/>
              <w:rPr>
                <w:lang w:val="en-GB"/>
              </w:rPr>
            </w:pPr>
            <w:r w:rsidRPr="0081358C">
              <w:rPr>
                <w:lang w:val="en-GB"/>
              </w:rPr>
              <w:t>PBM margin</w:t>
            </w:r>
          </w:p>
        </w:tc>
        <w:tc>
          <w:tcPr>
            <w:tcW w:w="1260" w:type="dxa"/>
            <w:vAlign w:val="center"/>
          </w:tcPr>
          <w:p w14:paraId="171C9851" w14:textId="77777777" w:rsidR="00231552" w:rsidRPr="0081358C" w:rsidRDefault="00231552" w:rsidP="00596187">
            <w:pPr>
              <w:pStyle w:val="ExhibitText"/>
              <w:jc w:val="right"/>
              <w:rPr>
                <w:u w:val="single"/>
                <w:lang w:val="en-GB"/>
              </w:rPr>
            </w:pPr>
            <w:r w:rsidRPr="0081358C">
              <w:rPr>
                <w:u w:val="single"/>
                <w:lang w:val="en-GB"/>
              </w:rPr>
              <w:t>$29.75</w:t>
            </w:r>
          </w:p>
        </w:tc>
        <w:tc>
          <w:tcPr>
            <w:tcW w:w="810" w:type="dxa"/>
            <w:vAlign w:val="center"/>
          </w:tcPr>
          <w:p w14:paraId="3F0C1678" w14:textId="77777777" w:rsidR="00231552" w:rsidRPr="0081358C" w:rsidRDefault="00231552" w:rsidP="00596187">
            <w:pPr>
              <w:pStyle w:val="ExhibitText"/>
              <w:jc w:val="right"/>
              <w:rPr>
                <w:lang w:val="en-GB"/>
              </w:rPr>
            </w:pPr>
            <w:r w:rsidRPr="0081358C">
              <w:rPr>
                <w:lang w:val="en-GB"/>
              </w:rPr>
              <w:t>42</w:t>
            </w:r>
          </w:p>
        </w:tc>
        <w:tc>
          <w:tcPr>
            <w:tcW w:w="4045" w:type="dxa"/>
            <w:vAlign w:val="center"/>
          </w:tcPr>
          <w:p w14:paraId="4DC6D887" w14:textId="77777777" w:rsidR="00231552" w:rsidRPr="0081358C" w:rsidRDefault="00231552" w:rsidP="00596187">
            <w:pPr>
              <w:pStyle w:val="ExhibitText"/>
              <w:jc w:val="left"/>
              <w:rPr>
                <w:lang w:val="en-GB"/>
              </w:rPr>
            </w:pPr>
            <w:r w:rsidRPr="0081358C">
              <w:rPr>
                <w:lang w:val="en-GB"/>
              </w:rPr>
              <w:t>Will vary on per cent of rebate retained</w:t>
            </w:r>
          </w:p>
        </w:tc>
      </w:tr>
      <w:tr w:rsidR="00231552" w:rsidRPr="0081358C" w14:paraId="4E35E8BD" w14:textId="77777777" w:rsidTr="00777AEF">
        <w:tc>
          <w:tcPr>
            <w:tcW w:w="3235" w:type="dxa"/>
            <w:vAlign w:val="center"/>
          </w:tcPr>
          <w:p w14:paraId="668EA297" w14:textId="77777777" w:rsidR="00231552" w:rsidRPr="00596187" w:rsidRDefault="00231552" w:rsidP="00596187">
            <w:pPr>
              <w:pStyle w:val="ExhibitText"/>
              <w:jc w:val="left"/>
              <w:rPr>
                <w:b/>
                <w:lang w:val="en-GB"/>
              </w:rPr>
            </w:pPr>
            <w:r w:rsidRPr="00596187">
              <w:rPr>
                <w:b/>
                <w:lang w:val="en-GB"/>
              </w:rPr>
              <w:t>Total value retained by channel</w:t>
            </w:r>
          </w:p>
        </w:tc>
        <w:tc>
          <w:tcPr>
            <w:tcW w:w="1260" w:type="dxa"/>
            <w:vAlign w:val="center"/>
          </w:tcPr>
          <w:p w14:paraId="0900628F" w14:textId="77777777" w:rsidR="00231552" w:rsidRPr="00596187" w:rsidRDefault="00231552" w:rsidP="00596187">
            <w:pPr>
              <w:pStyle w:val="ExhibitText"/>
              <w:jc w:val="right"/>
              <w:rPr>
                <w:b/>
                <w:lang w:val="en-GB"/>
              </w:rPr>
            </w:pPr>
            <w:r w:rsidRPr="00596187">
              <w:rPr>
                <w:b/>
                <w:lang w:val="en-GB"/>
              </w:rPr>
              <w:t>$71.09</w:t>
            </w:r>
          </w:p>
        </w:tc>
        <w:tc>
          <w:tcPr>
            <w:tcW w:w="810" w:type="dxa"/>
            <w:vAlign w:val="center"/>
          </w:tcPr>
          <w:p w14:paraId="6ED1CA68" w14:textId="77777777" w:rsidR="00231552" w:rsidRPr="00596187" w:rsidRDefault="00231552" w:rsidP="00596187">
            <w:pPr>
              <w:pStyle w:val="ExhibitText"/>
              <w:jc w:val="right"/>
              <w:rPr>
                <w:b/>
                <w:lang w:val="en-GB"/>
              </w:rPr>
            </w:pPr>
          </w:p>
        </w:tc>
        <w:tc>
          <w:tcPr>
            <w:tcW w:w="4045" w:type="dxa"/>
            <w:vAlign w:val="center"/>
          </w:tcPr>
          <w:p w14:paraId="014EFC69" w14:textId="77777777" w:rsidR="00231552" w:rsidRPr="00596187" w:rsidRDefault="00231552" w:rsidP="00596187">
            <w:pPr>
              <w:pStyle w:val="ExhibitText"/>
              <w:jc w:val="left"/>
              <w:rPr>
                <w:b/>
                <w:lang w:val="en-GB"/>
              </w:rPr>
            </w:pPr>
          </w:p>
        </w:tc>
      </w:tr>
    </w:tbl>
    <w:p w14:paraId="624C4EBB" w14:textId="5CE5D995" w:rsidR="00231552" w:rsidRPr="0081358C" w:rsidRDefault="00231552" w:rsidP="00231552">
      <w:pPr>
        <w:pStyle w:val="ExhibitText"/>
        <w:rPr>
          <w:lang w:val="en-GB"/>
        </w:rPr>
      </w:pPr>
    </w:p>
    <w:p w14:paraId="1EF426A4" w14:textId="679C492F" w:rsidR="00B36950" w:rsidRDefault="00B36950" w:rsidP="00231552">
      <w:pPr>
        <w:pStyle w:val="Footnote"/>
        <w:rPr>
          <w:lang w:val="en-GB"/>
        </w:rPr>
      </w:pPr>
      <w:r>
        <w:rPr>
          <w:lang w:val="en-GB"/>
        </w:rPr>
        <w:t xml:space="preserve">PBM = </w:t>
      </w:r>
      <w:r w:rsidRPr="00B36950">
        <w:rPr>
          <w:lang w:val="en-GB"/>
        </w:rPr>
        <w:t>pharmacy benefit manager</w:t>
      </w:r>
      <w:r>
        <w:rPr>
          <w:lang w:val="en-GB"/>
        </w:rPr>
        <w:t>.</w:t>
      </w:r>
    </w:p>
    <w:p w14:paraId="247536D3" w14:textId="32A88325" w:rsidR="00231552" w:rsidRPr="0081358C" w:rsidRDefault="00231552" w:rsidP="00231552">
      <w:pPr>
        <w:pStyle w:val="Footnote"/>
        <w:rPr>
          <w:lang w:val="en-GB"/>
        </w:rPr>
      </w:pPr>
      <w:r w:rsidRPr="0081358C">
        <w:rPr>
          <w:lang w:val="en-GB"/>
        </w:rPr>
        <w:t>Source: George Hill</w:t>
      </w:r>
      <w:r w:rsidR="00B36950">
        <w:rPr>
          <w:lang w:val="en-GB"/>
        </w:rPr>
        <w:t xml:space="preserve"> and</w:t>
      </w:r>
      <w:r w:rsidRPr="0081358C">
        <w:rPr>
          <w:lang w:val="en-GB"/>
        </w:rPr>
        <w:t xml:space="preserve"> Stephen Hagan, </w:t>
      </w:r>
      <w:r w:rsidR="00B36950" w:rsidRPr="0081358C">
        <w:rPr>
          <w:lang w:val="en-GB"/>
        </w:rPr>
        <w:t xml:space="preserve">RBC Capital Markets, </w:t>
      </w:r>
      <w:r w:rsidR="00B36950" w:rsidRPr="00596187">
        <w:rPr>
          <w:i/>
          <w:lang w:val="en-GB"/>
        </w:rPr>
        <w:t>Healthcare Distribution</w:t>
      </w:r>
      <w:r w:rsidR="00B36950">
        <w:rPr>
          <w:lang w:val="en-GB"/>
        </w:rPr>
        <w:t>,</w:t>
      </w:r>
      <w:r w:rsidRPr="0081358C">
        <w:rPr>
          <w:lang w:val="en-GB"/>
        </w:rPr>
        <w:t xml:space="preserve"> </w:t>
      </w:r>
      <w:r w:rsidR="00EE4083">
        <w:rPr>
          <w:lang w:val="en-GB"/>
        </w:rPr>
        <w:t xml:space="preserve">9, </w:t>
      </w:r>
      <w:r w:rsidRPr="0081358C">
        <w:rPr>
          <w:lang w:val="en-GB"/>
        </w:rPr>
        <w:t>September 18</w:t>
      </w:r>
      <w:r w:rsidR="00C33893" w:rsidRPr="0081358C">
        <w:rPr>
          <w:lang w:val="en-GB"/>
        </w:rPr>
        <w:t>,</w:t>
      </w:r>
      <w:r w:rsidRPr="0081358C">
        <w:rPr>
          <w:lang w:val="en-GB"/>
        </w:rPr>
        <w:t xml:space="preserve"> 2017</w:t>
      </w:r>
      <w:r w:rsidR="00B36950">
        <w:rPr>
          <w:lang w:val="en-GB"/>
        </w:rPr>
        <w:t>.</w:t>
      </w:r>
    </w:p>
    <w:p w14:paraId="3530BE7A" w14:textId="0181A272" w:rsidR="000B622A" w:rsidRDefault="000B622A" w:rsidP="00F91873">
      <w:pPr>
        <w:pStyle w:val="ExhibitText"/>
        <w:rPr>
          <w:lang w:val="en-GB"/>
        </w:rPr>
      </w:pPr>
    </w:p>
    <w:p w14:paraId="6541A74F" w14:textId="77777777" w:rsidR="00F91873" w:rsidRPr="0081358C" w:rsidRDefault="00F91873" w:rsidP="00F91873">
      <w:pPr>
        <w:pStyle w:val="ExhibitText"/>
        <w:rPr>
          <w:lang w:val="en-GB"/>
        </w:rPr>
      </w:pPr>
    </w:p>
    <w:p w14:paraId="620E18EF" w14:textId="456C2BFC" w:rsidR="00231552" w:rsidRPr="0081358C" w:rsidRDefault="00231552" w:rsidP="00481514">
      <w:pPr>
        <w:pStyle w:val="ExhibitHeading"/>
        <w:rPr>
          <w:lang w:val="en-GB"/>
        </w:rPr>
      </w:pPr>
      <w:r w:rsidRPr="0081358C">
        <w:rPr>
          <w:lang w:val="en-GB"/>
        </w:rPr>
        <w:t>Exhibit 3</w:t>
      </w:r>
      <w:r w:rsidR="00481514" w:rsidRPr="0081358C">
        <w:rPr>
          <w:lang w:val="en-GB"/>
        </w:rPr>
        <w:t xml:space="preserve">: </w:t>
      </w:r>
      <w:r w:rsidRPr="0081358C">
        <w:rPr>
          <w:lang w:val="en-GB"/>
        </w:rPr>
        <w:t>Industry Ratios</w:t>
      </w:r>
    </w:p>
    <w:p w14:paraId="51DF6CB4" w14:textId="77777777" w:rsidR="00231552" w:rsidRPr="00F91873" w:rsidRDefault="00231552" w:rsidP="00F91873">
      <w:pPr>
        <w:pStyle w:val="ExhibitText"/>
      </w:pPr>
    </w:p>
    <w:tbl>
      <w:tblPr>
        <w:tblStyle w:val="TableGrid"/>
        <w:tblW w:w="0" w:type="auto"/>
        <w:tblLook w:val="04A0" w:firstRow="1" w:lastRow="0" w:firstColumn="1" w:lastColumn="0" w:noHBand="0" w:noVBand="1"/>
      </w:tblPr>
      <w:tblGrid>
        <w:gridCol w:w="3595"/>
        <w:gridCol w:w="1362"/>
        <w:gridCol w:w="1417"/>
        <w:gridCol w:w="1418"/>
        <w:gridCol w:w="1417"/>
      </w:tblGrid>
      <w:tr w:rsidR="00231552" w:rsidRPr="0081358C" w14:paraId="31C1F3B3" w14:textId="77777777" w:rsidTr="00596187">
        <w:trPr>
          <w:trHeight w:val="283"/>
        </w:trPr>
        <w:tc>
          <w:tcPr>
            <w:tcW w:w="9209" w:type="dxa"/>
            <w:gridSpan w:val="5"/>
            <w:noWrap/>
            <w:vAlign w:val="center"/>
            <w:hideMark/>
          </w:tcPr>
          <w:p w14:paraId="035A141B" w14:textId="77777777" w:rsidR="00231552" w:rsidRPr="0081358C" w:rsidRDefault="00231552">
            <w:pPr>
              <w:pStyle w:val="BodyTextMain"/>
              <w:jc w:val="left"/>
              <w:rPr>
                <w:rFonts w:ascii="Arial" w:hAnsi="Arial" w:cs="Arial"/>
                <w:b/>
                <w:sz w:val="20"/>
                <w:szCs w:val="20"/>
                <w:lang w:val="en-GB"/>
              </w:rPr>
            </w:pPr>
            <w:r w:rsidRPr="0081358C">
              <w:rPr>
                <w:rFonts w:ascii="Arial" w:hAnsi="Arial" w:cs="Arial"/>
                <w:b/>
                <w:sz w:val="20"/>
                <w:szCs w:val="20"/>
                <w:lang w:val="en-GB"/>
              </w:rPr>
              <w:t>Industry Financial Ratios</w:t>
            </w:r>
          </w:p>
        </w:tc>
      </w:tr>
      <w:tr w:rsidR="00231552" w:rsidRPr="0081358C" w14:paraId="620EC166" w14:textId="77777777" w:rsidTr="00596187">
        <w:trPr>
          <w:trHeight w:val="283"/>
        </w:trPr>
        <w:tc>
          <w:tcPr>
            <w:tcW w:w="3595" w:type="dxa"/>
            <w:noWrap/>
            <w:vAlign w:val="bottom"/>
            <w:hideMark/>
          </w:tcPr>
          <w:p w14:paraId="308EA0F6" w14:textId="77777777" w:rsidR="00231552" w:rsidRPr="0081358C" w:rsidRDefault="00231552" w:rsidP="00802A3C">
            <w:pPr>
              <w:pStyle w:val="BodyTextMain"/>
              <w:jc w:val="left"/>
              <w:rPr>
                <w:rFonts w:ascii="Arial" w:hAnsi="Arial" w:cs="Arial"/>
                <w:b/>
                <w:sz w:val="20"/>
                <w:szCs w:val="20"/>
                <w:lang w:val="en-GB"/>
              </w:rPr>
            </w:pPr>
          </w:p>
        </w:tc>
        <w:tc>
          <w:tcPr>
            <w:tcW w:w="1362" w:type="dxa"/>
            <w:vAlign w:val="bottom"/>
            <w:hideMark/>
          </w:tcPr>
          <w:p w14:paraId="6AC1D1CF" w14:textId="78E0389F" w:rsidR="00231552" w:rsidRPr="0081358C" w:rsidRDefault="009A3654" w:rsidP="00481514">
            <w:pPr>
              <w:pStyle w:val="BodyTextMain"/>
              <w:jc w:val="center"/>
              <w:rPr>
                <w:rFonts w:ascii="Arial" w:hAnsi="Arial" w:cs="Arial"/>
                <w:b/>
                <w:sz w:val="20"/>
                <w:szCs w:val="20"/>
                <w:lang w:val="en-GB"/>
              </w:rPr>
            </w:pPr>
            <w:r>
              <w:rPr>
                <w:rFonts w:ascii="Arial" w:hAnsi="Arial" w:cs="Arial"/>
                <w:b/>
                <w:sz w:val="20"/>
                <w:szCs w:val="20"/>
                <w:lang w:val="en-GB"/>
              </w:rPr>
              <w:t>April</w:t>
            </w:r>
            <w:r w:rsidR="00481514" w:rsidRPr="0081358C">
              <w:rPr>
                <w:rFonts w:ascii="Arial" w:hAnsi="Arial" w:cs="Arial"/>
                <w:b/>
                <w:sz w:val="20"/>
                <w:szCs w:val="20"/>
                <w:lang w:val="en-GB"/>
              </w:rPr>
              <w:t xml:space="preserve"> 2013–</w:t>
            </w:r>
            <w:r>
              <w:rPr>
                <w:rFonts w:ascii="Arial" w:hAnsi="Arial" w:cs="Arial"/>
                <w:b/>
                <w:sz w:val="20"/>
                <w:szCs w:val="20"/>
                <w:lang w:val="en-GB"/>
              </w:rPr>
              <w:t>March</w:t>
            </w:r>
            <w:r w:rsidR="00481514" w:rsidRPr="0081358C">
              <w:rPr>
                <w:rFonts w:ascii="Arial" w:hAnsi="Arial" w:cs="Arial"/>
                <w:b/>
                <w:sz w:val="20"/>
                <w:szCs w:val="20"/>
                <w:lang w:val="en-GB"/>
              </w:rPr>
              <w:t xml:space="preserve"> </w:t>
            </w:r>
            <w:r w:rsidR="00231552" w:rsidRPr="0081358C">
              <w:rPr>
                <w:rFonts w:ascii="Arial" w:hAnsi="Arial" w:cs="Arial"/>
                <w:b/>
                <w:sz w:val="20"/>
                <w:szCs w:val="20"/>
                <w:lang w:val="en-GB"/>
              </w:rPr>
              <w:t>2014</w:t>
            </w:r>
          </w:p>
        </w:tc>
        <w:tc>
          <w:tcPr>
            <w:tcW w:w="1417" w:type="dxa"/>
            <w:vAlign w:val="bottom"/>
            <w:hideMark/>
          </w:tcPr>
          <w:p w14:paraId="289AE73D" w14:textId="2967E78C" w:rsidR="00231552" w:rsidRPr="0081358C" w:rsidRDefault="009A3654" w:rsidP="003078DC">
            <w:pPr>
              <w:pStyle w:val="BodyTextMain"/>
              <w:jc w:val="center"/>
              <w:rPr>
                <w:rFonts w:ascii="Arial" w:hAnsi="Arial" w:cs="Arial"/>
                <w:b/>
                <w:sz w:val="20"/>
                <w:szCs w:val="20"/>
                <w:lang w:val="en-GB"/>
              </w:rPr>
            </w:pPr>
            <w:r>
              <w:rPr>
                <w:rFonts w:ascii="Arial" w:hAnsi="Arial" w:cs="Arial"/>
                <w:b/>
                <w:sz w:val="20"/>
                <w:szCs w:val="20"/>
                <w:lang w:val="en-GB"/>
              </w:rPr>
              <w:t>April</w:t>
            </w:r>
            <w:r w:rsidR="00231552" w:rsidRPr="0081358C">
              <w:rPr>
                <w:rFonts w:ascii="Arial" w:hAnsi="Arial" w:cs="Arial"/>
                <w:b/>
                <w:sz w:val="20"/>
                <w:szCs w:val="20"/>
                <w:lang w:val="en-GB"/>
              </w:rPr>
              <w:t xml:space="preserve"> 2014</w:t>
            </w:r>
            <w:r w:rsidR="003078DC" w:rsidRPr="0081358C">
              <w:rPr>
                <w:rFonts w:ascii="Arial" w:hAnsi="Arial" w:cs="Arial"/>
                <w:b/>
                <w:sz w:val="20"/>
                <w:szCs w:val="20"/>
                <w:lang w:val="en-GB"/>
              </w:rPr>
              <w:t>–</w:t>
            </w:r>
            <w:r>
              <w:rPr>
                <w:rFonts w:ascii="Arial" w:hAnsi="Arial" w:cs="Arial"/>
                <w:b/>
                <w:sz w:val="20"/>
                <w:szCs w:val="20"/>
                <w:lang w:val="en-GB"/>
              </w:rPr>
              <w:t>March</w:t>
            </w:r>
            <w:r w:rsidR="00231552" w:rsidRPr="0081358C">
              <w:rPr>
                <w:rFonts w:ascii="Arial" w:hAnsi="Arial" w:cs="Arial"/>
                <w:b/>
                <w:sz w:val="20"/>
                <w:szCs w:val="20"/>
                <w:lang w:val="en-GB"/>
              </w:rPr>
              <w:t xml:space="preserve"> 2015</w:t>
            </w:r>
          </w:p>
        </w:tc>
        <w:tc>
          <w:tcPr>
            <w:tcW w:w="1418" w:type="dxa"/>
            <w:vAlign w:val="bottom"/>
            <w:hideMark/>
          </w:tcPr>
          <w:p w14:paraId="59A5DE5C" w14:textId="09BECD98" w:rsidR="00231552" w:rsidRPr="0081358C" w:rsidRDefault="009A3654" w:rsidP="003D5553">
            <w:pPr>
              <w:pStyle w:val="BodyTextMain"/>
              <w:jc w:val="center"/>
              <w:rPr>
                <w:rFonts w:ascii="Arial" w:hAnsi="Arial" w:cs="Arial"/>
                <w:b/>
                <w:sz w:val="20"/>
                <w:szCs w:val="20"/>
                <w:lang w:val="en-GB"/>
              </w:rPr>
            </w:pPr>
            <w:r>
              <w:rPr>
                <w:rFonts w:ascii="Arial" w:hAnsi="Arial" w:cs="Arial"/>
                <w:b/>
                <w:sz w:val="20"/>
                <w:szCs w:val="20"/>
                <w:lang w:val="en-GB"/>
              </w:rPr>
              <w:t>April</w:t>
            </w:r>
            <w:r w:rsidR="00231552" w:rsidRPr="0081358C">
              <w:rPr>
                <w:rFonts w:ascii="Arial" w:hAnsi="Arial" w:cs="Arial"/>
                <w:b/>
                <w:sz w:val="20"/>
                <w:szCs w:val="20"/>
                <w:lang w:val="en-GB"/>
              </w:rPr>
              <w:t xml:space="preserve"> 2015</w:t>
            </w:r>
            <w:r w:rsidR="003078DC" w:rsidRPr="0081358C">
              <w:rPr>
                <w:rFonts w:ascii="Arial" w:hAnsi="Arial" w:cs="Arial"/>
                <w:b/>
                <w:sz w:val="20"/>
                <w:szCs w:val="20"/>
                <w:lang w:val="en-GB"/>
              </w:rPr>
              <w:t>–</w:t>
            </w:r>
            <w:r>
              <w:rPr>
                <w:rFonts w:ascii="Arial" w:hAnsi="Arial" w:cs="Arial"/>
                <w:b/>
                <w:sz w:val="20"/>
                <w:szCs w:val="20"/>
                <w:lang w:val="en-GB"/>
              </w:rPr>
              <w:t>March</w:t>
            </w:r>
            <w:r w:rsidR="00231552" w:rsidRPr="0081358C">
              <w:rPr>
                <w:rFonts w:ascii="Arial" w:hAnsi="Arial" w:cs="Arial"/>
                <w:b/>
                <w:sz w:val="20"/>
                <w:szCs w:val="20"/>
                <w:lang w:val="en-GB"/>
              </w:rPr>
              <w:t xml:space="preserve"> 2016</w:t>
            </w:r>
          </w:p>
        </w:tc>
        <w:tc>
          <w:tcPr>
            <w:tcW w:w="1417" w:type="dxa"/>
            <w:vAlign w:val="bottom"/>
            <w:hideMark/>
          </w:tcPr>
          <w:p w14:paraId="4B504909" w14:textId="34F806B0" w:rsidR="00231552" w:rsidRPr="0081358C" w:rsidRDefault="009A3654" w:rsidP="002234C9">
            <w:pPr>
              <w:pStyle w:val="BodyTextMain"/>
              <w:jc w:val="center"/>
              <w:rPr>
                <w:rFonts w:ascii="Arial" w:hAnsi="Arial" w:cs="Arial"/>
                <w:b/>
                <w:sz w:val="20"/>
                <w:szCs w:val="20"/>
                <w:lang w:val="en-GB"/>
              </w:rPr>
            </w:pPr>
            <w:r>
              <w:rPr>
                <w:rFonts w:ascii="Arial" w:hAnsi="Arial" w:cs="Arial"/>
                <w:b/>
                <w:sz w:val="20"/>
                <w:szCs w:val="20"/>
                <w:lang w:val="en-GB"/>
              </w:rPr>
              <w:t>April</w:t>
            </w:r>
            <w:r w:rsidRPr="0081358C">
              <w:rPr>
                <w:rFonts w:ascii="Arial" w:hAnsi="Arial" w:cs="Arial"/>
                <w:b/>
                <w:sz w:val="20"/>
                <w:szCs w:val="20"/>
                <w:lang w:val="en-GB"/>
              </w:rPr>
              <w:t xml:space="preserve"> </w:t>
            </w:r>
            <w:r w:rsidR="00231552" w:rsidRPr="0081358C">
              <w:rPr>
                <w:rFonts w:ascii="Arial" w:hAnsi="Arial" w:cs="Arial"/>
                <w:b/>
                <w:sz w:val="20"/>
                <w:szCs w:val="20"/>
                <w:lang w:val="en-GB"/>
              </w:rPr>
              <w:t>2016</w:t>
            </w:r>
            <w:r w:rsidR="003078DC" w:rsidRPr="0081358C">
              <w:rPr>
                <w:rFonts w:ascii="Arial" w:hAnsi="Arial" w:cs="Arial"/>
                <w:b/>
                <w:sz w:val="20"/>
                <w:szCs w:val="20"/>
                <w:lang w:val="en-GB"/>
              </w:rPr>
              <w:t>–</w:t>
            </w:r>
            <w:r w:rsidR="00231552" w:rsidRPr="0081358C">
              <w:rPr>
                <w:rFonts w:ascii="Arial" w:hAnsi="Arial" w:cs="Arial"/>
                <w:b/>
                <w:sz w:val="20"/>
                <w:szCs w:val="20"/>
                <w:lang w:val="en-GB"/>
              </w:rPr>
              <w:t xml:space="preserve"> </w:t>
            </w:r>
            <w:r>
              <w:rPr>
                <w:rFonts w:ascii="Arial" w:hAnsi="Arial" w:cs="Arial"/>
                <w:b/>
                <w:sz w:val="20"/>
                <w:szCs w:val="20"/>
                <w:lang w:val="en-GB"/>
              </w:rPr>
              <w:t>March</w:t>
            </w:r>
            <w:r w:rsidRPr="0081358C">
              <w:rPr>
                <w:rFonts w:ascii="Arial" w:hAnsi="Arial" w:cs="Arial"/>
                <w:b/>
                <w:sz w:val="20"/>
                <w:szCs w:val="20"/>
                <w:lang w:val="en-GB"/>
              </w:rPr>
              <w:t xml:space="preserve"> </w:t>
            </w:r>
            <w:r w:rsidR="00231552" w:rsidRPr="0081358C">
              <w:rPr>
                <w:rFonts w:ascii="Arial" w:hAnsi="Arial" w:cs="Arial"/>
                <w:b/>
                <w:sz w:val="20"/>
                <w:szCs w:val="20"/>
                <w:lang w:val="en-GB"/>
              </w:rPr>
              <w:t>2017</w:t>
            </w:r>
          </w:p>
        </w:tc>
      </w:tr>
      <w:tr w:rsidR="00231552" w:rsidRPr="0081358C" w14:paraId="4CBF2656" w14:textId="77777777" w:rsidTr="00596187">
        <w:trPr>
          <w:trHeight w:val="56"/>
        </w:trPr>
        <w:tc>
          <w:tcPr>
            <w:tcW w:w="3595" w:type="dxa"/>
            <w:noWrap/>
            <w:vAlign w:val="bottom"/>
            <w:hideMark/>
          </w:tcPr>
          <w:p w14:paraId="6B1E4BCE" w14:textId="2A2555CC"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Current </w:t>
            </w:r>
            <w:r w:rsidR="000610DA">
              <w:rPr>
                <w:rFonts w:ascii="Arial" w:hAnsi="Arial" w:cs="Arial"/>
                <w:sz w:val="20"/>
                <w:szCs w:val="20"/>
                <w:lang w:val="en-GB"/>
              </w:rPr>
              <w:t>ratio</w:t>
            </w:r>
          </w:p>
        </w:tc>
        <w:tc>
          <w:tcPr>
            <w:tcW w:w="1362" w:type="dxa"/>
            <w:noWrap/>
            <w:vAlign w:val="bottom"/>
            <w:hideMark/>
          </w:tcPr>
          <w:p w14:paraId="044F114E"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1.8</w:t>
            </w:r>
          </w:p>
        </w:tc>
        <w:tc>
          <w:tcPr>
            <w:tcW w:w="1417" w:type="dxa"/>
            <w:noWrap/>
            <w:vAlign w:val="bottom"/>
            <w:hideMark/>
          </w:tcPr>
          <w:p w14:paraId="68578D5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1.7</w:t>
            </w:r>
          </w:p>
        </w:tc>
        <w:tc>
          <w:tcPr>
            <w:tcW w:w="1418" w:type="dxa"/>
            <w:noWrap/>
            <w:vAlign w:val="bottom"/>
            <w:hideMark/>
          </w:tcPr>
          <w:p w14:paraId="01D71330"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1.7</w:t>
            </w:r>
          </w:p>
        </w:tc>
        <w:tc>
          <w:tcPr>
            <w:tcW w:w="1417" w:type="dxa"/>
            <w:noWrap/>
            <w:vAlign w:val="bottom"/>
            <w:hideMark/>
          </w:tcPr>
          <w:p w14:paraId="3307C938"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1.7</w:t>
            </w:r>
          </w:p>
        </w:tc>
      </w:tr>
      <w:tr w:rsidR="00231552" w:rsidRPr="0081358C" w14:paraId="286180F2" w14:textId="77777777" w:rsidTr="00596187">
        <w:trPr>
          <w:trHeight w:val="80"/>
        </w:trPr>
        <w:tc>
          <w:tcPr>
            <w:tcW w:w="3595" w:type="dxa"/>
            <w:noWrap/>
            <w:vAlign w:val="bottom"/>
            <w:hideMark/>
          </w:tcPr>
          <w:p w14:paraId="5C2E9C8A" w14:textId="75592E00" w:rsidR="00231552" w:rsidRPr="0081358C" w:rsidRDefault="00231552" w:rsidP="00802A3C">
            <w:pPr>
              <w:pStyle w:val="BodyTextMain"/>
              <w:jc w:val="left"/>
              <w:rPr>
                <w:rFonts w:ascii="Arial" w:hAnsi="Arial" w:cs="Arial"/>
                <w:i/>
                <w:iCs/>
                <w:sz w:val="20"/>
                <w:szCs w:val="20"/>
                <w:lang w:val="en-GB"/>
              </w:rPr>
            </w:pPr>
            <w:r w:rsidRPr="0081358C">
              <w:rPr>
                <w:rFonts w:ascii="Arial" w:hAnsi="Arial" w:cs="Arial"/>
                <w:i/>
                <w:iCs/>
                <w:sz w:val="20"/>
                <w:szCs w:val="20"/>
                <w:lang w:val="en-GB"/>
              </w:rPr>
              <w:t>Days’</w:t>
            </w:r>
            <w:r w:rsidRPr="0081358C">
              <w:rPr>
                <w:rFonts w:ascii="Arial" w:hAnsi="Arial" w:cs="Arial"/>
                <w:sz w:val="20"/>
                <w:szCs w:val="20"/>
                <w:lang w:val="en-GB"/>
              </w:rPr>
              <w:t xml:space="preserve"> </w:t>
            </w:r>
            <w:r w:rsidR="000610DA">
              <w:rPr>
                <w:rFonts w:ascii="Arial" w:hAnsi="Arial" w:cs="Arial"/>
                <w:i/>
                <w:iCs/>
                <w:sz w:val="20"/>
                <w:szCs w:val="20"/>
                <w:lang w:val="en-GB"/>
              </w:rPr>
              <w:t>receivables</w:t>
            </w:r>
          </w:p>
        </w:tc>
        <w:tc>
          <w:tcPr>
            <w:tcW w:w="1362" w:type="dxa"/>
            <w:noWrap/>
            <w:vAlign w:val="bottom"/>
            <w:hideMark/>
          </w:tcPr>
          <w:p w14:paraId="0338382C"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16.3</w:t>
            </w:r>
          </w:p>
        </w:tc>
        <w:tc>
          <w:tcPr>
            <w:tcW w:w="1417" w:type="dxa"/>
            <w:noWrap/>
            <w:vAlign w:val="bottom"/>
            <w:hideMark/>
          </w:tcPr>
          <w:p w14:paraId="1ECFA1E4"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15.6</w:t>
            </w:r>
          </w:p>
        </w:tc>
        <w:tc>
          <w:tcPr>
            <w:tcW w:w="1418" w:type="dxa"/>
            <w:noWrap/>
            <w:vAlign w:val="bottom"/>
            <w:hideMark/>
          </w:tcPr>
          <w:p w14:paraId="1E825A42"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16.2</w:t>
            </w:r>
          </w:p>
        </w:tc>
        <w:tc>
          <w:tcPr>
            <w:tcW w:w="1417" w:type="dxa"/>
            <w:noWrap/>
            <w:vAlign w:val="bottom"/>
            <w:hideMark/>
          </w:tcPr>
          <w:p w14:paraId="09CD69D3"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17.8</w:t>
            </w:r>
          </w:p>
        </w:tc>
      </w:tr>
      <w:tr w:rsidR="00231552" w:rsidRPr="0081358C" w14:paraId="682C3897" w14:textId="77777777" w:rsidTr="00596187">
        <w:trPr>
          <w:trHeight w:val="56"/>
        </w:trPr>
        <w:tc>
          <w:tcPr>
            <w:tcW w:w="3595" w:type="dxa"/>
            <w:noWrap/>
            <w:vAlign w:val="bottom"/>
            <w:hideMark/>
          </w:tcPr>
          <w:p w14:paraId="3F9C8DB8" w14:textId="7946AD5C" w:rsidR="00231552" w:rsidRPr="0081358C" w:rsidRDefault="00231552" w:rsidP="00802A3C">
            <w:pPr>
              <w:pStyle w:val="BodyTextMain"/>
              <w:jc w:val="left"/>
              <w:rPr>
                <w:rFonts w:ascii="Arial" w:hAnsi="Arial" w:cs="Arial"/>
                <w:i/>
                <w:iCs/>
                <w:sz w:val="20"/>
                <w:szCs w:val="20"/>
                <w:lang w:val="en-GB"/>
              </w:rPr>
            </w:pPr>
            <w:r w:rsidRPr="0081358C">
              <w:rPr>
                <w:rFonts w:ascii="Arial" w:hAnsi="Arial" w:cs="Arial"/>
                <w:i/>
                <w:iCs/>
                <w:sz w:val="20"/>
                <w:szCs w:val="20"/>
                <w:lang w:val="en-GB"/>
              </w:rPr>
              <w:t>Days’</w:t>
            </w:r>
            <w:r w:rsidRPr="0081358C">
              <w:rPr>
                <w:rFonts w:ascii="Arial" w:hAnsi="Arial" w:cs="Arial"/>
                <w:sz w:val="20"/>
                <w:szCs w:val="20"/>
                <w:lang w:val="en-GB"/>
              </w:rPr>
              <w:t xml:space="preserve"> </w:t>
            </w:r>
            <w:r w:rsidR="000610DA">
              <w:rPr>
                <w:rFonts w:ascii="Arial" w:hAnsi="Arial" w:cs="Arial"/>
                <w:i/>
                <w:iCs/>
                <w:sz w:val="20"/>
                <w:szCs w:val="20"/>
                <w:lang w:val="en-GB"/>
              </w:rPr>
              <w:t>inventory</w:t>
            </w:r>
          </w:p>
        </w:tc>
        <w:tc>
          <w:tcPr>
            <w:tcW w:w="1362" w:type="dxa"/>
            <w:noWrap/>
            <w:vAlign w:val="bottom"/>
            <w:hideMark/>
          </w:tcPr>
          <w:p w14:paraId="73F5A275"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30.4</w:t>
            </w:r>
          </w:p>
        </w:tc>
        <w:tc>
          <w:tcPr>
            <w:tcW w:w="1417" w:type="dxa"/>
            <w:noWrap/>
            <w:vAlign w:val="bottom"/>
            <w:hideMark/>
          </w:tcPr>
          <w:p w14:paraId="316661CF"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26.6</w:t>
            </w:r>
          </w:p>
        </w:tc>
        <w:tc>
          <w:tcPr>
            <w:tcW w:w="1418" w:type="dxa"/>
            <w:noWrap/>
            <w:vAlign w:val="bottom"/>
            <w:hideMark/>
          </w:tcPr>
          <w:p w14:paraId="3FC30D0E"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27.2</w:t>
            </w:r>
          </w:p>
        </w:tc>
        <w:tc>
          <w:tcPr>
            <w:tcW w:w="1417" w:type="dxa"/>
            <w:noWrap/>
            <w:vAlign w:val="bottom"/>
            <w:hideMark/>
          </w:tcPr>
          <w:p w14:paraId="38D8972C"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26.6</w:t>
            </w:r>
          </w:p>
        </w:tc>
      </w:tr>
      <w:tr w:rsidR="00231552" w:rsidRPr="0081358C" w14:paraId="70DB22ED" w14:textId="77777777" w:rsidTr="00596187">
        <w:trPr>
          <w:trHeight w:val="56"/>
        </w:trPr>
        <w:tc>
          <w:tcPr>
            <w:tcW w:w="3595" w:type="dxa"/>
            <w:noWrap/>
            <w:vAlign w:val="bottom"/>
            <w:hideMark/>
          </w:tcPr>
          <w:p w14:paraId="0383EF3F" w14:textId="277589E6" w:rsidR="00231552" w:rsidRPr="0081358C" w:rsidRDefault="00231552" w:rsidP="00802A3C">
            <w:pPr>
              <w:pStyle w:val="BodyTextMain"/>
              <w:jc w:val="left"/>
              <w:rPr>
                <w:rFonts w:ascii="Arial" w:hAnsi="Arial" w:cs="Arial"/>
                <w:i/>
                <w:iCs/>
                <w:sz w:val="20"/>
                <w:szCs w:val="20"/>
                <w:lang w:val="en-GB"/>
              </w:rPr>
            </w:pPr>
            <w:r w:rsidRPr="0081358C">
              <w:rPr>
                <w:rFonts w:ascii="Arial" w:hAnsi="Arial" w:cs="Arial"/>
                <w:i/>
                <w:iCs/>
                <w:sz w:val="20"/>
                <w:szCs w:val="20"/>
                <w:lang w:val="en-GB"/>
              </w:rPr>
              <w:t>Days’</w:t>
            </w:r>
            <w:r w:rsidRPr="0081358C">
              <w:rPr>
                <w:rFonts w:ascii="Arial" w:hAnsi="Arial" w:cs="Arial"/>
                <w:sz w:val="20"/>
                <w:szCs w:val="20"/>
                <w:lang w:val="en-GB"/>
              </w:rPr>
              <w:t xml:space="preserve"> </w:t>
            </w:r>
            <w:r w:rsidR="000610DA">
              <w:rPr>
                <w:rFonts w:ascii="Arial" w:hAnsi="Arial" w:cs="Arial"/>
                <w:i/>
                <w:iCs/>
                <w:sz w:val="20"/>
                <w:szCs w:val="20"/>
                <w:lang w:val="en-GB"/>
              </w:rPr>
              <w:t>payables</w:t>
            </w:r>
          </w:p>
        </w:tc>
        <w:tc>
          <w:tcPr>
            <w:tcW w:w="1362" w:type="dxa"/>
            <w:noWrap/>
            <w:vAlign w:val="bottom"/>
            <w:hideMark/>
          </w:tcPr>
          <w:p w14:paraId="777DF70F"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21.7</w:t>
            </w:r>
          </w:p>
        </w:tc>
        <w:tc>
          <w:tcPr>
            <w:tcW w:w="1417" w:type="dxa"/>
            <w:noWrap/>
            <w:vAlign w:val="bottom"/>
            <w:hideMark/>
          </w:tcPr>
          <w:p w14:paraId="367BFCFA"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20.2</w:t>
            </w:r>
          </w:p>
        </w:tc>
        <w:tc>
          <w:tcPr>
            <w:tcW w:w="1418" w:type="dxa"/>
            <w:noWrap/>
            <w:vAlign w:val="bottom"/>
            <w:hideMark/>
          </w:tcPr>
          <w:p w14:paraId="4DA4C67B"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20.9</w:t>
            </w:r>
          </w:p>
        </w:tc>
        <w:tc>
          <w:tcPr>
            <w:tcW w:w="1417" w:type="dxa"/>
            <w:noWrap/>
            <w:vAlign w:val="bottom"/>
            <w:hideMark/>
          </w:tcPr>
          <w:p w14:paraId="455F3759"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20.6</w:t>
            </w:r>
          </w:p>
        </w:tc>
      </w:tr>
      <w:tr w:rsidR="00231552" w:rsidRPr="0081358C" w14:paraId="3BCF2234" w14:textId="77777777" w:rsidTr="00596187">
        <w:trPr>
          <w:trHeight w:val="56"/>
        </w:trPr>
        <w:tc>
          <w:tcPr>
            <w:tcW w:w="3595" w:type="dxa"/>
            <w:noWrap/>
            <w:vAlign w:val="bottom"/>
            <w:hideMark/>
          </w:tcPr>
          <w:p w14:paraId="21D7D6E2" w14:textId="47C323D5"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Sales/</w:t>
            </w:r>
            <w:r w:rsidR="000610DA">
              <w:rPr>
                <w:rFonts w:ascii="Arial" w:hAnsi="Arial" w:cs="Arial"/>
                <w:sz w:val="20"/>
                <w:szCs w:val="20"/>
                <w:lang w:val="en-GB"/>
              </w:rPr>
              <w:t>w</w:t>
            </w:r>
            <w:r w:rsidRPr="0081358C">
              <w:rPr>
                <w:rFonts w:ascii="Arial" w:hAnsi="Arial" w:cs="Arial"/>
                <w:sz w:val="20"/>
                <w:szCs w:val="20"/>
                <w:lang w:val="en-GB"/>
              </w:rPr>
              <w:t xml:space="preserve">orking </w:t>
            </w:r>
            <w:r w:rsidR="000610DA">
              <w:rPr>
                <w:rFonts w:ascii="Arial" w:hAnsi="Arial" w:cs="Arial"/>
                <w:sz w:val="20"/>
                <w:szCs w:val="20"/>
                <w:lang w:val="en-GB"/>
              </w:rPr>
              <w:t>capital</w:t>
            </w:r>
          </w:p>
        </w:tc>
        <w:tc>
          <w:tcPr>
            <w:tcW w:w="1362" w:type="dxa"/>
            <w:noWrap/>
            <w:vAlign w:val="bottom"/>
            <w:hideMark/>
          </w:tcPr>
          <w:p w14:paraId="705B6E72"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16.0</w:t>
            </w:r>
          </w:p>
        </w:tc>
        <w:tc>
          <w:tcPr>
            <w:tcW w:w="1417" w:type="dxa"/>
            <w:noWrap/>
            <w:vAlign w:val="bottom"/>
            <w:hideMark/>
          </w:tcPr>
          <w:p w14:paraId="7EA8FD27"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21.7</w:t>
            </w:r>
          </w:p>
        </w:tc>
        <w:tc>
          <w:tcPr>
            <w:tcW w:w="1418" w:type="dxa"/>
            <w:noWrap/>
            <w:vAlign w:val="bottom"/>
            <w:hideMark/>
          </w:tcPr>
          <w:p w14:paraId="3404B72E"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20.8</w:t>
            </w:r>
          </w:p>
        </w:tc>
        <w:tc>
          <w:tcPr>
            <w:tcW w:w="1417" w:type="dxa"/>
            <w:noWrap/>
            <w:vAlign w:val="bottom"/>
            <w:hideMark/>
          </w:tcPr>
          <w:p w14:paraId="33F43CD9"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17.7</w:t>
            </w:r>
          </w:p>
        </w:tc>
      </w:tr>
      <w:tr w:rsidR="00231552" w:rsidRPr="0081358C" w14:paraId="3CED2197" w14:textId="77777777" w:rsidTr="00596187">
        <w:trPr>
          <w:trHeight w:val="56"/>
        </w:trPr>
        <w:tc>
          <w:tcPr>
            <w:tcW w:w="3595" w:type="dxa"/>
            <w:noWrap/>
            <w:vAlign w:val="bottom"/>
            <w:hideMark/>
          </w:tcPr>
          <w:p w14:paraId="146008C6" w14:textId="24427B3F"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Fixed </w:t>
            </w:r>
            <w:r w:rsidR="000610DA">
              <w:rPr>
                <w:rFonts w:ascii="Arial" w:hAnsi="Arial" w:cs="Arial"/>
                <w:sz w:val="20"/>
                <w:szCs w:val="20"/>
                <w:lang w:val="en-GB"/>
              </w:rPr>
              <w:t>assets/net worth</w:t>
            </w:r>
          </w:p>
        </w:tc>
        <w:tc>
          <w:tcPr>
            <w:tcW w:w="1362" w:type="dxa"/>
            <w:noWrap/>
            <w:vAlign w:val="bottom"/>
            <w:hideMark/>
          </w:tcPr>
          <w:p w14:paraId="433D4C47"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0.4</w:t>
            </w:r>
          </w:p>
        </w:tc>
        <w:tc>
          <w:tcPr>
            <w:tcW w:w="1417" w:type="dxa"/>
            <w:noWrap/>
            <w:vAlign w:val="bottom"/>
            <w:hideMark/>
          </w:tcPr>
          <w:p w14:paraId="21A40A0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0.3</w:t>
            </w:r>
          </w:p>
        </w:tc>
        <w:tc>
          <w:tcPr>
            <w:tcW w:w="1418" w:type="dxa"/>
            <w:noWrap/>
            <w:vAlign w:val="bottom"/>
            <w:hideMark/>
          </w:tcPr>
          <w:p w14:paraId="2D22486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0.3</w:t>
            </w:r>
          </w:p>
        </w:tc>
        <w:tc>
          <w:tcPr>
            <w:tcW w:w="1417" w:type="dxa"/>
            <w:noWrap/>
            <w:vAlign w:val="bottom"/>
            <w:hideMark/>
          </w:tcPr>
          <w:p w14:paraId="17413DD0"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0.4</w:t>
            </w:r>
          </w:p>
        </w:tc>
      </w:tr>
      <w:tr w:rsidR="00231552" w:rsidRPr="0081358C" w14:paraId="53EF864C" w14:textId="77777777" w:rsidTr="00596187">
        <w:trPr>
          <w:trHeight w:val="56"/>
        </w:trPr>
        <w:tc>
          <w:tcPr>
            <w:tcW w:w="3595" w:type="dxa"/>
            <w:noWrap/>
            <w:vAlign w:val="bottom"/>
            <w:hideMark/>
          </w:tcPr>
          <w:p w14:paraId="702E6D34" w14:textId="257EE3B3"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Debt</w:t>
            </w:r>
            <w:r w:rsidR="000610DA">
              <w:rPr>
                <w:rFonts w:ascii="Arial" w:hAnsi="Arial" w:cs="Arial"/>
                <w:sz w:val="20"/>
                <w:szCs w:val="20"/>
                <w:lang w:val="en-GB"/>
              </w:rPr>
              <w:t>/net worth</w:t>
            </w:r>
          </w:p>
        </w:tc>
        <w:tc>
          <w:tcPr>
            <w:tcW w:w="1362" w:type="dxa"/>
            <w:noWrap/>
            <w:vAlign w:val="bottom"/>
            <w:hideMark/>
          </w:tcPr>
          <w:p w14:paraId="40204B71"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2.1</w:t>
            </w:r>
          </w:p>
        </w:tc>
        <w:tc>
          <w:tcPr>
            <w:tcW w:w="1417" w:type="dxa"/>
            <w:noWrap/>
            <w:vAlign w:val="bottom"/>
            <w:hideMark/>
          </w:tcPr>
          <w:p w14:paraId="31FB0917"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2.6</w:t>
            </w:r>
          </w:p>
        </w:tc>
        <w:tc>
          <w:tcPr>
            <w:tcW w:w="1418" w:type="dxa"/>
            <w:noWrap/>
            <w:vAlign w:val="bottom"/>
            <w:hideMark/>
          </w:tcPr>
          <w:p w14:paraId="0698856F"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2.5</w:t>
            </w:r>
          </w:p>
        </w:tc>
        <w:tc>
          <w:tcPr>
            <w:tcW w:w="1417" w:type="dxa"/>
            <w:noWrap/>
            <w:vAlign w:val="bottom"/>
            <w:hideMark/>
          </w:tcPr>
          <w:p w14:paraId="2443B124"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2.5</w:t>
            </w:r>
          </w:p>
        </w:tc>
      </w:tr>
      <w:tr w:rsidR="00231552" w:rsidRPr="0081358C" w14:paraId="65E9569C" w14:textId="77777777" w:rsidTr="00596187">
        <w:trPr>
          <w:trHeight w:val="56"/>
        </w:trPr>
        <w:tc>
          <w:tcPr>
            <w:tcW w:w="3595" w:type="dxa"/>
            <w:noWrap/>
            <w:vAlign w:val="bottom"/>
          </w:tcPr>
          <w:p w14:paraId="26FFF1BF" w14:textId="2448E7B5"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Profit before </w:t>
            </w:r>
            <w:r w:rsidR="000610DA">
              <w:rPr>
                <w:rFonts w:ascii="Arial" w:hAnsi="Arial" w:cs="Arial"/>
                <w:sz w:val="20"/>
                <w:szCs w:val="20"/>
                <w:lang w:val="en-GB"/>
              </w:rPr>
              <w:t>taxes/n</w:t>
            </w:r>
            <w:r w:rsidRPr="0081358C">
              <w:rPr>
                <w:rFonts w:ascii="Arial" w:hAnsi="Arial" w:cs="Arial"/>
                <w:sz w:val="20"/>
                <w:szCs w:val="20"/>
                <w:lang w:val="en-GB"/>
              </w:rPr>
              <w:t xml:space="preserve">et </w:t>
            </w:r>
            <w:r w:rsidR="000610DA">
              <w:rPr>
                <w:rFonts w:ascii="Arial" w:hAnsi="Arial" w:cs="Arial"/>
                <w:sz w:val="20"/>
                <w:szCs w:val="20"/>
                <w:lang w:val="en-GB"/>
              </w:rPr>
              <w:t>worth</w:t>
            </w:r>
            <w:r w:rsidRPr="0081358C">
              <w:rPr>
                <w:rFonts w:ascii="Arial" w:hAnsi="Arial" w:cs="Arial"/>
                <w:sz w:val="20"/>
                <w:szCs w:val="20"/>
                <w:lang w:val="en-GB"/>
              </w:rPr>
              <w:t xml:space="preserve"> </w:t>
            </w:r>
            <w:r w:rsidR="000610DA">
              <w:rPr>
                <w:rFonts w:ascii="Arial" w:hAnsi="Arial" w:cs="Arial"/>
                <w:sz w:val="20"/>
                <w:szCs w:val="20"/>
                <w:lang w:val="en-GB"/>
              </w:rPr>
              <w:t>(</w:t>
            </w:r>
            <w:r w:rsidRPr="0081358C">
              <w:rPr>
                <w:rFonts w:ascii="Arial" w:hAnsi="Arial" w:cs="Arial"/>
                <w:sz w:val="20"/>
                <w:szCs w:val="20"/>
                <w:lang w:val="en-GB"/>
              </w:rPr>
              <w:t>%</w:t>
            </w:r>
            <w:r w:rsidR="000610DA">
              <w:rPr>
                <w:rFonts w:ascii="Arial" w:hAnsi="Arial" w:cs="Arial"/>
                <w:sz w:val="20"/>
                <w:szCs w:val="20"/>
                <w:lang w:val="en-GB"/>
              </w:rPr>
              <w:t>)</w:t>
            </w:r>
          </w:p>
        </w:tc>
        <w:tc>
          <w:tcPr>
            <w:tcW w:w="1362" w:type="dxa"/>
            <w:noWrap/>
            <w:vAlign w:val="bottom"/>
          </w:tcPr>
          <w:p w14:paraId="43E9E196"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32.5</w:t>
            </w:r>
          </w:p>
        </w:tc>
        <w:tc>
          <w:tcPr>
            <w:tcW w:w="1417" w:type="dxa"/>
            <w:noWrap/>
            <w:vAlign w:val="bottom"/>
          </w:tcPr>
          <w:p w14:paraId="7E800FFB"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40.9</w:t>
            </w:r>
          </w:p>
        </w:tc>
        <w:tc>
          <w:tcPr>
            <w:tcW w:w="1418" w:type="dxa"/>
            <w:noWrap/>
            <w:vAlign w:val="bottom"/>
          </w:tcPr>
          <w:p w14:paraId="11F1FDE2"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42.4</w:t>
            </w:r>
          </w:p>
        </w:tc>
        <w:tc>
          <w:tcPr>
            <w:tcW w:w="1417" w:type="dxa"/>
            <w:noWrap/>
            <w:vAlign w:val="bottom"/>
          </w:tcPr>
          <w:p w14:paraId="0BA57795"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46.7</w:t>
            </w:r>
          </w:p>
        </w:tc>
      </w:tr>
      <w:tr w:rsidR="00231552" w:rsidRPr="0081358C" w14:paraId="22E3E2A0" w14:textId="77777777" w:rsidTr="00596187">
        <w:trPr>
          <w:trHeight w:val="56"/>
        </w:trPr>
        <w:tc>
          <w:tcPr>
            <w:tcW w:w="3595" w:type="dxa"/>
            <w:noWrap/>
            <w:vAlign w:val="bottom"/>
            <w:hideMark/>
          </w:tcPr>
          <w:p w14:paraId="43AC8373" w14:textId="0F6A7846"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Profit before </w:t>
            </w:r>
            <w:r w:rsidR="000610DA">
              <w:rPr>
                <w:rFonts w:ascii="Arial" w:hAnsi="Arial" w:cs="Arial"/>
                <w:sz w:val="20"/>
                <w:szCs w:val="20"/>
                <w:lang w:val="en-GB"/>
              </w:rPr>
              <w:t>taxes/total assets</w:t>
            </w:r>
            <w:r w:rsidRPr="0081358C">
              <w:rPr>
                <w:rFonts w:ascii="Arial" w:hAnsi="Arial" w:cs="Arial"/>
                <w:sz w:val="20"/>
                <w:szCs w:val="20"/>
                <w:lang w:val="en-GB"/>
              </w:rPr>
              <w:t xml:space="preserve"> </w:t>
            </w:r>
            <w:r w:rsidR="000610DA">
              <w:rPr>
                <w:rFonts w:ascii="Arial" w:hAnsi="Arial" w:cs="Arial"/>
                <w:sz w:val="20"/>
                <w:szCs w:val="20"/>
                <w:lang w:val="en-GB"/>
              </w:rPr>
              <w:t>(</w:t>
            </w:r>
            <w:r w:rsidRPr="0081358C">
              <w:rPr>
                <w:rFonts w:ascii="Arial" w:hAnsi="Arial" w:cs="Arial"/>
                <w:sz w:val="20"/>
                <w:szCs w:val="20"/>
                <w:lang w:val="en-GB"/>
              </w:rPr>
              <w:t>%</w:t>
            </w:r>
            <w:r w:rsidR="000610DA">
              <w:rPr>
                <w:rFonts w:ascii="Arial" w:hAnsi="Arial" w:cs="Arial"/>
                <w:sz w:val="20"/>
                <w:szCs w:val="20"/>
                <w:lang w:val="en-GB"/>
              </w:rPr>
              <w:t>)</w:t>
            </w:r>
          </w:p>
        </w:tc>
        <w:tc>
          <w:tcPr>
            <w:tcW w:w="1362" w:type="dxa"/>
            <w:noWrap/>
            <w:vAlign w:val="bottom"/>
            <w:hideMark/>
          </w:tcPr>
          <w:p w14:paraId="4C3BB861"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9.5</w:t>
            </w:r>
          </w:p>
        </w:tc>
        <w:tc>
          <w:tcPr>
            <w:tcW w:w="1417" w:type="dxa"/>
            <w:noWrap/>
            <w:vAlign w:val="bottom"/>
            <w:hideMark/>
          </w:tcPr>
          <w:p w14:paraId="2A1D46C5"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11.8</w:t>
            </w:r>
          </w:p>
        </w:tc>
        <w:tc>
          <w:tcPr>
            <w:tcW w:w="1418" w:type="dxa"/>
            <w:noWrap/>
            <w:vAlign w:val="bottom"/>
            <w:hideMark/>
          </w:tcPr>
          <w:p w14:paraId="4030ABC3"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12.9</w:t>
            </w:r>
          </w:p>
        </w:tc>
        <w:tc>
          <w:tcPr>
            <w:tcW w:w="1417" w:type="dxa"/>
            <w:noWrap/>
            <w:vAlign w:val="bottom"/>
            <w:hideMark/>
          </w:tcPr>
          <w:p w14:paraId="263A3A86"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13.0</w:t>
            </w:r>
          </w:p>
        </w:tc>
      </w:tr>
      <w:tr w:rsidR="00231552" w:rsidRPr="0081358C" w14:paraId="4044A79B" w14:textId="77777777" w:rsidTr="00596187">
        <w:trPr>
          <w:trHeight w:val="56"/>
        </w:trPr>
        <w:tc>
          <w:tcPr>
            <w:tcW w:w="3595" w:type="dxa"/>
            <w:noWrap/>
            <w:vAlign w:val="bottom"/>
            <w:hideMark/>
          </w:tcPr>
          <w:p w14:paraId="1B79D398" w14:textId="0294D9D8"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Sales</w:t>
            </w:r>
            <w:r w:rsidR="000610DA">
              <w:rPr>
                <w:rFonts w:ascii="Arial" w:hAnsi="Arial" w:cs="Arial"/>
                <w:sz w:val="20"/>
                <w:szCs w:val="20"/>
                <w:lang w:val="en-GB"/>
              </w:rPr>
              <w:t>/net fixed assets</w:t>
            </w:r>
          </w:p>
        </w:tc>
        <w:tc>
          <w:tcPr>
            <w:tcW w:w="1362" w:type="dxa"/>
            <w:noWrap/>
            <w:vAlign w:val="bottom"/>
            <w:hideMark/>
          </w:tcPr>
          <w:p w14:paraId="2BB71BE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64.5</w:t>
            </w:r>
          </w:p>
        </w:tc>
        <w:tc>
          <w:tcPr>
            <w:tcW w:w="1417" w:type="dxa"/>
            <w:noWrap/>
            <w:vAlign w:val="bottom"/>
            <w:hideMark/>
          </w:tcPr>
          <w:p w14:paraId="2AB7254C"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83.2</w:t>
            </w:r>
          </w:p>
        </w:tc>
        <w:tc>
          <w:tcPr>
            <w:tcW w:w="1418" w:type="dxa"/>
            <w:noWrap/>
            <w:vAlign w:val="bottom"/>
            <w:hideMark/>
          </w:tcPr>
          <w:p w14:paraId="4F1E920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91.8</w:t>
            </w:r>
          </w:p>
        </w:tc>
        <w:tc>
          <w:tcPr>
            <w:tcW w:w="1417" w:type="dxa"/>
            <w:noWrap/>
            <w:vAlign w:val="bottom"/>
            <w:hideMark/>
          </w:tcPr>
          <w:p w14:paraId="62D5D476"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83.8</w:t>
            </w:r>
          </w:p>
        </w:tc>
      </w:tr>
      <w:tr w:rsidR="00231552" w:rsidRPr="0081358C" w14:paraId="14FA4D60" w14:textId="77777777" w:rsidTr="00596187">
        <w:trPr>
          <w:trHeight w:val="56"/>
        </w:trPr>
        <w:tc>
          <w:tcPr>
            <w:tcW w:w="3595" w:type="dxa"/>
            <w:noWrap/>
            <w:vAlign w:val="bottom"/>
            <w:hideMark/>
          </w:tcPr>
          <w:p w14:paraId="24DEBF00" w14:textId="7C3B0E52"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Sales</w:t>
            </w:r>
            <w:r w:rsidR="000610DA">
              <w:rPr>
                <w:rFonts w:ascii="Arial" w:hAnsi="Arial" w:cs="Arial"/>
                <w:sz w:val="20"/>
                <w:szCs w:val="20"/>
                <w:lang w:val="en-GB"/>
              </w:rPr>
              <w:t xml:space="preserve">/total assets </w:t>
            </w:r>
            <w:r w:rsidRPr="0081358C">
              <w:rPr>
                <w:rFonts w:ascii="Arial" w:hAnsi="Arial" w:cs="Arial"/>
                <w:sz w:val="20"/>
                <w:szCs w:val="20"/>
                <w:lang w:val="en-GB"/>
              </w:rPr>
              <w:t>(</w:t>
            </w:r>
            <w:r w:rsidR="000610DA">
              <w:rPr>
                <w:rFonts w:ascii="Arial" w:hAnsi="Arial" w:cs="Arial"/>
                <w:sz w:val="20"/>
                <w:szCs w:val="20"/>
                <w:lang w:val="en-GB"/>
              </w:rPr>
              <w:t>asset turnover</w:t>
            </w:r>
            <w:r w:rsidRPr="0081358C">
              <w:rPr>
                <w:rFonts w:ascii="Arial" w:hAnsi="Arial" w:cs="Arial"/>
                <w:sz w:val="20"/>
                <w:szCs w:val="20"/>
                <w:lang w:val="en-GB"/>
              </w:rPr>
              <w:t>)</w:t>
            </w:r>
          </w:p>
        </w:tc>
        <w:tc>
          <w:tcPr>
            <w:tcW w:w="1362" w:type="dxa"/>
            <w:noWrap/>
            <w:vAlign w:val="bottom"/>
            <w:hideMark/>
          </w:tcPr>
          <w:p w14:paraId="105226BD"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4.7</w:t>
            </w:r>
          </w:p>
        </w:tc>
        <w:tc>
          <w:tcPr>
            <w:tcW w:w="1417" w:type="dxa"/>
            <w:noWrap/>
            <w:vAlign w:val="bottom"/>
            <w:hideMark/>
          </w:tcPr>
          <w:p w14:paraId="3AA4DBEE"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5.0</w:t>
            </w:r>
          </w:p>
        </w:tc>
        <w:tc>
          <w:tcPr>
            <w:tcW w:w="1418" w:type="dxa"/>
            <w:noWrap/>
            <w:vAlign w:val="bottom"/>
            <w:hideMark/>
          </w:tcPr>
          <w:p w14:paraId="619606EF"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5.3</w:t>
            </w:r>
          </w:p>
        </w:tc>
        <w:tc>
          <w:tcPr>
            <w:tcW w:w="1417" w:type="dxa"/>
            <w:noWrap/>
            <w:vAlign w:val="bottom"/>
            <w:hideMark/>
          </w:tcPr>
          <w:p w14:paraId="5394F7FB"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5.0</w:t>
            </w:r>
          </w:p>
        </w:tc>
      </w:tr>
      <w:tr w:rsidR="00231552" w:rsidRPr="0081358C" w14:paraId="429AC335" w14:textId="77777777" w:rsidTr="00596187">
        <w:trPr>
          <w:trHeight w:val="56"/>
        </w:trPr>
        <w:tc>
          <w:tcPr>
            <w:tcW w:w="3595" w:type="dxa"/>
            <w:noWrap/>
            <w:vAlign w:val="bottom"/>
            <w:hideMark/>
          </w:tcPr>
          <w:p w14:paraId="617712A5" w14:textId="471245DE"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Interest </w:t>
            </w:r>
            <w:r w:rsidR="003E5FD8">
              <w:rPr>
                <w:rFonts w:ascii="Arial" w:hAnsi="Arial" w:cs="Arial"/>
                <w:sz w:val="20"/>
                <w:szCs w:val="20"/>
                <w:lang w:val="en-GB"/>
              </w:rPr>
              <w:t>coverage</w:t>
            </w:r>
            <w:r w:rsidR="003E5FD8" w:rsidRPr="0081358C">
              <w:rPr>
                <w:rFonts w:ascii="Arial" w:hAnsi="Arial" w:cs="Arial"/>
                <w:sz w:val="20"/>
                <w:szCs w:val="20"/>
                <w:lang w:val="en-GB"/>
              </w:rPr>
              <w:t xml:space="preserve"> </w:t>
            </w:r>
            <w:r w:rsidRPr="0081358C">
              <w:rPr>
                <w:rFonts w:ascii="Arial" w:hAnsi="Arial" w:cs="Arial"/>
                <w:sz w:val="20"/>
                <w:szCs w:val="20"/>
                <w:lang w:val="en-GB"/>
              </w:rPr>
              <w:t>(</w:t>
            </w:r>
            <w:r w:rsidR="003E5FD8">
              <w:rPr>
                <w:rFonts w:ascii="Arial" w:hAnsi="Arial" w:cs="Arial"/>
                <w:sz w:val="20"/>
                <w:szCs w:val="20"/>
                <w:lang w:val="en-GB"/>
              </w:rPr>
              <w:t>operating cash</w:t>
            </w:r>
            <w:r w:rsidRPr="0081358C">
              <w:rPr>
                <w:rFonts w:ascii="Arial" w:hAnsi="Arial" w:cs="Arial"/>
                <w:sz w:val="20"/>
                <w:szCs w:val="20"/>
                <w:lang w:val="en-GB"/>
              </w:rPr>
              <w:t>)</w:t>
            </w:r>
          </w:p>
        </w:tc>
        <w:tc>
          <w:tcPr>
            <w:tcW w:w="1362" w:type="dxa"/>
            <w:noWrap/>
            <w:vAlign w:val="bottom"/>
            <w:hideMark/>
          </w:tcPr>
          <w:p w14:paraId="30133BAE"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7.5</w:t>
            </w:r>
          </w:p>
        </w:tc>
        <w:tc>
          <w:tcPr>
            <w:tcW w:w="1417" w:type="dxa"/>
            <w:noWrap/>
            <w:vAlign w:val="bottom"/>
            <w:hideMark/>
          </w:tcPr>
          <w:p w14:paraId="6CE53FBA"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8.2</w:t>
            </w:r>
          </w:p>
        </w:tc>
        <w:tc>
          <w:tcPr>
            <w:tcW w:w="1418" w:type="dxa"/>
            <w:noWrap/>
            <w:vAlign w:val="bottom"/>
            <w:hideMark/>
          </w:tcPr>
          <w:p w14:paraId="31CAA148"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9.4</w:t>
            </w:r>
          </w:p>
        </w:tc>
        <w:tc>
          <w:tcPr>
            <w:tcW w:w="1417" w:type="dxa"/>
            <w:noWrap/>
            <w:vAlign w:val="bottom"/>
            <w:hideMark/>
          </w:tcPr>
          <w:p w14:paraId="459A1169"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5.4</w:t>
            </w:r>
          </w:p>
        </w:tc>
      </w:tr>
      <w:tr w:rsidR="00231552" w:rsidRPr="0081358C" w14:paraId="79871351" w14:textId="77777777" w:rsidTr="00596187">
        <w:trPr>
          <w:trHeight w:val="56"/>
        </w:trPr>
        <w:tc>
          <w:tcPr>
            <w:tcW w:w="3595" w:type="dxa"/>
            <w:noWrap/>
            <w:vAlign w:val="bottom"/>
          </w:tcPr>
          <w:p w14:paraId="463FAED5" w14:textId="51E14BC1"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Net </w:t>
            </w:r>
            <w:r w:rsidR="003E5FD8">
              <w:rPr>
                <w:rFonts w:ascii="Arial" w:hAnsi="Arial" w:cs="Arial"/>
                <w:sz w:val="20"/>
                <w:szCs w:val="20"/>
                <w:lang w:val="en-GB"/>
              </w:rPr>
              <w:t>cash</w:t>
            </w:r>
            <w:r w:rsidR="003E5FD8" w:rsidRPr="0081358C">
              <w:rPr>
                <w:rFonts w:ascii="Arial" w:hAnsi="Arial" w:cs="Arial"/>
                <w:sz w:val="20"/>
                <w:szCs w:val="20"/>
                <w:lang w:val="en-GB"/>
              </w:rPr>
              <w:t xml:space="preserve"> </w:t>
            </w:r>
            <w:r w:rsidRPr="0081358C">
              <w:rPr>
                <w:rFonts w:ascii="Arial" w:hAnsi="Arial" w:cs="Arial"/>
                <w:sz w:val="20"/>
                <w:szCs w:val="20"/>
                <w:lang w:val="en-GB"/>
              </w:rPr>
              <w:t xml:space="preserve">after </w:t>
            </w:r>
            <w:r w:rsidR="003E5FD8">
              <w:rPr>
                <w:rFonts w:ascii="Arial" w:hAnsi="Arial" w:cs="Arial"/>
                <w:sz w:val="20"/>
                <w:szCs w:val="20"/>
                <w:lang w:val="en-GB"/>
              </w:rPr>
              <w:t>operations/sales</w:t>
            </w:r>
            <w:r w:rsidRPr="0081358C">
              <w:rPr>
                <w:rFonts w:ascii="Arial" w:hAnsi="Arial" w:cs="Arial"/>
                <w:sz w:val="20"/>
                <w:szCs w:val="20"/>
                <w:lang w:val="en-GB"/>
              </w:rPr>
              <w:t xml:space="preserve"> </w:t>
            </w:r>
            <w:r w:rsidR="003E5FD8">
              <w:rPr>
                <w:rFonts w:ascii="Arial" w:hAnsi="Arial" w:cs="Arial"/>
                <w:sz w:val="20"/>
                <w:szCs w:val="20"/>
                <w:lang w:val="en-GB"/>
              </w:rPr>
              <w:t>(</w:t>
            </w:r>
            <w:r w:rsidRPr="0081358C">
              <w:rPr>
                <w:rFonts w:ascii="Arial" w:hAnsi="Arial" w:cs="Arial"/>
                <w:sz w:val="20"/>
                <w:szCs w:val="20"/>
                <w:lang w:val="en-GB"/>
              </w:rPr>
              <w:t>%</w:t>
            </w:r>
            <w:r w:rsidR="003E5FD8">
              <w:rPr>
                <w:rFonts w:ascii="Arial" w:hAnsi="Arial" w:cs="Arial"/>
                <w:sz w:val="20"/>
                <w:szCs w:val="20"/>
                <w:lang w:val="en-GB"/>
              </w:rPr>
              <w:t>)</w:t>
            </w:r>
          </w:p>
        </w:tc>
        <w:tc>
          <w:tcPr>
            <w:tcW w:w="1362" w:type="dxa"/>
            <w:noWrap/>
            <w:vAlign w:val="bottom"/>
          </w:tcPr>
          <w:p w14:paraId="1422EE68"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3.1</w:t>
            </w:r>
          </w:p>
        </w:tc>
        <w:tc>
          <w:tcPr>
            <w:tcW w:w="1417" w:type="dxa"/>
            <w:noWrap/>
            <w:vAlign w:val="bottom"/>
          </w:tcPr>
          <w:p w14:paraId="1B20DB22"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3.2</w:t>
            </w:r>
          </w:p>
        </w:tc>
        <w:tc>
          <w:tcPr>
            <w:tcW w:w="1418" w:type="dxa"/>
            <w:noWrap/>
            <w:vAlign w:val="bottom"/>
          </w:tcPr>
          <w:p w14:paraId="5683688A"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2.9</w:t>
            </w:r>
          </w:p>
        </w:tc>
        <w:tc>
          <w:tcPr>
            <w:tcW w:w="1417" w:type="dxa"/>
            <w:noWrap/>
            <w:vAlign w:val="bottom"/>
          </w:tcPr>
          <w:p w14:paraId="0A4E5106"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3.7</w:t>
            </w:r>
          </w:p>
        </w:tc>
      </w:tr>
      <w:tr w:rsidR="00231552" w:rsidRPr="0081358C" w14:paraId="598E8876" w14:textId="77777777" w:rsidTr="00596187">
        <w:trPr>
          <w:trHeight w:val="98"/>
        </w:trPr>
        <w:tc>
          <w:tcPr>
            <w:tcW w:w="3595" w:type="dxa"/>
            <w:noWrap/>
            <w:vAlign w:val="bottom"/>
          </w:tcPr>
          <w:p w14:paraId="15699C82" w14:textId="77777777" w:rsidR="00231552" w:rsidRPr="0081358C" w:rsidRDefault="00231552" w:rsidP="00802A3C">
            <w:pPr>
              <w:pStyle w:val="BodyTextMain"/>
              <w:jc w:val="left"/>
              <w:rPr>
                <w:rFonts w:ascii="Arial" w:hAnsi="Arial" w:cs="Arial"/>
                <w:sz w:val="20"/>
                <w:szCs w:val="20"/>
                <w:lang w:val="en-GB"/>
              </w:rPr>
            </w:pPr>
          </w:p>
        </w:tc>
        <w:tc>
          <w:tcPr>
            <w:tcW w:w="1362" w:type="dxa"/>
            <w:noWrap/>
            <w:vAlign w:val="bottom"/>
          </w:tcPr>
          <w:p w14:paraId="0FA5D6CF" w14:textId="77777777" w:rsidR="00231552" w:rsidRPr="0081358C" w:rsidRDefault="00231552" w:rsidP="00802A3C">
            <w:pPr>
              <w:pStyle w:val="BodyTextMain"/>
              <w:jc w:val="center"/>
              <w:rPr>
                <w:rFonts w:ascii="Arial" w:hAnsi="Arial" w:cs="Arial"/>
                <w:b/>
                <w:sz w:val="20"/>
                <w:szCs w:val="20"/>
                <w:lang w:val="en-GB"/>
              </w:rPr>
            </w:pPr>
            <w:r w:rsidRPr="0081358C">
              <w:rPr>
                <w:rFonts w:ascii="Arial" w:hAnsi="Arial" w:cs="Arial"/>
                <w:b/>
                <w:sz w:val="20"/>
                <w:szCs w:val="20"/>
                <w:lang w:val="en-GB"/>
              </w:rPr>
              <w:t>2013</w:t>
            </w:r>
          </w:p>
        </w:tc>
        <w:tc>
          <w:tcPr>
            <w:tcW w:w="1417" w:type="dxa"/>
            <w:noWrap/>
            <w:vAlign w:val="bottom"/>
          </w:tcPr>
          <w:p w14:paraId="682E83C9" w14:textId="77777777" w:rsidR="00231552" w:rsidRPr="0081358C" w:rsidRDefault="00231552" w:rsidP="00802A3C">
            <w:pPr>
              <w:pStyle w:val="BodyTextMain"/>
              <w:jc w:val="center"/>
              <w:rPr>
                <w:rFonts w:ascii="Arial" w:hAnsi="Arial" w:cs="Arial"/>
                <w:b/>
                <w:sz w:val="20"/>
                <w:szCs w:val="20"/>
                <w:lang w:val="en-GB"/>
              </w:rPr>
            </w:pPr>
            <w:r w:rsidRPr="0081358C">
              <w:rPr>
                <w:rFonts w:ascii="Arial" w:hAnsi="Arial" w:cs="Arial"/>
                <w:b/>
                <w:sz w:val="20"/>
                <w:szCs w:val="20"/>
                <w:lang w:val="en-GB"/>
              </w:rPr>
              <w:t>2014</w:t>
            </w:r>
          </w:p>
        </w:tc>
        <w:tc>
          <w:tcPr>
            <w:tcW w:w="1418" w:type="dxa"/>
            <w:noWrap/>
            <w:vAlign w:val="bottom"/>
          </w:tcPr>
          <w:p w14:paraId="5B82A5E3" w14:textId="77777777" w:rsidR="00231552" w:rsidRPr="0081358C" w:rsidRDefault="00231552" w:rsidP="00802A3C">
            <w:pPr>
              <w:pStyle w:val="BodyTextMain"/>
              <w:jc w:val="center"/>
              <w:rPr>
                <w:rFonts w:ascii="Arial" w:hAnsi="Arial" w:cs="Arial"/>
                <w:b/>
                <w:sz w:val="20"/>
                <w:szCs w:val="20"/>
                <w:lang w:val="en-GB"/>
              </w:rPr>
            </w:pPr>
            <w:r w:rsidRPr="0081358C">
              <w:rPr>
                <w:rFonts w:ascii="Arial" w:hAnsi="Arial" w:cs="Arial"/>
                <w:b/>
                <w:sz w:val="20"/>
                <w:szCs w:val="20"/>
                <w:lang w:val="en-GB"/>
              </w:rPr>
              <w:t>2015</w:t>
            </w:r>
          </w:p>
        </w:tc>
        <w:tc>
          <w:tcPr>
            <w:tcW w:w="1417" w:type="dxa"/>
            <w:noWrap/>
            <w:vAlign w:val="bottom"/>
          </w:tcPr>
          <w:p w14:paraId="3E22D693" w14:textId="77777777" w:rsidR="00231552" w:rsidRPr="0081358C" w:rsidRDefault="00231552" w:rsidP="00802A3C">
            <w:pPr>
              <w:pStyle w:val="BodyTextMain"/>
              <w:jc w:val="center"/>
              <w:rPr>
                <w:rFonts w:ascii="Arial" w:hAnsi="Arial" w:cs="Arial"/>
                <w:b/>
                <w:sz w:val="20"/>
                <w:szCs w:val="20"/>
                <w:lang w:val="en-GB"/>
              </w:rPr>
            </w:pPr>
            <w:r w:rsidRPr="0081358C">
              <w:rPr>
                <w:rFonts w:ascii="Arial" w:hAnsi="Arial" w:cs="Arial"/>
                <w:b/>
                <w:sz w:val="20"/>
                <w:szCs w:val="20"/>
                <w:lang w:val="en-GB"/>
              </w:rPr>
              <w:t>2016</w:t>
            </w:r>
          </w:p>
        </w:tc>
      </w:tr>
      <w:tr w:rsidR="00231552" w:rsidRPr="0081358C" w14:paraId="46B4C658" w14:textId="77777777" w:rsidTr="00596187">
        <w:trPr>
          <w:trHeight w:val="56"/>
        </w:trPr>
        <w:tc>
          <w:tcPr>
            <w:tcW w:w="3595" w:type="dxa"/>
            <w:noWrap/>
            <w:vAlign w:val="bottom"/>
          </w:tcPr>
          <w:p w14:paraId="4C160683" w14:textId="4B24198F"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Industry </w:t>
            </w:r>
            <w:r w:rsidR="005A6529">
              <w:rPr>
                <w:rFonts w:ascii="Arial" w:hAnsi="Arial" w:cs="Arial"/>
                <w:sz w:val="20"/>
                <w:szCs w:val="20"/>
                <w:lang w:val="en-GB"/>
              </w:rPr>
              <w:t>revenues</w:t>
            </w:r>
            <w:r w:rsidR="005A6529" w:rsidRPr="0081358C">
              <w:rPr>
                <w:rFonts w:ascii="Arial" w:hAnsi="Arial" w:cs="Arial"/>
                <w:sz w:val="20"/>
                <w:szCs w:val="20"/>
                <w:lang w:val="en-GB"/>
              </w:rPr>
              <w:t xml:space="preserve"> </w:t>
            </w:r>
            <w:r w:rsidRPr="0081358C">
              <w:rPr>
                <w:rFonts w:ascii="Arial" w:hAnsi="Arial" w:cs="Arial"/>
                <w:sz w:val="20"/>
                <w:szCs w:val="20"/>
                <w:lang w:val="en-GB"/>
              </w:rPr>
              <w:t>(</w:t>
            </w:r>
            <w:r w:rsidR="005A6529">
              <w:rPr>
                <w:rFonts w:ascii="Arial" w:hAnsi="Arial" w:cs="Arial"/>
                <w:sz w:val="20"/>
                <w:szCs w:val="20"/>
                <w:lang w:val="en-GB"/>
              </w:rPr>
              <w:t>US</w:t>
            </w:r>
            <w:r w:rsidRPr="0081358C">
              <w:rPr>
                <w:rFonts w:ascii="Arial" w:hAnsi="Arial" w:cs="Arial"/>
                <w:sz w:val="20"/>
                <w:szCs w:val="20"/>
                <w:lang w:val="en-GB"/>
              </w:rPr>
              <w:t>$ millions)</w:t>
            </w:r>
          </w:p>
        </w:tc>
        <w:tc>
          <w:tcPr>
            <w:tcW w:w="1362" w:type="dxa"/>
            <w:noWrap/>
            <w:vAlign w:val="bottom"/>
          </w:tcPr>
          <w:p w14:paraId="04049BCC"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255,113.9</w:t>
            </w:r>
          </w:p>
        </w:tc>
        <w:tc>
          <w:tcPr>
            <w:tcW w:w="1417" w:type="dxa"/>
            <w:noWrap/>
            <w:vAlign w:val="bottom"/>
          </w:tcPr>
          <w:p w14:paraId="3FD98A2C"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266,624.9</w:t>
            </w:r>
          </w:p>
        </w:tc>
        <w:tc>
          <w:tcPr>
            <w:tcW w:w="1418" w:type="dxa"/>
            <w:noWrap/>
            <w:vAlign w:val="bottom"/>
          </w:tcPr>
          <w:p w14:paraId="17968225"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277,320.8</w:t>
            </w:r>
          </w:p>
        </w:tc>
        <w:tc>
          <w:tcPr>
            <w:tcW w:w="1417" w:type="dxa"/>
            <w:noWrap/>
            <w:vAlign w:val="bottom"/>
          </w:tcPr>
          <w:p w14:paraId="040B75D9" w14:textId="77777777"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282,591.7</w:t>
            </w:r>
          </w:p>
        </w:tc>
      </w:tr>
      <w:tr w:rsidR="00231552" w:rsidRPr="0081358C" w14:paraId="4C2EEBD6" w14:textId="77777777" w:rsidTr="00596187">
        <w:trPr>
          <w:trHeight w:val="56"/>
        </w:trPr>
        <w:tc>
          <w:tcPr>
            <w:tcW w:w="3595" w:type="dxa"/>
            <w:noWrap/>
            <w:vAlign w:val="bottom"/>
          </w:tcPr>
          <w:p w14:paraId="202A06DF" w14:textId="01D61C21" w:rsidR="00231552" w:rsidRPr="0081358C" w:rsidRDefault="00231552" w:rsidP="00802A3C">
            <w:pPr>
              <w:pStyle w:val="BodyTextMain"/>
              <w:jc w:val="left"/>
              <w:rPr>
                <w:rFonts w:ascii="Arial" w:hAnsi="Arial" w:cs="Arial"/>
                <w:sz w:val="20"/>
                <w:szCs w:val="20"/>
                <w:lang w:val="en-GB"/>
              </w:rPr>
            </w:pPr>
            <w:r w:rsidRPr="0081358C">
              <w:rPr>
                <w:rFonts w:ascii="Arial" w:hAnsi="Arial" w:cs="Arial"/>
                <w:sz w:val="20"/>
                <w:szCs w:val="20"/>
                <w:lang w:val="en-GB"/>
              </w:rPr>
              <w:t xml:space="preserve">Industry </w:t>
            </w:r>
            <w:r w:rsidR="005A6529">
              <w:rPr>
                <w:rFonts w:ascii="Arial" w:hAnsi="Arial" w:cs="Arial"/>
                <w:sz w:val="20"/>
                <w:szCs w:val="20"/>
                <w:lang w:val="en-GB"/>
              </w:rPr>
              <w:t>revenues</w:t>
            </w:r>
            <w:r w:rsidRPr="0081358C">
              <w:rPr>
                <w:rFonts w:ascii="Arial" w:hAnsi="Arial" w:cs="Arial"/>
                <w:sz w:val="20"/>
                <w:szCs w:val="20"/>
                <w:lang w:val="en-GB"/>
              </w:rPr>
              <w:t xml:space="preserve"> (</w:t>
            </w:r>
            <w:r w:rsidR="005A6529">
              <w:rPr>
                <w:rFonts w:ascii="Arial" w:hAnsi="Arial" w:cs="Arial"/>
                <w:sz w:val="20"/>
                <w:szCs w:val="20"/>
                <w:lang w:val="en-GB"/>
              </w:rPr>
              <w:t>growth</w:t>
            </w:r>
            <w:r w:rsidR="005A6529" w:rsidRPr="0081358C">
              <w:rPr>
                <w:rFonts w:ascii="Arial" w:hAnsi="Arial" w:cs="Arial"/>
                <w:sz w:val="20"/>
                <w:szCs w:val="20"/>
                <w:lang w:val="en-GB"/>
              </w:rPr>
              <w:t xml:space="preserve"> </w:t>
            </w:r>
            <w:r w:rsidRPr="0081358C">
              <w:rPr>
                <w:rFonts w:ascii="Arial" w:hAnsi="Arial" w:cs="Arial"/>
                <w:sz w:val="20"/>
                <w:szCs w:val="20"/>
                <w:lang w:val="en-GB"/>
              </w:rPr>
              <w:t>rate</w:t>
            </w:r>
            <w:r w:rsidR="00242153">
              <w:rPr>
                <w:rFonts w:ascii="Arial" w:hAnsi="Arial" w:cs="Arial"/>
                <w:sz w:val="20"/>
                <w:szCs w:val="20"/>
                <w:lang w:val="en-GB"/>
              </w:rPr>
              <w:t xml:space="preserve">, </w:t>
            </w:r>
            <w:r w:rsidRPr="0081358C">
              <w:rPr>
                <w:rFonts w:ascii="Arial" w:hAnsi="Arial" w:cs="Arial"/>
                <w:sz w:val="20"/>
                <w:szCs w:val="20"/>
                <w:lang w:val="en-GB"/>
              </w:rPr>
              <w:t>%)</w:t>
            </w:r>
          </w:p>
        </w:tc>
        <w:tc>
          <w:tcPr>
            <w:tcW w:w="1362" w:type="dxa"/>
            <w:noWrap/>
            <w:vAlign w:val="bottom"/>
          </w:tcPr>
          <w:p w14:paraId="075657E1" w14:textId="0E01E061"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0.8</w:t>
            </w:r>
          </w:p>
        </w:tc>
        <w:tc>
          <w:tcPr>
            <w:tcW w:w="1417" w:type="dxa"/>
            <w:noWrap/>
            <w:vAlign w:val="bottom"/>
          </w:tcPr>
          <w:p w14:paraId="1676156D" w14:textId="79099A2A"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4.5</w:t>
            </w:r>
          </w:p>
        </w:tc>
        <w:tc>
          <w:tcPr>
            <w:tcW w:w="1418" w:type="dxa"/>
            <w:noWrap/>
            <w:vAlign w:val="bottom"/>
          </w:tcPr>
          <w:p w14:paraId="4B20C366" w14:textId="006C458E"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4.0</w:t>
            </w:r>
          </w:p>
        </w:tc>
        <w:tc>
          <w:tcPr>
            <w:tcW w:w="1417" w:type="dxa"/>
            <w:noWrap/>
            <w:vAlign w:val="bottom"/>
          </w:tcPr>
          <w:p w14:paraId="42F500DD" w14:textId="54B51BA5" w:rsidR="00231552" w:rsidRPr="0081358C" w:rsidRDefault="00231552" w:rsidP="00802A3C">
            <w:pPr>
              <w:pStyle w:val="BodyTextMain"/>
              <w:jc w:val="right"/>
              <w:rPr>
                <w:rFonts w:ascii="Arial" w:hAnsi="Arial" w:cs="Arial"/>
                <w:sz w:val="20"/>
                <w:szCs w:val="20"/>
                <w:lang w:val="en-GB"/>
              </w:rPr>
            </w:pPr>
            <w:r w:rsidRPr="0081358C">
              <w:rPr>
                <w:rFonts w:ascii="Arial" w:hAnsi="Arial" w:cs="Arial"/>
                <w:sz w:val="20"/>
                <w:szCs w:val="20"/>
                <w:lang w:val="en-GB"/>
              </w:rPr>
              <w:t>1.9</w:t>
            </w:r>
          </w:p>
        </w:tc>
      </w:tr>
    </w:tbl>
    <w:p w14:paraId="3F1A4A82" w14:textId="77777777" w:rsidR="00231552" w:rsidRPr="0081358C" w:rsidRDefault="00231552" w:rsidP="00481514">
      <w:pPr>
        <w:pStyle w:val="ExhibitText"/>
        <w:rPr>
          <w:sz w:val="12"/>
          <w:szCs w:val="12"/>
          <w:lang w:val="en-GB"/>
        </w:rPr>
      </w:pPr>
      <w:r w:rsidRPr="0081358C">
        <w:rPr>
          <w:lang w:val="en-GB"/>
        </w:rPr>
        <w:t xml:space="preserve"> </w:t>
      </w:r>
    </w:p>
    <w:p w14:paraId="474C4DF9" w14:textId="71BF3741" w:rsidR="00231552" w:rsidRPr="0081358C" w:rsidRDefault="00231552" w:rsidP="00481514">
      <w:pPr>
        <w:pStyle w:val="Footnote"/>
        <w:rPr>
          <w:lang w:val="en-GB"/>
        </w:rPr>
      </w:pPr>
      <w:r w:rsidRPr="0081358C">
        <w:rPr>
          <w:lang w:val="en-GB"/>
        </w:rPr>
        <w:t>Source: Christopher Lombardo, “Pharmacies &amp; Drug Stores in the US</w:t>
      </w:r>
      <w:r w:rsidR="00A35283" w:rsidRPr="0081358C">
        <w:rPr>
          <w:lang w:val="en-GB"/>
        </w:rPr>
        <w:t xml:space="preserve"> – Market Research Report,</w:t>
      </w:r>
      <w:r w:rsidRPr="0081358C">
        <w:rPr>
          <w:lang w:val="en-GB"/>
        </w:rPr>
        <w:t xml:space="preserve">” </w:t>
      </w:r>
      <w:r w:rsidR="000F67A5">
        <w:rPr>
          <w:lang w:val="en-GB"/>
        </w:rPr>
        <w:t xml:space="preserve">40, </w:t>
      </w:r>
      <w:r w:rsidRPr="0081358C">
        <w:rPr>
          <w:lang w:val="en-GB"/>
        </w:rPr>
        <w:t xml:space="preserve">IBIS World, </w:t>
      </w:r>
      <w:r w:rsidR="00A35283" w:rsidRPr="0081358C">
        <w:rPr>
          <w:lang w:val="en-GB"/>
        </w:rPr>
        <w:t>May 2019</w:t>
      </w:r>
      <w:r w:rsidRPr="0081358C">
        <w:rPr>
          <w:b/>
          <w:lang w:val="en-GB"/>
        </w:rPr>
        <w:br w:type="page"/>
      </w:r>
    </w:p>
    <w:p w14:paraId="3251A0A5" w14:textId="62761BB5" w:rsidR="00231552" w:rsidRPr="0081358C" w:rsidRDefault="00231552" w:rsidP="002265A6">
      <w:pPr>
        <w:pStyle w:val="ExhibitHeading"/>
        <w:rPr>
          <w:lang w:val="en-GB"/>
        </w:rPr>
      </w:pPr>
      <w:r w:rsidRPr="0081358C">
        <w:rPr>
          <w:lang w:val="en-GB"/>
        </w:rPr>
        <w:lastRenderedPageBreak/>
        <w:t>Exhibit 4</w:t>
      </w:r>
      <w:r w:rsidR="002265A6" w:rsidRPr="0081358C">
        <w:rPr>
          <w:lang w:val="en-GB"/>
        </w:rPr>
        <w:t xml:space="preserve">: </w:t>
      </w:r>
      <w:r w:rsidR="00B02ADD">
        <w:rPr>
          <w:lang w:val="en-GB"/>
        </w:rPr>
        <w:t>Rite Aid Corporation</w:t>
      </w:r>
      <w:r w:rsidR="00F14327">
        <w:rPr>
          <w:lang w:val="en-GB"/>
        </w:rPr>
        <w:t>,</w:t>
      </w:r>
      <w:r w:rsidR="00B02ADD">
        <w:rPr>
          <w:lang w:val="en-GB"/>
        </w:rPr>
        <w:t xml:space="preserve"> </w:t>
      </w:r>
      <w:r w:rsidRPr="0081358C">
        <w:rPr>
          <w:lang w:val="en-GB"/>
        </w:rPr>
        <w:t>Financial Statements (</w:t>
      </w:r>
      <w:r w:rsidR="00B02ADD">
        <w:rPr>
          <w:lang w:val="en-GB"/>
        </w:rPr>
        <w:t>US$ Thousand</w:t>
      </w:r>
      <w:r w:rsidR="00917CA9">
        <w:rPr>
          <w:lang w:val="en-GB"/>
        </w:rPr>
        <w:t>s</w:t>
      </w:r>
      <w:r w:rsidRPr="0081358C">
        <w:rPr>
          <w:lang w:val="en-GB"/>
        </w:rPr>
        <w:t>)</w:t>
      </w:r>
    </w:p>
    <w:p w14:paraId="292BC7F3" w14:textId="77777777" w:rsidR="002265A6" w:rsidRPr="0081358C" w:rsidRDefault="002265A6" w:rsidP="002265A6">
      <w:pPr>
        <w:pStyle w:val="ExhibitText"/>
        <w:rPr>
          <w:lang w:val="en-GB"/>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1440"/>
        <w:gridCol w:w="1440"/>
        <w:gridCol w:w="1350"/>
      </w:tblGrid>
      <w:tr w:rsidR="00231552" w:rsidRPr="0081358C" w14:paraId="4B9D04AE" w14:textId="77777777" w:rsidTr="00596187">
        <w:trPr>
          <w:trHeight w:val="300"/>
          <w:jc w:val="center"/>
        </w:trPr>
        <w:tc>
          <w:tcPr>
            <w:tcW w:w="5125" w:type="dxa"/>
            <w:shd w:val="clear" w:color="auto" w:fill="auto"/>
            <w:vAlign w:val="center"/>
            <w:hideMark/>
          </w:tcPr>
          <w:p w14:paraId="008C99B6" w14:textId="1E037746" w:rsidR="00231552" w:rsidRPr="0081358C" w:rsidRDefault="00231552">
            <w:pPr>
              <w:rPr>
                <w:rFonts w:ascii="Arial" w:hAnsi="Arial" w:cs="Arial"/>
                <w:b/>
                <w:bCs/>
                <w:lang w:val="en-GB"/>
              </w:rPr>
            </w:pPr>
            <w:r w:rsidRPr="0081358C">
              <w:rPr>
                <w:rFonts w:ascii="Arial" w:hAnsi="Arial" w:cs="Arial"/>
                <w:b/>
                <w:bCs/>
                <w:lang w:val="en-GB"/>
              </w:rPr>
              <w:t>As Reported</w:t>
            </w:r>
            <w:r w:rsidR="003078DC" w:rsidRPr="0081358C">
              <w:rPr>
                <w:rFonts w:ascii="Arial" w:hAnsi="Arial" w:cs="Arial"/>
                <w:b/>
                <w:bCs/>
                <w:lang w:val="en-GB"/>
              </w:rPr>
              <w:t>—</w:t>
            </w:r>
            <w:r w:rsidRPr="0081358C">
              <w:rPr>
                <w:rFonts w:ascii="Arial" w:hAnsi="Arial" w:cs="Arial"/>
                <w:b/>
                <w:bCs/>
                <w:lang w:val="en-GB"/>
              </w:rPr>
              <w:t xml:space="preserve">Annual Balance Sheet </w:t>
            </w:r>
          </w:p>
        </w:tc>
        <w:tc>
          <w:tcPr>
            <w:tcW w:w="1440" w:type="dxa"/>
            <w:shd w:val="clear" w:color="auto" w:fill="auto"/>
            <w:noWrap/>
            <w:vAlign w:val="bottom"/>
            <w:hideMark/>
          </w:tcPr>
          <w:p w14:paraId="2CF17E56" w14:textId="77777777" w:rsidR="00231552" w:rsidRPr="0081358C" w:rsidRDefault="00231552" w:rsidP="00802A3C">
            <w:pPr>
              <w:rPr>
                <w:rFonts w:ascii="Arial" w:hAnsi="Arial" w:cs="Arial"/>
                <w:b/>
                <w:bCs/>
                <w:lang w:val="en-GB"/>
              </w:rPr>
            </w:pPr>
          </w:p>
        </w:tc>
        <w:tc>
          <w:tcPr>
            <w:tcW w:w="1440" w:type="dxa"/>
            <w:shd w:val="clear" w:color="auto" w:fill="auto"/>
            <w:noWrap/>
            <w:vAlign w:val="bottom"/>
            <w:hideMark/>
          </w:tcPr>
          <w:p w14:paraId="47886AF5" w14:textId="77777777" w:rsidR="00231552" w:rsidRPr="0081358C" w:rsidRDefault="00231552" w:rsidP="00802A3C">
            <w:pPr>
              <w:rPr>
                <w:rFonts w:ascii="Arial" w:hAnsi="Arial" w:cs="Arial"/>
                <w:lang w:val="en-GB"/>
              </w:rPr>
            </w:pPr>
          </w:p>
        </w:tc>
        <w:tc>
          <w:tcPr>
            <w:tcW w:w="1350" w:type="dxa"/>
            <w:shd w:val="clear" w:color="auto" w:fill="auto"/>
            <w:noWrap/>
            <w:vAlign w:val="bottom"/>
            <w:hideMark/>
          </w:tcPr>
          <w:p w14:paraId="577C0372" w14:textId="77777777" w:rsidR="00231552" w:rsidRPr="0081358C" w:rsidRDefault="00231552" w:rsidP="00802A3C">
            <w:pPr>
              <w:rPr>
                <w:rFonts w:ascii="Arial" w:hAnsi="Arial" w:cs="Arial"/>
                <w:lang w:val="en-GB"/>
              </w:rPr>
            </w:pPr>
          </w:p>
        </w:tc>
      </w:tr>
      <w:tr w:rsidR="00231552" w:rsidRPr="0081358C" w14:paraId="7F1CFE4B" w14:textId="77777777" w:rsidTr="00233D01">
        <w:trPr>
          <w:trHeight w:val="134"/>
          <w:jc w:val="center"/>
        </w:trPr>
        <w:tc>
          <w:tcPr>
            <w:tcW w:w="5125" w:type="dxa"/>
            <w:shd w:val="clear" w:color="auto" w:fill="auto"/>
            <w:noWrap/>
            <w:vAlign w:val="bottom"/>
            <w:hideMark/>
          </w:tcPr>
          <w:p w14:paraId="61C96000" w14:textId="77777777" w:rsidR="00231552" w:rsidRPr="0081358C" w:rsidRDefault="00231552" w:rsidP="00802A3C">
            <w:pPr>
              <w:rPr>
                <w:rFonts w:ascii="Arial" w:hAnsi="Arial" w:cs="Arial"/>
                <w:lang w:val="en-GB"/>
              </w:rPr>
            </w:pPr>
          </w:p>
        </w:tc>
        <w:tc>
          <w:tcPr>
            <w:tcW w:w="1440" w:type="dxa"/>
            <w:shd w:val="clear" w:color="auto" w:fill="auto"/>
            <w:hideMark/>
          </w:tcPr>
          <w:p w14:paraId="0574C335"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02/27/2016</w:t>
            </w:r>
          </w:p>
        </w:tc>
        <w:tc>
          <w:tcPr>
            <w:tcW w:w="1440" w:type="dxa"/>
            <w:shd w:val="clear" w:color="auto" w:fill="auto"/>
            <w:hideMark/>
          </w:tcPr>
          <w:p w14:paraId="6B718E9C"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03/04/2017</w:t>
            </w:r>
          </w:p>
        </w:tc>
        <w:tc>
          <w:tcPr>
            <w:tcW w:w="1350" w:type="dxa"/>
            <w:shd w:val="clear" w:color="auto" w:fill="auto"/>
            <w:hideMark/>
          </w:tcPr>
          <w:p w14:paraId="7E78E603"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03/03/2018</w:t>
            </w:r>
          </w:p>
        </w:tc>
      </w:tr>
      <w:tr w:rsidR="00231552" w:rsidRPr="0081358C" w14:paraId="4DE41088" w14:textId="77777777" w:rsidTr="00233D01">
        <w:trPr>
          <w:trHeight w:val="161"/>
          <w:jc w:val="center"/>
        </w:trPr>
        <w:tc>
          <w:tcPr>
            <w:tcW w:w="5125" w:type="dxa"/>
            <w:shd w:val="clear" w:color="auto" w:fill="auto"/>
            <w:noWrap/>
            <w:vAlign w:val="bottom"/>
            <w:hideMark/>
          </w:tcPr>
          <w:p w14:paraId="2A780C8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Cash &amp; cash equivalents</w:t>
            </w:r>
          </w:p>
        </w:tc>
        <w:tc>
          <w:tcPr>
            <w:tcW w:w="1440" w:type="dxa"/>
            <w:shd w:val="clear" w:color="auto" w:fill="auto"/>
            <w:noWrap/>
            <w:vAlign w:val="bottom"/>
            <w:hideMark/>
          </w:tcPr>
          <w:p w14:paraId="5A85D59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124,471</w:t>
            </w:r>
          </w:p>
        </w:tc>
        <w:tc>
          <w:tcPr>
            <w:tcW w:w="1440" w:type="dxa"/>
            <w:shd w:val="clear" w:color="auto" w:fill="auto"/>
            <w:noWrap/>
            <w:vAlign w:val="bottom"/>
            <w:hideMark/>
          </w:tcPr>
          <w:p w14:paraId="5B5FB1F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245,410</w:t>
            </w:r>
          </w:p>
        </w:tc>
        <w:tc>
          <w:tcPr>
            <w:tcW w:w="1350" w:type="dxa"/>
            <w:shd w:val="clear" w:color="auto" w:fill="auto"/>
            <w:noWrap/>
            <w:vAlign w:val="bottom"/>
            <w:hideMark/>
          </w:tcPr>
          <w:p w14:paraId="013AF5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447,334</w:t>
            </w:r>
          </w:p>
        </w:tc>
      </w:tr>
      <w:tr w:rsidR="00231552" w:rsidRPr="0081358C" w14:paraId="7019D1DC" w14:textId="77777777" w:rsidTr="00233D01">
        <w:trPr>
          <w:trHeight w:val="56"/>
          <w:jc w:val="center"/>
        </w:trPr>
        <w:tc>
          <w:tcPr>
            <w:tcW w:w="5125" w:type="dxa"/>
            <w:shd w:val="clear" w:color="auto" w:fill="auto"/>
            <w:noWrap/>
            <w:vAlign w:val="bottom"/>
            <w:hideMark/>
          </w:tcPr>
          <w:p w14:paraId="415B1523"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Accounts receivables, gross</w:t>
            </w:r>
          </w:p>
        </w:tc>
        <w:tc>
          <w:tcPr>
            <w:tcW w:w="1440" w:type="dxa"/>
            <w:shd w:val="clear" w:color="auto" w:fill="auto"/>
            <w:noWrap/>
            <w:vAlign w:val="bottom"/>
            <w:hideMark/>
          </w:tcPr>
          <w:p w14:paraId="5E46BBF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1,633,828</w:t>
            </w:r>
          </w:p>
        </w:tc>
        <w:tc>
          <w:tcPr>
            <w:tcW w:w="1440" w:type="dxa"/>
            <w:shd w:val="clear" w:color="auto" w:fill="auto"/>
            <w:noWrap/>
            <w:vAlign w:val="bottom"/>
            <w:hideMark/>
          </w:tcPr>
          <w:p w14:paraId="5AA54A1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1,802,017</w:t>
            </w:r>
          </w:p>
        </w:tc>
        <w:tc>
          <w:tcPr>
            <w:tcW w:w="1350" w:type="dxa"/>
            <w:shd w:val="clear" w:color="auto" w:fill="auto"/>
            <w:noWrap/>
            <w:vAlign w:val="bottom"/>
            <w:hideMark/>
          </w:tcPr>
          <w:p w14:paraId="12194FD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1,894,234</w:t>
            </w:r>
          </w:p>
        </w:tc>
      </w:tr>
      <w:tr w:rsidR="00231552" w:rsidRPr="0081358C" w14:paraId="285C5077" w14:textId="77777777" w:rsidTr="00233D01">
        <w:trPr>
          <w:trHeight w:val="134"/>
          <w:jc w:val="center"/>
        </w:trPr>
        <w:tc>
          <w:tcPr>
            <w:tcW w:w="5125" w:type="dxa"/>
            <w:shd w:val="clear" w:color="auto" w:fill="auto"/>
            <w:noWrap/>
            <w:vAlign w:val="bottom"/>
            <w:hideMark/>
          </w:tcPr>
          <w:p w14:paraId="2994D970" w14:textId="6811E104" w:rsidR="00231552" w:rsidRPr="0081358C" w:rsidRDefault="00231552" w:rsidP="00802A3C">
            <w:pPr>
              <w:rPr>
                <w:rFonts w:ascii="Arial" w:hAnsi="Arial" w:cs="Arial"/>
                <w:color w:val="000000"/>
                <w:lang w:val="en-GB"/>
              </w:rPr>
            </w:pPr>
            <w:r w:rsidRPr="0081358C">
              <w:rPr>
                <w:rFonts w:ascii="Arial" w:hAnsi="Arial" w:cs="Arial"/>
                <w:color w:val="000000"/>
                <w:lang w:val="en-GB"/>
              </w:rPr>
              <w:t xml:space="preserve">Less: allowances for </w:t>
            </w:r>
            <w:r w:rsidR="006978D4">
              <w:rPr>
                <w:rFonts w:ascii="Arial" w:hAnsi="Arial" w:cs="Arial"/>
                <w:color w:val="000000"/>
                <w:lang w:val="en-GB"/>
              </w:rPr>
              <w:t>uncollectable</w:t>
            </w:r>
            <w:r w:rsidR="006978D4" w:rsidRPr="0081358C">
              <w:rPr>
                <w:rFonts w:ascii="Arial" w:hAnsi="Arial" w:cs="Arial"/>
                <w:color w:val="000000"/>
                <w:lang w:val="en-GB"/>
              </w:rPr>
              <w:t xml:space="preserve"> </w:t>
            </w:r>
            <w:r w:rsidRPr="0081358C">
              <w:rPr>
                <w:rFonts w:ascii="Arial" w:hAnsi="Arial" w:cs="Arial"/>
                <w:color w:val="000000"/>
                <w:lang w:val="en-GB"/>
              </w:rPr>
              <w:t>accounts</w:t>
            </w:r>
          </w:p>
        </w:tc>
        <w:tc>
          <w:tcPr>
            <w:tcW w:w="1440" w:type="dxa"/>
            <w:shd w:val="clear" w:color="auto" w:fill="auto"/>
            <w:noWrap/>
            <w:vAlign w:val="bottom"/>
            <w:hideMark/>
          </w:tcPr>
          <w:p w14:paraId="4E66628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32,820</w:t>
            </w:r>
          </w:p>
        </w:tc>
        <w:tc>
          <w:tcPr>
            <w:tcW w:w="1440" w:type="dxa"/>
            <w:shd w:val="clear" w:color="auto" w:fill="auto"/>
            <w:noWrap/>
            <w:vAlign w:val="bottom"/>
            <w:hideMark/>
          </w:tcPr>
          <w:p w14:paraId="48DF6BE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30,891</w:t>
            </w:r>
          </w:p>
        </w:tc>
        <w:tc>
          <w:tcPr>
            <w:tcW w:w="1350" w:type="dxa"/>
            <w:shd w:val="clear" w:color="auto" w:fill="auto"/>
            <w:noWrap/>
            <w:vAlign w:val="bottom"/>
            <w:hideMark/>
          </w:tcPr>
          <w:p w14:paraId="3E3C3F7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25,134</w:t>
            </w:r>
          </w:p>
        </w:tc>
      </w:tr>
      <w:tr w:rsidR="00231552" w:rsidRPr="0081358C" w14:paraId="4F3654B7" w14:textId="77777777" w:rsidTr="00233D01">
        <w:trPr>
          <w:trHeight w:val="56"/>
          <w:jc w:val="center"/>
        </w:trPr>
        <w:tc>
          <w:tcPr>
            <w:tcW w:w="5125" w:type="dxa"/>
            <w:shd w:val="clear" w:color="auto" w:fill="auto"/>
            <w:noWrap/>
            <w:vAlign w:val="bottom"/>
            <w:hideMark/>
          </w:tcPr>
          <w:p w14:paraId="7887A59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Accounts receivable, net</w:t>
            </w:r>
          </w:p>
        </w:tc>
        <w:tc>
          <w:tcPr>
            <w:tcW w:w="1440" w:type="dxa"/>
            <w:shd w:val="clear" w:color="auto" w:fill="auto"/>
            <w:noWrap/>
            <w:vAlign w:val="bottom"/>
            <w:hideMark/>
          </w:tcPr>
          <w:p w14:paraId="06E8932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1,601,008</w:t>
            </w:r>
          </w:p>
        </w:tc>
        <w:tc>
          <w:tcPr>
            <w:tcW w:w="1440" w:type="dxa"/>
            <w:shd w:val="clear" w:color="auto" w:fill="auto"/>
            <w:noWrap/>
            <w:vAlign w:val="bottom"/>
            <w:hideMark/>
          </w:tcPr>
          <w:p w14:paraId="2363395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1,771,126</w:t>
            </w:r>
          </w:p>
        </w:tc>
        <w:tc>
          <w:tcPr>
            <w:tcW w:w="1350" w:type="dxa"/>
            <w:shd w:val="clear" w:color="auto" w:fill="auto"/>
            <w:noWrap/>
            <w:vAlign w:val="bottom"/>
            <w:hideMark/>
          </w:tcPr>
          <w:p w14:paraId="309B41C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1,869,100</w:t>
            </w:r>
          </w:p>
        </w:tc>
      </w:tr>
      <w:tr w:rsidR="00231552" w:rsidRPr="0081358C" w14:paraId="0B9C6283" w14:textId="77777777" w:rsidTr="00233D01">
        <w:trPr>
          <w:trHeight w:val="56"/>
          <w:jc w:val="center"/>
        </w:trPr>
        <w:tc>
          <w:tcPr>
            <w:tcW w:w="5125" w:type="dxa"/>
            <w:shd w:val="clear" w:color="auto" w:fill="auto"/>
            <w:noWrap/>
            <w:vAlign w:val="bottom"/>
            <w:hideMark/>
          </w:tcPr>
          <w:p w14:paraId="725CD4E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Inventories, net</w:t>
            </w:r>
          </w:p>
        </w:tc>
        <w:tc>
          <w:tcPr>
            <w:tcW w:w="1440" w:type="dxa"/>
            <w:shd w:val="clear" w:color="auto" w:fill="auto"/>
            <w:noWrap/>
            <w:vAlign w:val="bottom"/>
            <w:hideMark/>
          </w:tcPr>
          <w:p w14:paraId="6E5FCB3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2,697,104</w:t>
            </w:r>
          </w:p>
        </w:tc>
        <w:tc>
          <w:tcPr>
            <w:tcW w:w="1440" w:type="dxa"/>
            <w:shd w:val="clear" w:color="auto" w:fill="auto"/>
            <w:noWrap/>
            <w:vAlign w:val="bottom"/>
            <w:hideMark/>
          </w:tcPr>
          <w:p w14:paraId="6C0443E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2,837,211</w:t>
            </w:r>
          </w:p>
        </w:tc>
        <w:tc>
          <w:tcPr>
            <w:tcW w:w="1350" w:type="dxa"/>
            <w:shd w:val="clear" w:color="auto" w:fill="auto"/>
            <w:noWrap/>
            <w:vAlign w:val="bottom"/>
            <w:hideMark/>
          </w:tcPr>
          <w:p w14:paraId="7AAE4BB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1,799,539</w:t>
            </w:r>
          </w:p>
        </w:tc>
      </w:tr>
      <w:tr w:rsidR="00231552" w:rsidRPr="0081358C" w14:paraId="23D1D4F9" w14:textId="77777777" w:rsidTr="00233D01">
        <w:trPr>
          <w:trHeight w:val="56"/>
          <w:jc w:val="center"/>
        </w:trPr>
        <w:tc>
          <w:tcPr>
            <w:tcW w:w="5125" w:type="dxa"/>
            <w:shd w:val="clear" w:color="auto" w:fill="auto"/>
            <w:noWrap/>
            <w:vAlign w:val="bottom"/>
            <w:hideMark/>
          </w:tcPr>
          <w:p w14:paraId="097BEEC5" w14:textId="10F256BC" w:rsidR="00231552" w:rsidRPr="0081358C" w:rsidRDefault="00231552" w:rsidP="00802A3C">
            <w:pPr>
              <w:rPr>
                <w:rFonts w:ascii="Arial" w:hAnsi="Arial" w:cs="Arial"/>
                <w:color w:val="000000"/>
                <w:lang w:val="en-GB"/>
              </w:rPr>
            </w:pPr>
            <w:r w:rsidRPr="0081358C">
              <w:rPr>
                <w:rFonts w:ascii="Arial" w:hAnsi="Arial" w:cs="Arial"/>
                <w:color w:val="000000"/>
                <w:lang w:val="en-GB"/>
              </w:rPr>
              <w:t>Deferred tax assets</w:t>
            </w:r>
            <w:r w:rsidR="00F44ABC">
              <w:rPr>
                <w:rFonts w:ascii="Arial" w:hAnsi="Arial" w:cs="Arial"/>
                <w:color w:val="000000"/>
                <w:lang w:val="en-GB"/>
              </w:rPr>
              <w:t xml:space="preserve">, </w:t>
            </w:r>
            <w:r w:rsidRPr="0081358C">
              <w:rPr>
                <w:rFonts w:ascii="Arial" w:hAnsi="Arial" w:cs="Arial"/>
                <w:color w:val="000000"/>
                <w:lang w:val="en-GB"/>
              </w:rPr>
              <w:t>current</w:t>
            </w:r>
          </w:p>
        </w:tc>
        <w:tc>
          <w:tcPr>
            <w:tcW w:w="1440" w:type="dxa"/>
            <w:shd w:val="clear" w:color="auto" w:fill="auto"/>
            <w:noWrap/>
            <w:vAlign w:val="bottom"/>
            <w:hideMark/>
          </w:tcPr>
          <w:p w14:paraId="7283B15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40" w:type="dxa"/>
            <w:shd w:val="clear" w:color="auto" w:fill="auto"/>
            <w:noWrap/>
            <w:vAlign w:val="bottom"/>
            <w:hideMark/>
          </w:tcPr>
          <w:p w14:paraId="413826A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222FEE3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2CB4B63B" w14:textId="77777777" w:rsidTr="00233D01">
        <w:trPr>
          <w:trHeight w:val="71"/>
          <w:jc w:val="center"/>
        </w:trPr>
        <w:tc>
          <w:tcPr>
            <w:tcW w:w="5125" w:type="dxa"/>
            <w:shd w:val="clear" w:color="auto" w:fill="auto"/>
            <w:noWrap/>
            <w:vAlign w:val="bottom"/>
            <w:hideMark/>
          </w:tcPr>
          <w:p w14:paraId="43E4220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Prepaid expenses &amp; other current assets</w:t>
            </w:r>
          </w:p>
        </w:tc>
        <w:tc>
          <w:tcPr>
            <w:tcW w:w="1440" w:type="dxa"/>
            <w:shd w:val="clear" w:color="auto" w:fill="auto"/>
            <w:noWrap/>
            <w:vAlign w:val="bottom"/>
            <w:hideMark/>
          </w:tcPr>
          <w:p w14:paraId="21F9807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128,144</w:t>
            </w:r>
          </w:p>
        </w:tc>
        <w:tc>
          <w:tcPr>
            <w:tcW w:w="1440" w:type="dxa"/>
            <w:shd w:val="clear" w:color="auto" w:fill="auto"/>
            <w:noWrap/>
            <w:vAlign w:val="bottom"/>
            <w:hideMark/>
          </w:tcPr>
          <w:p w14:paraId="7BC32C7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211,541</w:t>
            </w:r>
          </w:p>
        </w:tc>
        <w:tc>
          <w:tcPr>
            <w:tcW w:w="1350" w:type="dxa"/>
            <w:shd w:val="clear" w:color="auto" w:fill="auto"/>
            <w:noWrap/>
            <w:vAlign w:val="bottom"/>
            <w:hideMark/>
          </w:tcPr>
          <w:p w14:paraId="098E21D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181,181</w:t>
            </w:r>
          </w:p>
        </w:tc>
      </w:tr>
      <w:tr w:rsidR="00231552" w:rsidRPr="0081358C" w14:paraId="797B11D1" w14:textId="77777777" w:rsidTr="00233D01">
        <w:trPr>
          <w:trHeight w:val="98"/>
          <w:jc w:val="center"/>
        </w:trPr>
        <w:tc>
          <w:tcPr>
            <w:tcW w:w="5125" w:type="dxa"/>
            <w:shd w:val="clear" w:color="auto" w:fill="auto"/>
            <w:noWrap/>
            <w:vAlign w:val="bottom"/>
            <w:hideMark/>
          </w:tcPr>
          <w:p w14:paraId="2BBFC4B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Current assets held for sale</w:t>
            </w:r>
          </w:p>
        </w:tc>
        <w:tc>
          <w:tcPr>
            <w:tcW w:w="1440" w:type="dxa"/>
            <w:shd w:val="clear" w:color="auto" w:fill="auto"/>
            <w:noWrap/>
            <w:vAlign w:val="bottom"/>
            <w:hideMark/>
          </w:tcPr>
          <w:p w14:paraId="76EA345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40" w:type="dxa"/>
            <w:shd w:val="clear" w:color="auto" w:fill="auto"/>
            <w:noWrap/>
            <w:vAlign w:val="bottom"/>
            <w:hideMark/>
          </w:tcPr>
          <w:p w14:paraId="11E6A64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5884CB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438,137</w:t>
            </w:r>
          </w:p>
        </w:tc>
      </w:tr>
      <w:tr w:rsidR="00231552" w:rsidRPr="0081358C" w14:paraId="2551771C" w14:textId="77777777" w:rsidTr="00233D01">
        <w:trPr>
          <w:trHeight w:val="56"/>
          <w:jc w:val="center"/>
        </w:trPr>
        <w:tc>
          <w:tcPr>
            <w:tcW w:w="5125" w:type="dxa"/>
            <w:shd w:val="clear" w:color="auto" w:fill="auto"/>
            <w:noWrap/>
            <w:vAlign w:val="bottom"/>
            <w:hideMark/>
          </w:tcPr>
          <w:p w14:paraId="0167670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current assets</w:t>
            </w:r>
          </w:p>
        </w:tc>
        <w:tc>
          <w:tcPr>
            <w:tcW w:w="1440" w:type="dxa"/>
            <w:shd w:val="clear" w:color="auto" w:fill="auto"/>
            <w:noWrap/>
            <w:vAlign w:val="bottom"/>
            <w:hideMark/>
          </w:tcPr>
          <w:p w14:paraId="76E750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4,550,727</w:t>
            </w:r>
          </w:p>
        </w:tc>
        <w:tc>
          <w:tcPr>
            <w:tcW w:w="1440" w:type="dxa"/>
            <w:shd w:val="clear" w:color="auto" w:fill="auto"/>
            <w:noWrap/>
            <w:vAlign w:val="bottom"/>
            <w:hideMark/>
          </w:tcPr>
          <w:p w14:paraId="230369D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5,065,288</w:t>
            </w:r>
          </w:p>
        </w:tc>
        <w:tc>
          <w:tcPr>
            <w:tcW w:w="1350" w:type="dxa"/>
            <w:shd w:val="clear" w:color="auto" w:fill="auto"/>
            <w:noWrap/>
            <w:vAlign w:val="bottom"/>
            <w:hideMark/>
          </w:tcPr>
          <w:p w14:paraId="5501136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4,735,291</w:t>
            </w:r>
          </w:p>
        </w:tc>
      </w:tr>
      <w:tr w:rsidR="00231552" w:rsidRPr="0081358C" w14:paraId="622B7A09" w14:textId="77777777" w:rsidTr="00233D01">
        <w:trPr>
          <w:trHeight w:val="80"/>
          <w:jc w:val="center"/>
        </w:trPr>
        <w:tc>
          <w:tcPr>
            <w:tcW w:w="5125" w:type="dxa"/>
            <w:shd w:val="clear" w:color="auto" w:fill="auto"/>
            <w:noWrap/>
            <w:vAlign w:val="bottom"/>
            <w:hideMark/>
          </w:tcPr>
          <w:p w14:paraId="3D0EA10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Land</w:t>
            </w:r>
          </w:p>
        </w:tc>
        <w:tc>
          <w:tcPr>
            <w:tcW w:w="1440" w:type="dxa"/>
            <w:shd w:val="clear" w:color="auto" w:fill="auto"/>
            <w:noWrap/>
            <w:vAlign w:val="bottom"/>
            <w:hideMark/>
          </w:tcPr>
          <w:p w14:paraId="754463D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221,409</w:t>
            </w:r>
          </w:p>
        </w:tc>
        <w:tc>
          <w:tcPr>
            <w:tcW w:w="1440" w:type="dxa"/>
            <w:shd w:val="clear" w:color="auto" w:fill="auto"/>
            <w:noWrap/>
            <w:vAlign w:val="bottom"/>
            <w:hideMark/>
          </w:tcPr>
          <w:p w14:paraId="5BB6CE8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217,112</w:t>
            </w:r>
          </w:p>
        </w:tc>
        <w:tc>
          <w:tcPr>
            <w:tcW w:w="1350" w:type="dxa"/>
            <w:shd w:val="clear" w:color="auto" w:fill="auto"/>
            <w:noWrap/>
            <w:vAlign w:val="bottom"/>
            <w:hideMark/>
          </w:tcPr>
          <w:p w14:paraId="0F1CE28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138,768</w:t>
            </w:r>
          </w:p>
        </w:tc>
      </w:tr>
      <w:tr w:rsidR="00231552" w:rsidRPr="0081358C" w14:paraId="5E087764" w14:textId="77777777" w:rsidTr="00233D01">
        <w:trPr>
          <w:trHeight w:val="56"/>
          <w:jc w:val="center"/>
        </w:trPr>
        <w:tc>
          <w:tcPr>
            <w:tcW w:w="5125" w:type="dxa"/>
            <w:shd w:val="clear" w:color="auto" w:fill="auto"/>
            <w:noWrap/>
            <w:vAlign w:val="bottom"/>
            <w:hideMark/>
          </w:tcPr>
          <w:p w14:paraId="38F5840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Buildings</w:t>
            </w:r>
          </w:p>
        </w:tc>
        <w:tc>
          <w:tcPr>
            <w:tcW w:w="1440" w:type="dxa"/>
            <w:shd w:val="clear" w:color="auto" w:fill="auto"/>
            <w:noWrap/>
            <w:vAlign w:val="bottom"/>
            <w:hideMark/>
          </w:tcPr>
          <w:p w14:paraId="3DD816A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764,497</w:t>
            </w:r>
          </w:p>
        </w:tc>
        <w:tc>
          <w:tcPr>
            <w:tcW w:w="1440" w:type="dxa"/>
            <w:shd w:val="clear" w:color="auto" w:fill="auto"/>
            <w:noWrap/>
            <w:vAlign w:val="bottom"/>
            <w:hideMark/>
          </w:tcPr>
          <w:p w14:paraId="25E9F16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754,289</w:t>
            </w:r>
          </w:p>
        </w:tc>
        <w:tc>
          <w:tcPr>
            <w:tcW w:w="1350" w:type="dxa"/>
            <w:shd w:val="clear" w:color="auto" w:fill="auto"/>
            <w:noWrap/>
            <w:vAlign w:val="bottom"/>
            <w:hideMark/>
          </w:tcPr>
          <w:p w14:paraId="1ADE525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528,026</w:t>
            </w:r>
          </w:p>
        </w:tc>
      </w:tr>
      <w:tr w:rsidR="00231552" w:rsidRPr="0081358C" w14:paraId="183D8470" w14:textId="77777777" w:rsidTr="00233D01">
        <w:trPr>
          <w:trHeight w:val="56"/>
          <w:jc w:val="center"/>
        </w:trPr>
        <w:tc>
          <w:tcPr>
            <w:tcW w:w="5125" w:type="dxa"/>
            <w:shd w:val="clear" w:color="auto" w:fill="auto"/>
            <w:noWrap/>
            <w:vAlign w:val="bottom"/>
            <w:hideMark/>
          </w:tcPr>
          <w:p w14:paraId="05D9173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Leasehold improvements</w:t>
            </w:r>
          </w:p>
        </w:tc>
        <w:tc>
          <w:tcPr>
            <w:tcW w:w="1440" w:type="dxa"/>
            <w:shd w:val="clear" w:color="auto" w:fill="auto"/>
            <w:noWrap/>
            <w:vAlign w:val="bottom"/>
            <w:hideMark/>
          </w:tcPr>
          <w:p w14:paraId="745D45D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2,245,307</w:t>
            </w:r>
          </w:p>
        </w:tc>
        <w:tc>
          <w:tcPr>
            <w:tcW w:w="1440" w:type="dxa"/>
            <w:shd w:val="clear" w:color="auto" w:fill="auto"/>
            <w:noWrap/>
            <w:vAlign w:val="bottom"/>
            <w:hideMark/>
          </w:tcPr>
          <w:p w14:paraId="394C47C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2,353,066</w:t>
            </w:r>
          </w:p>
        </w:tc>
        <w:tc>
          <w:tcPr>
            <w:tcW w:w="1350" w:type="dxa"/>
            <w:shd w:val="clear" w:color="auto" w:fill="auto"/>
            <w:noWrap/>
            <w:vAlign w:val="bottom"/>
            <w:hideMark/>
          </w:tcPr>
          <w:p w14:paraId="3E6A8A0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1,567,635</w:t>
            </w:r>
          </w:p>
        </w:tc>
      </w:tr>
      <w:tr w:rsidR="00231552" w:rsidRPr="0081358C" w14:paraId="6A1B717D" w14:textId="77777777" w:rsidTr="00233D01">
        <w:trPr>
          <w:trHeight w:val="161"/>
          <w:jc w:val="center"/>
        </w:trPr>
        <w:tc>
          <w:tcPr>
            <w:tcW w:w="5125" w:type="dxa"/>
            <w:shd w:val="clear" w:color="auto" w:fill="auto"/>
            <w:noWrap/>
            <w:vAlign w:val="bottom"/>
            <w:hideMark/>
          </w:tcPr>
          <w:p w14:paraId="0B0E6D05"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Equipment</w:t>
            </w:r>
          </w:p>
        </w:tc>
        <w:tc>
          <w:tcPr>
            <w:tcW w:w="1440" w:type="dxa"/>
            <w:shd w:val="clear" w:color="auto" w:fill="auto"/>
            <w:noWrap/>
            <w:vAlign w:val="bottom"/>
            <w:hideMark/>
          </w:tcPr>
          <w:p w14:paraId="4379125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2,416,316</w:t>
            </w:r>
          </w:p>
        </w:tc>
        <w:tc>
          <w:tcPr>
            <w:tcW w:w="1440" w:type="dxa"/>
            <w:shd w:val="clear" w:color="auto" w:fill="auto"/>
            <w:noWrap/>
            <w:vAlign w:val="bottom"/>
            <w:hideMark/>
          </w:tcPr>
          <w:p w14:paraId="16C2407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2,512,748</w:t>
            </w:r>
          </w:p>
        </w:tc>
        <w:tc>
          <w:tcPr>
            <w:tcW w:w="1350" w:type="dxa"/>
            <w:shd w:val="clear" w:color="auto" w:fill="auto"/>
            <w:noWrap/>
            <w:vAlign w:val="bottom"/>
            <w:hideMark/>
          </w:tcPr>
          <w:p w14:paraId="352F13E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1,795,337</w:t>
            </w:r>
          </w:p>
        </w:tc>
      </w:tr>
      <w:tr w:rsidR="00231552" w:rsidRPr="0081358C" w14:paraId="10027D38" w14:textId="77777777" w:rsidTr="00233D01">
        <w:trPr>
          <w:trHeight w:val="56"/>
          <w:jc w:val="center"/>
        </w:trPr>
        <w:tc>
          <w:tcPr>
            <w:tcW w:w="5125" w:type="dxa"/>
            <w:shd w:val="clear" w:color="auto" w:fill="auto"/>
            <w:noWrap/>
            <w:vAlign w:val="bottom"/>
            <w:hideMark/>
          </w:tcPr>
          <w:p w14:paraId="39DDA9D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Software</w:t>
            </w:r>
          </w:p>
        </w:tc>
        <w:tc>
          <w:tcPr>
            <w:tcW w:w="1440" w:type="dxa"/>
            <w:shd w:val="clear" w:color="auto" w:fill="auto"/>
            <w:noWrap/>
            <w:vAlign w:val="bottom"/>
            <w:hideMark/>
          </w:tcPr>
          <w:p w14:paraId="07C895D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6,111</w:t>
            </w:r>
          </w:p>
        </w:tc>
        <w:tc>
          <w:tcPr>
            <w:tcW w:w="1440" w:type="dxa"/>
            <w:shd w:val="clear" w:color="auto" w:fill="auto"/>
            <w:noWrap/>
            <w:vAlign w:val="bottom"/>
            <w:hideMark/>
          </w:tcPr>
          <w:p w14:paraId="3529F81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16,316</w:t>
            </w:r>
          </w:p>
        </w:tc>
        <w:tc>
          <w:tcPr>
            <w:tcW w:w="1350" w:type="dxa"/>
            <w:shd w:val="clear" w:color="auto" w:fill="auto"/>
            <w:noWrap/>
            <w:vAlign w:val="bottom"/>
            <w:hideMark/>
          </w:tcPr>
          <w:p w14:paraId="261F0B5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25,944</w:t>
            </w:r>
          </w:p>
        </w:tc>
      </w:tr>
      <w:tr w:rsidR="00231552" w:rsidRPr="0081358C" w14:paraId="162439F2" w14:textId="77777777" w:rsidTr="00233D01">
        <w:trPr>
          <w:trHeight w:val="56"/>
          <w:jc w:val="center"/>
        </w:trPr>
        <w:tc>
          <w:tcPr>
            <w:tcW w:w="5125" w:type="dxa"/>
            <w:shd w:val="clear" w:color="auto" w:fill="auto"/>
            <w:noWrap/>
            <w:vAlign w:val="bottom"/>
            <w:hideMark/>
          </w:tcPr>
          <w:p w14:paraId="4A8A8FC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Construction in progress</w:t>
            </w:r>
          </w:p>
        </w:tc>
        <w:tc>
          <w:tcPr>
            <w:tcW w:w="1440" w:type="dxa"/>
            <w:shd w:val="clear" w:color="auto" w:fill="auto"/>
            <w:noWrap/>
            <w:vAlign w:val="bottom"/>
            <w:hideMark/>
          </w:tcPr>
          <w:p w14:paraId="40BBB01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153,236</w:t>
            </w:r>
          </w:p>
        </w:tc>
        <w:tc>
          <w:tcPr>
            <w:tcW w:w="1440" w:type="dxa"/>
            <w:shd w:val="clear" w:color="auto" w:fill="auto"/>
            <w:noWrap/>
            <w:vAlign w:val="bottom"/>
            <w:hideMark/>
          </w:tcPr>
          <w:p w14:paraId="7B5F75E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71,954</w:t>
            </w:r>
          </w:p>
        </w:tc>
        <w:tc>
          <w:tcPr>
            <w:tcW w:w="1350" w:type="dxa"/>
            <w:shd w:val="clear" w:color="auto" w:fill="auto"/>
            <w:noWrap/>
            <w:vAlign w:val="bottom"/>
            <w:hideMark/>
          </w:tcPr>
          <w:p w14:paraId="183A784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59,635</w:t>
            </w:r>
          </w:p>
        </w:tc>
      </w:tr>
      <w:tr w:rsidR="00231552" w:rsidRPr="0081358C" w14:paraId="3C79AA4C" w14:textId="77777777" w:rsidTr="00233D01">
        <w:trPr>
          <w:trHeight w:val="80"/>
          <w:jc w:val="center"/>
        </w:trPr>
        <w:tc>
          <w:tcPr>
            <w:tcW w:w="5125" w:type="dxa"/>
            <w:shd w:val="clear" w:color="auto" w:fill="auto"/>
            <w:noWrap/>
            <w:vAlign w:val="bottom"/>
            <w:hideMark/>
          </w:tcPr>
          <w:p w14:paraId="06CFB4B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Gross property, plant &amp; equipment</w:t>
            </w:r>
          </w:p>
        </w:tc>
        <w:tc>
          <w:tcPr>
            <w:tcW w:w="1440" w:type="dxa"/>
            <w:shd w:val="clear" w:color="auto" w:fill="auto"/>
            <w:noWrap/>
            <w:vAlign w:val="bottom"/>
            <w:hideMark/>
          </w:tcPr>
          <w:p w14:paraId="69545BA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5,806,876</w:t>
            </w:r>
          </w:p>
        </w:tc>
        <w:tc>
          <w:tcPr>
            <w:tcW w:w="1440" w:type="dxa"/>
            <w:shd w:val="clear" w:color="auto" w:fill="auto"/>
            <w:noWrap/>
            <w:vAlign w:val="bottom"/>
            <w:hideMark/>
          </w:tcPr>
          <w:p w14:paraId="644CA54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5,925,485</w:t>
            </w:r>
          </w:p>
        </w:tc>
        <w:tc>
          <w:tcPr>
            <w:tcW w:w="1350" w:type="dxa"/>
            <w:shd w:val="clear" w:color="auto" w:fill="auto"/>
            <w:noWrap/>
            <w:vAlign w:val="bottom"/>
            <w:hideMark/>
          </w:tcPr>
          <w:p w14:paraId="6B6C800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4,115,345</w:t>
            </w:r>
          </w:p>
        </w:tc>
      </w:tr>
      <w:tr w:rsidR="00231552" w:rsidRPr="0081358C" w14:paraId="60BC3903" w14:textId="77777777" w:rsidTr="00233D01">
        <w:trPr>
          <w:trHeight w:val="107"/>
          <w:jc w:val="center"/>
        </w:trPr>
        <w:tc>
          <w:tcPr>
            <w:tcW w:w="5125" w:type="dxa"/>
            <w:shd w:val="clear" w:color="auto" w:fill="auto"/>
            <w:noWrap/>
            <w:vAlign w:val="bottom"/>
            <w:hideMark/>
          </w:tcPr>
          <w:p w14:paraId="2287005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Less: accumulated depreciation</w:t>
            </w:r>
          </w:p>
        </w:tc>
        <w:tc>
          <w:tcPr>
            <w:tcW w:w="1440" w:type="dxa"/>
            <w:shd w:val="clear" w:color="auto" w:fill="auto"/>
            <w:noWrap/>
            <w:vAlign w:val="bottom"/>
            <w:hideMark/>
          </w:tcPr>
          <w:p w14:paraId="30252EE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3,551,478</w:t>
            </w:r>
          </w:p>
        </w:tc>
        <w:tc>
          <w:tcPr>
            <w:tcW w:w="1440" w:type="dxa"/>
            <w:shd w:val="clear" w:color="auto" w:fill="auto"/>
            <w:noWrap/>
            <w:vAlign w:val="bottom"/>
            <w:hideMark/>
          </w:tcPr>
          <w:p w14:paraId="1D84FBD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3,673,793</w:t>
            </w:r>
          </w:p>
        </w:tc>
        <w:tc>
          <w:tcPr>
            <w:tcW w:w="1350" w:type="dxa"/>
            <w:shd w:val="clear" w:color="auto" w:fill="auto"/>
            <w:noWrap/>
            <w:vAlign w:val="bottom"/>
            <w:hideMark/>
          </w:tcPr>
          <w:p w14:paraId="11BED34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2,684,099</w:t>
            </w:r>
          </w:p>
        </w:tc>
      </w:tr>
      <w:tr w:rsidR="00231552" w:rsidRPr="0081358C" w14:paraId="0B33ED8A" w14:textId="77777777" w:rsidTr="00233D01">
        <w:trPr>
          <w:trHeight w:val="56"/>
          <w:jc w:val="center"/>
        </w:trPr>
        <w:tc>
          <w:tcPr>
            <w:tcW w:w="5125" w:type="dxa"/>
            <w:shd w:val="clear" w:color="auto" w:fill="auto"/>
            <w:noWrap/>
            <w:vAlign w:val="bottom"/>
            <w:hideMark/>
          </w:tcPr>
          <w:p w14:paraId="2FE4095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Property, plant &amp; equipment, net</w:t>
            </w:r>
          </w:p>
        </w:tc>
        <w:tc>
          <w:tcPr>
            <w:tcW w:w="1440" w:type="dxa"/>
            <w:shd w:val="clear" w:color="auto" w:fill="auto"/>
            <w:noWrap/>
            <w:vAlign w:val="bottom"/>
            <w:hideMark/>
          </w:tcPr>
          <w:p w14:paraId="5A476C5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2,255,398</w:t>
            </w:r>
          </w:p>
        </w:tc>
        <w:tc>
          <w:tcPr>
            <w:tcW w:w="1440" w:type="dxa"/>
            <w:shd w:val="clear" w:color="auto" w:fill="auto"/>
            <w:noWrap/>
            <w:vAlign w:val="bottom"/>
            <w:hideMark/>
          </w:tcPr>
          <w:p w14:paraId="0113B9E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2,251,692</w:t>
            </w:r>
          </w:p>
        </w:tc>
        <w:tc>
          <w:tcPr>
            <w:tcW w:w="1350" w:type="dxa"/>
            <w:shd w:val="clear" w:color="auto" w:fill="auto"/>
            <w:noWrap/>
            <w:vAlign w:val="bottom"/>
            <w:hideMark/>
          </w:tcPr>
          <w:p w14:paraId="6CD0395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1,431,246</w:t>
            </w:r>
          </w:p>
        </w:tc>
      </w:tr>
      <w:tr w:rsidR="00231552" w:rsidRPr="0081358C" w14:paraId="521437C7" w14:textId="77777777" w:rsidTr="00233D01">
        <w:trPr>
          <w:trHeight w:val="56"/>
          <w:jc w:val="center"/>
        </w:trPr>
        <w:tc>
          <w:tcPr>
            <w:tcW w:w="5125" w:type="dxa"/>
            <w:shd w:val="clear" w:color="auto" w:fill="auto"/>
            <w:noWrap/>
            <w:vAlign w:val="bottom"/>
            <w:hideMark/>
          </w:tcPr>
          <w:p w14:paraId="622C719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Goodwill</w:t>
            </w:r>
          </w:p>
        </w:tc>
        <w:tc>
          <w:tcPr>
            <w:tcW w:w="1440" w:type="dxa"/>
            <w:shd w:val="clear" w:color="auto" w:fill="auto"/>
            <w:noWrap/>
            <w:vAlign w:val="bottom"/>
            <w:hideMark/>
          </w:tcPr>
          <w:p w14:paraId="5E0F93D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1,713,475</w:t>
            </w:r>
          </w:p>
        </w:tc>
        <w:tc>
          <w:tcPr>
            <w:tcW w:w="1440" w:type="dxa"/>
            <w:shd w:val="clear" w:color="auto" w:fill="auto"/>
            <w:noWrap/>
            <w:vAlign w:val="bottom"/>
            <w:hideMark/>
          </w:tcPr>
          <w:p w14:paraId="16A85A7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1,715,479</w:t>
            </w:r>
          </w:p>
        </w:tc>
        <w:tc>
          <w:tcPr>
            <w:tcW w:w="1350" w:type="dxa"/>
            <w:shd w:val="clear" w:color="auto" w:fill="auto"/>
            <w:noWrap/>
            <w:vAlign w:val="bottom"/>
            <w:hideMark/>
          </w:tcPr>
          <w:p w14:paraId="53A3E85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1,421,120</w:t>
            </w:r>
          </w:p>
        </w:tc>
      </w:tr>
      <w:tr w:rsidR="00231552" w:rsidRPr="0081358C" w14:paraId="1B9563B1" w14:textId="77777777" w:rsidTr="00233D01">
        <w:trPr>
          <w:trHeight w:val="56"/>
          <w:jc w:val="center"/>
        </w:trPr>
        <w:tc>
          <w:tcPr>
            <w:tcW w:w="5125" w:type="dxa"/>
            <w:shd w:val="clear" w:color="auto" w:fill="auto"/>
            <w:noWrap/>
            <w:vAlign w:val="bottom"/>
            <w:hideMark/>
          </w:tcPr>
          <w:p w14:paraId="6CACAAA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Other intangibles, net</w:t>
            </w:r>
          </w:p>
        </w:tc>
        <w:tc>
          <w:tcPr>
            <w:tcW w:w="1440" w:type="dxa"/>
            <w:shd w:val="clear" w:color="auto" w:fill="auto"/>
            <w:noWrap/>
            <w:vAlign w:val="bottom"/>
            <w:hideMark/>
          </w:tcPr>
          <w:p w14:paraId="371BAEF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1,004,379</w:t>
            </w:r>
          </w:p>
        </w:tc>
        <w:tc>
          <w:tcPr>
            <w:tcW w:w="1440" w:type="dxa"/>
            <w:shd w:val="clear" w:color="auto" w:fill="auto"/>
            <w:noWrap/>
            <w:vAlign w:val="bottom"/>
            <w:hideMark/>
          </w:tcPr>
          <w:p w14:paraId="3C13518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835,795</w:t>
            </w:r>
          </w:p>
        </w:tc>
        <w:tc>
          <w:tcPr>
            <w:tcW w:w="1350" w:type="dxa"/>
            <w:shd w:val="clear" w:color="auto" w:fill="auto"/>
            <w:noWrap/>
            <w:vAlign w:val="bottom"/>
            <w:hideMark/>
          </w:tcPr>
          <w:p w14:paraId="4C2AA8A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590,443</w:t>
            </w:r>
          </w:p>
        </w:tc>
      </w:tr>
      <w:tr w:rsidR="00231552" w:rsidRPr="0081358C" w14:paraId="3C08578C" w14:textId="77777777" w:rsidTr="00233D01">
        <w:trPr>
          <w:trHeight w:val="56"/>
          <w:jc w:val="center"/>
        </w:trPr>
        <w:tc>
          <w:tcPr>
            <w:tcW w:w="5125" w:type="dxa"/>
            <w:shd w:val="clear" w:color="auto" w:fill="auto"/>
            <w:noWrap/>
            <w:vAlign w:val="bottom"/>
            <w:hideMark/>
          </w:tcPr>
          <w:p w14:paraId="4D1E404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Deferred tax assets</w:t>
            </w:r>
          </w:p>
        </w:tc>
        <w:tc>
          <w:tcPr>
            <w:tcW w:w="1440" w:type="dxa"/>
            <w:shd w:val="clear" w:color="auto" w:fill="auto"/>
            <w:noWrap/>
            <w:vAlign w:val="bottom"/>
            <w:hideMark/>
          </w:tcPr>
          <w:p w14:paraId="1C95193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1,539,141</w:t>
            </w:r>
          </w:p>
        </w:tc>
        <w:tc>
          <w:tcPr>
            <w:tcW w:w="1440" w:type="dxa"/>
            <w:shd w:val="clear" w:color="auto" w:fill="auto"/>
            <w:noWrap/>
            <w:vAlign w:val="bottom"/>
            <w:hideMark/>
          </w:tcPr>
          <w:p w14:paraId="1EF4637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1,505,564</w:t>
            </w:r>
          </w:p>
        </w:tc>
        <w:tc>
          <w:tcPr>
            <w:tcW w:w="1350" w:type="dxa"/>
            <w:shd w:val="clear" w:color="auto" w:fill="auto"/>
            <w:noWrap/>
            <w:vAlign w:val="bottom"/>
            <w:hideMark/>
          </w:tcPr>
          <w:p w14:paraId="2099817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594,019</w:t>
            </w:r>
          </w:p>
        </w:tc>
      </w:tr>
      <w:tr w:rsidR="00231552" w:rsidRPr="0081358C" w14:paraId="3E59A467" w14:textId="77777777" w:rsidTr="00233D01">
        <w:trPr>
          <w:trHeight w:val="56"/>
          <w:jc w:val="center"/>
        </w:trPr>
        <w:tc>
          <w:tcPr>
            <w:tcW w:w="5125" w:type="dxa"/>
            <w:shd w:val="clear" w:color="auto" w:fill="auto"/>
            <w:noWrap/>
            <w:vAlign w:val="bottom"/>
            <w:hideMark/>
          </w:tcPr>
          <w:p w14:paraId="27135AD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Other assets</w:t>
            </w:r>
          </w:p>
        </w:tc>
        <w:tc>
          <w:tcPr>
            <w:tcW w:w="1440" w:type="dxa"/>
            <w:shd w:val="clear" w:color="auto" w:fill="auto"/>
            <w:noWrap/>
            <w:vAlign w:val="bottom"/>
            <w:hideMark/>
          </w:tcPr>
          <w:p w14:paraId="2C91DBA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213,890</w:t>
            </w:r>
          </w:p>
        </w:tc>
        <w:tc>
          <w:tcPr>
            <w:tcW w:w="1440" w:type="dxa"/>
            <w:shd w:val="clear" w:color="auto" w:fill="auto"/>
            <w:noWrap/>
            <w:vAlign w:val="bottom"/>
            <w:hideMark/>
          </w:tcPr>
          <w:p w14:paraId="72A469C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219,934</w:t>
            </w:r>
          </w:p>
        </w:tc>
        <w:tc>
          <w:tcPr>
            <w:tcW w:w="1350" w:type="dxa"/>
            <w:shd w:val="clear" w:color="auto" w:fill="auto"/>
            <w:noWrap/>
            <w:vAlign w:val="bottom"/>
            <w:hideMark/>
          </w:tcPr>
          <w:p w14:paraId="287C29B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217,208</w:t>
            </w:r>
          </w:p>
        </w:tc>
      </w:tr>
      <w:tr w:rsidR="00231552" w:rsidRPr="0081358C" w14:paraId="5AFBA0BA" w14:textId="77777777" w:rsidTr="00233D01">
        <w:trPr>
          <w:trHeight w:val="56"/>
          <w:jc w:val="center"/>
        </w:trPr>
        <w:tc>
          <w:tcPr>
            <w:tcW w:w="5125" w:type="dxa"/>
            <w:shd w:val="clear" w:color="auto" w:fill="auto"/>
            <w:noWrap/>
            <w:vAlign w:val="bottom"/>
            <w:hideMark/>
          </w:tcPr>
          <w:p w14:paraId="1004E97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assets</w:t>
            </w:r>
          </w:p>
        </w:tc>
        <w:tc>
          <w:tcPr>
            <w:tcW w:w="1440" w:type="dxa"/>
            <w:shd w:val="clear" w:color="auto" w:fill="auto"/>
            <w:noWrap/>
            <w:vAlign w:val="bottom"/>
            <w:hideMark/>
          </w:tcPr>
          <w:p w14:paraId="277D899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11,277,010</w:t>
            </w:r>
          </w:p>
        </w:tc>
        <w:tc>
          <w:tcPr>
            <w:tcW w:w="1440" w:type="dxa"/>
            <w:shd w:val="clear" w:color="auto" w:fill="auto"/>
            <w:noWrap/>
            <w:vAlign w:val="bottom"/>
            <w:hideMark/>
          </w:tcPr>
          <w:p w14:paraId="16136BE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11,593,752</w:t>
            </w:r>
          </w:p>
        </w:tc>
        <w:tc>
          <w:tcPr>
            <w:tcW w:w="1350" w:type="dxa"/>
            <w:shd w:val="clear" w:color="auto" w:fill="auto"/>
            <w:noWrap/>
            <w:vAlign w:val="bottom"/>
            <w:hideMark/>
          </w:tcPr>
          <w:p w14:paraId="021E2EF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8,989,327</w:t>
            </w:r>
          </w:p>
        </w:tc>
      </w:tr>
      <w:tr w:rsidR="00231552" w:rsidRPr="0081358C" w14:paraId="7337962A" w14:textId="77777777" w:rsidTr="00233D01">
        <w:trPr>
          <w:trHeight w:val="56"/>
          <w:jc w:val="center"/>
        </w:trPr>
        <w:tc>
          <w:tcPr>
            <w:tcW w:w="5125" w:type="dxa"/>
            <w:shd w:val="clear" w:color="auto" w:fill="auto"/>
            <w:noWrap/>
            <w:vAlign w:val="bottom"/>
            <w:hideMark/>
          </w:tcPr>
          <w:p w14:paraId="40DC9FA0"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Current maturities of long-term debt &amp; lease financing obligations</w:t>
            </w:r>
          </w:p>
        </w:tc>
        <w:tc>
          <w:tcPr>
            <w:tcW w:w="1440" w:type="dxa"/>
            <w:shd w:val="clear" w:color="auto" w:fill="auto"/>
            <w:noWrap/>
            <w:vAlign w:val="bottom"/>
            <w:hideMark/>
          </w:tcPr>
          <w:p w14:paraId="6AE4852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26,848</w:t>
            </w:r>
          </w:p>
        </w:tc>
        <w:tc>
          <w:tcPr>
            <w:tcW w:w="1440" w:type="dxa"/>
            <w:shd w:val="clear" w:color="auto" w:fill="auto"/>
            <w:noWrap/>
            <w:vAlign w:val="bottom"/>
            <w:hideMark/>
          </w:tcPr>
          <w:p w14:paraId="5BD4322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21,335</w:t>
            </w:r>
          </w:p>
        </w:tc>
        <w:tc>
          <w:tcPr>
            <w:tcW w:w="1350" w:type="dxa"/>
            <w:shd w:val="clear" w:color="auto" w:fill="auto"/>
            <w:noWrap/>
            <w:vAlign w:val="bottom"/>
            <w:hideMark/>
          </w:tcPr>
          <w:p w14:paraId="7695FDD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20,761</w:t>
            </w:r>
          </w:p>
        </w:tc>
      </w:tr>
      <w:tr w:rsidR="00231552" w:rsidRPr="0081358C" w14:paraId="563D78D2" w14:textId="77777777" w:rsidTr="00233D01">
        <w:trPr>
          <w:trHeight w:val="71"/>
          <w:jc w:val="center"/>
        </w:trPr>
        <w:tc>
          <w:tcPr>
            <w:tcW w:w="5125" w:type="dxa"/>
            <w:shd w:val="clear" w:color="auto" w:fill="auto"/>
            <w:noWrap/>
            <w:vAlign w:val="bottom"/>
            <w:hideMark/>
          </w:tcPr>
          <w:p w14:paraId="3688B5A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Accounts payable</w:t>
            </w:r>
          </w:p>
        </w:tc>
        <w:tc>
          <w:tcPr>
            <w:tcW w:w="1440" w:type="dxa"/>
            <w:shd w:val="clear" w:color="auto" w:fill="auto"/>
            <w:noWrap/>
            <w:vAlign w:val="bottom"/>
            <w:hideMark/>
          </w:tcPr>
          <w:p w14:paraId="35AEA7C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1,542,797</w:t>
            </w:r>
          </w:p>
        </w:tc>
        <w:tc>
          <w:tcPr>
            <w:tcW w:w="1440" w:type="dxa"/>
            <w:shd w:val="clear" w:color="auto" w:fill="auto"/>
            <w:noWrap/>
            <w:vAlign w:val="bottom"/>
            <w:hideMark/>
          </w:tcPr>
          <w:p w14:paraId="0866854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1,613,909</w:t>
            </w:r>
          </w:p>
        </w:tc>
        <w:tc>
          <w:tcPr>
            <w:tcW w:w="1350" w:type="dxa"/>
            <w:shd w:val="clear" w:color="auto" w:fill="auto"/>
            <w:noWrap/>
            <w:vAlign w:val="bottom"/>
            <w:hideMark/>
          </w:tcPr>
          <w:p w14:paraId="60130F4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1,651,363</w:t>
            </w:r>
          </w:p>
        </w:tc>
      </w:tr>
      <w:tr w:rsidR="00231552" w:rsidRPr="0081358C" w14:paraId="2ACACB96" w14:textId="77777777" w:rsidTr="00233D01">
        <w:trPr>
          <w:trHeight w:val="98"/>
          <w:jc w:val="center"/>
        </w:trPr>
        <w:tc>
          <w:tcPr>
            <w:tcW w:w="5125" w:type="dxa"/>
            <w:shd w:val="clear" w:color="auto" w:fill="auto"/>
            <w:noWrap/>
            <w:vAlign w:val="bottom"/>
            <w:hideMark/>
          </w:tcPr>
          <w:p w14:paraId="0F50F75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wages, benefits &amp; other personnel costs</w:t>
            </w:r>
          </w:p>
        </w:tc>
        <w:tc>
          <w:tcPr>
            <w:tcW w:w="1440" w:type="dxa"/>
            <w:shd w:val="clear" w:color="auto" w:fill="auto"/>
            <w:noWrap/>
            <w:vAlign w:val="bottom"/>
            <w:hideMark/>
          </w:tcPr>
          <w:p w14:paraId="302CAEE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457,135</w:t>
            </w:r>
          </w:p>
        </w:tc>
        <w:tc>
          <w:tcPr>
            <w:tcW w:w="1440" w:type="dxa"/>
            <w:shd w:val="clear" w:color="auto" w:fill="auto"/>
            <w:noWrap/>
            <w:vAlign w:val="bottom"/>
            <w:hideMark/>
          </w:tcPr>
          <w:p w14:paraId="3D3E8A8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426,097</w:t>
            </w:r>
          </w:p>
        </w:tc>
        <w:tc>
          <w:tcPr>
            <w:tcW w:w="1350" w:type="dxa"/>
            <w:shd w:val="clear" w:color="auto" w:fill="auto"/>
            <w:noWrap/>
            <w:vAlign w:val="bottom"/>
            <w:hideMark/>
          </w:tcPr>
          <w:p w14:paraId="2355B9E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360,179</w:t>
            </w:r>
          </w:p>
        </w:tc>
      </w:tr>
      <w:tr w:rsidR="00231552" w:rsidRPr="0081358C" w14:paraId="5BEBD276" w14:textId="77777777" w:rsidTr="00233D01">
        <w:trPr>
          <w:trHeight w:val="56"/>
          <w:jc w:val="center"/>
        </w:trPr>
        <w:tc>
          <w:tcPr>
            <w:tcW w:w="5125" w:type="dxa"/>
            <w:shd w:val="clear" w:color="auto" w:fill="auto"/>
            <w:noWrap/>
            <w:vAlign w:val="bottom"/>
            <w:hideMark/>
          </w:tcPr>
          <w:p w14:paraId="40F0F11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interest</w:t>
            </w:r>
          </w:p>
        </w:tc>
        <w:tc>
          <w:tcPr>
            <w:tcW w:w="1440" w:type="dxa"/>
            <w:shd w:val="clear" w:color="auto" w:fill="auto"/>
            <w:noWrap/>
            <w:vAlign w:val="bottom"/>
            <w:hideMark/>
          </w:tcPr>
          <w:p w14:paraId="765DD0A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65,729</w:t>
            </w:r>
          </w:p>
        </w:tc>
        <w:tc>
          <w:tcPr>
            <w:tcW w:w="1440" w:type="dxa"/>
            <w:shd w:val="clear" w:color="auto" w:fill="auto"/>
            <w:noWrap/>
            <w:vAlign w:val="bottom"/>
            <w:hideMark/>
          </w:tcPr>
          <w:p w14:paraId="081A739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66,352</w:t>
            </w:r>
          </w:p>
        </w:tc>
        <w:tc>
          <w:tcPr>
            <w:tcW w:w="1350" w:type="dxa"/>
            <w:shd w:val="clear" w:color="auto" w:fill="auto"/>
            <w:noWrap/>
            <w:vAlign w:val="bottom"/>
            <w:hideMark/>
          </w:tcPr>
          <w:p w14:paraId="79D0D79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65,210</w:t>
            </w:r>
          </w:p>
        </w:tc>
      </w:tr>
      <w:tr w:rsidR="00231552" w:rsidRPr="0081358C" w14:paraId="5455729C" w14:textId="77777777" w:rsidTr="00233D01">
        <w:trPr>
          <w:trHeight w:val="80"/>
          <w:jc w:val="center"/>
        </w:trPr>
        <w:tc>
          <w:tcPr>
            <w:tcW w:w="5125" w:type="dxa"/>
            <w:shd w:val="clear" w:color="auto" w:fill="auto"/>
            <w:noWrap/>
            <w:vAlign w:val="bottom"/>
            <w:hideMark/>
          </w:tcPr>
          <w:p w14:paraId="00F5D69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sales &amp; other taxes payable</w:t>
            </w:r>
          </w:p>
        </w:tc>
        <w:tc>
          <w:tcPr>
            <w:tcW w:w="1440" w:type="dxa"/>
            <w:shd w:val="clear" w:color="auto" w:fill="auto"/>
            <w:noWrap/>
            <w:vAlign w:val="bottom"/>
            <w:hideMark/>
          </w:tcPr>
          <w:p w14:paraId="7236B4B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155,999</w:t>
            </w:r>
          </w:p>
        </w:tc>
        <w:tc>
          <w:tcPr>
            <w:tcW w:w="1440" w:type="dxa"/>
            <w:shd w:val="clear" w:color="auto" w:fill="auto"/>
            <w:noWrap/>
            <w:vAlign w:val="bottom"/>
            <w:hideMark/>
          </w:tcPr>
          <w:p w14:paraId="37BF204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141,420</w:t>
            </w:r>
          </w:p>
        </w:tc>
        <w:tc>
          <w:tcPr>
            <w:tcW w:w="1350" w:type="dxa"/>
            <w:shd w:val="clear" w:color="auto" w:fill="auto"/>
            <w:noWrap/>
            <w:vAlign w:val="bottom"/>
            <w:hideMark/>
          </w:tcPr>
          <w:p w14:paraId="3A47174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125,289</w:t>
            </w:r>
          </w:p>
        </w:tc>
      </w:tr>
      <w:tr w:rsidR="00231552" w:rsidRPr="0081358C" w14:paraId="4BFE8FB7" w14:textId="77777777" w:rsidTr="00233D01">
        <w:trPr>
          <w:trHeight w:val="56"/>
          <w:jc w:val="center"/>
        </w:trPr>
        <w:tc>
          <w:tcPr>
            <w:tcW w:w="5125" w:type="dxa"/>
            <w:shd w:val="clear" w:color="auto" w:fill="auto"/>
            <w:noWrap/>
            <w:vAlign w:val="bottom"/>
            <w:hideMark/>
          </w:tcPr>
          <w:p w14:paraId="6D1AA6C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store expense</w:t>
            </w:r>
          </w:p>
        </w:tc>
        <w:tc>
          <w:tcPr>
            <w:tcW w:w="1440" w:type="dxa"/>
            <w:shd w:val="clear" w:color="auto" w:fill="auto"/>
            <w:noWrap/>
            <w:vAlign w:val="bottom"/>
            <w:hideMark/>
          </w:tcPr>
          <w:p w14:paraId="327C436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231,900</w:t>
            </w:r>
          </w:p>
        </w:tc>
        <w:tc>
          <w:tcPr>
            <w:tcW w:w="1440" w:type="dxa"/>
            <w:shd w:val="clear" w:color="auto" w:fill="auto"/>
            <w:noWrap/>
            <w:vAlign w:val="bottom"/>
            <w:hideMark/>
          </w:tcPr>
          <w:p w14:paraId="6431D77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202,599</w:t>
            </w:r>
          </w:p>
        </w:tc>
        <w:tc>
          <w:tcPr>
            <w:tcW w:w="1350" w:type="dxa"/>
            <w:shd w:val="clear" w:color="auto" w:fill="auto"/>
            <w:noWrap/>
            <w:vAlign w:val="bottom"/>
            <w:hideMark/>
          </w:tcPr>
          <w:p w14:paraId="6723303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155,354</w:t>
            </w:r>
          </w:p>
        </w:tc>
      </w:tr>
      <w:tr w:rsidR="00231552" w:rsidRPr="0081358C" w14:paraId="06B7D0CC" w14:textId="77777777" w:rsidTr="00233D01">
        <w:trPr>
          <w:trHeight w:val="56"/>
          <w:jc w:val="center"/>
        </w:trPr>
        <w:tc>
          <w:tcPr>
            <w:tcW w:w="5125" w:type="dxa"/>
            <w:shd w:val="clear" w:color="auto" w:fill="auto"/>
            <w:noWrap/>
            <w:vAlign w:val="bottom"/>
            <w:hideMark/>
          </w:tcPr>
          <w:p w14:paraId="7FDC4D7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reinsurance</w:t>
            </w:r>
          </w:p>
        </w:tc>
        <w:tc>
          <w:tcPr>
            <w:tcW w:w="1440" w:type="dxa"/>
            <w:shd w:val="clear" w:color="auto" w:fill="auto"/>
            <w:noWrap/>
            <w:vAlign w:val="bottom"/>
            <w:hideMark/>
          </w:tcPr>
          <w:p w14:paraId="41950DA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166,238</w:t>
            </w:r>
          </w:p>
        </w:tc>
        <w:tc>
          <w:tcPr>
            <w:tcW w:w="1440" w:type="dxa"/>
            <w:shd w:val="clear" w:color="auto" w:fill="auto"/>
            <w:noWrap/>
            <w:vAlign w:val="bottom"/>
            <w:hideMark/>
          </w:tcPr>
          <w:p w14:paraId="0E3A5CE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145,904</w:t>
            </w:r>
          </w:p>
        </w:tc>
        <w:tc>
          <w:tcPr>
            <w:tcW w:w="1350" w:type="dxa"/>
            <w:shd w:val="clear" w:color="auto" w:fill="auto"/>
            <w:noWrap/>
            <w:vAlign w:val="bottom"/>
            <w:hideMark/>
          </w:tcPr>
          <w:p w14:paraId="700B909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183,418</w:t>
            </w:r>
          </w:p>
        </w:tc>
      </w:tr>
      <w:tr w:rsidR="00231552" w:rsidRPr="0081358C" w14:paraId="145B61E5" w14:textId="77777777" w:rsidTr="00233D01">
        <w:trPr>
          <w:trHeight w:val="71"/>
          <w:jc w:val="center"/>
        </w:trPr>
        <w:tc>
          <w:tcPr>
            <w:tcW w:w="5125" w:type="dxa"/>
            <w:shd w:val="clear" w:color="auto" w:fill="auto"/>
            <w:noWrap/>
            <w:vAlign w:val="bottom"/>
            <w:hideMark/>
          </w:tcPr>
          <w:p w14:paraId="54D1DC0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Other accrued salaries, wages &amp; other current liabilities</w:t>
            </w:r>
          </w:p>
        </w:tc>
        <w:tc>
          <w:tcPr>
            <w:tcW w:w="1440" w:type="dxa"/>
            <w:shd w:val="clear" w:color="auto" w:fill="auto"/>
            <w:noWrap/>
            <w:vAlign w:val="bottom"/>
            <w:hideMark/>
          </w:tcPr>
          <w:p w14:paraId="11F2E20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350,249</w:t>
            </w:r>
          </w:p>
        </w:tc>
        <w:tc>
          <w:tcPr>
            <w:tcW w:w="1440" w:type="dxa"/>
            <w:shd w:val="clear" w:color="auto" w:fill="auto"/>
            <w:noWrap/>
            <w:vAlign w:val="bottom"/>
            <w:hideMark/>
          </w:tcPr>
          <w:p w14:paraId="2DD6903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387,632</w:t>
            </w:r>
          </w:p>
        </w:tc>
        <w:tc>
          <w:tcPr>
            <w:tcW w:w="1350" w:type="dxa"/>
            <w:shd w:val="clear" w:color="auto" w:fill="auto"/>
            <w:noWrap/>
            <w:vAlign w:val="bottom"/>
            <w:hideMark/>
          </w:tcPr>
          <w:p w14:paraId="1B6888F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342,286</w:t>
            </w:r>
          </w:p>
        </w:tc>
      </w:tr>
      <w:tr w:rsidR="00231552" w:rsidRPr="0081358C" w14:paraId="7F2D5FCD" w14:textId="77777777" w:rsidTr="00233D01">
        <w:trPr>
          <w:trHeight w:val="98"/>
          <w:jc w:val="center"/>
        </w:trPr>
        <w:tc>
          <w:tcPr>
            <w:tcW w:w="5125" w:type="dxa"/>
            <w:shd w:val="clear" w:color="auto" w:fill="auto"/>
            <w:noWrap/>
            <w:vAlign w:val="bottom"/>
            <w:hideMark/>
          </w:tcPr>
          <w:p w14:paraId="10C752D4"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Accrued salaries, wages &amp; other current liabilities</w:t>
            </w:r>
          </w:p>
        </w:tc>
        <w:tc>
          <w:tcPr>
            <w:tcW w:w="1440" w:type="dxa"/>
            <w:shd w:val="clear" w:color="auto" w:fill="auto"/>
            <w:noWrap/>
            <w:vAlign w:val="bottom"/>
            <w:hideMark/>
          </w:tcPr>
          <w:p w14:paraId="49C1512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1,427,250</w:t>
            </w:r>
          </w:p>
        </w:tc>
        <w:tc>
          <w:tcPr>
            <w:tcW w:w="1440" w:type="dxa"/>
            <w:shd w:val="clear" w:color="auto" w:fill="auto"/>
            <w:noWrap/>
            <w:vAlign w:val="bottom"/>
            <w:hideMark/>
          </w:tcPr>
          <w:p w14:paraId="1854141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1,370,004</w:t>
            </w:r>
          </w:p>
        </w:tc>
        <w:tc>
          <w:tcPr>
            <w:tcW w:w="1350" w:type="dxa"/>
            <w:shd w:val="clear" w:color="auto" w:fill="auto"/>
            <w:noWrap/>
            <w:vAlign w:val="bottom"/>
            <w:hideMark/>
          </w:tcPr>
          <w:p w14:paraId="6C93DA5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1,231,736</w:t>
            </w:r>
          </w:p>
        </w:tc>
      </w:tr>
      <w:tr w:rsidR="00231552" w:rsidRPr="0081358C" w14:paraId="6AEA263E" w14:textId="77777777" w:rsidTr="00233D01">
        <w:trPr>
          <w:trHeight w:val="56"/>
          <w:jc w:val="center"/>
        </w:trPr>
        <w:tc>
          <w:tcPr>
            <w:tcW w:w="5125" w:type="dxa"/>
            <w:shd w:val="clear" w:color="auto" w:fill="auto"/>
            <w:noWrap/>
            <w:vAlign w:val="bottom"/>
            <w:hideMark/>
          </w:tcPr>
          <w:p w14:paraId="0AC12DE4"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Deferred tax liabilities</w:t>
            </w:r>
          </w:p>
        </w:tc>
        <w:tc>
          <w:tcPr>
            <w:tcW w:w="1440" w:type="dxa"/>
            <w:shd w:val="clear" w:color="auto" w:fill="auto"/>
            <w:noWrap/>
            <w:vAlign w:val="bottom"/>
            <w:hideMark/>
          </w:tcPr>
          <w:p w14:paraId="300A456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40" w:type="dxa"/>
            <w:shd w:val="clear" w:color="auto" w:fill="auto"/>
            <w:noWrap/>
            <w:vAlign w:val="bottom"/>
            <w:hideMark/>
          </w:tcPr>
          <w:p w14:paraId="1514E4B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5D96528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56C46EBF" w14:textId="77777777" w:rsidTr="00233D01">
        <w:trPr>
          <w:trHeight w:val="56"/>
          <w:jc w:val="center"/>
        </w:trPr>
        <w:tc>
          <w:tcPr>
            <w:tcW w:w="5125" w:type="dxa"/>
            <w:shd w:val="clear" w:color="auto" w:fill="auto"/>
            <w:noWrap/>
            <w:vAlign w:val="bottom"/>
            <w:hideMark/>
          </w:tcPr>
          <w:p w14:paraId="33CA00C0"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Current liabilities held for sale</w:t>
            </w:r>
          </w:p>
        </w:tc>
        <w:tc>
          <w:tcPr>
            <w:tcW w:w="1440" w:type="dxa"/>
            <w:shd w:val="clear" w:color="auto" w:fill="auto"/>
            <w:noWrap/>
            <w:vAlign w:val="bottom"/>
            <w:hideMark/>
          </w:tcPr>
          <w:p w14:paraId="678B92B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40" w:type="dxa"/>
            <w:shd w:val="clear" w:color="auto" w:fill="auto"/>
            <w:noWrap/>
            <w:vAlign w:val="bottom"/>
            <w:hideMark/>
          </w:tcPr>
          <w:p w14:paraId="7087CBC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24A1303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560,205</w:t>
            </w:r>
          </w:p>
        </w:tc>
      </w:tr>
      <w:tr w:rsidR="00231552" w:rsidRPr="0081358C" w14:paraId="09FC6813" w14:textId="77777777" w:rsidTr="00233D01">
        <w:trPr>
          <w:trHeight w:val="56"/>
          <w:jc w:val="center"/>
        </w:trPr>
        <w:tc>
          <w:tcPr>
            <w:tcW w:w="5125" w:type="dxa"/>
            <w:shd w:val="clear" w:color="auto" w:fill="auto"/>
            <w:noWrap/>
            <w:vAlign w:val="bottom"/>
            <w:hideMark/>
          </w:tcPr>
          <w:p w14:paraId="48D9866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current liabilities</w:t>
            </w:r>
          </w:p>
        </w:tc>
        <w:tc>
          <w:tcPr>
            <w:tcW w:w="1440" w:type="dxa"/>
            <w:shd w:val="clear" w:color="auto" w:fill="auto"/>
            <w:noWrap/>
            <w:vAlign w:val="bottom"/>
            <w:hideMark/>
          </w:tcPr>
          <w:p w14:paraId="5C050DC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2,996,895</w:t>
            </w:r>
          </w:p>
        </w:tc>
        <w:tc>
          <w:tcPr>
            <w:tcW w:w="1440" w:type="dxa"/>
            <w:shd w:val="clear" w:color="auto" w:fill="auto"/>
            <w:noWrap/>
            <w:vAlign w:val="bottom"/>
            <w:hideMark/>
          </w:tcPr>
          <w:p w14:paraId="48EE83A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3,005,248</w:t>
            </w:r>
          </w:p>
        </w:tc>
        <w:tc>
          <w:tcPr>
            <w:tcW w:w="1350" w:type="dxa"/>
            <w:shd w:val="clear" w:color="auto" w:fill="auto"/>
            <w:noWrap/>
            <w:vAlign w:val="bottom"/>
            <w:hideMark/>
          </w:tcPr>
          <w:p w14:paraId="013C866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3,464,065</w:t>
            </w:r>
          </w:p>
        </w:tc>
      </w:tr>
      <w:tr w:rsidR="00231552" w:rsidRPr="0081358C" w14:paraId="79E1FA0F" w14:textId="77777777" w:rsidTr="00233D01">
        <w:trPr>
          <w:trHeight w:val="56"/>
          <w:jc w:val="center"/>
        </w:trPr>
        <w:tc>
          <w:tcPr>
            <w:tcW w:w="5125" w:type="dxa"/>
            <w:shd w:val="clear" w:color="auto" w:fill="auto"/>
            <w:noWrap/>
            <w:vAlign w:val="bottom"/>
            <w:hideMark/>
          </w:tcPr>
          <w:p w14:paraId="333147C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Long-term debt, less current maturities</w:t>
            </w:r>
          </w:p>
        </w:tc>
        <w:tc>
          <w:tcPr>
            <w:tcW w:w="1440" w:type="dxa"/>
            <w:shd w:val="clear" w:color="auto" w:fill="auto"/>
            <w:noWrap/>
            <w:vAlign w:val="bottom"/>
            <w:hideMark/>
          </w:tcPr>
          <w:p w14:paraId="049C002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6,914,393</w:t>
            </w:r>
          </w:p>
        </w:tc>
        <w:tc>
          <w:tcPr>
            <w:tcW w:w="1440" w:type="dxa"/>
            <w:shd w:val="clear" w:color="auto" w:fill="auto"/>
            <w:noWrap/>
            <w:vAlign w:val="bottom"/>
            <w:hideMark/>
          </w:tcPr>
          <w:p w14:paraId="6FBE288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7,263,288</w:t>
            </w:r>
          </w:p>
        </w:tc>
        <w:tc>
          <w:tcPr>
            <w:tcW w:w="1350" w:type="dxa"/>
            <w:shd w:val="clear" w:color="auto" w:fill="auto"/>
            <w:noWrap/>
            <w:vAlign w:val="bottom"/>
            <w:hideMark/>
          </w:tcPr>
          <w:p w14:paraId="6D2685A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3,340,099</w:t>
            </w:r>
          </w:p>
        </w:tc>
      </w:tr>
      <w:tr w:rsidR="00231552" w:rsidRPr="0081358C" w14:paraId="29156D0E" w14:textId="77777777" w:rsidTr="00233D01">
        <w:trPr>
          <w:trHeight w:val="56"/>
          <w:jc w:val="center"/>
        </w:trPr>
        <w:tc>
          <w:tcPr>
            <w:tcW w:w="5125" w:type="dxa"/>
            <w:shd w:val="clear" w:color="auto" w:fill="auto"/>
            <w:noWrap/>
            <w:vAlign w:val="bottom"/>
            <w:hideMark/>
          </w:tcPr>
          <w:p w14:paraId="6D42F9AC"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Lease financing obligations, less current maturities</w:t>
            </w:r>
          </w:p>
        </w:tc>
        <w:tc>
          <w:tcPr>
            <w:tcW w:w="1440" w:type="dxa"/>
            <w:shd w:val="clear" w:color="auto" w:fill="auto"/>
            <w:noWrap/>
            <w:vAlign w:val="bottom"/>
            <w:hideMark/>
          </w:tcPr>
          <w:p w14:paraId="3D712EC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52,895</w:t>
            </w:r>
          </w:p>
        </w:tc>
        <w:tc>
          <w:tcPr>
            <w:tcW w:w="1440" w:type="dxa"/>
            <w:shd w:val="clear" w:color="auto" w:fill="auto"/>
            <w:noWrap/>
            <w:vAlign w:val="bottom"/>
            <w:hideMark/>
          </w:tcPr>
          <w:p w14:paraId="3A1D36E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44,070</w:t>
            </w:r>
          </w:p>
        </w:tc>
        <w:tc>
          <w:tcPr>
            <w:tcW w:w="1350" w:type="dxa"/>
            <w:shd w:val="clear" w:color="auto" w:fill="auto"/>
            <w:noWrap/>
            <w:vAlign w:val="bottom"/>
            <w:hideMark/>
          </w:tcPr>
          <w:p w14:paraId="0DD114B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30,775</w:t>
            </w:r>
          </w:p>
        </w:tc>
      </w:tr>
      <w:tr w:rsidR="00231552" w:rsidRPr="0081358C" w14:paraId="197315D0" w14:textId="77777777" w:rsidTr="00233D01">
        <w:trPr>
          <w:trHeight w:val="56"/>
          <w:jc w:val="center"/>
        </w:trPr>
        <w:tc>
          <w:tcPr>
            <w:tcW w:w="5125" w:type="dxa"/>
            <w:shd w:val="clear" w:color="auto" w:fill="auto"/>
            <w:noWrap/>
            <w:vAlign w:val="bottom"/>
            <w:hideMark/>
          </w:tcPr>
          <w:p w14:paraId="3605761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Other noncurrent liabilities</w:t>
            </w:r>
          </w:p>
        </w:tc>
        <w:tc>
          <w:tcPr>
            <w:tcW w:w="1440" w:type="dxa"/>
            <w:shd w:val="clear" w:color="auto" w:fill="auto"/>
            <w:noWrap/>
            <w:vAlign w:val="bottom"/>
            <w:hideMark/>
          </w:tcPr>
          <w:p w14:paraId="0A915A6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731,399</w:t>
            </w:r>
          </w:p>
        </w:tc>
        <w:tc>
          <w:tcPr>
            <w:tcW w:w="1440" w:type="dxa"/>
            <w:shd w:val="clear" w:color="auto" w:fill="auto"/>
            <w:noWrap/>
            <w:vAlign w:val="bottom"/>
            <w:hideMark/>
          </w:tcPr>
          <w:p w14:paraId="054604C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667,076</w:t>
            </w:r>
          </w:p>
        </w:tc>
        <w:tc>
          <w:tcPr>
            <w:tcW w:w="1350" w:type="dxa"/>
            <w:shd w:val="clear" w:color="auto" w:fill="auto"/>
            <w:noWrap/>
            <w:vAlign w:val="bottom"/>
            <w:hideMark/>
          </w:tcPr>
          <w:p w14:paraId="6A31F43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553,378</w:t>
            </w:r>
          </w:p>
        </w:tc>
      </w:tr>
      <w:tr w:rsidR="00231552" w:rsidRPr="0081358C" w14:paraId="2D8AC4D6" w14:textId="77777777" w:rsidTr="00233D01">
        <w:trPr>
          <w:trHeight w:val="56"/>
          <w:jc w:val="center"/>
        </w:trPr>
        <w:tc>
          <w:tcPr>
            <w:tcW w:w="5125" w:type="dxa"/>
            <w:shd w:val="clear" w:color="auto" w:fill="auto"/>
            <w:noWrap/>
            <w:vAlign w:val="bottom"/>
            <w:hideMark/>
          </w:tcPr>
          <w:p w14:paraId="6F187DA3"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liabilities</w:t>
            </w:r>
          </w:p>
        </w:tc>
        <w:tc>
          <w:tcPr>
            <w:tcW w:w="1440" w:type="dxa"/>
            <w:shd w:val="clear" w:color="auto" w:fill="auto"/>
            <w:noWrap/>
            <w:vAlign w:val="bottom"/>
            <w:hideMark/>
          </w:tcPr>
          <w:p w14:paraId="1998D57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10,695,582</w:t>
            </w:r>
          </w:p>
        </w:tc>
        <w:tc>
          <w:tcPr>
            <w:tcW w:w="1440" w:type="dxa"/>
            <w:shd w:val="clear" w:color="auto" w:fill="auto"/>
            <w:noWrap/>
            <w:vAlign w:val="bottom"/>
            <w:hideMark/>
          </w:tcPr>
          <w:p w14:paraId="17413A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10,979,682</w:t>
            </w:r>
          </w:p>
        </w:tc>
        <w:tc>
          <w:tcPr>
            <w:tcW w:w="1350" w:type="dxa"/>
            <w:shd w:val="clear" w:color="auto" w:fill="auto"/>
            <w:noWrap/>
            <w:vAlign w:val="bottom"/>
            <w:hideMark/>
          </w:tcPr>
          <w:p w14:paraId="3C69450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7,388,317</w:t>
            </w:r>
          </w:p>
        </w:tc>
      </w:tr>
      <w:tr w:rsidR="00231552" w:rsidRPr="0081358C" w14:paraId="50371EDF" w14:textId="77777777" w:rsidTr="00233D01">
        <w:trPr>
          <w:trHeight w:val="56"/>
          <w:jc w:val="center"/>
        </w:trPr>
        <w:tc>
          <w:tcPr>
            <w:tcW w:w="5125" w:type="dxa"/>
            <w:shd w:val="clear" w:color="auto" w:fill="auto"/>
            <w:noWrap/>
            <w:vAlign w:val="bottom"/>
            <w:hideMark/>
          </w:tcPr>
          <w:p w14:paraId="2577F85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Common stock</w:t>
            </w:r>
          </w:p>
        </w:tc>
        <w:tc>
          <w:tcPr>
            <w:tcW w:w="1440" w:type="dxa"/>
            <w:shd w:val="clear" w:color="auto" w:fill="auto"/>
            <w:noWrap/>
            <w:vAlign w:val="bottom"/>
            <w:hideMark/>
          </w:tcPr>
          <w:p w14:paraId="067EE19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1,047,754</w:t>
            </w:r>
          </w:p>
        </w:tc>
        <w:tc>
          <w:tcPr>
            <w:tcW w:w="1440" w:type="dxa"/>
            <w:shd w:val="clear" w:color="auto" w:fill="auto"/>
            <w:noWrap/>
            <w:vAlign w:val="bottom"/>
            <w:hideMark/>
          </w:tcPr>
          <w:p w14:paraId="4CA162B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1,053,690</w:t>
            </w:r>
          </w:p>
        </w:tc>
        <w:tc>
          <w:tcPr>
            <w:tcW w:w="1350" w:type="dxa"/>
            <w:shd w:val="clear" w:color="auto" w:fill="auto"/>
            <w:noWrap/>
            <w:vAlign w:val="bottom"/>
            <w:hideMark/>
          </w:tcPr>
          <w:p w14:paraId="66546F1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1,067,318</w:t>
            </w:r>
          </w:p>
        </w:tc>
      </w:tr>
      <w:tr w:rsidR="00231552" w:rsidRPr="0081358C" w14:paraId="79C5D0C2" w14:textId="77777777" w:rsidTr="00233D01">
        <w:trPr>
          <w:trHeight w:val="107"/>
          <w:jc w:val="center"/>
        </w:trPr>
        <w:tc>
          <w:tcPr>
            <w:tcW w:w="5125" w:type="dxa"/>
            <w:shd w:val="clear" w:color="auto" w:fill="auto"/>
            <w:noWrap/>
            <w:vAlign w:val="bottom"/>
            <w:hideMark/>
          </w:tcPr>
          <w:p w14:paraId="6DA8367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Additional paid-in capital</w:t>
            </w:r>
          </w:p>
        </w:tc>
        <w:tc>
          <w:tcPr>
            <w:tcW w:w="1440" w:type="dxa"/>
            <w:shd w:val="clear" w:color="auto" w:fill="auto"/>
            <w:noWrap/>
            <w:vAlign w:val="bottom"/>
            <w:hideMark/>
          </w:tcPr>
          <w:p w14:paraId="693E4AD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4,822,665</w:t>
            </w:r>
          </w:p>
        </w:tc>
        <w:tc>
          <w:tcPr>
            <w:tcW w:w="1440" w:type="dxa"/>
            <w:shd w:val="clear" w:color="auto" w:fill="auto"/>
            <w:noWrap/>
            <w:vAlign w:val="bottom"/>
            <w:hideMark/>
          </w:tcPr>
          <w:p w14:paraId="15C9412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4,839,854</w:t>
            </w:r>
          </w:p>
        </w:tc>
        <w:tc>
          <w:tcPr>
            <w:tcW w:w="1350" w:type="dxa"/>
            <w:shd w:val="clear" w:color="auto" w:fill="auto"/>
            <w:noWrap/>
            <w:vAlign w:val="bottom"/>
            <w:hideMark/>
          </w:tcPr>
          <w:p w14:paraId="64D5D12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4,850,712</w:t>
            </w:r>
          </w:p>
        </w:tc>
      </w:tr>
      <w:tr w:rsidR="00231552" w:rsidRPr="0081358C" w14:paraId="1F47CC24" w14:textId="77777777" w:rsidTr="00233D01">
        <w:trPr>
          <w:trHeight w:val="56"/>
          <w:jc w:val="center"/>
        </w:trPr>
        <w:tc>
          <w:tcPr>
            <w:tcW w:w="5125" w:type="dxa"/>
            <w:shd w:val="clear" w:color="auto" w:fill="auto"/>
            <w:noWrap/>
            <w:vAlign w:val="bottom"/>
            <w:hideMark/>
          </w:tcPr>
          <w:p w14:paraId="34E68B8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Retained earnings (accumulated deficit)</w:t>
            </w:r>
          </w:p>
        </w:tc>
        <w:tc>
          <w:tcPr>
            <w:tcW w:w="1440" w:type="dxa"/>
            <w:shd w:val="clear" w:color="auto" w:fill="auto"/>
            <w:noWrap/>
            <w:vAlign w:val="bottom"/>
            <w:hideMark/>
          </w:tcPr>
          <w:p w14:paraId="0B8386FF" w14:textId="3BF61C93"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5,241,210</w:t>
            </w:r>
          </w:p>
        </w:tc>
        <w:tc>
          <w:tcPr>
            <w:tcW w:w="1440" w:type="dxa"/>
            <w:shd w:val="clear" w:color="auto" w:fill="auto"/>
            <w:noWrap/>
            <w:vAlign w:val="bottom"/>
            <w:hideMark/>
          </w:tcPr>
          <w:p w14:paraId="4FDEAD04" w14:textId="6BB308AB"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5,237,157</w:t>
            </w:r>
          </w:p>
        </w:tc>
        <w:tc>
          <w:tcPr>
            <w:tcW w:w="1350" w:type="dxa"/>
            <w:shd w:val="clear" w:color="auto" w:fill="auto"/>
            <w:noWrap/>
            <w:vAlign w:val="bottom"/>
            <w:hideMark/>
          </w:tcPr>
          <w:p w14:paraId="2CA05E20" w14:textId="4E607D15"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4,282,471</w:t>
            </w:r>
          </w:p>
        </w:tc>
      </w:tr>
      <w:tr w:rsidR="00231552" w:rsidRPr="0081358C" w14:paraId="19B91055" w14:textId="77777777" w:rsidTr="00233D01">
        <w:trPr>
          <w:trHeight w:val="56"/>
          <w:jc w:val="center"/>
        </w:trPr>
        <w:tc>
          <w:tcPr>
            <w:tcW w:w="5125" w:type="dxa"/>
            <w:shd w:val="clear" w:color="auto" w:fill="auto"/>
            <w:noWrap/>
            <w:vAlign w:val="bottom"/>
            <w:hideMark/>
          </w:tcPr>
          <w:p w14:paraId="206F44B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Accumulated other comprehensive income (loss)</w:t>
            </w:r>
          </w:p>
        </w:tc>
        <w:tc>
          <w:tcPr>
            <w:tcW w:w="1440" w:type="dxa"/>
            <w:shd w:val="clear" w:color="auto" w:fill="auto"/>
            <w:noWrap/>
            <w:vAlign w:val="bottom"/>
            <w:hideMark/>
          </w:tcPr>
          <w:p w14:paraId="67ACE152" w14:textId="66AB7D4C"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47,781</w:t>
            </w:r>
          </w:p>
        </w:tc>
        <w:tc>
          <w:tcPr>
            <w:tcW w:w="1440" w:type="dxa"/>
            <w:shd w:val="clear" w:color="auto" w:fill="auto"/>
            <w:noWrap/>
            <w:vAlign w:val="bottom"/>
            <w:hideMark/>
          </w:tcPr>
          <w:p w14:paraId="6E4CFEBF" w14:textId="5BF2B150"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42,317</w:t>
            </w:r>
          </w:p>
        </w:tc>
        <w:tc>
          <w:tcPr>
            <w:tcW w:w="1350" w:type="dxa"/>
            <w:shd w:val="clear" w:color="auto" w:fill="auto"/>
            <w:noWrap/>
            <w:vAlign w:val="bottom"/>
            <w:hideMark/>
          </w:tcPr>
          <w:p w14:paraId="1AD5DE2C" w14:textId="088928B3" w:rsidR="00231552" w:rsidRPr="0081358C" w:rsidRDefault="00EA0101"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34,549</w:t>
            </w:r>
          </w:p>
        </w:tc>
      </w:tr>
      <w:tr w:rsidR="00231552" w:rsidRPr="0081358C" w14:paraId="05F44A19" w14:textId="77777777" w:rsidTr="00233D01">
        <w:trPr>
          <w:trHeight w:val="56"/>
          <w:jc w:val="center"/>
        </w:trPr>
        <w:tc>
          <w:tcPr>
            <w:tcW w:w="5125" w:type="dxa"/>
            <w:shd w:val="clear" w:color="auto" w:fill="auto"/>
            <w:noWrap/>
            <w:vAlign w:val="bottom"/>
            <w:hideMark/>
          </w:tcPr>
          <w:p w14:paraId="6BB4584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stockholders' equity (deficit)</w:t>
            </w:r>
          </w:p>
        </w:tc>
        <w:tc>
          <w:tcPr>
            <w:tcW w:w="1440" w:type="dxa"/>
            <w:shd w:val="clear" w:color="auto" w:fill="auto"/>
            <w:noWrap/>
            <w:vAlign w:val="bottom"/>
            <w:hideMark/>
          </w:tcPr>
          <w:p w14:paraId="00AAAB7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581,428</w:t>
            </w:r>
          </w:p>
        </w:tc>
        <w:tc>
          <w:tcPr>
            <w:tcW w:w="1440" w:type="dxa"/>
            <w:shd w:val="clear" w:color="auto" w:fill="auto"/>
            <w:noWrap/>
            <w:vAlign w:val="bottom"/>
            <w:hideMark/>
          </w:tcPr>
          <w:p w14:paraId="2E81368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614,070</w:t>
            </w:r>
          </w:p>
        </w:tc>
        <w:tc>
          <w:tcPr>
            <w:tcW w:w="1350" w:type="dxa"/>
            <w:shd w:val="clear" w:color="auto" w:fill="auto"/>
            <w:noWrap/>
            <w:vAlign w:val="bottom"/>
            <w:hideMark/>
          </w:tcPr>
          <w:p w14:paraId="2E1565E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1,601,010</w:t>
            </w:r>
          </w:p>
        </w:tc>
      </w:tr>
    </w:tbl>
    <w:p w14:paraId="1CB307FE" w14:textId="77777777" w:rsidR="00231552" w:rsidRPr="00F25B94" w:rsidRDefault="00231552" w:rsidP="002265A6">
      <w:pPr>
        <w:pStyle w:val="ExhibitText"/>
        <w:rPr>
          <w:sz w:val="18"/>
          <w:szCs w:val="18"/>
          <w:lang w:val="en-GB"/>
        </w:rPr>
      </w:pPr>
    </w:p>
    <w:p w14:paraId="5DE11C8A" w14:textId="6D0A298B" w:rsidR="00C72E20" w:rsidRDefault="00231552" w:rsidP="002265A6">
      <w:pPr>
        <w:pStyle w:val="Footnote"/>
        <w:rPr>
          <w:lang w:val="en-GB"/>
        </w:rPr>
      </w:pPr>
      <w:r w:rsidRPr="0081358C">
        <w:rPr>
          <w:lang w:val="en-GB"/>
        </w:rPr>
        <w:t xml:space="preserve">Source: </w:t>
      </w:r>
      <w:r w:rsidR="003E5CE5" w:rsidRPr="0081358C">
        <w:rPr>
          <w:lang w:val="en-GB"/>
        </w:rPr>
        <w:t xml:space="preserve">Rite Aid </w:t>
      </w:r>
      <w:r w:rsidR="00D20BB1">
        <w:rPr>
          <w:lang w:val="en-GB"/>
        </w:rPr>
        <w:t>Corporation</w:t>
      </w:r>
      <w:r w:rsidR="003E5CE5" w:rsidRPr="0081358C">
        <w:rPr>
          <w:lang w:val="en-GB"/>
        </w:rPr>
        <w:t>, “Company Financials</w:t>
      </w:r>
      <w:r w:rsidR="00587CCA">
        <w:rPr>
          <w:lang w:val="en-GB"/>
        </w:rPr>
        <w:t>,</w:t>
      </w:r>
      <w:r w:rsidR="003E5CE5" w:rsidRPr="0081358C">
        <w:rPr>
          <w:lang w:val="en-GB"/>
        </w:rPr>
        <w:t xml:space="preserve">” </w:t>
      </w:r>
      <w:r w:rsidRPr="0081358C">
        <w:rPr>
          <w:lang w:val="en-GB"/>
        </w:rPr>
        <w:t>Mergent</w:t>
      </w:r>
      <w:r w:rsidR="003E5CE5" w:rsidRPr="0081358C">
        <w:rPr>
          <w:lang w:val="en-GB"/>
        </w:rPr>
        <w:t xml:space="preserve"> Online</w:t>
      </w:r>
      <w:r w:rsidRPr="0081358C">
        <w:rPr>
          <w:lang w:val="en-GB"/>
        </w:rPr>
        <w:t>, accessed December 26, 2018</w:t>
      </w:r>
      <w:r w:rsidR="002265A6" w:rsidRPr="0081358C">
        <w:rPr>
          <w:lang w:val="en-GB"/>
        </w:rPr>
        <w:t>.</w:t>
      </w:r>
    </w:p>
    <w:p w14:paraId="39E89F06" w14:textId="05C795DD" w:rsidR="00F25B94" w:rsidRDefault="00F25B94" w:rsidP="002265A6">
      <w:pPr>
        <w:pStyle w:val="Footnote"/>
        <w:rPr>
          <w:sz w:val="12"/>
          <w:szCs w:val="12"/>
          <w:lang w:val="en-GB"/>
        </w:rPr>
      </w:pPr>
    </w:p>
    <w:p w14:paraId="54CCEAE4" w14:textId="77777777" w:rsidR="00F25B94" w:rsidRPr="00F25B94" w:rsidRDefault="00F25B94" w:rsidP="002265A6">
      <w:pPr>
        <w:pStyle w:val="Footnote"/>
        <w:rPr>
          <w:sz w:val="4"/>
          <w:szCs w:val="4"/>
          <w:lang w:val="en-GB"/>
        </w:rPr>
      </w:pPr>
    </w:p>
    <w:p w14:paraId="79C55FD3" w14:textId="6AB85CAC" w:rsidR="00231552" w:rsidRDefault="00231552" w:rsidP="006175EC">
      <w:pPr>
        <w:pStyle w:val="Footnote"/>
        <w:rPr>
          <w:b/>
          <w:lang w:val="en-GB"/>
        </w:rPr>
      </w:pPr>
      <w:r w:rsidRPr="0081358C">
        <w:rPr>
          <w:b/>
          <w:lang w:val="en-GB"/>
        </w:rPr>
        <w:br w:type="page"/>
      </w:r>
    </w:p>
    <w:p w14:paraId="3DC82BB8" w14:textId="7BFFD0AA" w:rsidR="006175EC" w:rsidRPr="0081358C" w:rsidRDefault="006175EC" w:rsidP="006175EC">
      <w:pPr>
        <w:pStyle w:val="ExhibitHeading"/>
        <w:rPr>
          <w:lang w:val="en-GB"/>
        </w:rPr>
      </w:pPr>
      <w:r>
        <w:rPr>
          <w:lang w:val="en-GB"/>
        </w:rPr>
        <w:lastRenderedPageBreak/>
        <w:t>Exhibit 4 (continued)</w:t>
      </w:r>
    </w:p>
    <w:p w14:paraId="23FA17AB" w14:textId="77777777" w:rsidR="00231552" w:rsidRPr="0081358C" w:rsidRDefault="00231552" w:rsidP="00885E0B">
      <w:pPr>
        <w:pStyle w:val="ExhibitText"/>
        <w:keepNext/>
        <w:rPr>
          <w:lang w:val="en-GB"/>
        </w:rPr>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40"/>
        <w:gridCol w:w="1496"/>
        <w:gridCol w:w="1350"/>
      </w:tblGrid>
      <w:tr w:rsidR="00231552" w:rsidRPr="0081358C" w14:paraId="0AF16CD9" w14:textId="77777777" w:rsidTr="00596187">
        <w:trPr>
          <w:trHeight w:val="80"/>
          <w:jc w:val="center"/>
        </w:trPr>
        <w:tc>
          <w:tcPr>
            <w:tcW w:w="5035" w:type="dxa"/>
            <w:shd w:val="clear" w:color="auto" w:fill="auto"/>
            <w:hideMark/>
          </w:tcPr>
          <w:p w14:paraId="4C6AB1E5" w14:textId="05179BEC" w:rsidR="00231552" w:rsidRPr="0081358C" w:rsidRDefault="00231552" w:rsidP="00885E0B">
            <w:pPr>
              <w:keepNext/>
              <w:rPr>
                <w:rFonts w:ascii="Arial" w:hAnsi="Arial" w:cs="Arial"/>
                <w:b/>
                <w:bCs/>
                <w:lang w:val="en-GB"/>
              </w:rPr>
            </w:pPr>
            <w:r w:rsidRPr="0081358C">
              <w:rPr>
                <w:rFonts w:ascii="Arial" w:hAnsi="Arial" w:cs="Arial"/>
                <w:b/>
                <w:bCs/>
                <w:lang w:val="en-GB"/>
              </w:rPr>
              <w:t>As Reported</w:t>
            </w:r>
            <w:r w:rsidR="003078DC" w:rsidRPr="0081358C">
              <w:rPr>
                <w:rFonts w:ascii="Arial" w:hAnsi="Arial" w:cs="Arial"/>
                <w:b/>
                <w:bCs/>
                <w:lang w:val="en-GB"/>
              </w:rPr>
              <w:t>—</w:t>
            </w:r>
            <w:r w:rsidRPr="0081358C">
              <w:rPr>
                <w:rFonts w:ascii="Arial" w:hAnsi="Arial" w:cs="Arial"/>
                <w:b/>
                <w:bCs/>
                <w:lang w:val="en-GB"/>
              </w:rPr>
              <w:t xml:space="preserve">Annual Income Statement </w:t>
            </w:r>
          </w:p>
        </w:tc>
        <w:tc>
          <w:tcPr>
            <w:tcW w:w="1440" w:type="dxa"/>
            <w:shd w:val="clear" w:color="auto" w:fill="auto"/>
            <w:noWrap/>
            <w:vAlign w:val="bottom"/>
            <w:hideMark/>
          </w:tcPr>
          <w:p w14:paraId="34376F91" w14:textId="77777777" w:rsidR="00231552" w:rsidRPr="0081358C" w:rsidRDefault="00231552" w:rsidP="00885E0B">
            <w:pPr>
              <w:keepNext/>
              <w:rPr>
                <w:rFonts w:ascii="Arial" w:hAnsi="Arial" w:cs="Arial"/>
                <w:b/>
                <w:bCs/>
                <w:lang w:val="en-GB"/>
              </w:rPr>
            </w:pPr>
          </w:p>
        </w:tc>
        <w:tc>
          <w:tcPr>
            <w:tcW w:w="1496" w:type="dxa"/>
            <w:shd w:val="clear" w:color="auto" w:fill="auto"/>
            <w:noWrap/>
            <w:vAlign w:val="bottom"/>
            <w:hideMark/>
          </w:tcPr>
          <w:p w14:paraId="4DBFCB31" w14:textId="77777777" w:rsidR="00231552" w:rsidRPr="0081358C" w:rsidRDefault="00231552" w:rsidP="00885E0B">
            <w:pPr>
              <w:keepNext/>
              <w:rPr>
                <w:rFonts w:ascii="Arial" w:hAnsi="Arial" w:cs="Arial"/>
                <w:lang w:val="en-GB"/>
              </w:rPr>
            </w:pPr>
          </w:p>
        </w:tc>
        <w:tc>
          <w:tcPr>
            <w:tcW w:w="1350" w:type="dxa"/>
            <w:shd w:val="clear" w:color="auto" w:fill="auto"/>
            <w:noWrap/>
            <w:vAlign w:val="bottom"/>
            <w:hideMark/>
          </w:tcPr>
          <w:p w14:paraId="51E2F582" w14:textId="77777777" w:rsidR="00231552" w:rsidRPr="0081358C" w:rsidRDefault="00231552" w:rsidP="00885E0B">
            <w:pPr>
              <w:keepNext/>
              <w:rPr>
                <w:rFonts w:ascii="Arial" w:hAnsi="Arial" w:cs="Arial"/>
                <w:lang w:val="en-GB"/>
              </w:rPr>
            </w:pPr>
          </w:p>
        </w:tc>
      </w:tr>
      <w:tr w:rsidR="00231552" w:rsidRPr="0081358C" w14:paraId="7240FC30" w14:textId="77777777" w:rsidTr="00596187">
        <w:trPr>
          <w:trHeight w:val="56"/>
          <w:jc w:val="center"/>
        </w:trPr>
        <w:tc>
          <w:tcPr>
            <w:tcW w:w="5035" w:type="dxa"/>
            <w:shd w:val="clear" w:color="auto" w:fill="auto"/>
            <w:noWrap/>
            <w:hideMark/>
          </w:tcPr>
          <w:p w14:paraId="6AE97488" w14:textId="77777777" w:rsidR="00231552" w:rsidRPr="0081358C" w:rsidRDefault="00231552" w:rsidP="00885E0B">
            <w:pPr>
              <w:keepNext/>
              <w:rPr>
                <w:rFonts w:ascii="Arial" w:hAnsi="Arial" w:cs="Arial"/>
                <w:lang w:val="en-GB"/>
              </w:rPr>
            </w:pPr>
          </w:p>
        </w:tc>
        <w:tc>
          <w:tcPr>
            <w:tcW w:w="1440" w:type="dxa"/>
            <w:shd w:val="clear" w:color="auto" w:fill="auto"/>
            <w:hideMark/>
          </w:tcPr>
          <w:p w14:paraId="19286BFC" w14:textId="77777777" w:rsidR="00231552" w:rsidRPr="0081358C" w:rsidRDefault="00231552" w:rsidP="00885E0B">
            <w:pPr>
              <w:keepNext/>
              <w:jc w:val="right"/>
              <w:rPr>
                <w:rFonts w:ascii="Arial" w:hAnsi="Arial" w:cs="Arial"/>
                <w:b/>
                <w:bCs/>
                <w:lang w:val="en-GB"/>
              </w:rPr>
            </w:pPr>
            <w:r w:rsidRPr="0081358C">
              <w:rPr>
                <w:rFonts w:ascii="Arial" w:hAnsi="Arial" w:cs="Arial"/>
                <w:b/>
                <w:bCs/>
                <w:lang w:val="en-GB"/>
              </w:rPr>
              <w:t>02/27/2016</w:t>
            </w:r>
          </w:p>
        </w:tc>
        <w:tc>
          <w:tcPr>
            <w:tcW w:w="1496" w:type="dxa"/>
            <w:shd w:val="clear" w:color="auto" w:fill="auto"/>
            <w:hideMark/>
          </w:tcPr>
          <w:p w14:paraId="3EC36FA6" w14:textId="77777777" w:rsidR="00231552" w:rsidRPr="0081358C" w:rsidRDefault="00231552" w:rsidP="00885E0B">
            <w:pPr>
              <w:keepNext/>
              <w:jc w:val="right"/>
              <w:rPr>
                <w:rFonts w:ascii="Arial" w:hAnsi="Arial" w:cs="Arial"/>
                <w:b/>
                <w:bCs/>
                <w:lang w:val="en-GB"/>
              </w:rPr>
            </w:pPr>
            <w:r w:rsidRPr="0081358C">
              <w:rPr>
                <w:rFonts w:ascii="Arial" w:hAnsi="Arial" w:cs="Arial"/>
                <w:b/>
                <w:bCs/>
                <w:lang w:val="en-GB"/>
              </w:rPr>
              <w:t>03/04/2017</w:t>
            </w:r>
          </w:p>
        </w:tc>
        <w:tc>
          <w:tcPr>
            <w:tcW w:w="1350" w:type="dxa"/>
            <w:shd w:val="clear" w:color="auto" w:fill="auto"/>
            <w:hideMark/>
          </w:tcPr>
          <w:p w14:paraId="6A9F099F" w14:textId="77777777" w:rsidR="00231552" w:rsidRPr="0081358C" w:rsidRDefault="00231552" w:rsidP="00885E0B">
            <w:pPr>
              <w:keepNext/>
              <w:jc w:val="right"/>
              <w:rPr>
                <w:rFonts w:ascii="Arial" w:hAnsi="Arial" w:cs="Arial"/>
                <w:b/>
                <w:bCs/>
                <w:lang w:val="en-GB"/>
              </w:rPr>
            </w:pPr>
            <w:r w:rsidRPr="0081358C">
              <w:rPr>
                <w:rFonts w:ascii="Arial" w:hAnsi="Arial" w:cs="Arial"/>
                <w:b/>
                <w:bCs/>
                <w:lang w:val="en-GB"/>
              </w:rPr>
              <w:t>03/03/2018</w:t>
            </w:r>
          </w:p>
        </w:tc>
      </w:tr>
      <w:tr w:rsidR="00231552" w:rsidRPr="0081358C" w14:paraId="27F21A2A" w14:textId="77777777" w:rsidTr="00596187">
        <w:trPr>
          <w:trHeight w:val="56"/>
          <w:jc w:val="center"/>
        </w:trPr>
        <w:tc>
          <w:tcPr>
            <w:tcW w:w="5035" w:type="dxa"/>
            <w:shd w:val="clear" w:color="auto" w:fill="auto"/>
            <w:noWrap/>
            <w:vAlign w:val="bottom"/>
            <w:hideMark/>
          </w:tcPr>
          <w:p w14:paraId="72EB9BCA" w14:textId="77777777" w:rsidR="00231552" w:rsidRPr="0081358C" w:rsidRDefault="00231552" w:rsidP="00885E0B">
            <w:pPr>
              <w:keepNext/>
              <w:rPr>
                <w:rFonts w:ascii="Arial" w:hAnsi="Arial" w:cs="Arial"/>
                <w:color w:val="000000"/>
                <w:lang w:val="en-GB"/>
              </w:rPr>
            </w:pPr>
            <w:r w:rsidRPr="0081358C">
              <w:rPr>
                <w:rFonts w:ascii="Arial" w:hAnsi="Arial" w:cs="Arial"/>
                <w:color w:val="000000"/>
                <w:lang w:val="en-GB"/>
              </w:rPr>
              <w:t>Revenues</w:t>
            </w:r>
          </w:p>
        </w:tc>
        <w:tc>
          <w:tcPr>
            <w:tcW w:w="1440" w:type="dxa"/>
            <w:shd w:val="clear" w:color="auto" w:fill="auto"/>
            <w:noWrap/>
            <w:vAlign w:val="bottom"/>
            <w:hideMark/>
          </w:tcPr>
          <w:p w14:paraId="53C49602"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30,736,657</w:t>
            </w:r>
          </w:p>
        </w:tc>
        <w:tc>
          <w:tcPr>
            <w:tcW w:w="1496" w:type="dxa"/>
            <w:shd w:val="clear" w:color="auto" w:fill="auto"/>
            <w:noWrap/>
            <w:vAlign w:val="bottom"/>
            <w:hideMark/>
          </w:tcPr>
          <w:p w14:paraId="37BBADDC"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32,845,073</w:t>
            </w:r>
          </w:p>
        </w:tc>
        <w:tc>
          <w:tcPr>
            <w:tcW w:w="1350" w:type="dxa"/>
            <w:shd w:val="clear" w:color="auto" w:fill="auto"/>
            <w:noWrap/>
            <w:vAlign w:val="bottom"/>
            <w:hideMark/>
          </w:tcPr>
          <w:p w14:paraId="36099050"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21,528,968</w:t>
            </w:r>
          </w:p>
        </w:tc>
      </w:tr>
      <w:tr w:rsidR="00231552" w:rsidRPr="0081358C" w14:paraId="31352EC5" w14:textId="77777777" w:rsidTr="00596187">
        <w:trPr>
          <w:trHeight w:val="56"/>
          <w:jc w:val="center"/>
        </w:trPr>
        <w:tc>
          <w:tcPr>
            <w:tcW w:w="5035" w:type="dxa"/>
            <w:shd w:val="clear" w:color="auto" w:fill="auto"/>
            <w:noWrap/>
            <w:vAlign w:val="bottom"/>
            <w:hideMark/>
          </w:tcPr>
          <w:p w14:paraId="0DE29394" w14:textId="77777777" w:rsidR="00231552" w:rsidRPr="0081358C" w:rsidRDefault="00231552" w:rsidP="00885E0B">
            <w:pPr>
              <w:keepNext/>
              <w:rPr>
                <w:rFonts w:ascii="Arial" w:hAnsi="Arial" w:cs="Arial"/>
                <w:color w:val="000000"/>
                <w:lang w:val="en-GB"/>
              </w:rPr>
            </w:pPr>
            <w:r w:rsidRPr="0081358C">
              <w:rPr>
                <w:rFonts w:ascii="Arial" w:hAnsi="Arial" w:cs="Arial"/>
                <w:color w:val="000000"/>
                <w:lang w:val="en-GB"/>
              </w:rPr>
              <w:t>Cost of goods sold</w:t>
            </w:r>
          </w:p>
        </w:tc>
        <w:tc>
          <w:tcPr>
            <w:tcW w:w="1440" w:type="dxa"/>
            <w:shd w:val="clear" w:color="auto" w:fill="auto"/>
            <w:noWrap/>
            <w:vAlign w:val="bottom"/>
            <w:hideMark/>
          </w:tcPr>
          <w:p w14:paraId="484451D5"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22,910,402</w:t>
            </w:r>
          </w:p>
        </w:tc>
        <w:tc>
          <w:tcPr>
            <w:tcW w:w="1496" w:type="dxa"/>
            <w:shd w:val="clear" w:color="auto" w:fill="auto"/>
            <w:noWrap/>
            <w:vAlign w:val="bottom"/>
            <w:hideMark/>
          </w:tcPr>
          <w:p w14:paraId="000433A5"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25,071,008</w:t>
            </w:r>
          </w:p>
        </w:tc>
        <w:tc>
          <w:tcPr>
            <w:tcW w:w="1350" w:type="dxa"/>
            <w:shd w:val="clear" w:color="auto" w:fill="auto"/>
            <w:noWrap/>
            <w:vAlign w:val="bottom"/>
            <w:hideMark/>
          </w:tcPr>
          <w:p w14:paraId="3C3DFD8F"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16,748,863</w:t>
            </w:r>
          </w:p>
        </w:tc>
      </w:tr>
      <w:tr w:rsidR="00231552" w:rsidRPr="0081358C" w14:paraId="1632CC8C" w14:textId="77777777" w:rsidTr="00596187">
        <w:trPr>
          <w:trHeight w:val="56"/>
          <w:jc w:val="center"/>
        </w:trPr>
        <w:tc>
          <w:tcPr>
            <w:tcW w:w="5035" w:type="dxa"/>
            <w:shd w:val="clear" w:color="auto" w:fill="auto"/>
            <w:noWrap/>
            <w:vAlign w:val="bottom"/>
            <w:hideMark/>
          </w:tcPr>
          <w:p w14:paraId="604FF868" w14:textId="77777777" w:rsidR="00231552" w:rsidRPr="0081358C" w:rsidRDefault="00231552" w:rsidP="00885E0B">
            <w:pPr>
              <w:keepNext/>
              <w:rPr>
                <w:rFonts w:ascii="Arial" w:hAnsi="Arial" w:cs="Arial"/>
                <w:color w:val="000000"/>
                <w:lang w:val="en-GB"/>
              </w:rPr>
            </w:pPr>
            <w:r w:rsidRPr="0081358C">
              <w:rPr>
                <w:rFonts w:ascii="Arial" w:hAnsi="Arial" w:cs="Arial"/>
                <w:color w:val="000000"/>
                <w:lang w:val="en-GB"/>
              </w:rPr>
              <w:t>Selling, general &amp; administrative expenses</w:t>
            </w:r>
          </w:p>
        </w:tc>
        <w:tc>
          <w:tcPr>
            <w:tcW w:w="1440" w:type="dxa"/>
            <w:shd w:val="clear" w:color="auto" w:fill="auto"/>
            <w:noWrap/>
            <w:vAlign w:val="bottom"/>
            <w:hideMark/>
          </w:tcPr>
          <w:p w14:paraId="76F99A80"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7,013,346</w:t>
            </w:r>
          </w:p>
        </w:tc>
        <w:tc>
          <w:tcPr>
            <w:tcW w:w="1496" w:type="dxa"/>
            <w:shd w:val="clear" w:color="auto" w:fill="auto"/>
            <w:noWrap/>
            <w:vAlign w:val="bottom"/>
            <w:hideMark/>
          </w:tcPr>
          <w:p w14:paraId="60A90FD7"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7,242,359</w:t>
            </w:r>
          </w:p>
        </w:tc>
        <w:tc>
          <w:tcPr>
            <w:tcW w:w="1350" w:type="dxa"/>
            <w:shd w:val="clear" w:color="auto" w:fill="auto"/>
            <w:noWrap/>
            <w:vAlign w:val="bottom"/>
            <w:hideMark/>
          </w:tcPr>
          <w:p w14:paraId="50D1A84F" w14:textId="77777777" w:rsidR="00231552" w:rsidRPr="0081358C" w:rsidRDefault="00231552" w:rsidP="00885E0B">
            <w:pPr>
              <w:keepNext/>
              <w:jc w:val="right"/>
              <w:rPr>
                <w:rFonts w:ascii="Arial" w:hAnsi="Arial" w:cs="Arial"/>
                <w:color w:val="000000"/>
                <w:lang w:val="en-GB"/>
              </w:rPr>
            </w:pPr>
            <w:r w:rsidRPr="0081358C">
              <w:rPr>
                <w:rFonts w:ascii="Arial" w:hAnsi="Arial" w:cs="Arial"/>
                <w:color w:val="000000"/>
                <w:lang w:val="en-GB"/>
              </w:rPr>
              <w:t>4,651,262</w:t>
            </w:r>
          </w:p>
        </w:tc>
      </w:tr>
      <w:tr w:rsidR="00231552" w:rsidRPr="0081358C" w14:paraId="2449ECC9" w14:textId="77777777" w:rsidTr="00596187">
        <w:trPr>
          <w:trHeight w:val="56"/>
          <w:jc w:val="center"/>
        </w:trPr>
        <w:tc>
          <w:tcPr>
            <w:tcW w:w="5035" w:type="dxa"/>
            <w:shd w:val="clear" w:color="auto" w:fill="auto"/>
            <w:noWrap/>
            <w:vAlign w:val="bottom"/>
            <w:hideMark/>
          </w:tcPr>
          <w:p w14:paraId="35DDD54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Lease termination &amp; impairment charges</w:t>
            </w:r>
          </w:p>
        </w:tc>
        <w:tc>
          <w:tcPr>
            <w:tcW w:w="1440" w:type="dxa"/>
            <w:shd w:val="clear" w:color="auto" w:fill="auto"/>
            <w:noWrap/>
            <w:vAlign w:val="bottom"/>
            <w:hideMark/>
          </w:tcPr>
          <w:p w14:paraId="1A4BC40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48,423</w:t>
            </w:r>
          </w:p>
        </w:tc>
        <w:tc>
          <w:tcPr>
            <w:tcW w:w="1496" w:type="dxa"/>
            <w:shd w:val="clear" w:color="auto" w:fill="auto"/>
            <w:noWrap/>
            <w:vAlign w:val="bottom"/>
            <w:hideMark/>
          </w:tcPr>
          <w:p w14:paraId="67AC4C6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55,294</w:t>
            </w:r>
          </w:p>
        </w:tc>
        <w:tc>
          <w:tcPr>
            <w:tcW w:w="1350" w:type="dxa"/>
            <w:shd w:val="clear" w:color="auto" w:fill="auto"/>
            <w:noWrap/>
            <w:vAlign w:val="bottom"/>
            <w:hideMark/>
          </w:tcPr>
          <w:p w14:paraId="57FD1CE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58,765</w:t>
            </w:r>
          </w:p>
        </w:tc>
      </w:tr>
      <w:tr w:rsidR="00231552" w:rsidRPr="0081358C" w14:paraId="371F8DE5" w14:textId="77777777" w:rsidTr="00596187">
        <w:trPr>
          <w:trHeight w:val="56"/>
          <w:jc w:val="center"/>
        </w:trPr>
        <w:tc>
          <w:tcPr>
            <w:tcW w:w="5035" w:type="dxa"/>
            <w:shd w:val="clear" w:color="auto" w:fill="auto"/>
            <w:noWrap/>
            <w:vAlign w:val="bottom"/>
            <w:hideMark/>
          </w:tcPr>
          <w:p w14:paraId="430D96F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Goodwill impairment</w:t>
            </w:r>
          </w:p>
        </w:tc>
        <w:tc>
          <w:tcPr>
            <w:tcW w:w="1440" w:type="dxa"/>
            <w:shd w:val="clear" w:color="auto" w:fill="auto"/>
            <w:noWrap/>
            <w:vAlign w:val="bottom"/>
            <w:hideMark/>
          </w:tcPr>
          <w:p w14:paraId="7B65413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7682EF3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1820A32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261,727</w:t>
            </w:r>
          </w:p>
        </w:tc>
      </w:tr>
      <w:tr w:rsidR="00231552" w:rsidRPr="0081358C" w14:paraId="50A255A0" w14:textId="77777777" w:rsidTr="00596187">
        <w:trPr>
          <w:trHeight w:val="56"/>
          <w:jc w:val="center"/>
        </w:trPr>
        <w:tc>
          <w:tcPr>
            <w:tcW w:w="5035" w:type="dxa"/>
            <w:shd w:val="clear" w:color="auto" w:fill="auto"/>
            <w:noWrap/>
            <w:vAlign w:val="bottom"/>
            <w:hideMark/>
          </w:tcPr>
          <w:p w14:paraId="509360A8"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Interest expense</w:t>
            </w:r>
          </w:p>
        </w:tc>
        <w:tc>
          <w:tcPr>
            <w:tcW w:w="1440" w:type="dxa"/>
            <w:shd w:val="clear" w:color="auto" w:fill="auto"/>
            <w:noWrap/>
            <w:vAlign w:val="bottom"/>
            <w:hideMark/>
          </w:tcPr>
          <w:p w14:paraId="40EFFE6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449,574</w:t>
            </w:r>
          </w:p>
        </w:tc>
        <w:tc>
          <w:tcPr>
            <w:tcW w:w="1496" w:type="dxa"/>
            <w:shd w:val="clear" w:color="auto" w:fill="auto"/>
            <w:noWrap/>
            <w:vAlign w:val="bottom"/>
            <w:hideMark/>
          </w:tcPr>
          <w:p w14:paraId="51FF621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431,991</w:t>
            </w:r>
          </w:p>
        </w:tc>
        <w:tc>
          <w:tcPr>
            <w:tcW w:w="1350" w:type="dxa"/>
            <w:shd w:val="clear" w:color="auto" w:fill="auto"/>
            <w:noWrap/>
            <w:vAlign w:val="bottom"/>
            <w:hideMark/>
          </w:tcPr>
          <w:p w14:paraId="4D6256A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202,768</w:t>
            </w:r>
          </w:p>
        </w:tc>
      </w:tr>
      <w:tr w:rsidR="00231552" w:rsidRPr="0081358C" w14:paraId="563006B0" w14:textId="77777777" w:rsidTr="00596187">
        <w:trPr>
          <w:trHeight w:val="56"/>
          <w:jc w:val="center"/>
        </w:trPr>
        <w:tc>
          <w:tcPr>
            <w:tcW w:w="5035" w:type="dxa"/>
            <w:shd w:val="clear" w:color="auto" w:fill="auto"/>
            <w:noWrap/>
            <w:vAlign w:val="bottom"/>
            <w:hideMark/>
          </w:tcPr>
          <w:p w14:paraId="7EBBAD9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Loss (gain) on debt retirements, net</w:t>
            </w:r>
          </w:p>
        </w:tc>
        <w:tc>
          <w:tcPr>
            <w:tcW w:w="1440" w:type="dxa"/>
            <w:shd w:val="clear" w:color="auto" w:fill="auto"/>
            <w:noWrap/>
            <w:vAlign w:val="bottom"/>
            <w:hideMark/>
          </w:tcPr>
          <w:p w14:paraId="01008615" w14:textId="0E1DB3C4" w:rsidR="00231552" w:rsidRPr="0081358C" w:rsidRDefault="002F266F"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33,205</w:t>
            </w:r>
          </w:p>
        </w:tc>
        <w:tc>
          <w:tcPr>
            <w:tcW w:w="1496" w:type="dxa"/>
            <w:shd w:val="clear" w:color="auto" w:fill="auto"/>
            <w:noWrap/>
            <w:vAlign w:val="bottom"/>
            <w:hideMark/>
          </w:tcPr>
          <w:p w14:paraId="0C24748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6D97088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3B3373E2" w14:textId="77777777" w:rsidTr="00596187">
        <w:trPr>
          <w:trHeight w:val="56"/>
          <w:jc w:val="center"/>
        </w:trPr>
        <w:tc>
          <w:tcPr>
            <w:tcW w:w="5035" w:type="dxa"/>
            <w:shd w:val="clear" w:color="auto" w:fill="auto"/>
            <w:noWrap/>
            <w:vAlign w:val="bottom"/>
            <w:hideMark/>
          </w:tcPr>
          <w:p w14:paraId="0B7D811B" w14:textId="1E7FFECD" w:rsidR="00231552" w:rsidRPr="0081358C" w:rsidRDefault="00231552" w:rsidP="00802A3C">
            <w:pPr>
              <w:rPr>
                <w:rFonts w:ascii="Arial" w:hAnsi="Arial" w:cs="Arial"/>
                <w:color w:val="000000"/>
                <w:lang w:val="en-GB"/>
              </w:rPr>
            </w:pPr>
            <w:r w:rsidRPr="0081358C">
              <w:rPr>
                <w:rFonts w:ascii="Arial" w:hAnsi="Arial" w:cs="Arial"/>
                <w:color w:val="000000"/>
                <w:lang w:val="en-GB"/>
              </w:rPr>
              <w:t xml:space="preserve">Walgreens Boots Alliance </w:t>
            </w:r>
            <w:r w:rsidR="004C2A93">
              <w:rPr>
                <w:rFonts w:ascii="Arial" w:hAnsi="Arial" w:cs="Arial"/>
                <w:color w:val="000000"/>
                <w:lang w:val="en-GB"/>
              </w:rPr>
              <w:t xml:space="preserve">Inc. </w:t>
            </w:r>
            <w:r w:rsidRPr="0081358C">
              <w:rPr>
                <w:rFonts w:ascii="Arial" w:hAnsi="Arial" w:cs="Arial"/>
                <w:color w:val="000000"/>
                <w:lang w:val="en-GB"/>
              </w:rPr>
              <w:t>merger termination fee</w:t>
            </w:r>
          </w:p>
        </w:tc>
        <w:tc>
          <w:tcPr>
            <w:tcW w:w="1440" w:type="dxa"/>
            <w:shd w:val="clear" w:color="auto" w:fill="auto"/>
            <w:noWrap/>
            <w:vAlign w:val="bottom"/>
            <w:hideMark/>
          </w:tcPr>
          <w:p w14:paraId="68CEA34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5A59C22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407A9F0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325,000</w:t>
            </w:r>
          </w:p>
        </w:tc>
      </w:tr>
      <w:tr w:rsidR="00231552" w:rsidRPr="0081358C" w14:paraId="31F92189" w14:textId="77777777" w:rsidTr="00596187">
        <w:trPr>
          <w:trHeight w:val="56"/>
          <w:jc w:val="center"/>
        </w:trPr>
        <w:tc>
          <w:tcPr>
            <w:tcW w:w="5035" w:type="dxa"/>
            <w:shd w:val="clear" w:color="auto" w:fill="auto"/>
            <w:noWrap/>
            <w:vAlign w:val="bottom"/>
            <w:hideMark/>
          </w:tcPr>
          <w:p w14:paraId="3FF1829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Gain (loss) on sale of assets, net</w:t>
            </w:r>
          </w:p>
        </w:tc>
        <w:tc>
          <w:tcPr>
            <w:tcW w:w="1440" w:type="dxa"/>
            <w:shd w:val="clear" w:color="auto" w:fill="auto"/>
            <w:noWrap/>
            <w:vAlign w:val="bottom"/>
            <w:hideMark/>
          </w:tcPr>
          <w:p w14:paraId="2F2C8EE3" w14:textId="248622E6" w:rsidR="00231552" w:rsidRPr="0081358C" w:rsidRDefault="002F266F"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3,303</w:t>
            </w:r>
          </w:p>
        </w:tc>
        <w:tc>
          <w:tcPr>
            <w:tcW w:w="1496" w:type="dxa"/>
            <w:shd w:val="clear" w:color="auto" w:fill="auto"/>
            <w:noWrap/>
            <w:vAlign w:val="bottom"/>
            <w:hideMark/>
          </w:tcPr>
          <w:p w14:paraId="5B7269B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4,024</w:t>
            </w:r>
          </w:p>
        </w:tc>
        <w:tc>
          <w:tcPr>
            <w:tcW w:w="1350" w:type="dxa"/>
            <w:shd w:val="clear" w:color="auto" w:fill="auto"/>
            <w:noWrap/>
            <w:vAlign w:val="bottom"/>
            <w:hideMark/>
          </w:tcPr>
          <w:p w14:paraId="4F4F583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25,872</w:t>
            </w:r>
          </w:p>
        </w:tc>
      </w:tr>
      <w:tr w:rsidR="00231552" w:rsidRPr="0081358C" w14:paraId="79958BA5" w14:textId="77777777" w:rsidTr="00596187">
        <w:trPr>
          <w:trHeight w:val="56"/>
          <w:jc w:val="center"/>
        </w:trPr>
        <w:tc>
          <w:tcPr>
            <w:tcW w:w="5035" w:type="dxa"/>
            <w:shd w:val="clear" w:color="auto" w:fill="auto"/>
            <w:noWrap/>
            <w:vAlign w:val="bottom"/>
            <w:hideMark/>
          </w:tcPr>
          <w:p w14:paraId="3D88448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costs &amp; expenses</w:t>
            </w:r>
          </w:p>
        </w:tc>
        <w:tc>
          <w:tcPr>
            <w:tcW w:w="1440" w:type="dxa"/>
            <w:shd w:val="clear" w:color="auto" w:fill="auto"/>
            <w:noWrap/>
            <w:vAlign w:val="bottom"/>
            <w:hideMark/>
          </w:tcPr>
          <w:p w14:paraId="2FBA055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30,458,253</w:t>
            </w:r>
          </w:p>
        </w:tc>
        <w:tc>
          <w:tcPr>
            <w:tcW w:w="1496" w:type="dxa"/>
            <w:shd w:val="clear" w:color="auto" w:fill="auto"/>
            <w:noWrap/>
            <w:vAlign w:val="bottom"/>
            <w:hideMark/>
          </w:tcPr>
          <w:p w14:paraId="0E6C0F6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32,796,628</w:t>
            </w:r>
          </w:p>
        </w:tc>
        <w:tc>
          <w:tcPr>
            <w:tcW w:w="1350" w:type="dxa"/>
            <w:shd w:val="clear" w:color="auto" w:fill="auto"/>
            <w:noWrap/>
            <w:vAlign w:val="bottom"/>
            <w:hideMark/>
          </w:tcPr>
          <w:p w14:paraId="6297EE1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21,572,513</w:t>
            </w:r>
          </w:p>
        </w:tc>
      </w:tr>
      <w:tr w:rsidR="00231552" w:rsidRPr="0081358C" w14:paraId="29AA3BB4" w14:textId="77777777" w:rsidTr="00596187">
        <w:trPr>
          <w:trHeight w:val="56"/>
          <w:jc w:val="center"/>
        </w:trPr>
        <w:tc>
          <w:tcPr>
            <w:tcW w:w="5035" w:type="dxa"/>
            <w:shd w:val="clear" w:color="auto" w:fill="auto"/>
            <w:noWrap/>
            <w:vAlign w:val="bottom"/>
            <w:hideMark/>
          </w:tcPr>
          <w:p w14:paraId="791B27F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Income (loss) from continuing operations before income taxes</w:t>
            </w:r>
          </w:p>
        </w:tc>
        <w:tc>
          <w:tcPr>
            <w:tcW w:w="1440" w:type="dxa"/>
            <w:shd w:val="clear" w:color="auto" w:fill="auto"/>
            <w:noWrap/>
            <w:vAlign w:val="bottom"/>
            <w:hideMark/>
          </w:tcPr>
          <w:p w14:paraId="21D9CFE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278,404</w:t>
            </w:r>
          </w:p>
        </w:tc>
        <w:tc>
          <w:tcPr>
            <w:tcW w:w="1496" w:type="dxa"/>
            <w:shd w:val="clear" w:color="auto" w:fill="auto"/>
            <w:noWrap/>
            <w:vAlign w:val="bottom"/>
            <w:hideMark/>
          </w:tcPr>
          <w:p w14:paraId="3C08C2C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48,445</w:t>
            </w:r>
          </w:p>
        </w:tc>
        <w:tc>
          <w:tcPr>
            <w:tcW w:w="1350" w:type="dxa"/>
            <w:shd w:val="clear" w:color="auto" w:fill="auto"/>
            <w:noWrap/>
            <w:vAlign w:val="bottom"/>
            <w:hideMark/>
          </w:tcPr>
          <w:p w14:paraId="3725368B" w14:textId="48F589FA" w:rsidR="00231552" w:rsidRPr="0081358C" w:rsidRDefault="002F266F"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43,545</w:t>
            </w:r>
          </w:p>
        </w:tc>
      </w:tr>
      <w:tr w:rsidR="00231552" w:rsidRPr="0081358C" w14:paraId="734C3BB0" w14:textId="77777777" w:rsidTr="00596187">
        <w:trPr>
          <w:trHeight w:val="56"/>
          <w:jc w:val="center"/>
        </w:trPr>
        <w:tc>
          <w:tcPr>
            <w:tcW w:w="5035" w:type="dxa"/>
            <w:shd w:val="clear" w:color="auto" w:fill="auto"/>
            <w:noWrap/>
            <w:vAlign w:val="bottom"/>
            <w:hideMark/>
          </w:tcPr>
          <w:p w14:paraId="02C12DA1" w14:textId="77777777" w:rsidR="00231552" w:rsidRPr="0081358C" w:rsidRDefault="00231552" w:rsidP="00802A3C">
            <w:pPr>
              <w:jc w:val="right"/>
              <w:rPr>
                <w:rFonts w:ascii="Arial" w:hAnsi="Arial" w:cs="Arial"/>
                <w:color w:val="000000"/>
                <w:lang w:val="en-GB"/>
              </w:rPr>
            </w:pPr>
          </w:p>
        </w:tc>
        <w:tc>
          <w:tcPr>
            <w:tcW w:w="1440" w:type="dxa"/>
            <w:shd w:val="clear" w:color="auto" w:fill="auto"/>
            <w:noWrap/>
            <w:vAlign w:val="bottom"/>
            <w:hideMark/>
          </w:tcPr>
          <w:p w14:paraId="480026AB" w14:textId="77777777" w:rsidR="00231552" w:rsidRPr="0081358C" w:rsidRDefault="00231552" w:rsidP="00802A3C">
            <w:pPr>
              <w:rPr>
                <w:rFonts w:ascii="Arial" w:hAnsi="Arial" w:cs="Arial"/>
                <w:lang w:val="en-GB"/>
              </w:rPr>
            </w:pPr>
          </w:p>
        </w:tc>
        <w:tc>
          <w:tcPr>
            <w:tcW w:w="1496" w:type="dxa"/>
            <w:shd w:val="clear" w:color="auto" w:fill="auto"/>
            <w:noWrap/>
            <w:vAlign w:val="bottom"/>
            <w:hideMark/>
          </w:tcPr>
          <w:p w14:paraId="48D85C45" w14:textId="77777777" w:rsidR="00231552" w:rsidRPr="0081358C" w:rsidRDefault="00231552" w:rsidP="00802A3C">
            <w:pPr>
              <w:jc w:val="right"/>
              <w:rPr>
                <w:rFonts w:ascii="Arial" w:hAnsi="Arial" w:cs="Arial"/>
                <w:lang w:val="en-GB"/>
              </w:rPr>
            </w:pPr>
          </w:p>
        </w:tc>
        <w:tc>
          <w:tcPr>
            <w:tcW w:w="1350" w:type="dxa"/>
            <w:shd w:val="clear" w:color="auto" w:fill="auto"/>
            <w:noWrap/>
            <w:vAlign w:val="bottom"/>
            <w:hideMark/>
          </w:tcPr>
          <w:p w14:paraId="2F588DFF" w14:textId="77777777" w:rsidR="00231552" w:rsidRPr="0081358C" w:rsidRDefault="00231552" w:rsidP="00802A3C">
            <w:pPr>
              <w:jc w:val="right"/>
              <w:rPr>
                <w:rFonts w:ascii="Arial" w:hAnsi="Arial" w:cs="Arial"/>
                <w:lang w:val="en-GB"/>
              </w:rPr>
            </w:pPr>
          </w:p>
        </w:tc>
      </w:tr>
      <w:tr w:rsidR="00231552" w:rsidRPr="0081358C" w14:paraId="08F61C93" w14:textId="77777777" w:rsidTr="00596187">
        <w:trPr>
          <w:trHeight w:val="56"/>
          <w:jc w:val="center"/>
        </w:trPr>
        <w:tc>
          <w:tcPr>
            <w:tcW w:w="5035" w:type="dxa"/>
            <w:shd w:val="clear" w:color="auto" w:fill="auto"/>
            <w:noWrap/>
            <w:vAlign w:val="bottom"/>
            <w:hideMark/>
          </w:tcPr>
          <w:p w14:paraId="4E9AB6C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Income tax expense (benefit)</w:t>
            </w:r>
          </w:p>
        </w:tc>
        <w:tc>
          <w:tcPr>
            <w:tcW w:w="1440" w:type="dxa"/>
            <w:shd w:val="clear" w:color="auto" w:fill="auto"/>
            <w:noWrap/>
            <w:vAlign w:val="bottom"/>
            <w:hideMark/>
          </w:tcPr>
          <w:p w14:paraId="206333E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112,939</w:t>
            </w:r>
          </w:p>
        </w:tc>
        <w:tc>
          <w:tcPr>
            <w:tcW w:w="1496" w:type="dxa"/>
            <w:shd w:val="clear" w:color="auto" w:fill="auto"/>
            <w:noWrap/>
            <w:vAlign w:val="bottom"/>
            <w:hideMark/>
          </w:tcPr>
          <w:p w14:paraId="18CC156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44,392</w:t>
            </w:r>
          </w:p>
        </w:tc>
        <w:tc>
          <w:tcPr>
            <w:tcW w:w="1350" w:type="dxa"/>
            <w:shd w:val="clear" w:color="auto" w:fill="auto"/>
            <w:noWrap/>
            <w:vAlign w:val="bottom"/>
            <w:hideMark/>
          </w:tcPr>
          <w:p w14:paraId="685E692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305,987</w:t>
            </w:r>
          </w:p>
        </w:tc>
      </w:tr>
      <w:tr w:rsidR="00231552" w:rsidRPr="0081358C" w14:paraId="6AEE0E57" w14:textId="77777777" w:rsidTr="00596187">
        <w:trPr>
          <w:trHeight w:val="56"/>
          <w:jc w:val="center"/>
        </w:trPr>
        <w:tc>
          <w:tcPr>
            <w:tcW w:w="5035" w:type="dxa"/>
            <w:shd w:val="clear" w:color="auto" w:fill="auto"/>
            <w:noWrap/>
            <w:vAlign w:val="bottom"/>
            <w:hideMark/>
          </w:tcPr>
          <w:p w14:paraId="64B2E77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 from continuing operations</w:t>
            </w:r>
          </w:p>
        </w:tc>
        <w:tc>
          <w:tcPr>
            <w:tcW w:w="1440" w:type="dxa"/>
            <w:shd w:val="clear" w:color="auto" w:fill="auto"/>
            <w:noWrap/>
            <w:vAlign w:val="bottom"/>
            <w:hideMark/>
          </w:tcPr>
          <w:p w14:paraId="3E6716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13D23FA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03E1079F" w14:textId="0EBB0D0C" w:rsidR="00231552" w:rsidRPr="0081358C" w:rsidRDefault="002F266F"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349,532</w:t>
            </w:r>
          </w:p>
        </w:tc>
      </w:tr>
      <w:tr w:rsidR="00231552" w:rsidRPr="0081358C" w14:paraId="65766C7D" w14:textId="77777777" w:rsidTr="00596187">
        <w:trPr>
          <w:trHeight w:val="56"/>
          <w:jc w:val="center"/>
        </w:trPr>
        <w:tc>
          <w:tcPr>
            <w:tcW w:w="5035" w:type="dxa"/>
            <w:shd w:val="clear" w:color="auto" w:fill="auto"/>
            <w:noWrap/>
            <w:vAlign w:val="bottom"/>
            <w:hideMark/>
          </w:tcPr>
          <w:p w14:paraId="49A9068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 from discontinued operations, net of tax</w:t>
            </w:r>
          </w:p>
        </w:tc>
        <w:tc>
          <w:tcPr>
            <w:tcW w:w="1440" w:type="dxa"/>
            <w:shd w:val="clear" w:color="auto" w:fill="auto"/>
            <w:noWrap/>
            <w:vAlign w:val="bottom"/>
            <w:hideMark/>
          </w:tcPr>
          <w:p w14:paraId="746D659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3DFB3F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5808D23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1,293,002</w:t>
            </w:r>
          </w:p>
        </w:tc>
      </w:tr>
      <w:tr w:rsidR="00231552" w:rsidRPr="0081358C" w14:paraId="5345E471" w14:textId="77777777" w:rsidTr="00596187">
        <w:trPr>
          <w:trHeight w:val="56"/>
          <w:jc w:val="center"/>
        </w:trPr>
        <w:tc>
          <w:tcPr>
            <w:tcW w:w="5035" w:type="dxa"/>
            <w:shd w:val="clear" w:color="auto" w:fill="auto"/>
            <w:noWrap/>
            <w:vAlign w:val="bottom"/>
            <w:hideMark/>
          </w:tcPr>
          <w:p w14:paraId="0B2CDAB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w:t>
            </w:r>
          </w:p>
        </w:tc>
        <w:tc>
          <w:tcPr>
            <w:tcW w:w="1440" w:type="dxa"/>
            <w:shd w:val="clear" w:color="auto" w:fill="auto"/>
            <w:noWrap/>
            <w:vAlign w:val="bottom"/>
            <w:hideMark/>
          </w:tcPr>
          <w:p w14:paraId="52CE85A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165,465</w:t>
            </w:r>
          </w:p>
        </w:tc>
        <w:tc>
          <w:tcPr>
            <w:tcW w:w="1496" w:type="dxa"/>
            <w:shd w:val="clear" w:color="auto" w:fill="auto"/>
            <w:noWrap/>
            <w:vAlign w:val="bottom"/>
            <w:hideMark/>
          </w:tcPr>
          <w:p w14:paraId="57E9365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4,053</w:t>
            </w:r>
          </w:p>
        </w:tc>
        <w:tc>
          <w:tcPr>
            <w:tcW w:w="1350" w:type="dxa"/>
            <w:shd w:val="clear" w:color="auto" w:fill="auto"/>
            <w:noWrap/>
            <w:vAlign w:val="bottom"/>
            <w:hideMark/>
          </w:tcPr>
          <w:p w14:paraId="28D6CB6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943,470</w:t>
            </w:r>
          </w:p>
        </w:tc>
      </w:tr>
      <w:tr w:rsidR="00231552" w:rsidRPr="0081358C" w14:paraId="2012E630" w14:textId="77777777" w:rsidTr="00596187">
        <w:trPr>
          <w:trHeight w:val="56"/>
          <w:jc w:val="center"/>
        </w:trPr>
        <w:tc>
          <w:tcPr>
            <w:tcW w:w="5035" w:type="dxa"/>
            <w:shd w:val="clear" w:color="auto" w:fill="auto"/>
            <w:noWrap/>
            <w:vAlign w:val="bottom"/>
            <w:hideMark/>
          </w:tcPr>
          <w:p w14:paraId="227A6084" w14:textId="75C55664" w:rsidR="00231552" w:rsidRPr="0081358C" w:rsidRDefault="00231552" w:rsidP="00802A3C">
            <w:pPr>
              <w:rPr>
                <w:rFonts w:ascii="Arial" w:hAnsi="Arial" w:cs="Arial"/>
                <w:color w:val="000000"/>
                <w:lang w:val="en-GB"/>
              </w:rPr>
            </w:pPr>
            <w:r w:rsidRPr="0081358C">
              <w:rPr>
                <w:rFonts w:ascii="Arial" w:hAnsi="Arial" w:cs="Arial"/>
                <w:color w:val="000000"/>
                <w:lang w:val="en-GB"/>
              </w:rPr>
              <w:t>Weighted average shares outstanding</w:t>
            </w:r>
            <w:r w:rsidR="003078DC" w:rsidRPr="0081358C">
              <w:rPr>
                <w:rFonts w:ascii="Arial" w:hAnsi="Arial" w:cs="Arial"/>
                <w:color w:val="000000"/>
                <w:lang w:val="en-GB"/>
              </w:rPr>
              <w:t>—</w:t>
            </w:r>
            <w:r w:rsidRPr="0081358C">
              <w:rPr>
                <w:rFonts w:ascii="Arial" w:hAnsi="Arial" w:cs="Arial"/>
                <w:color w:val="000000"/>
                <w:lang w:val="en-GB"/>
              </w:rPr>
              <w:t>diluted</w:t>
            </w:r>
          </w:p>
        </w:tc>
        <w:tc>
          <w:tcPr>
            <w:tcW w:w="1440" w:type="dxa"/>
            <w:shd w:val="clear" w:color="auto" w:fill="auto"/>
            <w:noWrap/>
            <w:vAlign w:val="bottom"/>
            <w:hideMark/>
          </w:tcPr>
          <w:p w14:paraId="4BD561D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1,042,362</w:t>
            </w:r>
          </w:p>
        </w:tc>
        <w:tc>
          <w:tcPr>
            <w:tcW w:w="1496" w:type="dxa"/>
            <w:shd w:val="clear" w:color="auto" w:fill="auto"/>
            <w:noWrap/>
            <w:vAlign w:val="bottom"/>
            <w:hideMark/>
          </w:tcPr>
          <w:p w14:paraId="5418918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1,060,826</w:t>
            </w:r>
          </w:p>
        </w:tc>
        <w:tc>
          <w:tcPr>
            <w:tcW w:w="1350" w:type="dxa"/>
            <w:shd w:val="clear" w:color="auto" w:fill="auto"/>
            <w:noWrap/>
            <w:vAlign w:val="bottom"/>
            <w:hideMark/>
          </w:tcPr>
          <w:p w14:paraId="4D931ED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1,049,628</w:t>
            </w:r>
          </w:p>
        </w:tc>
      </w:tr>
      <w:tr w:rsidR="00231552" w:rsidRPr="0081358C" w14:paraId="6ED1475D" w14:textId="77777777" w:rsidTr="00596187">
        <w:trPr>
          <w:trHeight w:val="56"/>
          <w:jc w:val="center"/>
        </w:trPr>
        <w:tc>
          <w:tcPr>
            <w:tcW w:w="5035" w:type="dxa"/>
            <w:shd w:val="clear" w:color="auto" w:fill="auto"/>
            <w:noWrap/>
            <w:vAlign w:val="bottom"/>
            <w:hideMark/>
          </w:tcPr>
          <w:p w14:paraId="10158F3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Total number of employees</w:t>
            </w:r>
          </w:p>
        </w:tc>
        <w:tc>
          <w:tcPr>
            <w:tcW w:w="1440" w:type="dxa"/>
            <w:shd w:val="clear" w:color="auto" w:fill="auto"/>
            <w:noWrap/>
            <w:vAlign w:val="bottom"/>
            <w:hideMark/>
          </w:tcPr>
          <w:p w14:paraId="2624DBCC" w14:textId="7C7A04BE"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88</w:t>
            </w:r>
            <w:r w:rsidR="002F266F">
              <w:rPr>
                <w:rFonts w:ascii="Arial" w:hAnsi="Arial" w:cs="Arial"/>
                <w:color w:val="000000"/>
                <w:lang w:val="en-GB"/>
              </w:rPr>
              <w:t>,</w:t>
            </w:r>
            <w:r w:rsidRPr="0081358C">
              <w:rPr>
                <w:rFonts w:ascii="Arial" w:hAnsi="Arial" w:cs="Arial"/>
                <w:color w:val="000000"/>
                <w:lang w:val="en-GB"/>
              </w:rPr>
              <w:t>000</w:t>
            </w:r>
          </w:p>
        </w:tc>
        <w:tc>
          <w:tcPr>
            <w:tcW w:w="1496" w:type="dxa"/>
            <w:shd w:val="clear" w:color="auto" w:fill="auto"/>
            <w:noWrap/>
            <w:vAlign w:val="bottom"/>
            <w:hideMark/>
          </w:tcPr>
          <w:p w14:paraId="6F10E345" w14:textId="54254340"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87</w:t>
            </w:r>
            <w:r w:rsidR="002F266F">
              <w:rPr>
                <w:rFonts w:ascii="Arial" w:hAnsi="Arial" w:cs="Arial"/>
                <w:color w:val="000000"/>
                <w:lang w:val="en-GB"/>
              </w:rPr>
              <w:t>,</w:t>
            </w:r>
            <w:r w:rsidRPr="0081358C">
              <w:rPr>
                <w:rFonts w:ascii="Arial" w:hAnsi="Arial" w:cs="Arial"/>
                <w:color w:val="000000"/>
                <w:lang w:val="en-GB"/>
              </w:rPr>
              <w:t>000</w:t>
            </w:r>
          </w:p>
        </w:tc>
        <w:tc>
          <w:tcPr>
            <w:tcW w:w="1350" w:type="dxa"/>
            <w:shd w:val="clear" w:color="auto" w:fill="auto"/>
            <w:noWrap/>
            <w:vAlign w:val="bottom"/>
            <w:hideMark/>
          </w:tcPr>
          <w:p w14:paraId="75EBB6D0" w14:textId="658AADE6"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59</w:t>
            </w:r>
            <w:r w:rsidR="002F266F">
              <w:rPr>
                <w:rFonts w:ascii="Arial" w:hAnsi="Arial" w:cs="Arial"/>
                <w:color w:val="000000"/>
                <w:lang w:val="en-GB"/>
              </w:rPr>
              <w:t>,</w:t>
            </w:r>
            <w:r w:rsidRPr="0081358C">
              <w:rPr>
                <w:rFonts w:ascii="Arial" w:hAnsi="Arial" w:cs="Arial"/>
                <w:color w:val="000000"/>
                <w:lang w:val="en-GB"/>
              </w:rPr>
              <w:t>000</w:t>
            </w:r>
          </w:p>
        </w:tc>
      </w:tr>
      <w:tr w:rsidR="00231552" w:rsidRPr="0081358C" w14:paraId="79EF43C9" w14:textId="77777777" w:rsidTr="00596187">
        <w:trPr>
          <w:trHeight w:val="56"/>
          <w:jc w:val="center"/>
        </w:trPr>
        <w:tc>
          <w:tcPr>
            <w:tcW w:w="5035" w:type="dxa"/>
            <w:shd w:val="clear" w:color="auto" w:fill="auto"/>
            <w:noWrap/>
            <w:vAlign w:val="bottom"/>
            <w:hideMark/>
          </w:tcPr>
          <w:p w14:paraId="6DABBA1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Number of common stockholders</w:t>
            </w:r>
          </w:p>
        </w:tc>
        <w:tc>
          <w:tcPr>
            <w:tcW w:w="1440" w:type="dxa"/>
            <w:shd w:val="clear" w:color="auto" w:fill="auto"/>
            <w:noWrap/>
            <w:vAlign w:val="bottom"/>
            <w:hideMark/>
          </w:tcPr>
          <w:p w14:paraId="700ECF35" w14:textId="7014E7E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19</w:t>
            </w:r>
            <w:r w:rsidR="002F266F">
              <w:rPr>
                <w:rFonts w:ascii="Arial" w:hAnsi="Arial" w:cs="Arial"/>
                <w:color w:val="000000"/>
                <w:lang w:val="en-GB"/>
              </w:rPr>
              <w:t>,</w:t>
            </w:r>
            <w:r w:rsidRPr="0081358C">
              <w:rPr>
                <w:rFonts w:ascii="Arial" w:hAnsi="Arial" w:cs="Arial"/>
                <w:color w:val="000000"/>
                <w:lang w:val="en-GB"/>
              </w:rPr>
              <w:t>480</w:t>
            </w:r>
          </w:p>
        </w:tc>
        <w:tc>
          <w:tcPr>
            <w:tcW w:w="1496" w:type="dxa"/>
            <w:shd w:val="clear" w:color="auto" w:fill="auto"/>
            <w:noWrap/>
            <w:vAlign w:val="bottom"/>
            <w:hideMark/>
          </w:tcPr>
          <w:p w14:paraId="03300FC8" w14:textId="3491CF48"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w:t>
            </w:r>
            <w:r w:rsidR="002F266F">
              <w:rPr>
                <w:rFonts w:ascii="Arial" w:hAnsi="Arial" w:cs="Arial"/>
                <w:color w:val="000000"/>
                <w:lang w:val="en-GB"/>
              </w:rPr>
              <w:t>,</w:t>
            </w:r>
            <w:r w:rsidRPr="0081358C">
              <w:rPr>
                <w:rFonts w:ascii="Arial" w:hAnsi="Arial" w:cs="Arial"/>
                <w:color w:val="000000"/>
                <w:lang w:val="en-GB"/>
              </w:rPr>
              <w:t>240</w:t>
            </w:r>
          </w:p>
        </w:tc>
        <w:tc>
          <w:tcPr>
            <w:tcW w:w="1350" w:type="dxa"/>
            <w:shd w:val="clear" w:color="auto" w:fill="auto"/>
            <w:noWrap/>
            <w:vAlign w:val="bottom"/>
            <w:hideMark/>
          </w:tcPr>
          <w:p w14:paraId="65DA11F1" w14:textId="143E2D65"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w:t>
            </w:r>
            <w:r w:rsidR="002F266F">
              <w:rPr>
                <w:rFonts w:ascii="Arial" w:hAnsi="Arial" w:cs="Arial"/>
                <w:color w:val="000000"/>
                <w:lang w:val="en-GB"/>
              </w:rPr>
              <w:t>,</w:t>
            </w:r>
            <w:r w:rsidRPr="0081358C">
              <w:rPr>
                <w:rFonts w:ascii="Arial" w:hAnsi="Arial" w:cs="Arial"/>
                <w:color w:val="000000"/>
                <w:lang w:val="en-GB"/>
              </w:rPr>
              <w:t>432</w:t>
            </w:r>
          </w:p>
        </w:tc>
      </w:tr>
      <w:tr w:rsidR="00231552" w:rsidRPr="0081358C" w14:paraId="5EFA478D" w14:textId="77777777" w:rsidTr="00596187">
        <w:trPr>
          <w:trHeight w:val="56"/>
          <w:jc w:val="center"/>
        </w:trPr>
        <w:tc>
          <w:tcPr>
            <w:tcW w:w="5035" w:type="dxa"/>
            <w:shd w:val="clear" w:color="auto" w:fill="auto"/>
            <w:noWrap/>
            <w:vAlign w:val="bottom"/>
            <w:hideMark/>
          </w:tcPr>
          <w:p w14:paraId="6B0862D0" w14:textId="7AAA21F6" w:rsidR="00231552" w:rsidRPr="0081358C" w:rsidRDefault="00231552" w:rsidP="00802A3C">
            <w:pPr>
              <w:rPr>
                <w:rFonts w:ascii="Arial" w:hAnsi="Arial" w:cs="Arial"/>
                <w:color w:val="000000"/>
                <w:lang w:val="en-GB"/>
              </w:rPr>
            </w:pPr>
            <w:r w:rsidRPr="0081358C">
              <w:rPr>
                <w:rFonts w:ascii="Arial" w:hAnsi="Arial" w:cs="Arial"/>
                <w:color w:val="000000"/>
                <w:lang w:val="en-GB"/>
              </w:rPr>
              <w:t xml:space="preserve">Number of </w:t>
            </w:r>
            <w:r w:rsidR="00D96864" w:rsidRPr="0081358C">
              <w:rPr>
                <w:rFonts w:ascii="Arial" w:hAnsi="Arial" w:cs="Arial"/>
                <w:color w:val="000000"/>
                <w:lang w:val="en-GB"/>
              </w:rPr>
              <w:t>s</w:t>
            </w:r>
            <w:r w:rsidRPr="0081358C">
              <w:rPr>
                <w:rFonts w:ascii="Arial" w:hAnsi="Arial" w:cs="Arial"/>
                <w:color w:val="000000"/>
                <w:lang w:val="en-GB"/>
              </w:rPr>
              <w:t xml:space="preserve">tores at </w:t>
            </w:r>
            <w:r w:rsidR="00D96864" w:rsidRPr="0081358C">
              <w:rPr>
                <w:rFonts w:ascii="Arial" w:hAnsi="Arial" w:cs="Arial"/>
                <w:color w:val="000000"/>
                <w:lang w:val="en-GB"/>
              </w:rPr>
              <w:t>y</w:t>
            </w:r>
            <w:r w:rsidRPr="0081358C">
              <w:rPr>
                <w:rFonts w:ascii="Arial" w:hAnsi="Arial" w:cs="Arial"/>
                <w:color w:val="000000"/>
                <w:lang w:val="en-GB"/>
              </w:rPr>
              <w:t xml:space="preserve">ear </w:t>
            </w:r>
            <w:r w:rsidR="00D96864" w:rsidRPr="0081358C">
              <w:rPr>
                <w:rFonts w:ascii="Arial" w:hAnsi="Arial" w:cs="Arial"/>
                <w:color w:val="000000"/>
                <w:lang w:val="en-GB"/>
              </w:rPr>
              <w:t>e</w:t>
            </w:r>
            <w:r w:rsidRPr="0081358C">
              <w:rPr>
                <w:rFonts w:ascii="Arial" w:hAnsi="Arial" w:cs="Arial"/>
                <w:color w:val="000000"/>
                <w:lang w:val="en-GB"/>
              </w:rPr>
              <w:t>nd</w:t>
            </w:r>
          </w:p>
        </w:tc>
        <w:tc>
          <w:tcPr>
            <w:tcW w:w="1440" w:type="dxa"/>
            <w:shd w:val="clear" w:color="auto" w:fill="auto"/>
            <w:noWrap/>
            <w:vAlign w:val="bottom"/>
            <w:hideMark/>
          </w:tcPr>
          <w:p w14:paraId="3BC3BBE0" w14:textId="6D1184EC"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w:t>
            </w:r>
            <w:r w:rsidR="002F266F">
              <w:rPr>
                <w:rFonts w:ascii="Arial" w:hAnsi="Arial" w:cs="Arial"/>
                <w:color w:val="000000"/>
                <w:lang w:val="en-GB"/>
              </w:rPr>
              <w:t>,</w:t>
            </w:r>
            <w:r w:rsidRPr="0081358C">
              <w:rPr>
                <w:rFonts w:ascii="Arial" w:hAnsi="Arial" w:cs="Arial"/>
                <w:color w:val="000000"/>
                <w:lang w:val="en-GB"/>
              </w:rPr>
              <w:t>561</w:t>
            </w:r>
          </w:p>
        </w:tc>
        <w:tc>
          <w:tcPr>
            <w:tcW w:w="1496" w:type="dxa"/>
            <w:shd w:val="clear" w:color="auto" w:fill="auto"/>
            <w:noWrap/>
            <w:vAlign w:val="bottom"/>
            <w:hideMark/>
          </w:tcPr>
          <w:p w14:paraId="5F0B5305" w14:textId="58C9DF9C"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w:t>
            </w:r>
            <w:r w:rsidR="002F266F">
              <w:rPr>
                <w:rFonts w:ascii="Arial" w:hAnsi="Arial" w:cs="Arial"/>
                <w:color w:val="000000"/>
                <w:lang w:val="en-GB"/>
              </w:rPr>
              <w:t>,</w:t>
            </w:r>
            <w:r w:rsidRPr="0081358C">
              <w:rPr>
                <w:rFonts w:ascii="Arial" w:hAnsi="Arial" w:cs="Arial"/>
                <w:color w:val="000000"/>
                <w:lang w:val="en-GB"/>
              </w:rPr>
              <w:t>536</w:t>
            </w:r>
          </w:p>
        </w:tc>
        <w:tc>
          <w:tcPr>
            <w:tcW w:w="1350" w:type="dxa"/>
            <w:shd w:val="clear" w:color="auto" w:fill="auto"/>
            <w:noWrap/>
            <w:vAlign w:val="bottom"/>
            <w:hideMark/>
          </w:tcPr>
          <w:p w14:paraId="507CCE11" w14:textId="30603131"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w:t>
            </w:r>
            <w:r w:rsidR="002F266F">
              <w:rPr>
                <w:rFonts w:ascii="Arial" w:hAnsi="Arial" w:cs="Arial"/>
                <w:color w:val="000000"/>
                <w:lang w:val="en-GB"/>
              </w:rPr>
              <w:t>,</w:t>
            </w:r>
            <w:r w:rsidRPr="0081358C">
              <w:rPr>
                <w:rFonts w:ascii="Arial" w:hAnsi="Arial" w:cs="Arial"/>
                <w:color w:val="000000"/>
                <w:lang w:val="en-GB"/>
              </w:rPr>
              <w:t>550</w:t>
            </w:r>
          </w:p>
        </w:tc>
      </w:tr>
      <w:tr w:rsidR="00231552" w:rsidRPr="0081358C" w14:paraId="6B54B44C" w14:textId="77777777" w:rsidTr="00596187">
        <w:trPr>
          <w:trHeight w:val="56"/>
          <w:jc w:val="center"/>
        </w:trPr>
        <w:tc>
          <w:tcPr>
            <w:tcW w:w="5035" w:type="dxa"/>
            <w:shd w:val="clear" w:color="auto" w:fill="auto"/>
            <w:noWrap/>
            <w:vAlign w:val="bottom"/>
            <w:hideMark/>
          </w:tcPr>
          <w:p w14:paraId="4297E335" w14:textId="6516013A" w:rsidR="00231552" w:rsidRPr="0081358C" w:rsidRDefault="00231552" w:rsidP="00802A3C">
            <w:pPr>
              <w:rPr>
                <w:rFonts w:ascii="Arial" w:hAnsi="Arial" w:cs="Arial"/>
                <w:color w:val="000000"/>
                <w:lang w:val="en-GB"/>
              </w:rPr>
            </w:pPr>
            <w:r w:rsidRPr="0081358C">
              <w:rPr>
                <w:rFonts w:ascii="Arial" w:hAnsi="Arial" w:cs="Arial"/>
                <w:color w:val="000000"/>
                <w:lang w:val="en-GB"/>
              </w:rPr>
              <w:t xml:space="preserve">Number of </w:t>
            </w:r>
            <w:r w:rsidR="00D96864" w:rsidRPr="0081358C">
              <w:rPr>
                <w:rFonts w:ascii="Arial" w:hAnsi="Arial" w:cs="Arial"/>
                <w:color w:val="000000"/>
                <w:lang w:val="en-GB"/>
              </w:rPr>
              <w:t>s</w:t>
            </w:r>
            <w:r w:rsidRPr="0081358C">
              <w:rPr>
                <w:rFonts w:ascii="Arial" w:hAnsi="Arial" w:cs="Arial"/>
                <w:color w:val="000000"/>
                <w:lang w:val="en-GB"/>
              </w:rPr>
              <w:t>tates with Rite Aid</w:t>
            </w:r>
            <w:r w:rsidR="00644731">
              <w:rPr>
                <w:rFonts w:ascii="Arial" w:hAnsi="Arial" w:cs="Arial"/>
                <w:color w:val="000000"/>
                <w:lang w:val="en-GB"/>
              </w:rPr>
              <w:t xml:space="preserve"> stores</w:t>
            </w:r>
          </w:p>
        </w:tc>
        <w:tc>
          <w:tcPr>
            <w:tcW w:w="1440" w:type="dxa"/>
            <w:shd w:val="clear" w:color="auto" w:fill="auto"/>
            <w:noWrap/>
            <w:vAlign w:val="bottom"/>
            <w:hideMark/>
          </w:tcPr>
          <w:p w14:paraId="57F4532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31</w:t>
            </w:r>
          </w:p>
        </w:tc>
        <w:tc>
          <w:tcPr>
            <w:tcW w:w="1496" w:type="dxa"/>
            <w:shd w:val="clear" w:color="auto" w:fill="auto"/>
            <w:noWrap/>
            <w:vAlign w:val="bottom"/>
            <w:hideMark/>
          </w:tcPr>
          <w:p w14:paraId="5327C6E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31</w:t>
            </w:r>
          </w:p>
        </w:tc>
        <w:tc>
          <w:tcPr>
            <w:tcW w:w="1350" w:type="dxa"/>
            <w:shd w:val="clear" w:color="auto" w:fill="auto"/>
            <w:noWrap/>
            <w:vAlign w:val="bottom"/>
            <w:hideMark/>
          </w:tcPr>
          <w:p w14:paraId="380678C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19</w:t>
            </w:r>
          </w:p>
        </w:tc>
      </w:tr>
      <w:tr w:rsidR="00231552" w:rsidRPr="0081358C" w14:paraId="155E912C" w14:textId="77777777" w:rsidTr="00596187">
        <w:trPr>
          <w:trHeight w:val="134"/>
          <w:jc w:val="center"/>
        </w:trPr>
        <w:tc>
          <w:tcPr>
            <w:tcW w:w="5035" w:type="dxa"/>
            <w:shd w:val="clear" w:color="auto" w:fill="auto"/>
            <w:hideMark/>
          </w:tcPr>
          <w:p w14:paraId="77FC32F9" w14:textId="75E58461" w:rsidR="00231552" w:rsidRPr="0081358C" w:rsidRDefault="00231552" w:rsidP="00802A3C">
            <w:pPr>
              <w:rPr>
                <w:rFonts w:ascii="Arial" w:hAnsi="Arial" w:cs="Arial"/>
                <w:b/>
                <w:bCs/>
                <w:lang w:val="en-GB"/>
              </w:rPr>
            </w:pPr>
            <w:r w:rsidRPr="0081358C">
              <w:rPr>
                <w:rFonts w:ascii="Arial" w:hAnsi="Arial" w:cs="Arial"/>
                <w:b/>
                <w:bCs/>
                <w:lang w:val="en-GB"/>
              </w:rPr>
              <w:t>As Reported</w:t>
            </w:r>
            <w:r w:rsidR="00D96864" w:rsidRPr="0081358C">
              <w:rPr>
                <w:rFonts w:ascii="Arial" w:hAnsi="Arial" w:cs="Arial"/>
                <w:b/>
                <w:bCs/>
                <w:lang w:val="en-GB"/>
              </w:rPr>
              <w:t>—</w:t>
            </w:r>
            <w:r w:rsidRPr="0081358C">
              <w:rPr>
                <w:rFonts w:ascii="Arial" w:hAnsi="Arial" w:cs="Arial"/>
                <w:b/>
                <w:bCs/>
                <w:lang w:val="en-GB"/>
              </w:rPr>
              <w:t xml:space="preserve">Annual Cash Flow </w:t>
            </w:r>
          </w:p>
        </w:tc>
        <w:tc>
          <w:tcPr>
            <w:tcW w:w="1440" w:type="dxa"/>
            <w:shd w:val="clear" w:color="auto" w:fill="auto"/>
            <w:noWrap/>
            <w:vAlign w:val="bottom"/>
            <w:hideMark/>
          </w:tcPr>
          <w:p w14:paraId="213C7A10" w14:textId="77777777" w:rsidR="00231552" w:rsidRPr="0081358C" w:rsidRDefault="00231552" w:rsidP="00802A3C">
            <w:pPr>
              <w:rPr>
                <w:rFonts w:ascii="Arial" w:hAnsi="Arial" w:cs="Arial"/>
                <w:b/>
                <w:bCs/>
                <w:lang w:val="en-GB"/>
              </w:rPr>
            </w:pPr>
          </w:p>
        </w:tc>
        <w:tc>
          <w:tcPr>
            <w:tcW w:w="1496" w:type="dxa"/>
            <w:shd w:val="clear" w:color="auto" w:fill="auto"/>
            <w:noWrap/>
            <w:vAlign w:val="bottom"/>
            <w:hideMark/>
          </w:tcPr>
          <w:p w14:paraId="2823782D" w14:textId="77777777" w:rsidR="00231552" w:rsidRPr="0081358C" w:rsidRDefault="00231552" w:rsidP="00802A3C">
            <w:pPr>
              <w:rPr>
                <w:rFonts w:ascii="Arial" w:hAnsi="Arial" w:cs="Arial"/>
                <w:lang w:val="en-GB"/>
              </w:rPr>
            </w:pPr>
          </w:p>
        </w:tc>
        <w:tc>
          <w:tcPr>
            <w:tcW w:w="1350" w:type="dxa"/>
            <w:shd w:val="clear" w:color="auto" w:fill="auto"/>
            <w:noWrap/>
            <w:vAlign w:val="bottom"/>
            <w:hideMark/>
          </w:tcPr>
          <w:p w14:paraId="73C6314F" w14:textId="77777777" w:rsidR="00231552" w:rsidRPr="0081358C" w:rsidRDefault="00231552" w:rsidP="00802A3C">
            <w:pPr>
              <w:rPr>
                <w:rFonts w:ascii="Arial" w:hAnsi="Arial" w:cs="Arial"/>
                <w:lang w:val="en-GB"/>
              </w:rPr>
            </w:pPr>
          </w:p>
        </w:tc>
      </w:tr>
      <w:tr w:rsidR="00231552" w:rsidRPr="0081358C" w14:paraId="071CD69F" w14:textId="77777777" w:rsidTr="00596187">
        <w:trPr>
          <w:trHeight w:val="56"/>
          <w:jc w:val="center"/>
        </w:trPr>
        <w:tc>
          <w:tcPr>
            <w:tcW w:w="5035" w:type="dxa"/>
            <w:shd w:val="clear" w:color="auto" w:fill="auto"/>
            <w:noWrap/>
            <w:hideMark/>
          </w:tcPr>
          <w:p w14:paraId="67F406FE" w14:textId="77777777" w:rsidR="00231552" w:rsidRPr="0081358C" w:rsidRDefault="00231552" w:rsidP="00802A3C">
            <w:pPr>
              <w:rPr>
                <w:rFonts w:ascii="Arial" w:hAnsi="Arial" w:cs="Arial"/>
                <w:lang w:val="en-GB"/>
              </w:rPr>
            </w:pPr>
          </w:p>
        </w:tc>
        <w:tc>
          <w:tcPr>
            <w:tcW w:w="1440" w:type="dxa"/>
            <w:shd w:val="clear" w:color="auto" w:fill="auto"/>
            <w:hideMark/>
          </w:tcPr>
          <w:p w14:paraId="17BD3F74"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02/27/2016</w:t>
            </w:r>
          </w:p>
        </w:tc>
        <w:tc>
          <w:tcPr>
            <w:tcW w:w="1496" w:type="dxa"/>
            <w:shd w:val="clear" w:color="auto" w:fill="auto"/>
            <w:hideMark/>
          </w:tcPr>
          <w:p w14:paraId="5237FE4F"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03/04/2017</w:t>
            </w:r>
          </w:p>
        </w:tc>
        <w:tc>
          <w:tcPr>
            <w:tcW w:w="1350" w:type="dxa"/>
            <w:shd w:val="clear" w:color="auto" w:fill="auto"/>
            <w:hideMark/>
          </w:tcPr>
          <w:p w14:paraId="49240D3E" w14:textId="77777777" w:rsidR="00231552" w:rsidRPr="0081358C" w:rsidRDefault="00231552" w:rsidP="00802A3C">
            <w:pPr>
              <w:jc w:val="right"/>
              <w:rPr>
                <w:rFonts w:ascii="Arial" w:hAnsi="Arial" w:cs="Arial"/>
                <w:b/>
                <w:bCs/>
                <w:lang w:val="en-GB"/>
              </w:rPr>
            </w:pPr>
            <w:r w:rsidRPr="0081358C">
              <w:rPr>
                <w:rFonts w:ascii="Arial" w:hAnsi="Arial" w:cs="Arial"/>
                <w:b/>
                <w:bCs/>
                <w:lang w:val="en-GB"/>
              </w:rPr>
              <w:t>03/03/2018</w:t>
            </w:r>
          </w:p>
        </w:tc>
      </w:tr>
      <w:tr w:rsidR="00231552" w:rsidRPr="0081358C" w14:paraId="15E87F82" w14:textId="77777777" w:rsidTr="00596187">
        <w:trPr>
          <w:trHeight w:val="56"/>
          <w:jc w:val="center"/>
        </w:trPr>
        <w:tc>
          <w:tcPr>
            <w:tcW w:w="5035" w:type="dxa"/>
            <w:shd w:val="clear" w:color="auto" w:fill="auto"/>
            <w:noWrap/>
            <w:vAlign w:val="bottom"/>
            <w:hideMark/>
          </w:tcPr>
          <w:p w14:paraId="1B18628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w:t>
            </w:r>
          </w:p>
        </w:tc>
        <w:tc>
          <w:tcPr>
            <w:tcW w:w="1440" w:type="dxa"/>
            <w:shd w:val="clear" w:color="auto" w:fill="auto"/>
            <w:noWrap/>
            <w:vAlign w:val="bottom"/>
            <w:hideMark/>
          </w:tcPr>
          <w:p w14:paraId="1188658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165,465</w:t>
            </w:r>
          </w:p>
        </w:tc>
        <w:tc>
          <w:tcPr>
            <w:tcW w:w="1496" w:type="dxa"/>
            <w:shd w:val="clear" w:color="auto" w:fill="auto"/>
            <w:noWrap/>
            <w:vAlign w:val="bottom"/>
            <w:hideMark/>
          </w:tcPr>
          <w:p w14:paraId="38ABC46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4,053</w:t>
            </w:r>
          </w:p>
        </w:tc>
        <w:tc>
          <w:tcPr>
            <w:tcW w:w="1350" w:type="dxa"/>
            <w:shd w:val="clear" w:color="auto" w:fill="auto"/>
            <w:noWrap/>
            <w:vAlign w:val="bottom"/>
            <w:hideMark/>
          </w:tcPr>
          <w:p w14:paraId="3099C35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943,470</w:t>
            </w:r>
          </w:p>
        </w:tc>
      </w:tr>
      <w:tr w:rsidR="00231552" w:rsidRPr="0081358C" w14:paraId="47DEA47C" w14:textId="77777777" w:rsidTr="00596187">
        <w:trPr>
          <w:trHeight w:val="56"/>
          <w:jc w:val="center"/>
        </w:trPr>
        <w:tc>
          <w:tcPr>
            <w:tcW w:w="5035" w:type="dxa"/>
            <w:shd w:val="clear" w:color="auto" w:fill="auto"/>
            <w:noWrap/>
            <w:vAlign w:val="bottom"/>
            <w:hideMark/>
          </w:tcPr>
          <w:p w14:paraId="137064F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 from discontinued operations, net of tax</w:t>
            </w:r>
          </w:p>
        </w:tc>
        <w:tc>
          <w:tcPr>
            <w:tcW w:w="1440" w:type="dxa"/>
            <w:shd w:val="clear" w:color="auto" w:fill="auto"/>
            <w:noWrap/>
            <w:vAlign w:val="bottom"/>
            <w:hideMark/>
          </w:tcPr>
          <w:p w14:paraId="59DDF6D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3352E51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0E2BF83B" w14:textId="3C1CA77B"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1,293,002</w:t>
            </w:r>
          </w:p>
        </w:tc>
      </w:tr>
      <w:tr w:rsidR="00231552" w:rsidRPr="0081358C" w14:paraId="39DD5FBF" w14:textId="77777777" w:rsidTr="00596187">
        <w:trPr>
          <w:trHeight w:val="98"/>
          <w:jc w:val="center"/>
        </w:trPr>
        <w:tc>
          <w:tcPr>
            <w:tcW w:w="5035" w:type="dxa"/>
            <w:shd w:val="clear" w:color="auto" w:fill="auto"/>
            <w:noWrap/>
            <w:vAlign w:val="bottom"/>
            <w:hideMark/>
          </w:tcPr>
          <w:p w14:paraId="4358F39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income (loss) from continuing operations</w:t>
            </w:r>
          </w:p>
        </w:tc>
        <w:tc>
          <w:tcPr>
            <w:tcW w:w="1440" w:type="dxa"/>
            <w:shd w:val="clear" w:color="auto" w:fill="auto"/>
            <w:noWrap/>
            <w:vAlign w:val="bottom"/>
            <w:hideMark/>
          </w:tcPr>
          <w:p w14:paraId="46862A8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41A066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1574B8A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-349,532</w:t>
            </w:r>
          </w:p>
        </w:tc>
      </w:tr>
      <w:tr w:rsidR="00231552" w:rsidRPr="0081358C" w14:paraId="1A6BFE6D" w14:textId="77777777" w:rsidTr="00596187">
        <w:trPr>
          <w:trHeight w:val="56"/>
          <w:jc w:val="center"/>
        </w:trPr>
        <w:tc>
          <w:tcPr>
            <w:tcW w:w="5035" w:type="dxa"/>
            <w:shd w:val="clear" w:color="auto" w:fill="auto"/>
            <w:noWrap/>
            <w:vAlign w:val="bottom"/>
            <w:hideMark/>
          </w:tcPr>
          <w:p w14:paraId="7CAF043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Depreciation &amp; amortization</w:t>
            </w:r>
          </w:p>
        </w:tc>
        <w:tc>
          <w:tcPr>
            <w:tcW w:w="1440" w:type="dxa"/>
            <w:shd w:val="clear" w:color="auto" w:fill="auto"/>
            <w:noWrap/>
            <w:vAlign w:val="bottom"/>
            <w:hideMark/>
          </w:tcPr>
          <w:p w14:paraId="6142A0E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509,212</w:t>
            </w:r>
          </w:p>
        </w:tc>
        <w:tc>
          <w:tcPr>
            <w:tcW w:w="1496" w:type="dxa"/>
            <w:shd w:val="clear" w:color="auto" w:fill="auto"/>
            <w:noWrap/>
            <w:vAlign w:val="bottom"/>
            <w:hideMark/>
          </w:tcPr>
          <w:p w14:paraId="5423AAC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568,231</w:t>
            </w:r>
          </w:p>
        </w:tc>
        <w:tc>
          <w:tcPr>
            <w:tcW w:w="1350" w:type="dxa"/>
            <w:shd w:val="clear" w:color="auto" w:fill="auto"/>
            <w:noWrap/>
            <w:vAlign w:val="bottom"/>
            <w:hideMark/>
          </w:tcPr>
          <w:p w14:paraId="775BDE4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386,057</w:t>
            </w:r>
          </w:p>
        </w:tc>
      </w:tr>
      <w:tr w:rsidR="00231552" w:rsidRPr="0081358C" w14:paraId="2FDEE829" w14:textId="77777777" w:rsidTr="00596187">
        <w:trPr>
          <w:trHeight w:val="56"/>
          <w:jc w:val="center"/>
        </w:trPr>
        <w:tc>
          <w:tcPr>
            <w:tcW w:w="5035" w:type="dxa"/>
            <w:shd w:val="clear" w:color="auto" w:fill="auto"/>
            <w:noWrap/>
            <w:vAlign w:val="bottom"/>
            <w:hideMark/>
          </w:tcPr>
          <w:p w14:paraId="3C0C55F8"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Lease termination &amp; impairment charges</w:t>
            </w:r>
          </w:p>
        </w:tc>
        <w:tc>
          <w:tcPr>
            <w:tcW w:w="1440" w:type="dxa"/>
            <w:shd w:val="clear" w:color="auto" w:fill="auto"/>
            <w:noWrap/>
            <w:vAlign w:val="bottom"/>
            <w:hideMark/>
          </w:tcPr>
          <w:p w14:paraId="404AD1A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48,423</w:t>
            </w:r>
          </w:p>
        </w:tc>
        <w:tc>
          <w:tcPr>
            <w:tcW w:w="1496" w:type="dxa"/>
            <w:shd w:val="clear" w:color="auto" w:fill="auto"/>
            <w:noWrap/>
            <w:vAlign w:val="bottom"/>
            <w:hideMark/>
          </w:tcPr>
          <w:p w14:paraId="115AB7B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55,294</w:t>
            </w:r>
          </w:p>
        </w:tc>
        <w:tc>
          <w:tcPr>
            <w:tcW w:w="1350" w:type="dxa"/>
            <w:shd w:val="clear" w:color="auto" w:fill="auto"/>
            <w:noWrap/>
            <w:vAlign w:val="bottom"/>
            <w:hideMark/>
          </w:tcPr>
          <w:p w14:paraId="604771A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58,765</w:t>
            </w:r>
          </w:p>
        </w:tc>
      </w:tr>
      <w:tr w:rsidR="00231552" w:rsidRPr="0081358C" w14:paraId="2122B4B1" w14:textId="77777777" w:rsidTr="00596187">
        <w:trPr>
          <w:trHeight w:val="56"/>
          <w:jc w:val="center"/>
        </w:trPr>
        <w:tc>
          <w:tcPr>
            <w:tcW w:w="5035" w:type="dxa"/>
            <w:shd w:val="clear" w:color="auto" w:fill="auto"/>
            <w:noWrap/>
            <w:vAlign w:val="bottom"/>
            <w:hideMark/>
          </w:tcPr>
          <w:p w14:paraId="157D28F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Goodwill impairment</w:t>
            </w:r>
          </w:p>
        </w:tc>
        <w:tc>
          <w:tcPr>
            <w:tcW w:w="1440" w:type="dxa"/>
            <w:shd w:val="clear" w:color="auto" w:fill="auto"/>
            <w:noWrap/>
            <w:vAlign w:val="bottom"/>
            <w:hideMark/>
          </w:tcPr>
          <w:p w14:paraId="7D9A3F4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17BABE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207E1CC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261,727</w:t>
            </w:r>
          </w:p>
        </w:tc>
      </w:tr>
      <w:tr w:rsidR="00231552" w:rsidRPr="0081358C" w14:paraId="658165BC" w14:textId="77777777" w:rsidTr="00596187">
        <w:trPr>
          <w:trHeight w:val="56"/>
          <w:jc w:val="center"/>
        </w:trPr>
        <w:tc>
          <w:tcPr>
            <w:tcW w:w="5035" w:type="dxa"/>
            <w:shd w:val="clear" w:color="auto" w:fill="auto"/>
            <w:noWrap/>
            <w:vAlign w:val="bottom"/>
            <w:hideMark/>
          </w:tcPr>
          <w:p w14:paraId="4B7ABF3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Loss (gain) from lease termination</w:t>
            </w:r>
          </w:p>
        </w:tc>
        <w:tc>
          <w:tcPr>
            <w:tcW w:w="1440" w:type="dxa"/>
            <w:shd w:val="clear" w:color="auto" w:fill="auto"/>
            <w:noWrap/>
            <w:vAlign w:val="bottom"/>
            <w:hideMark/>
          </w:tcPr>
          <w:p w14:paraId="3F05B34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58BBD45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38CE82E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3B66C2E1" w14:textId="77777777" w:rsidTr="00596187">
        <w:trPr>
          <w:trHeight w:val="56"/>
          <w:jc w:val="center"/>
        </w:trPr>
        <w:tc>
          <w:tcPr>
            <w:tcW w:w="5035" w:type="dxa"/>
            <w:shd w:val="clear" w:color="auto" w:fill="auto"/>
            <w:noWrap/>
            <w:vAlign w:val="bottom"/>
            <w:hideMark/>
          </w:tcPr>
          <w:p w14:paraId="3028BA8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LIFO charges (credits)</w:t>
            </w:r>
          </w:p>
        </w:tc>
        <w:tc>
          <w:tcPr>
            <w:tcW w:w="1440" w:type="dxa"/>
            <w:shd w:val="clear" w:color="auto" w:fill="auto"/>
            <w:noWrap/>
            <w:vAlign w:val="bottom"/>
            <w:hideMark/>
          </w:tcPr>
          <w:p w14:paraId="2587E59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11,163</w:t>
            </w:r>
          </w:p>
        </w:tc>
        <w:tc>
          <w:tcPr>
            <w:tcW w:w="1496" w:type="dxa"/>
            <w:shd w:val="clear" w:color="auto" w:fill="auto"/>
            <w:noWrap/>
            <w:vAlign w:val="bottom"/>
            <w:hideMark/>
          </w:tcPr>
          <w:p w14:paraId="697ECB6F" w14:textId="3251E609"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6,620</w:t>
            </w:r>
          </w:p>
        </w:tc>
        <w:tc>
          <w:tcPr>
            <w:tcW w:w="1350" w:type="dxa"/>
            <w:shd w:val="clear" w:color="auto" w:fill="auto"/>
            <w:noWrap/>
            <w:vAlign w:val="bottom"/>
            <w:hideMark/>
          </w:tcPr>
          <w:p w14:paraId="404F406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-28,827</w:t>
            </w:r>
          </w:p>
        </w:tc>
      </w:tr>
      <w:tr w:rsidR="00231552" w:rsidRPr="0081358C" w14:paraId="0CAD4DF2" w14:textId="77777777" w:rsidTr="00596187">
        <w:trPr>
          <w:trHeight w:val="56"/>
          <w:jc w:val="center"/>
        </w:trPr>
        <w:tc>
          <w:tcPr>
            <w:tcW w:w="5035" w:type="dxa"/>
            <w:shd w:val="clear" w:color="auto" w:fill="auto"/>
            <w:noWrap/>
            <w:vAlign w:val="bottom"/>
            <w:hideMark/>
          </w:tcPr>
          <w:p w14:paraId="704EF73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Loss (gain) on sale of assets, net</w:t>
            </w:r>
          </w:p>
        </w:tc>
        <w:tc>
          <w:tcPr>
            <w:tcW w:w="1440" w:type="dxa"/>
            <w:shd w:val="clear" w:color="auto" w:fill="auto"/>
            <w:noWrap/>
            <w:vAlign w:val="bottom"/>
            <w:hideMark/>
          </w:tcPr>
          <w:p w14:paraId="206E219E"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3,303</w:t>
            </w:r>
          </w:p>
        </w:tc>
        <w:tc>
          <w:tcPr>
            <w:tcW w:w="1496" w:type="dxa"/>
            <w:shd w:val="clear" w:color="auto" w:fill="auto"/>
            <w:noWrap/>
            <w:vAlign w:val="bottom"/>
            <w:hideMark/>
          </w:tcPr>
          <w:p w14:paraId="3C0C65F8" w14:textId="0AF2C4A2"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4,024</w:t>
            </w:r>
          </w:p>
        </w:tc>
        <w:tc>
          <w:tcPr>
            <w:tcW w:w="1350" w:type="dxa"/>
            <w:shd w:val="clear" w:color="auto" w:fill="auto"/>
            <w:noWrap/>
            <w:vAlign w:val="bottom"/>
            <w:hideMark/>
          </w:tcPr>
          <w:p w14:paraId="42B09E1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-25,872</w:t>
            </w:r>
          </w:p>
        </w:tc>
      </w:tr>
      <w:tr w:rsidR="00231552" w:rsidRPr="0081358C" w14:paraId="00CF5E5F" w14:textId="77777777" w:rsidTr="00596187">
        <w:trPr>
          <w:trHeight w:val="56"/>
          <w:jc w:val="center"/>
        </w:trPr>
        <w:tc>
          <w:tcPr>
            <w:tcW w:w="5035" w:type="dxa"/>
            <w:shd w:val="clear" w:color="auto" w:fill="auto"/>
            <w:noWrap/>
            <w:vAlign w:val="bottom"/>
            <w:hideMark/>
          </w:tcPr>
          <w:p w14:paraId="6F93E6D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Stock-based compensation expense (benefit)</w:t>
            </w:r>
          </w:p>
        </w:tc>
        <w:tc>
          <w:tcPr>
            <w:tcW w:w="1440" w:type="dxa"/>
            <w:shd w:val="clear" w:color="auto" w:fill="auto"/>
            <w:noWrap/>
            <w:vAlign w:val="bottom"/>
            <w:hideMark/>
          </w:tcPr>
          <w:p w14:paraId="180CEE6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37,948</w:t>
            </w:r>
          </w:p>
        </w:tc>
        <w:tc>
          <w:tcPr>
            <w:tcW w:w="1496" w:type="dxa"/>
            <w:shd w:val="clear" w:color="auto" w:fill="auto"/>
            <w:noWrap/>
            <w:vAlign w:val="bottom"/>
            <w:hideMark/>
          </w:tcPr>
          <w:p w14:paraId="4323975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23,482</w:t>
            </w:r>
          </w:p>
        </w:tc>
        <w:tc>
          <w:tcPr>
            <w:tcW w:w="1350" w:type="dxa"/>
            <w:shd w:val="clear" w:color="auto" w:fill="auto"/>
            <w:noWrap/>
            <w:vAlign w:val="bottom"/>
            <w:hideMark/>
          </w:tcPr>
          <w:p w14:paraId="477223A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25,793</w:t>
            </w:r>
          </w:p>
        </w:tc>
      </w:tr>
      <w:tr w:rsidR="00231552" w:rsidRPr="0081358C" w14:paraId="039E6056" w14:textId="77777777" w:rsidTr="00596187">
        <w:trPr>
          <w:trHeight w:val="56"/>
          <w:jc w:val="center"/>
        </w:trPr>
        <w:tc>
          <w:tcPr>
            <w:tcW w:w="5035" w:type="dxa"/>
            <w:shd w:val="clear" w:color="auto" w:fill="auto"/>
            <w:noWrap/>
            <w:vAlign w:val="bottom"/>
            <w:hideMark/>
          </w:tcPr>
          <w:p w14:paraId="2E6410A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Loss on debt retirements, net</w:t>
            </w:r>
          </w:p>
        </w:tc>
        <w:tc>
          <w:tcPr>
            <w:tcW w:w="1440" w:type="dxa"/>
            <w:shd w:val="clear" w:color="auto" w:fill="auto"/>
            <w:noWrap/>
            <w:vAlign w:val="bottom"/>
            <w:hideMark/>
          </w:tcPr>
          <w:p w14:paraId="4FE045C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33,205</w:t>
            </w:r>
          </w:p>
        </w:tc>
        <w:tc>
          <w:tcPr>
            <w:tcW w:w="1496" w:type="dxa"/>
            <w:shd w:val="clear" w:color="auto" w:fill="auto"/>
            <w:noWrap/>
            <w:vAlign w:val="bottom"/>
            <w:hideMark/>
          </w:tcPr>
          <w:p w14:paraId="69E146C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02654F4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705D735F" w14:textId="77777777" w:rsidTr="00596187">
        <w:trPr>
          <w:trHeight w:val="56"/>
          <w:jc w:val="center"/>
        </w:trPr>
        <w:tc>
          <w:tcPr>
            <w:tcW w:w="5035" w:type="dxa"/>
            <w:shd w:val="clear" w:color="auto" w:fill="auto"/>
            <w:noWrap/>
            <w:vAlign w:val="bottom"/>
            <w:hideMark/>
          </w:tcPr>
          <w:p w14:paraId="6DE2700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Changes in deferred taxes</w:t>
            </w:r>
          </w:p>
        </w:tc>
        <w:tc>
          <w:tcPr>
            <w:tcW w:w="1440" w:type="dxa"/>
            <w:shd w:val="clear" w:color="auto" w:fill="auto"/>
            <w:noWrap/>
            <w:vAlign w:val="bottom"/>
            <w:hideMark/>
          </w:tcPr>
          <w:p w14:paraId="22F1850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79,488</w:t>
            </w:r>
          </w:p>
        </w:tc>
        <w:tc>
          <w:tcPr>
            <w:tcW w:w="1496" w:type="dxa"/>
            <w:shd w:val="clear" w:color="auto" w:fill="auto"/>
            <w:noWrap/>
            <w:vAlign w:val="bottom"/>
            <w:hideMark/>
          </w:tcPr>
          <w:p w14:paraId="2688E78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35,038</w:t>
            </w:r>
          </w:p>
        </w:tc>
        <w:tc>
          <w:tcPr>
            <w:tcW w:w="1350" w:type="dxa"/>
            <w:shd w:val="clear" w:color="auto" w:fill="auto"/>
            <w:noWrap/>
            <w:vAlign w:val="bottom"/>
            <w:hideMark/>
          </w:tcPr>
          <w:p w14:paraId="6D26462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260,411</w:t>
            </w:r>
          </w:p>
        </w:tc>
      </w:tr>
      <w:tr w:rsidR="00231552" w:rsidRPr="0081358C" w14:paraId="38F5CDBB" w14:textId="77777777" w:rsidTr="00596187">
        <w:trPr>
          <w:trHeight w:val="56"/>
          <w:jc w:val="center"/>
        </w:trPr>
        <w:tc>
          <w:tcPr>
            <w:tcW w:w="5035" w:type="dxa"/>
            <w:shd w:val="clear" w:color="auto" w:fill="auto"/>
            <w:noWrap/>
            <w:vAlign w:val="bottom"/>
            <w:hideMark/>
          </w:tcPr>
          <w:p w14:paraId="4C1FE871" w14:textId="01146BFD" w:rsidR="00231552" w:rsidRPr="0081358C" w:rsidRDefault="00231552" w:rsidP="00802A3C">
            <w:pPr>
              <w:rPr>
                <w:rFonts w:ascii="Arial" w:hAnsi="Arial" w:cs="Arial"/>
                <w:color w:val="000000"/>
                <w:lang w:val="en-GB"/>
              </w:rPr>
            </w:pPr>
            <w:r w:rsidRPr="0081358C">
              <w:rPr>
                <w:rFonts w:ascii="Arial" w:hAnsi="Arial" w:cs="Arial"/>
                <w:color w:val="000000"/>
                <w:lang w:val="en-GB"/>
              </w:rPr>
              <w:t>Excess tax benefit on stock options &amp; restricted stock</w:t>
            </w:r>
          </w:p>
        </w:tc>
        <w:tc>
          <w:tcPr>
            <w:tcW w:w="1440" w:type="dxa"/>
            <w:shd w:val="clear" w:color="auto" w:fill="auto"/>
            <w:noWrap/>
            <w:vAlign w:val="bottom"/>
            <w:hideMark/>
          </w:tcPr>
          <w:p w14:paraId="7F25044C" w14:textId="1E6E3AC5"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22,884</w:t>
            </w:r>
          </w:p>
        </w:tc>
        <w:tc>
          <w:tcPr>
            <w:tcW w:w="1496" w:type="dxa"/>
            <w:shd w:val="clear" w:color="auto" w:fill="auto"/>
            <w:noWrap/>
            <w:vAlign w:val="bottom"/>
            <w:hideMark/>
          </w:tcPr>
          <w:p w14:paraId="4A22E23A" w14:textId="05D148B9"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543</w:t>
            </w:r>
          </w:p>
        </w:tc>
        <w:tc>
          <w:tcPr>
            <w:tcW w:w="1350" w:type="dxa"/>
            <w:shd w:val="clear" w:color="auto" w:fill="auto"/>
            <w:noWrap/>
            <w:vAlign w:val="bottom"/>
            <w:hideMark/>
          </w:tcPr>
          <w:p w14:paraId="374DA66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1F11763E" w14:textId="77777777" w:rsidTr="00596187">
        <w:trPr>
          <w:trHeight w:val="71"/>
          <w:jc w:val="center"/>
        </w:trPr>
        <w:tc>
          <w:tcPr>
            <w:tcW w:w="5035" w:type="dxa"/>
            <w:shd w:val="clear" w:color="auto" w:fill="auto"/>
            <w:noWrap/>
            <w:vAlign w:val="bottom"/>
            <w:hideMark/>
          </w:tcPr>
          <w:p w14:paraId="48E252A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Accounts receivable</w:t>
            </w:r>
          </w:p>
        </w:tc>
        <w:tc>
          <w:tcPr>
            <w:tcW w:w="1440" w:type="dxa"/>
            <w:shd w:val="clear" w:color="auto" w:fill="auto"/>
            <w:noWrap/>
            <w:vAlign w:val="bottom"/>
            <w:hideMark/>
          </w:tcPr>
          <w:p w14:paraId="2D88C03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291,659</w:t>
            </w:r>
          </w:p>
        </w:tc>
        <w:tc>
          <w:tcPr>
            <w:tcW w:w="1496" w:type="dxa"/>
            <w:shd w:val="clear" w:color="auto" w:fill="auto"/>
            <w:noWrap/>
            <w:vAlign w:val="bottom"/>
            <w:hideMark/>
          </w:tcPr>
          <w:p w14:paraId="7242834C" w14:textId="48DF9AAD"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166,765</w:t>
            </w:r>
          </w:p>
        </w:tc>
        <w:tc>
          <w:tcPr>
            <w:tcW w:w="1350" w:type="dxa"/>
            <w:shd w:val="clear" w:color="auto" w:fill="auto"/>
            <w:noWrap/>
            <w:vAlign w:val="bottom"/>
            <w:hideMark/>
          </w:tcPr>
          <w:p w14:paraId="7CB3F6D6" w14:textId="453DC4E6"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349,481</w:t>
            </w:r>
          </w:p>
        </w:tc>
      </w:tr>
      <w:tr w:rsidR="00231552" w:rsidRPr="0081358C" w14:paraId="1BEDEF56" w14:textId="77777777" w:rsidTr="00596187">
        <w:trPr>
          <w:trHeight w:val="98"/>
          <w:jc w:val="center"/>
        </w:trPr>
        <w:tc>
          <w:tcPr>
            <w:tcW w:w="5035" w:type="dxa"/>
            <w:shd w:val="clear" w:color="auto" w:fill="auto"/>
            <w:noWrap/>
            <w:vAlign w:val="bottom"/>
            <w:hideMark/>
          </w:tcPr>
          <w:p w14:paraId="7BF1DDC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Inventories</w:t>
            </w:r>
          </w:p>
        </w:tc>
        <w:tc>
          <w:tcPr>
            <w:tcW w:w="1440" w:type="dxa"/>
            <w:shd w:val="clear" w:color="auto" w:fill="auto"/>
            <w:noWrap/>
            <w:vAlign w:val="bottom"/>
            <w:hideMark/>
          </w:tcPr>
          <w:p w14:paraId="08D6BA9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181,958</w:t>
            </w:r>
          </w:p>
        </w:tc>
        <w:tc>
          <w:tcPr>
            <w:tcW w:w="1496" w:type="dxa"/>
            <w:shd w:val="clear" w:color="auto" w:fill="auto"/>
            <w:noWrap/>
            <w:vAlign w:val="bottom"/>
            <w:hideMark/>
          </w:tcPr>
          <w:p w14:paraId="30C03667" w14:textId="6DB79487"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133,543</w:t>
            </w:r>
          </w:p>
        </w:tc>
        <w:tc>
          <w:tcPr>
            <w:tcW w:w="1350" w:type="dxa"/>
            <w:shd w:val="clear" w:color="auto" w:fill="auto"/>
            <w:noWrap/>
            <w:vAlign w:val="bottom"/>
            <w:hideMark/>
          </w:tcPr>
          <w:p w14:paraId="58F3CC3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18,835</w:t>
            </w:r>
          </w:p>
        </w:tc>
      </w:tr>
      <w:tr w:rsidR="00231552" w:rsidRPr="0081358C" w14:paraId="349145EF" w14:textId="77777777" w:rsidTr="00596187">
        <w:trPr>
          <w:trHeight w:val="56"/>
          <w:jc w:val="center"/>
        </w:trPr>
        <w:tc>
          <w:tcPr>
            <w:tcW w:w="5035" w:type="dxa"/>
            <w:shd w:val="clear" w:color="auto" w:fill="auto"/>
            <w:noWrap/>
            <w:vAlign w:val="bottom"/>
            <w:hideMark/>
          </w:tcPr>
          <w:p w14:paraId="1203872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Accounts payable</w:t>
            </w:r>
          </w:p>
        </w:tc>
        <w:tc>
          <w:tcPr>
            <w:tcW w:w="1440" w:type="dxa"/>
            <w:shd w:val="clear" w:color="auto" w:fill="auto"/>
            <w:noWrap/>
            <w:vAlign w:val="bottom"/>
            <w:hideMark/>
          </w:tcPr>
          <w:p w14:paraId="2C6536B1" w14:textId="36C9EB3E"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21,187</w:t>
            </w:r>
          </w:p>
        </w:tc>
        <w:tc>
          <w:tcPr>
            <w:tcW w:w="1496" w:type="dxa"/>
            <w:shd w:val="clear" w:color="auto" w:fill="auto"/>
            <w:noWrap/>
            <w:vAlign w:val="bottom"/>
            <w:hideMark/>
          </w:tcPr>
          <w:p w14:paraId="41EFF5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29,528</w:t>
            </w:r>
          </w:p>
        </w:tc>
        <w:tc>
          <w:tcPr>
            <w:tcW w:w="1350" w:type="dxa"/>
            <w:shd w:val="clear" w:color="auto" w:fill="auto"/>
            <w:noWrap/>
            <w:vAlign w:val="bottom"/>
            <w:hideMark/>
          </w:tcPr>
          <w:p w14:paraId="2DA52BE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211,511</w:t>
            </w:r>
          </w:p>
        </w:tc>
      </w:tr>
      <w:tr w:rsidR="00231552" w:rsidRPr="0081358C" w14:paraId="59E31A5B" w14:textId="77777777" w:rsidTr="00596187">
        <w:trPr>
          <w:trHeight w:val="71"/>
          <w:jc w:val="center"/>
        </w:trPr>
        <w:tc>
          <w:tcPr>
            <w:tcW w:w="5035" w:type="dxa"/>
            <w:shd w:val="clear" w:color="auto" w:fill="auto"/>
            <w:noWrap/>
            <w:vAlign w:val="bottom"/>
            <w:hideMark/>
          </w:tcPr>
          <w:p w14:paraId="4434AA94"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Other assets &amp; liabilities, net</w:t>
            </w:r>
          </w:p>
        </w:tc>
        <w:tc>
          <w:tcPr>
            <w:tcW w:w="1440" w:type="dxa"/>
            <w:shd w:val="clear" w:color="auto" w:fill="auto"/>
            <w:noWrap/>
            <w:vAlign w:val="bottom"/>
            <w:hideMark/>
          </w:tcPr>
          <w:p w14:paraId="3380D7EB" w14:textId="7B526816"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320,351</w:t>
            </w:r>
          </w:p>
        </w:tc>
        <w:tc>
          <w:tcPr>
            <w:tcW w:w="1496" w:type="dxa"/>
            <w:shd w:val="clear" w:color="auto" w:fill="auto"/>
            <w:noWrap/>
            <w:vAlign w:val="bottom"/>
            <w:hideMark/>
          </w:tcPr>
          <w:p w14:paraId="70E81847" w14:textId="23700789"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178,268</w:t>
            </w:r>
          </w:p>
        </w:tc>
        <w:tc>
          <w:tcPr>
            <w:tcW w:w="1350" w:type="dxa"/>
            <w:shd w:val="clear" w:color="auto" w:fill="auto"/>
            <w:noWrap/>
            <w:vAlign w:val="bottom"/>
            <w:hideMark/>
          </w:tcPr>
          <w:p w14:paraId="12F847B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42,083</w:t>
            </w:r>
          </w:p>
        </w:tc>
      </w:tr>
      <w:tr w:rsidR="00231552" w:rsidRPr="0081358C" w14:paraId="739D342E" w14:textId="77777777" w:rsidTr="00596187">
        <w:trPr>
          <w:trHeight w:val="56"/>
          <w:jc w:val="center"/>
        </w:trPr>
        <w:tc>
          <w:tcPr>
            <w:tcW w:w="5035" w:type="dxa"/>
            <w:shd w:val="clear" w:color="auto" w:fill="auto"/>
            <w:noWrap/>
            <w:vAlign w:val="bottom"/>
            <w:hideMark/>
          </w:tcPr>
          <w:p w14:paraId="7876F2B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cash flows from operating activities</w:t>
            </w:r>
          </w:p>
        </w:tc>
        <w:tc>
          <w:tcPr>
            <w:tcW w:w="1440" w:type="dxa"/>
            <w:shd w:val="clear" w:color="auto" w:fill="auto"/>
            <w:noWrap/>
            <w:vAlign w:val="bottom"/>
            <w:hideMark/>
          </w:tcPr>
          <w:p w14:paraId="064A58A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997,402</w:t>
            </w:r>
          </w:p>
        </w:tc>
        <w:tc>
          <w:tcPr>
            <w:tcW w:w="1496" w:type="dxa"/>
            <w:shd w:val="clear" w:color="auto" w:fill="auto"/>
            <w:noWrap/>
            <w:vAlign w:val="bottom"/>
            <w:hideMark/>
          </w:tcPr>
          <w:p w14:paraId="6D3705F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225,863</w:t>
            </w:r>
          </w:p>
        </w:tc>
        <w:tc>
          <w:tcPr>
            <w:tcW w:w="1350" w:type="dxa"/>
            <w:shd w:val="clear" w:color="auto" w:fill="auto"/>
            <w:noWrap/>
            <w:vAlign w:val="bottom"/>
            <w:hideMark/>
          </w:tcPr>
          <w:p w14:paraId="72EC704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511,470</w:t>
            </w:r>
          </w:p>
        </w:tc>
      </w:tr>
      <w:tr w:rsidR="00231552" w:rsidRPr="0081358C" w14:paraId="55EFA946" w14:textId="77777777" w:rsidTr="00596187">
        <w:trPr>
          <w:trHeight w:val="56"/>
          <w:jc w:val="center"/>
        </w:trPr>
        <w:tc>
          <w:tcPr>
            <w:tcW w:w="5035" w:type="dxa"/>
            <w:shd w:val="clear" w:color="auto" w:fill="auto"/>
            <w:noWrap/>
            <w:vAlign w:val="bottom"/>
            <w:hideMark/>
          </w:tcPr>
          <w:p w14:paraId="2A1D1D0F"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Payments for property, plant &amp; equipment</w:t>
            </w:r>
          </w:p>
        </w:tc>
        <w:tc>
          <w:tcPr>
            <w:tcW w:w="1440" w:type="dxa"/>
            <w:shd w:val="clear" w:color="auto" w:fill="auto"/>
            <w:noWrap/>
            <w:vAlign w:val="bottom"/>
            <w:hideMark/>
          </w:tcPr>
          <w:p w14:paraId="39F0A31D" w14:textId="1BDDC9D8"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541,347</w:t>
            </w:r>
          </w:p>
        </w:tc>
        <w:tc>
          <w:tcPr>
            <w:tcW w:w="1496" w:type="dxa"/>
            <w:shd w:val="clear" w:color="auto" w:fill="auto"/>
            <w:noWrap/>
            <w:vAlign w:val="bottom"/>
            <w:hideMark/>
          </w:tcPr>
          <w:p w14:paraId="5FAE6121" w14:textId="26952A5A"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424,289</w:t>
            </w:r>
          </w:p>
        </w:tc>
        <w:tc>
          <w:tcPr>
            <w:tcW w:w="1350" w:type="dxa"/>
            <w:shd w:val="clear" w:color="auto" w:fill="auto"/>
            <w:noWrap/>
            <w:vAlign w:val="bottom"/>
            <w:hideMark/>
          </w:tcPr>
          <w:p w14:paraId="3FD127C6" w14:textId="43869217"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185,879</w:t>
            </w:r>
          </w:p>
        </w:tc>
      </w:tr>
      <w:tr w:rsidR="00231552" w:rsidRPr="0081358C" w14:paraId="550724BD" w14:textId="77777777" w:rsidTr="00596187">
        <w:trPr>
          <w:trHeight w:val="56"/>
          <w:jc w:val="center"/>
        </w:trPr>
        <w:tc>
          <w:tcPr>
            <w:tcW w:w="5035" w:type="dxa"/>
            <w:shd w:val="clear" w:color="auto" w:fill="auto"/>
            <w:noWrap/>
            <w:vAlign w:val="bottom"/>
            <w:hideMark/>
          </w:tcPr>
          <w:p w14:paraId="663DD42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Intangible assets acquired</w:t>
            </w:r>
          </w:p>
        </w:tc>
        <w:tc>
          <w:tcPr>
            <w:tcW w:w="1440" w:type="dxa"/>
            <w:shd w:val="clear" w:color="auto" w:fill="auto"/>
            <w:noWrap/>
            <w:vAlign w:val="bottom"/>
            <w:hideMark/>
          </w:tcPr>
          <w:p w14:paraId="6D016B7B" w14:textId="1C9F5C91"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128,648</w:t>
            </w:r>
          </w:p>
        </w:tc>
        <w:tc>
          <w:tcPr>
            <w:tcW w:w="1496" w:type="dxa"/>
            <w:shd w:val="clear" w:color="auto" w:fill="auto"/>
            <w:noWrap/>
            <w:vAlign w:val="bottom"/>
            <w:hideMark/>
          </w:tcPr>
          <w:p w14:paraId="6A85432B" w14:textId="28AEE2D8"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56,822</w:t>
            </w:r>
          </w:p>
        </w:tc>
        <w:tc>
          <w:tcPr>
            <w:tcW w:w="1350" w:type="dxa"/>
            <w:shd w:val="clear" w:color="auto" w:fill="auto"/>
            <w:noWrap/>
            <w:vAlign w:val="bottom"/>
            <w:hideMark/>
          </w:tcPr>
          <w:p w14:paraId="156EC1A2" w14:textId="58414CD6"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28,885</w:t>
            </w:r>
          </w:p>
        </w:tc>
      </w:tr>
      <w:tr w:rsidR="00231552" w:rsidRPr="0081358C" w14:paraId="18A9E5E6" w14:textId="77777777" w:rsidTr="00596187">
        <w:trPr>
          <w:trHeight w:val="56"/>
          <w:jc w:val="center"/>
        </w:trPr>
        <w:tc>
          <w:tcPr>
            <w:tcW w:w="5035" w:type="dxa"/>
            <w:shd w:val="clear" w:color="auto" w:fill="auto"/>
            <w:noWrap/>
            <w:vAlign w:val="bottom"/>
            <w:hideMark/>
          </w:tcPr>
          <w:p w14:paraId="0E194C0B" w14:textId="449C1B28" w:rsidR="00231552" w:rsidRPr="0081358C" w:rsidRDefault="00231552" w:rsidP="00802A3C">
            <w:pPr>
              <w:rPr>
                <w:rFonts w:ascii="Arial" w:hAnsi="Arial" w:cs="Arial"/>
                <w:color w:val="000000"/>
                <w:lang w:val="en-GB"/>
              </w:rPr>
            </w:pPr>
            <w:r w:rsidRPr="0081358C">
              <w:rPr>
                <w:rFonts w:ascii="Arial" w:hAnsi="Arial" w:cs="Arial"/>
                <w:color w:val="000000"/>
                <w:lang w:val="en-GB"/>
              </w:rPr>
              <w:t>Acquisition of Health Dialog &amp; RediClinic</w:t>
            </w:r>
            <w:r w:rsidR="00721C33">
              <w:rPr>
                <w:rFonts w:ascii="Arial" w:hAnsi="Arial" w:cs="Arial"/>
                <w:color w:val="000000"/>
                <w:lang w:val="en-GB"/>
              </w:rPr>
              <w:t xml:space="preserve"> LLC</w:t>
            </w:r>
            <w:r w:rsidRPr="0081358C">
              <w:rPr>
                <w:rFonts w:ascii="Arial" w:hAnsi="Arial" w:cs="Arial"/>
                <w:color w:val="000000"/>
                <w:lang w:val="en-GB"/>
              </w:rPr>
              <w:t>, net of cash acquired</w:t>
            </w:r>
          </w:p>
        </w:tc>
        <w:tc>
          <w:tcPr>
            <w:tcW w:w="1440" w:type="dxa"/>
            <w:shd w:val="clear" w:color="auto" w:fill="auto"/>
            <w:noWrap/>
            <w:vAlign w:val="bottom"/>
            <w:hideMark/>
          </w:tcPr>
          <w:p w14:paraId="7B86EC41" w14:textId="5C2D9BCF"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1,778,377</w:t>
            </w:r>
          </w:p>
        </w:tc>
        <w:tc>
          <w:tcPr>
            <w:tcW w:w="1496" w:type="dxa"/>
            <w:shd w:val="clear" w:color="auto" w:fill="auto"/>
            <w:noWrap/>
            <w:vAlign w:val="bottom"/>
            <w:hideMark/>
          </w:tcPr>
          <w:p w14:paraId="0222648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C77BD6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bl>
    <w:p w14:paraId="6901AF1D" w14:textId="2C4BEBE9" w:rsidR="00596187" w:rsidRDefault="00596187" w:rsidP="00D15070">
      <w:pPr>
        <w:pStyle w:val="ExhibitHeading"/>
        <w:keepNext/>
        <w:rPr>
          <w:lang w:val="en-GB"/>
        </w:rPr>
      </w:pPr>
      <w:r>
        <w:rPr>
          <w:lang w:val="en-GB"/>
        </w:rPr>
        <w:lastRenderedPageBreak/>
        <w:t>Exhibit 4 (continued)</w:t>
      </w:r>
    </w:p>
    <w:p w14:paraId="77A60FA0" w14:textId="77777777" w:rsidR="00596187" w:rsidRPr="0081358C" w:rsidRDefault="00596187" w:rsidP="00D15070">
      <w:pPr>
        <w:pStyle w:val="ExhibitText"/>
        <w:keepNext/>
        <w:rPr>
          <w:lang w:val="en-GB"/>
        </w:rPr>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40"/>
        <w:gridCol w:w="1496"/>
        <w:gridCol w:w="1350"/>
      </w:tblGrid>
      <w:tr w:rsidR="00231552" w:rsidRPr="0081358C" w14:paraId="3B0FB232" w14:textId="77777777" w:rsidTr="00596187">
        <w:trPr>
          <w:trHeight w:val="56"/>
          <w:jc w:val="center"/>
        </w:trPr>
        <w:tc>
          <w:tcPr>
            <w:tcW w:w="5035" w:type="dxa"/>
            <w:shd w:val="clear" w:color="auto" w:fill="auto"/>
            <w:noWrap/>
            <w:vAlign w:val="bottom"/>
            <w:hideMark/>
          </w:tcPr>
          <w:p w14:paraId="48E56C11" w14:textId="77777777" w:rsidR="00231552" w:rsidRPr="0081358C" w:rsidRDefault="00231552" w:rsidP="00D15070">
            <w:pPr>
              <w:keepNext/>
              <w:rPr>
                <w:rFonts w:ascii="Arial" w:hAnsi="Arial" w:cs="Arial"/>
                <w:color w:val="000000"/>
                <w:lang w:val="en-GB"/>
              </w:rPr>
            </w:pPr>
            <w:r w:rsidRPr="0081358C">
              <w:rPr>
                <w:rFonts w:ascii="Arial" w:hAnsi="Arial" w:cs="Arial"/>
                <w:color w:val="000000"/>
                <w:lang w:val="en-GB"/>
              </w:rPr>
              <w:t>Proceeds from insured loss</w:t>
            </w:r>
          </w:p>
        </w:tc>
        <w:tc>
          <w:tcPr>
            <w:tcW w:w="1440" w:type="dxa"/>
            <w:shd w:val="clear" w:color="auto" w:fill="auto"/>
            <w:noWrap/>
            <w:vAlign w:val="bottom"/>
            <w:hideMark/>
          </w:tcPr>
          <w:p w14:paraId="246F94E8" w14:textId="77777777" w:rsidR="00231552" w:rsidRPr="0081358C" w:rsidRDefault="00231552" w:rsidP="00D15070">
            <w:pPr>
              <w:keepNext/>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67B03BC1" w14:textId="77777777" w:rsidR="00231552" w:rsidRPr="0081358C" w:rsidRDefault="00231552" w:rsidP="00D15070">
            <w:pPr>
              <w:keepNext/>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6EF15325" w14:textId="77777777" w:rsidR="00231552" w:rsidRPr="0081358C" w:rsidRDefault="00231552" w:rsidP="00D15070">
            <w:pPr>
              <w:keepNext/>
              <w:jc w:val="right"/>
              <w:rPr>
                <w:rFonts w:ascii="Arial" w:hAnsi="Arial" w:cs="Arial"/>
                <w:color w:val="000000"/>
                <w:lang w:val="en-GB"/>
              </w:rPr>
            </w:pPr>
            <w:r w:rsidRPr="0081358C">
              <w:rPr>
                <w:rFonts w:ascii="Arial" w:hAnsi="Arial" w:cs="Arial"/>
                <w:color w:val="000000"/>
                <w:lang w:val="en-GB"/>
              </w:rPr>
              <w:t>4,239</w:t>
            </w:r>
          </w:p>
        </w:tc>
      </w:tr>
      <w:tr w:rsidR="00231552" w:rsidRPr="0081358C" w14:paraId="3776C9B1" w14:textId="77777777" w:rsidTr="00596187">
        <w:trPr>
          <w:trHeight w:val="71"/>
          <w:jc w:val="center"/>
        </w:trPr>
        <w:tc>
          <w:tcPr>
            <w:tcW w:w="5035" w:type="dxa"/>
            <w:shd w:val="clear" w:color="auto" w:fill="auto"/>
            <w:noWrap/>
            <w:vAlign w:val="bottom"/>
            <w:hideMark/>
          </w:tcPr>
          <w:p w14:paraId="6433F67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Proceeds from sale-leaseback transactions</w:t>
            </w:r>
          </w:p>
        </w:tc>
        <w:tc>
          <w:tcPr>
            <w:tcW w:w="1440" w:type="dxa"/>
            <w:shd w:val="clear" w:color="auto" w:fill="auto"/>
            <w:noWrap/>
            <w:vAlign w:val="bottom"/>
            <w:hideMark/>
          </w:tcPr>
          <w:p w14:paraId="388305F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36,732</w:t>
            </w:r>
          </w:p>
        </w:tc>
        <w:tc>
          <w:tcPr>
            <w:tcW w:w="1496" w:type="dxa"/>
            <w:shd w:val="clear" w:color="auto" w:fill="auto"/>
            <w:noWrap/>
            <w:vAlign w:val="bottom"/>
            <w:hideMark/>
          </w:tcPr>
          <w:p w14:paraId="1588298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23ACCE6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3A45FCF4" w14:textId="77777777" w:rsidTr="00596187">
        <w:trPr>
          <w:trHeight w:val="56"/>
          <w:jc w:val="center"/>
        </w:trPr>
        <w:tc>
          <w:tcPr>
            <w:tcW w:w="5035" w:type="dxa"/>
            <w:shd w:val="clear" w:color="auto" w:fill="auto"/>
            <w:noWrap/>
            <w:vAlign w:val="bottom"/>
            <w:hideMark/>
          </w:tcPr>
          <w:p w14:paraId="63244C5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Proceeds from dispositions of assets &amp; investments</w:t>
            </w:r>
          </w:p>
        </w:tc>
        <w:tc>
          <w:tcPr>
            <w:tcW w:w="1440" w:type="dxa"/>
            <w:shd w:val="clear" w:color="auto" w:fill="auto"/>
            <w:noWrap/>
            <w:vAlign w:val="bottom"/>
            <w:hideMark/>
          </w:tcPr>
          <w:p w14:paraId="0291729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9,782</w:t>
            </w:r>
          </w:p>
        </w:tc>
        <w:tc>
          <w:tcPr>
            <w:tcW w:w="1496" w:type="dxa"/>
            <w:shd w:val="clear" w:color="auto" w:fill="auto"/>
            <w:noWrap/>
            <w:vAlign w:val="bottom"/>
            <w:hideMark/>
          </w:tcPr>
          <w:p w14:paraId="20E4A05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16,852</w:t>
            </w:r>
          </w:p>
        </w:tc>
        <w:tc>
          <w:tcPr>
            <w:tcW w:w="1350" w:type="dxa"/>
            <w:shd w:val="clear" w:color="auto" w:fill="auto"/>
            <w:noWrap/>
            <w:vAlign w:val="bottom"/>
            <w:hideMark/>
          </w:tcPr>
          <w:p w14:paraId="7DE7A23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27,586</w:t>
            </w:r>
          </w:p>
        </w:tc>
      </w:tr>
      <w:tr w:rsidR="00231552" w:rsidRPr="0081358C" w14:paraId="668EC98A" w14:textId="77777777" w:rsidTr="00596187">
        <w:trPr>
          <w:trHeight w:val="56"/>
          <w:jc w:val="center"/>
        </w:trPr>
        <w:tc>
          <w:tcPr>
            <w:tcW w:w="5035" w:type="dxa"/>
            <w:shd w:val="clear" w:color="auto" w:fill="auto"/>
            <w:noWrap/>
            <w:vAlign w:val="bottom"/>
            <w:hideMark/>
          </w:tcPr>
          <w:p w14:paraId="2A05FDA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Proceeds from lease termination</w:t>
            </w:r>
          </w:p>
        </w:tc>
        <w:tc>
          <w:tcPr>
            <w:tcW w:w="1440" w:type="dxa"/>
            <w:shd w:val="clear" w:color="auto" w:fill="auto"/>
            <w:noWrap/>
            <w:vAlign w:val="bottom"/>
            <w:hideMark/>
          </w:tcPr>
          <w:p w14:paraId="42E191F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62A897F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8DA377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0CF73BBF" w14:textId="77777777" w:rsidTr="00596187">
        <w:trPr>
          <w:trHeight w:val="56"/>
          <w:jc w:val="center"/>
        </w:trPr>
        <w:tc>
          <w:tcPr>
            <w:tcW w:w="5035" w:type="dxa"/>
            <w:shd w:val="clear" w:color="auto" w:fill="auto"/>
            <w:noWrap/>
            <w:vAlign w:val="bottom"/>
            <w:hideMark/>
          </w:tcPr>
          <w:p w14:paraId="0ED68FF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Proceeds from insured loss</w:t>
            </w:r>
          </w:p>
        </w:tc>
        <w:tc>
          <w:tcPr>
            <w:tcW w:w="1440" w:type="dxa"/>
            <w:shd w:val="clear" w:color="auto" w:fill="auto"/>
            <w:noWrap/>
            <w:vAlign w:val="bottom"/>
            <w:hideMark/>
          </w:tcPr>
          <w:p w14:paraId="585DF8F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8249D0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1FA80C9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255FF547" w14:textId="77777777" w:rsidTr="00596187">
        <w:trPr>
          <w:trHeight w:val="56"/>
          <w:jc w:val="center"/>
        </w:trPr>
        <w:tc>
          <w:tcPr>
            <w:tcW w:w="5035" w:type="dxa"/>
            <w:shd w:val="clear" w:color="auto" w:fill="auto"/>
            <w:noWrap/>
            <w:vAlign w:val="bottom"/>
            <w:hideMark/>
          </w:tcPr>
          <w:p w14:paraId="03BBC7C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cash flows from investing activities</w:t>
            </w:r>
          </w:p>
        </w:tc>
        <w:tc>
          <w:tcPr>
            <w:tcW w:w="1440" w:type="dxa"/>
            <w:shd w:val="clear" w:color="auto" w:fill="auto"/>
            <w:noWrap/>
            <w:vAlign w:val="bottom"/>
            <w:hideMark/>
          </w:tcPr>
          <w:p w14:paraId="55EC22BD" w14:textId="5CBF4DE2"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2,401,858</w:t>
            </w:r>
          </w:p>
        </w:tc>
        <w:tc>
          <w:tcPr>
            <w:tcW w:w="1496" w:type="dxa"/>
            <w:shd w:val="clear" w:color="auto" w:fill="auto"/>
            <w:noWrap/>
            <w:vAlign w:val="bottom"/>
            <w:hideMark/>
          </w:tcPr>
          <w:p w14:paraId="5EFD99C1" w14:textId="321BB058"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464,259</w:t>
            </w:r>
          </w:p>
        </w:tc>
        <w:tc>
          <w:tcPr>
            <w:tcW w:w="1350" w:type="dxa"/>
            <w:shd w:val="clear" w:color="auto" w:fill="auto"/>
            <w:noWrap/>
            <w:vAlign w:val="bottom"/>
            <w:hideMark/>
          </w:tcPr>
          <w:p w14:paraId="42006CEF" w14:textId="6B48E041"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182,939</w:t>
            </w:r>
          </w:p>
        </w:tc>
      </w:tr>
      <w:tr w:rsidR="00231552" w:rsidRPr="0081358C" w14:paraId="0FF910C4" w14:textId="77777777" w:rsidTr="00596187">
        <w:trPr>
          <w:trHeight w:val="56"/>
          <w:jc w:val="center"/>
        </w:trPr>
        <w:tc>
          <w:tcPr>
            <w:tcW w:w="5035" w:type="dxa"/>
            <w:shd w:val="clear" w:color="auto" w:fill="auto"/>
            <w:noWrap/>
            <w:vAlign w:val="bottom"/>
            <w:hideMark/>
          </w:tcPr>
          <w:p w14:paraId="4CBB0CF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Proceeds from issuance of long-term debt</w:t>
            </w:r>
          </w:p>
        </w:tc>
        <w:tc>
          <w:tcPr>
            <w:tcW w:w="1440" w:type="dxa"/>
            <w:shd w:val="clear" w:color="auto" w:fill="auto"/>
            <w:noWrap/>
            <w:vAlign w:val="bottom"/>
            <w:hideMark/>
          </w:tcPr>
          <w:p w14:paraId="3EED475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1,800,000</w:t>
            </w:r>
          </w:p>
        </w:tc>
        <w:tc>
          <w:tcPr>
            <w:tcW w:w="1496" w:type="dxa"/>
            <w:shd w:val="clear" w:color="auto" w:fill="auto"/>
            <w:noWrap/>
            <w:vAlign w:val="bottom"/>
            <w:hideMark/>
          </w:tcPr>
          <w:p w14:paraId="2FD74FE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221A66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5E56540B" w14:textId="77777777" w:rsidTr="00596187">
        <w:trPr>
          <w:trHeight w:val="56"/>
          <w:jc w:val="center"/>
        </w:trPr>
        <w:tc>
          <w:tcPr>
            <w:tcW w:w="5035" w:type="dxa"/>
            <w:shd w:val="clear" w:color="auto" w:fill="auto"/>
            <w:noWrap/>
            <w:vAlign w:val="bottom"/>
            <w:hideMark/>
          </w:tcPr>
          <w:p w14:paraId="6104D8C9"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(payments to) proceeds from revolver</w:t>
            </w:r>
          </w:p>
        </w:tc>
        <w:tc>
          <w:tcPr>
            <w:tcW w:w="1440" w:type="dxa"/>
            <w:shd w:val="clear" w:color="auto" w:fill="auto"/>
            <w:noWrap/>
            <w:vAlign w:val="bottom"/>
            <w:hideMark/>
          </w:tcPr>
          <w:p w14:paraId="11FD8FF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375,000</w:t>
            </w:r>
          </w:p>
        </w:tc>
        <w:tc>
          <w:tcPr>
            <w:tcW w:w="1496" w:type="dxa"/>
            <w:shd w:val="clear" w:color="auto" w:fill="auto"/>
            <w:noWrap/>
            <w:vAlign w:val="bottom"/>
            <w:hideMark/>
          </w:tcPr>
          <w:p w14:paraId="478863E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330,000</w:t>
            </w:r>
          </w:p>
        </w:tc>
        <w:tc>
          <w:tcPr>
            <w:tcW w:w="1350" w:type="dxa"/>
            <w:shd w:val="clear" w:color="auto" w:fill="auto"/>
            <w:noWrap/>
            <w:vAlign w:val="bottom"/>
            <w:hideMark/>
          </w:tcPr>
          <w:p w14:paraId="566E3E3B" w14:textId="65D017F8"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265,000</w:t>
            </w:r>
          </w:p>
        </w:tc>
      </w:tr>
      <w:tr w:rsidR="00231552" w:rsidRPr="0081358C" w14:paraId="74BCE4E1" w14:textId="77777777" w:rsidTr="00596187">
        <w:trPr>
          <w:trHeight w:val="56"/>
          <w:jc w:val="center"/>
        </w:trPr>
        <w:tc>
          <w:tcPr>
            <w:tcW w:w="5035" w:type="dxa"/>
            <w:shd w:val="clear" w:color="auto" w:fill="auto"/>
            <w:noWrap/>
            <w:vAlign w:val="bottom"/>
            <w:hideMark/>
          </w:tcPr>
          <w:p w14:paraId="30E31871"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Principal payments on long-term debt</w:t>
            </w:r>
          </w:p>
        </w:tc>
        <w:tc>
          <w:tcPr>
            <w:tcW w:w="1440" w:type="dxa"/>
            <w:shd w:val="clear" w:color="auto" w:fill="auto"/>
            <w:noWrap/>
            <w:vAlign w:val="bottom"/>
            <w:hideMark/>
          </w:tcPr>
          <w:p w14:paraId="132D76DA" w14:textId="7B3476C2"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672,717</w:t>
            </w:r>
          </w:p>
        </w:tc>
        <w:tc>
          <w:tcPr>
            <w:tcW w:w="1496" w:type="dxa"/>
            <w:shd w:val="clear" w:color="auto" w:fill="auto"/>
            <w:noWrap/>
            <w:vAlign w:val="bottom"/>
            <w:hideMark/>
          </w:tcPr>
          <w:p w14:paraId="52354DD4" w14:textId="26BCDF5F"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21,239</w:t>
            </w:r>
          </w:p>
        </w:tc>
        <w:tc>
          <w:tcPr>
            <w:tcW w:w="1350" w:type="dxa"/>
            <w:shd w:val="clear" w:color="auto" w:fill="auto"/>
            <w:noWrap/>
            <w:vAlign w:val="bottom"/>
            <w:hideMark/>
          </w:tcPr>
          <w:p w14:paraId="61F7A68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-9,882</w:t>
            </w:r>
          </w:p>
        </w:tc>
      </w:tr>
      <w:tr w:rsidR="00231552" w:rsidRPr="0081358C" w14:paraId="10593B1D" w14:textId="77777777" w:rsidTr="00596187">
        <w:trPr>
          <w:trHeight w:val="56"/>
          <w:jc w:val="center"/>
        </w:trPr>
        <w:tc>
          <w:tcPr>
            <w:tcW w:w="5035" w:type="dxa"/>
            <w:shd w:val="clear" w:color="auto" w:fill="auto"/>
            <w:noWrap/>
            <w:vAlign w:val="bottom"/>
            <w:hideMark/>
          </w:tcPr>
          <w:p w14:paraId="0DA58965" w14:textId="36D212C2" w:rsidR="00231552" w:rsidRPr="0081358C" w:rsidRDefault="00231552" w:rsidP="00802A3C">
            <w:pPr>
              <w:rPr>
                <w:rFonts w:ascii="Arial" w:hAnsi="Arial" w:cs="Arial"/>
                <w:color w:val="000000"/>
                <w:lang w:val="en-GB"/>
              </w:rPr>
            </w:pPr>
            <w:r w:rsidRPr="0081358C">
              <w:rPr>
                <w:rFonts w:ascii="Arial" w:hAnsi="Arial" w:cs="Arial"/>
                <w:color w:val="000000"/>
                <w:lang w:val="en-GB"/>
              </w:rPr>
              <w:t xml:space="preserve">Change in </w:t>
            </w:r>
            <w:r w:rsidR="00187762">
              <w:rPr>
                <w:rFonts w:ascii="Arial" w:hAnsi="Arial" w:cs="Arial"/>
                <w:color w:val="000000"/>
                <w:lang w:val="en-GB"/>
              </w:rPr>
              <w:t>zero-balance</w:t>
            </w:r>
            <w:r w:rsidRPr="0081358C">
              <w:rPr>
                <w:rFonts w:ascii="Arial" w:hAnsi="Arial" w:cs="Arial"/>
                <w:color w:val="000000"/>
                <w:lang w:val="en-GB"/>
              </w:rPr>
              <w:t xml:space="preserve"> cash account</w:t>
            </w:r>
          </w:p>
        </w:tc>
        <w:tc>
          <w:tcPr>
            <w:tcW w:w="1440" w:type="dxa"/>
            <w:shd w:val="clear" w:color="auto" w:fill="auto"/>
            <w:noWrap/>
            <w:vAlign w:val="bottom"/>
            <w:hideMark/>
          </w:tcPr>
          <w:p w14:paraId="2294B2B2" w14:textId="34266EC0"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62,878</w:t>
            </w:r>
          </w:p>
        </w:tc>
        <w:tc>
          <w:tcPr>
            <w:tcW w:w="1496" w:type="dxa"/>
            <w:shd w:val="clear" w:color="auto" w:fill="auto"/>
            <w:noWrap/>
            <w:vAlign w:val="bottom"/>
            <w:hideMark/>
          </w:tcPr>
          <w:p w14:paraId="3D9829A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43,080</w:t>
            </w:r>
          </w:p>
        </w:tc>
        <w:tc>
          <w:tcPr>
            <w:tcW w:w="1350" w:type="dxa"/>
            <w:shd w:val="clear" w:color="auto" w:fill="auto"/>
            <w:noWrap/>
            <w:vAlign w:val="bottom"/>
            <w:hideMark/>
          </w:tcPr>
          <w:p w14:paraId="1184024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35,605</w:t>
            </w:r>
          </w:p>
        </w:tc>
      </w:tr>
      <w:tr w:rsidR="00231552" w:rsidRPr="0081358C" w14:paraId="19517EFD" w14:textId="77777777" w:rsidTr="00596187">
        <w:trPr>
          <w:trHeight w:val="56"/>
          <w:jc w:val="center"/>
        </w:trPr>
        <w:tc>
          <w:tcPr>
            <w:tcW w:w="5035" w:type="dxa"/>
            <w:shd w:val="clear" w:color="auto" w:fill="auto"/>
            <w:noWrap/>
            <w:vAlign w:val="bottom"/>
            <w:hideMark/>
          </w:tcPr>
          <w:p w14:paraId="4A3D73A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proceeds from issuance of common stock</w:t>
            </w:r>
          </w:p>
        </w:tc>
        <w:tc>
          <w:tcPr>
            <w:tcW w:w="1440" w:type="dxa"/>
            <w:shd w:val="clear" w:color="auto" w:fill="auto"/>
            <w:noWrap/>
            <w:vAlign w:val="bottom"/>
            <w:hideMark/>
          </w:tcPr>
          <w:p w14:paraId="328B407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11,376</w:t>
            </w:r>
          </w:p>
        </w:tc>
        <w:tc>
          <w:tcPr>
            <w:tcW w:w="1496" w:type="dxa"/>
            <w:shd w:val="clear" w:color="auto" w:fill="auto"/>
            <w:noWrap/>
            <w:vAlign w:val="bottom"/>
            <w:hideMark/>
          </w:tcPr>
          <w:p w14:paraId="2333CFF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6,951</w:t>
            </w:r>
          </w:p>
        </w:tc>
        <w:tc>
          <w:tcPr>
            <w:tcW w:w="1350" w:type="dxa"/>
            <w:shd w:val="clear" w:color="auto" w:fill="auto"/>
            <w:noWrap/>
            <w:vAlign w:val="bottom"/>
            <w:hideMark/>
          </w:tcPr>
          <w:p w14:paraId="15BD46C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5,796</w:t>
            </w:r>
          </w:p>
        </w:tc>
      </w:tr>
      <w:tr w:rsidR="00231552" w:rsidRPr="0081358C" w14:paraId="6B69E68C" w14:textId="77777777" w:rsidTr="00596187">
        <w:trPr>
          <w:trHeight w:val="56"/>
          <w:jc w:val="center"/>
        </w:trPr>
        <w:tc>
          <w:tcPr>
            <w:tcW w:w="5035" w:type="dxa"/>
            <w:shd w:val="clear" w:color="auto" w:fill="auto"/>
            <w:noWrap/>
            <w:vAlign w:val="bottom"/>
            <w:hideMark/>
          </w:tcPr>
          <w:p w14:paraId="66816DF3"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Payments for the repurchased of preferred stock</w:t>
            </w:r>
          </w:p>
        </w:tc>
        <w:tc>
          <w:tcPr>
            <w:tcW w:w="1440" w:type="dxa"/>
            <w:shd w:val="clear" w:color="auto" w:fill="auto"/>
            <w:noWrap/>
            <w:vAlign w:val="bottom"/>
            <w:hideMark/>
          </w:tcPr>
          <w:p w14:paraId="0E63EC6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A70FF3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4BFAB12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2C2B9341" w14:textId="77777777" w:rsidTr="00596187">
        <w:trPr>
          <w:trHeight w:val="56"/>
          <w:jc w:val="center"/>
        </w:trPr>
        <w:tc>
          <w:tcPr>
            <w:tcW w:w="5035" w:type="dxa"/>
            <w:shd w:val="clear" w:color="auto" w:fill="auto"/>
            <w:noWrap/>
            <w:vAlign w:val="bottom"/>
            <w:hideMark/>
          </w:tcPr>
          <w:p w14:paraId="58BE8577"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Financing fees paid for early debt redemption</w:t>
            </w:r>
          </w:p>
        </w:tc>
        <w:tc>
          <w:tcPr>
            <w:tcW w:w="1440" w:type="dxa"/>
            <w:shd w:val="clear" w:color="auto" w:fill="auto"/>
            <w:noWrap/>
            <w:vAlign w:val="bottom"/>
            <w:hideMark/>
          </w:tcPr>
          <w:p w14:paraId="201302C5" w14:textId="41738029"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26,003</w:t>
            </w:r>
          </w:p>
        </w:tc>
        <w:tc>
          <w:tcPr>
            <w:tcW w:w="1496" w:type="dxa"/>
            <w:shd w:val="clear" w:color="auto" w:fill="auto"/>
            <w:noWrap/>
            <w:vAlign w:val="bottom"/>
            <w:hideMark/>
          </w:tcPr>
          <w:p w14:paraId="145DFF8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521C91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435F5077" w14:textId="77777777" w:rsidTr="00596187">
        <w:trPr>
          <w:trHeight w:val="71"/>
          <w:jc w:val="center"/>
        </w:trPr>
        <w:tc>
          <w:tcPr>
            <w:tcW w:w="5035" w:type="dxa"/>
            <w:shd w:val="clear" w:color="auto" w:fill="auto"/>
            <w:noWrap/>
            <w:vAlign w:val="bottom"/>
            <w:hideMark/>
          </w:tcPr>
          <w:p w14:paraId="1EBCE4AE"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Excess tax deduction on stock options &amp; restricted stock</w:t>
            </w:r>
          </w:p>
        </w:tc>
        <w:tc>
          <w:tcPr>
            <w:tcW w:w="1440" w:type="dxa"/>
            <w:shd w:val="clear" w:color="auto" w:fill="auto"/>
            <w:noWrap/>
            <w:vAlign w:val="bottom"/>
            <w:hideMark/>
          </w:tcPr>
          <w:p w14:paraId="4F9DA64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22,884</w:t>
            </w:r>
          </w:p>
        </w:tc>
        <w:tc>
          <w:tcPr>
            <w:tcW w:w="1496" w:type="dxa"/>
            <w:shd w:val="clear" w:color="auto" w:fill="auto"/>
            <w:noWrap/>
            <w:vAlign w:val="bottom"/>
            <w:hideMark/>
          </w:tcPr>
          <w:p w14:paraId="6E01AF9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543</w:t>
            </w:r>
          </w:p>
        </w:tc>
        <w:tc>
          <w:tcPr>
            <w:tcW w:w="1350" w:type="dxa"/>
            <w:shd w:val="clear" w:color="auto" w:fill="auto"/>
            <w:noWrap/>
            <w:vAlign w:val="bottom"/>
            <w:hideMark/>
          </w:tcPr>
          <w:p w14:paraId="51B90E1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521CAFC6" w14:textId="77777777" w:rsidTr="00596187">
        <w:trPr>
          <w:trHeight w:val="98"/>
          <w:jc w:val="center"/>
        </w:trPr>
        <w:tc>
          <w:tcPr>
            <w:tcW w:w="5035" w:type="dxa"/>
            <w:shd w:val="clear" w:color="auto" w:fill="auto"/>
            <w:noWrap/>
            <w:vAlign w:val="bottom"/>
            <w:hideMark/>
          </w:tcPr>
          <w:p w14:paraId="3A9ECE95"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Deferred financing costs paid</w:t>
            </w:r>
          </w:p>
        </w:tc>
        <w:tc>
          <w:tcPr>
            <w:tcW w:w="1440" w:type="dxa"/>
            <w:shd w:val="clear" w:color="auto" w:fill="auto"/>
            <w:noWrap/>
            <w:vAlign w:val="bottom"/>
            <w:hideMark/>
          </w:tcPr>
          <w:p w14:paraId="7967EC70" w14:textId="07087885"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34,634</w:t>
            </w:r>
          </w:p>
        </w:tc>
        <w:tc>
          <w:tcPr>
            <w:tcW w:w="1496" w:type="dxa"/>
            <w:shd w:val="clear" w:color="auto" w:fill="auto"/>
            <w:noWrap/>
            <w:vAlign w:val="bottom"/>
            <w:hideMark/>
          </w:tcPr>
          <w:p w14:paraId="22E67B6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F17E0E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r>
      <w:tr w:rsidR="00231552" w:rsidRPr="0081358C" w14:paraId="20566C9E" w14:textId="77777777" w:rsidTr="00596187">
        <w:trPr>
          <w:trHeight w:val="56"/>
          <w:jc w:val="center"/>
        </w:trPr>
        <w:tc>
          <w:tcPr>
            <w:tcW w:w="5035" w:type="dxa"/>
            <w:shd w:val="clear" w:color="auto" w:fill="auto"/>
            <w:noWrap/>
            <w:vAlign w:val="bottom"/>
            <w:hideMark/>
          </w:tcPr>
          <w:p w14:paraId="31902A74" w14:textId="77777777" w:rsidR="00231552" w:rsidRPr="0081358C" w:rsidRDefault="00231552" w:rsidP="00802A3C">
            <w:pPr>
              <w:rPr>
                <w:rFonts w:ascii="Arial" w:hAnsi="Arial" w:cs="Arial"/>
                <w:color w:val="000000"/>
                <w:spacing w:val="-6"/>
                <w:kern w:val="20"/>
                <w:lang w:val="en-GB"/>
              </w:rPr>
            </w:pPr>
            <w:r w:rsidRPr="0081358C">
              <w:rPr>
                <w:rFonts w:ascii="Arial" w:hAnsi="Arial" w:cs="Arial"/>
                <w:color w:val="000000"/>
                <w:spacing w:val="-6"/>
                <w:kern w:val="20"/>
                <w:lang w:val="en-GB"/>
              </w:rPr>
              <w:t>Payment for taxes related to net share settlement of equity awards</w:t>
            </w:r>
          </w:p>
        </w:tc>
        <w:tc>
          <w:tcPr>
            <w:tcW w:w="1440" w:type="dxa"/>
            <w:shd w:val="clear" w:color="auto" w:fill="auto"/>
            <w:noWrap/>
            <w:vAlign w:val="bottom"/>
            <w:hideMark/>
          </w:tcPr>
          <w:p w14:paraId="02B970B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1F260EC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12108F4E" w14:textId="6B042EB3"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4,103</w:t>
            </w:r>
          </w:p>
        </w:tc>
      </w:tr>
      <w:tr w:rsidR="00231552" w:rsidRPr="0081358C" w14:paraId="52A9217E" w14:textId="77777777" w:rsidTr="00596187">
        <w:trPr>
          <w:trHeight w:val="71"/>
          <w:jc w:val="center"/>
        </w:trPr>
        <w:tc>
          <w:tcPr>
            <w:tcW w:w="5035" w:type="dxa"/>
            <w:shd w:val="clear" w:color="auto" w:fill="auto"/>
            <w:noWrap/>
            <w:vAlign w:val="bottom"/>
            <w:hideMark/>
          </w:tcPr>
          <w:p w14:paraId="2E91B59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cash flows from financing activities</w:t>
            </w:r>
          </w:p>
        </w:tc>
        <w:tc>
          <w:tcPr>
            <w:tcW w:w="1440" w:type="dxa"/>
            <w:shd w:val="clear" w:color="auto" w:fill="auto"/>
            <w:noWrap/>
            <w:vAlign w:val="bottom"/>
            <w:hideMark/>
          </w:tcPr>
          <w:p w14:paraId="26F0A45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1,413,028</w:t>
            </w:r>
          </w:p>
        </w:tc>
        <w:tc>
          <w:tcPr>
            <w:tcW w:w="1496" w:type="dxa"/>
            <w:shd w:val="clear" w:color="auto" w:fill="auto"/>
            <w:noWrap/>
            <w:vAlign w:val="bottom"/>
            <w:hideMark/>
          </w:tcPr>
          <w:p w14:paraId="78DE98A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359,335</w:t>
            </w:r>
          </w:p>
        </w:tc>
        <w:tc>
          <w:tcPr>
            <w:tcW w:w="1350" w:type="dxa"/>
            <w:shd w:val="clear" w:color="auto" w:fill="auto"/>
            <w:noWrap/>
            <w:vAlign w:val="bottom"/>
            <w:hideMark/>
          </w:tcPr>
          <w:p w14:paraId="0E93AEE4" w14:textId="1A808590"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237,584</w:t>
            </w:r>
          </w:p>
        </w:tc>
      </w:tr>
      <w:tr w:rsidR="00231552" w:rsidRPr="0081358C" w14:paraId="77729400" w14:textId="77777777" w:rsidTr="00596187">
        <w:trPr>
          <w:trHeight w:val="56"/>
          <w:jc w:val="center"/>
        </w:trPr>
        <w:tc>
          <w:tcPr>
            <w:tcW w:w="5035" w:type="dxa"/>
            <w:shd w:val="clear" w:color="auto" w:fill="auto"/>
            <w:noWrap/>
            <w:vAlign w:val="bottom"/>
            <w:hideMark/>
          </w:tcPr>
          <w:p w14:paraId="719F7F0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Operating activities of discontinued operations</w:t>
            </w:r>
          </w:p>
        </w:tc>
        <w:tc>
          <w:tcPr>
            <w:tcW w:w="1440" w:type="dxa"/>
            <w:shd w:val="clear" w:color="auto" w:fill="auto"/>
            <w:noWrap/>
            <w:vAlign w:val="bottom"/>
            <w:hideMark/>
          </w:tcPr>
          <w:p w14:paraId="0ED9CC5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548135D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7BFB6C31" w14:textId="4F909497"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245,126</w:t>
            </w:r>
          </w:p>
        </w:tc>
      </w:tr>
      <w:tr w:rsidR="00231552" w:rsidRPr="0081358C" w14:paraId="7C7419A6" w14:textId="77777777" w:rsidTr="00596187">
        <w:trPr>
          <w:trHeight w:val="56"/>
          <w:jc w:val="center"/>
        </w:trPr>
        <w:tc>
          <w:tcPr>
            <w:tcW w:w="5035" w:type="dxa"/>
            <w:shd w:val="clear" w:color="auto" w:fill="auto"/>
            <w:noWrap/>
            <w:vAlign w:val="bottom"/>
            <w:hideMark/>
          </w:tcPr>
          <w:p w14:paraId="01A4BC1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Investing activities of discontinued operations</w:t>
            </w:r>
          </w:p>
        </w:tc>
        <w:tc>
          <w:tcPr>
            <w:tcW w:w="1440" w:type="dxa"/>
            <w:shd w:val="clear" w:color="auto" w:fill="auto"/>
            <w:noWrap/>
            <w:vAlign w:val="bottom"/>
            <w:hideMark/>
          </w:tcPr>
          <w:p w14:paraId="27D15E9B"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2627316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489E501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3,496,222</w:t>
            </w:r>
          </w:p>
        </w:tc>
      </w:tr>
      <w:tr w:rsidR="00231552" w:rsidRPr="0081358C" w14:paraId="3A90708C" w14:textId="77777777" w:rsidTr="00596187">
        <w:trPr>
          <w:trHeight w:val="56"/>
          <w:jc w:val="center"/>
        </w:trPr>
        <w:tc>
          <w:tcPr>
            <w:tcW w:w="5035" w:type="dxa"/>
            <w:shd w:val="clear" w:color="auto" w:fill="auto"/>
            <w:noWrap/>
            <w:vAlign w:val="bottom"/>
            <w:hideMark/>
          </w:tcPr>
          <w:p w14:paraId="0D08E4CD"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Financing activities of discontinued operations</w:t>
            </w:r>
          </w:p>
        </w:tc>
        <w:tc>
          <w:tcPr>
            <w:tcW w:w="1440" w:type="dxa"/>
            <w:shd w:val="clear" w:color="auto" w:fill="auto"/>
            <w:noWrap/>
            <w:vAlign w:val="bottom"/>
            <w:hideMark/>
          </w:tcPr>
          <w:p w14:paraId="293E4AB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55C60C53"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29D3B9ED" w14:textId="78A1564B" w:rsidR="00231552" w:rsidRPr="0081358C" w:rsidRDefault="00B132E4" w:rsidP="00802A3C">
            <w:pPr>
              <w:jc w:val="right"/>
              <w:rPr>
                <w:rFonts w:ascii="Arial" w:hAnsi="Arial" w:cs="Arial"/>
                <w:color w:val="000000"/>
                <w:lang w:val="en-GB"/>
              </w:rPr>
            </w:pPr>
            <w:r>
              <w:rPr>
                <w:rFonts w:ascii="Arial" w:hAnsi="Arial" w:cs="Arial"/>
                <w:color w:val="000000"/>
                <w:lang w:val="en-GB"/>
              </w:rPr>
              <w:t>−</w:t>
            </w:r>
            <w:r w:rsidR="00231552" w:rsidRPr="0081358C">
              <w:rPr>
                <w:rFonts w:ascii="Arial" w:hAnsi="Arial" w:cs="Arial"/>
                <w:color w:val="000000"/>
                <w:lang w:val="en-GB"/>
              </w:rPr>
              <w:t>3,140,119</w:t>
            </w:r>
          </w:p>
        </w:tc>
      </w:tr>
      <w:tr w:rsidR="00231552" w:rsidRPr="0081358C" w14:paraId="40E24723" w14:textId="77777777" w:rsidTr="00596187">
        <w:trPr>
          <w:trHeight w:val="56"/>
          <w:jc w:val="center"/>
        </w:trPr>
        <w:tc>
          <w:tcPr>
            <w:tcW w:w="5035" w:type="dxa"/>
            <w:shd w:val="clear" w:color="auto" w:fill="auto"/>
            <w:noWrap/>
            <w:vAlign w:val="bottom"/>
            <w:hideMark/>
          </w:tcPr>
          <w:p w14:paraId="523A6E38"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Net cash flows from discontinued operations</w:t>
            </w:r>
          </w:p>
        </w:tc>
        <w:tc>
          <w:tcPr>
            <w:tcW w:w="1440" w:type="dxa"/>
            <w:shd w:val="clear" w:color="auto" w:fill="auto"/>
            <w:noWrap/>
            <w:vAlign w:val="bottom"/>
            <w:hideMark/>
          </w:tcPr>
          <w:p w14:paraId="26A33F8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496" w:type="dxa"/>
            <w:shd w:val="clear" w:color="auto" w:fill="auto"/>
            <w:noWrap/>
            <w:vAlign w:val="bottom"/>
            <w:hideMark/>
          </w:tcPr>
          <w:p w14:paraId="5FC7CD37"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w:t>
            </w:r>
          </w:p>
        </w:tc>
        <w:tc>
          <w:tcPr>
            <w:tcW w:w="1350" w:type="dxa"/>
            <w:shd w:val="clear" w:color="auto" w:fill="auto"/>
            <w:noWrap/>
            <w:vAlign w:val="bottom"/>
            <w:hideMark/>
          </w:tcPr>
          <w:p w14:paraId="0F18AE45"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110,977</w:t>
            </w:r>
          </w:p>
        </w:tc>
      </w:tr>
      <w:tr w:rsidR="00231552" w:rsidRPr="0081358C" w14:paraId="22D8C975" w14:textId="77777777" w:rsidTr="00596187">
        <w:trPr>
          <w:trHeight w:val="56"/>
          <w:jc w:val="center"/>
        </w:trPr>
        <w:tc>
          <w:tcPr>
            <w:tcW w:w="5035" w:type="dxa"/>
            <w:shd w:val="clear" w:color="auto" w:fill="auto"/>
            <w:noWrap/>
            <w:vAlign w:val="bottom"/>
            <w:hideMark/>
          </w:tcPr>
          <w:p w14:paraId="43CFDACA"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Increase (decrease) in cash &amp; cash equivalent</w:t>
            </w:r>
          </w:p>
        </w:tc>
        <w:tc>
          <w:tcPr>
            <w:tcW w:w="1440" w:type="dxa"/>
            <w:shd w:val="clear" w:color="auto" w:fill="auto"/>
            <w:noWrap/>
            <w:vAlign w:val="bottom"/>
            <w:hideMark/>
          </w:tcPr>
          <w:p w14:paraId="18093F6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8,572</w:t>
            </w:r>
          </w:p>
        </w:tc>
        <w:tc>
          <w:tcPr>
            <w:tcW w:w="1496" w:type="dxa"/>
            <w:shd w:val="clear" w:color="auto" w:fill="auto"/>
            <w:noWrap/>
            <w:vAlign w:val="bottom"/>
            <w:hideMark/>
          </w:tcPr>
          <w:p w14:paraId="35D1A829"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120,939</w:t>
            </w:r>
          </w:p>
        </w:tc>
        <w:tc>
          <w:tcPr>
            <w:tcW w:w="1350" w:type="dxa"/>
            <w:shd w:val="clear" w:color="auto" w:fill="auto"/>
            <w:noWrap/>
            <w:vAlign w:val="bottom"/>
            <w:hideMark/>
          </w:tcPr>
          <w:p w14:paraId="472CF5A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201,924</w:t>
            </w:r>
          </w:p>
        </w:tc>
      </w:tr>
      <w:tr w:rsidR="00231552" w:rsidRPr="0081358C" w14:paraId="31739443" w14:textId="77777777" w:rsidTr="00596187">
        <w:trPr>
          <w:trHeight w:val="56"/>
          <w:jc w:val="center"/>
        </w:trPr>
        <w:tc>
          <w:tcPr>
            <w:tcW w:w="5035" w:type="dxa"/>
            <w:shd w:val="clear" w:color="auto" w:fill="auto"/>
            <w:noWrap/>
            <w:vAlign w:val="bottom"/>
            <w:hideMark/>
          </w:tcPr>
          <w:p w14:paraId="35BFBC5C"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Cash &amp; cash equivalents, beginning of year</w:t>
            </w:r>
          </w:p>
        </w:tc>
        <w:tc>
          <w:tcPr>
            <w:tcW w:w="1440" w:type="dxa"/>
            <w:shd w:val="clear" w:color="auto" w:fill="auto"/>
            <w:noWrap/>
            <w:vAlign w:val="bottom"/>
            <w:hideMark/>
          </w:tcPr>
          <w:p w14:paraId="17A9F6C2"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115,899</w:t>
            </w:r>
          </w:p>
        </w:tc>
        <w:tc>
          <w:tcPr>
            <w:tcW w:w="1496" w:type="dxa"/>
            <w:shd w:val="clear" w:color="auto" w:fill="auto"/>
            <w:noWrap/>
            <w:vAlign w:val="bottom"/>
            <w:hideMark/>
          </w:tcPr>
          <w:p w14:paraId="6E6C221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124,471</w:t>
            </w:r>
          </w:p>
        </w:tc>
        <w:tc>
          <w:tcPr>
            <w:tcW w:w="1350" w:type="dxa"/>
            <w:shd w:val="clear" w:color="auto" w:fill="auto"/>
            <w:noWrap/>
            <w:vAlign w:val="bottom"/>
            <w:hideMark/>
          </w:tcPr>
          <w:p w14:paraId="45643C8C"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245,410</w:t>
            </w:r>
          </w:p>
        </w:tc>
      </w:tr>
      <w:tr w:rsidR="00231552" w:rsidRPr="0081358C" w14:paraId="49C5CC40" w14:textId="77777777" w:rsidTr="00596187">
        <w:trPr>
          <w:trHeight w:val="56"/>
          <w:jc w:val="center"/>
        </w:trPr>
        <w:tc>
          <w:tcPr>
            <w:tcW w:w="5035" w:type="dxa"/>
            <w:shd w:val="clear" w:color="auto" w:fill="auto"/>
            <w:noWrap/>
            <w:vAlign w:val="bottom"/>
            <w:hideMark/>
          </w:tcPr>
          <w:p w14:paraId="3A0B9A2B"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Cash &amp; cash equivalents, end of year</w:t>
            </w:r>
          </w:p>
        </w:tc>
        <w:tc>
          <w:tcPr>
            <w:tcW w:w="1440" w:type="dxa"/>
            <w:shd w:val="clear" w:color="auto" w:fill="auto"/>
            <w:noWrap/>
            <w:vAlign w:val="bottom"/>
            <w:hideMark/>
          </w:tcPr>
          <w:p w14:paraId="6A263691"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124,471</w:t>
            </w:r>
          </w:p>
        </w:tc>
        <w:tc>
          <w:tcPr>
            <w:tcW w:w="1496" w:type="dxa"/>
            <w:shd w:val="clear" w:color="auto" w:fill="auto"/>
            <w:noWrap/>
            <w:vAlign w:val="bottom"/>
            <w:hideMark/>
          </w:tcPr>
          <w:p w14:paraId="57083570"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245,410</w:t>
            </w:r>
          </w:p>
        </w:tc>
        <w:tc>
          <w:tcPr>
            <w:tcW w:w="1350" w:type="dxa"/>
            <w:shd w:val="clear" w:color="auto" w:fill="auto"/>
            <w:noWrap/>
            <w:vAlign w:val="bottom"/>
            <w:hideMark/>
          </w:tcPr>
          <w:p w14:paraId="70F6DE94"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447,334</w:t>
            </w:r>
          </w:p>
        </w:tc>
      </w:tr>
      <w:tr w:rsidR="00231552" w:rsidRPr="0081358C" w14:paraId="5A99461B" w14:textId="77777777" w:rsidTr="00596187">
        <w:trPr>
          <w:trHeight w:val="56"/>
          <w:jc w:val="center"/>
        </w:trPr>
        <w:tc>
          <w:tcPr>
            <w:tcW w:w="5035" w:type="dxa"/>
            <w:shd w:val="clear" w:color="auto" w:fill="auto"/>
            <w:noWrap/>
            <w:vAlign w:val="bottom"/>
            <w:hideMark/>
          </w:tcPr>
          <w:p w14:paraId="44399016"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Cash paid for interest expense, net</w:t>
            </w:r>
          </w:p>
        </w:tc>
        <w:tc>
          <w:tcPr>
            <w:tcW w:w="1440" w:type="dxa"/>
            <w:shd w:val="clear" w:color="auto" w:fill="auto"/>
            <w:noWrap/>
            <w:vAlign w:val="bottom"/>
            <w:hideMark/>
          </w:tcPr>
          <w:p w14:paraId="6F5977DA"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403,727</w:t>
            </w:r>
          </w:p>
        </w:tc>
        <w:tc>
          <w:tcPr>
            <w:tcW w:w="1496" w:type="dxa"/>
            <w:shd w:val="clear" w:color="auto" w:fill="auto"/>
            <w:noWrap/>
            <w:vAlign w:val="bottom"/>
            <w:hideMark/>
          </w:tcPr>
          <w:p w14:paraId="5657DA8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409,692</w:t>
            </w:r>
          </w:p>
        </w:tc>
        <w:tc>
          <w:tcPr>
            <w:tcW w:w="1350" w:type="dxa"/>
            <w:shd w:val="clear" w:color="auto" w:fill="auto"/>
            <w:noWrap/>
            <w:vAlign w:val="bottom"/>
            <w:hideMark/>
          </w:tcPr>
          <w:p w14:paraId="03687D3D"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405,579</w:t>
            </w:r>
          </w:p>
        </w:tc>
      </w:tr>
      <w:tr w:rsidR="00231552" w:rsidRPr="0081358C" w14:paraId="3FAA73F3" w14:textId="77777777" w:rsidTr="00596187">
        <w:trPr>
          <w:trHeight w:val="56"/>
          <w:jc w:val="center"/>
        </w:trPr>
        <w:tc>
          <w:tcPr>
            <w:tcW w:w="5035" w:type="dxa"/>
            <w:shd w:val="clear" w:color="auto" w:fill="auto"/>
            <w:noWrap/>
            <w:vAlign w:val="bottom"/>
            <w:hideMark/>
          </w:tcPr>
          <w:p w14:paraId="45235572" w14:textId="77777777" w:rsidR="00231552" w:rsidRPr="0081358C" w:rsidRDefault="00231552" w:rsidP="00802A3C">
            <w:pPr>
              <w:rPr>
                <w:rFonts w:ascii="Arial" w:hAnsi="Arial" w:cs="Arial"/>
                <w:color w:val="000000"/>
                <w:lang w:val="en-GB"/>
              </w:rPr>
            </w:pPr>
            <w:r w:rsidRPr="0081358C">
              <w:rPr>
                <w:rFonts w:ascii="Arial" w:hAnsi="Arial" w:cs="Arial"/>
                <w:color w:val="000000"/>
                <w:lang w:val="en-GB"/>
              </w:rPr>
              <w:t>Cash payments (refunds) from income taxes, net</w:t>
            </w:r>
          </w:p>
        </w:tc>
        <w:tc>
          <w:tcPr>
            <w:tcW w:w="1440" w:type="dxa"/>
            <w:shd w:val="clear" w:color="auto" w:fill="auto"/>
            <w:noWrap/>
            <w:vAlign w:val="bottom"/>
            <w:hideMark/>
          </w:tcPr>
          <w:p w14:paraId="7791D5DF"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4,856</w:t>
            </w:r>
          </w:p>
        </w:tc>
        <w:tc>
          <w:tcPr>
            <w:tcW w:w="1496" w:type="dxa"/>
            <w:shd w:val="clear" w:color="auto" w:fill="auto"/>
            <w:noWrap/>
            <w:vAlign w:val="bottom"/>
            <w:hideMark/>
          </w:tcPr>
          <w:p w14:paraId="30C6B596"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17,081</w:t>
            </w:r>
          </w:p>
        </w:tc>
        <w:tc>
          <w:tcPr>
            <w:tcW w:w="1350" w:type="dxa"/>
            <w:shd w:val="clear" w:color="auto" w:fill="auto"/>
            <w:noWrap/>
            <w:vAlign w:val="bottom"/>
            <w:hideMark/>
          </w:tcPr>
          <w:p w14:paraId="523112C8" w14:textId="77777777" w:rsidR="00231552" w:rsidRPr="0081358C" w:rsidRDefault="00231552" w:rsidP="00802A3C">
            <w:pPr>
              <w:jc w:val="right"/>
              <w:rPr>
                <w:rFonts w:ascii="Arial" w:hAnsi="Arial" w:cs="Arial"/>
                <w:color w:val="000000"/>
                <w:lang w:val="en-GB"/>
              </w:rPr>
            </w:pPr>
            <w:r w:rsidRPr="0081358C">
              <w:rPr>
                <w:rFonts w:ascii="Arial" w:hAnsi="Arial" w:cs="Arial"/>
                <w:color w:val="000000"/>
                <w:lang w:val="en-GB"/>
              </w:rPr>
              <w:t>87,087</w:t>
            </w:r>
          </w:p>
        </w:tc>
      </w:tr>
    </w:tbl>
    <w:p w14:paraId="6AB9675D" w14:textId="77777777" w:rsidR="00231552" w:rsidRPr="0081358C" w:rsidRDefault="00231552" w:rsidP="00802A3C">
      <w:pPr>
        <w:pStyle w:val="ExhibitText"/>
        <w:rPr>
          <w:sz w:val="12"/>
          <w:szCs w:val="12"/>
          <w:lang w:val="en-GB"/>
        </w:rPr>
      </w:pPr>
    </w:p>
    <w:p w14:paraId="5CE397CB" w14:textId="1ECC779E" w:rsidR="00103A57" w:rsidRDefault="00103A57" w:rsidP="00802A3C">
      <w:pPr>
        <w:pStyle w:val="Footnote"/>
        <w:rPr>
          <w:lang w:val="en-GB"/>
        </w:rPr>
      </w:pPr>
      <w:r>
        <w:rPr>
          <w:lang w:val="en-GB"/>
        </w:rPr>
        <w:t>Note: LIFO = last in, first out.</w:t>
      </w:r>
    </w:p>
    <w:p w14:paraId="2677F710" w14:textId="0DDB796A" w:rsidR="00231552" w:rsidRPr="0081358C" w:rsidRDefault="00596187" w:rsidP="00802A3C">
      <w:pPr>
        <w:pStyle w:val="Footnote"/>
        <w:rPr>
          <w:lang w:val="en-GB"/>
        </w:rPr>
      </w:pPr>
      <w:r w:rsidRPr="0081358C">
        <w:rPr>
          <w:lang w:val="en-GB"/>
        </w:rPr>
        <w:t xml:space="preserve">Source: Rite Aid </w:t>
      </w:r>
      <w:r>
        <w:rPr>
          <w:lang w:val="en-GB"/>
        </w:rPr>
        <w:t>Corporation</w:t>
      </w:r>
      <w:r w:rsidRPr="0081358C">
        <w:rPr>
          <w:lang w:val="en-GB"/>
        </w:rPr>
        <w:t>, “Company Financials</w:t>
      </w:r>
      <w:r>
        <w:rPr>
          <w:lang w:val="en-GB"/>
        </w:rPr>
        <w:t>,</w:t>
      </w:r>
      <w:r w:rsidRPr="0081358C">
        <w:rPr>
          <w:lang w:val="en-GB"/>
        </w:rPr>
        <w:t>” Mergent Online, accessed December 26, 2018.</w:t>
      </w:r>
      <w:r w:rsidR="00231552" w:rsidRPr="0081358C">
        <w:rPr>
          <w:i/>
          <w:lang w:val="en-GB"/>
        </w:rPr>
        <w:br w:type="page"/>
      </w:r>
    </w:p>
    <w:p w14:paraId="0A7415D4" w14:textId="23FE31B6" w:rsidR="00B87DC0" w:rsidRPr="0081358C" w:rsidRDefault="00231552" w:rsidP="00231552">
      <w:pPr>
        <w:pStyle w:val="Casehead1"/>
        <w:rPr>
          <w:lang w:val="en-GB"/>
        </w:rPr>
      </w:pPr>
      <w:r w:rsidRPr="0081358C">
        <w:rPr>
          <w:lang w:val="en-GB"/>
        </w:rPr>
        <w:lastRenderedPageBreak/>
        <w:t>endnotes</w:t>
      </w:r>
    </w:p>
    <w:sectPr w:rsidR="00B87DC0" w:rsidRPr="0081358C"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D29B5" w16cid:durableId="21211116"/>
  <w16cid:commentId w16cid:paraId="10B23080" w16cid:durableId="2120D33D"/>
  <w16cid:commentId w16cid:paraId="7BFF61D0" w16cid:durableId="2120D738"/>
  <w16cid:commentId w16cid:paraId="5C3B891B" w16cid:durableId="21210035"/>
  <w16cid:commentId w16cid:paraId="7316EA07" w16cid:durableId="21210238"/>
  <w16cid:commentId w16cid:paraId="16ECB02D" w16cid:durableId="2121042C"/>
  <w16cid:commentId w16cid:paraId="1839F16E" w16cid:durableId="21210379"/>
  <w16cid:commentId w16cid:paraId="364404FC" w16cid:durableId="21210E1D"/>
  <w16cid:commentId w16cid:paraId="33865F8F" w16cid:durableId="212105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E8526" w14:textId="77777777" w:rsidR="002621C2" w:rsidRDefault="002621C2" w:rsidP="00D75295">
      <w:r>
        <w:separator/>
      </w:r>
    </w:p>
  </w:endnote>
  <w:endnote w:type="continuationSeparator" w:id="0">
    <w:p w14:paraId="19C5EDCA" w14:textId="77777777" w:rsidR="002621C2" w:rsidRDefault="002621C2" w:rsidP="00D75295">
      <w:r>
        <w:continuationSeparator/>
      </w:r>
    </w:p>
  </w:endnote>
  <w:endnote w:id="1">
    <w:p w14:paraId="15C198B0" w14:textId="674488CE" w:rsidR="002621C2" w:rsidRPr="0081358C" w:rsidRDefault="002621C2">
      <w:pPr>
        <w:pStyle w:val="EndnoteText"/>
        <w:rPr>
          <w:lang w:val="en-GB"/>
        </w:rPr>
      </w:pPr>
      <w:r w:rsidRPr="0081358C">
        <w:rPr>
          <w:rStyle w:val="EndnoteReference"/>
          <w:lang w:val="en-GB"/>
        </w:rPr>
        <w:endnoteRef/>
      </w:r>
      <w:r w:rsidRPr="0081358C">
        <w:rPr>
          <w:lang w:val="en-GB"/>
        </w:rPr>
        <w:t xml:space="preserve"> </w:t>
      </w:r>
      <w:r w:rsidRPr="0081358C">
        <w:rPr>
          <w:rFonts w:ascii="Arial" w:hAnsi="Arial" w:cs="Arial"/>
          <w:sz w:val="17"/>
          <w:szCs w:val="17"/>
          <w:lang w:val="en-GB"/>
        </w:rPr>
        <w:t>This case has been written on the basis of published sources only. Consequently, the interpretation and perspectives presented in this case are not necessarily those of Rite Aid Corporation or any of its employees.</w:t>
      </w:r>
    </w:p>
  </w:endnote>
  <w:endnote w:id="2">
    <w:p w14:paraId="6F9F5885" w14:textId="4C62C960" w:rsidR="002621C2" w:rsidRPr="00596187" w:rsidRDefault="002621C2">
      <w:pPr>
        <w:pStyle w:val="EndnoteText"/>
        <w:rPr>
          <w:rFonts w:ascii="Arial" w:hAnsi="Arial" w:cs="Arial"/>
          <w:sz w:val="17"/>
          <w:szCs w:val="17"/>
          <w:lang w:val="en-CA"/>
        </w:rPr>
      </w:pPr>
      <w:r w:rsidRPr="00596187">
        <w:rPr>
          <w:rStyle w:val="EndnoteReference"/>
          <w:rFonts w:ascii="Arial" w:hAnsi="Arial" w:cs="Arial"/>
          <w:sz w:val="17"/>
          <w:szCs w:val="17"/>
        </w:rPr>
        <w:endnoteRef/>
      </w:r>
      <w:r w:rsidRPr="00596187">
        <w:rPr>
          <w:rFonts w:ascii="Arial" w:hAnsi="Arial" w:cs="Arial"/>
          <w:sz w:val="17"/>
          <w:szCs w:val="17"/>
        </w:rPr>
        <w:t xml:space="preserve"> </w:t>
      </w:r>
      <w:r w:rsidRPr="00596187">
        <w:rPr>
          <w:rFonts w:ascii="Arial" w:hAnsi="Arial" w:cs="Arial"/>
          <w:sz w:val="17"/>
          <w:szCs w:val="17"/>
          <w:lang w:val="en-CA"/>
        </w:rPr>
        <w:t>All dollar amounts are in US dollars.</w:t>
      </w:r>
    </w:p>
  </w:endnote>
  <w:endnote w:id="3">
    <w:p w14:paraId="01DF1901" w14:textId="5CCA5B86"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Joseph N. DiStefano, “</w:t>
      </w:r>
      <w:r w:rsidRPr="00DF25AF">
        <w:rPr>
          <w:lang w:val="en-GB"/>
        </w:rPr>
        <w:t>Rite-Aid Investors Vote 5–1 against $3M Bonus for CEO Whose Deals Failed,”</w:t>
      </w:r>
      <w:r>
        <w:rPr>
          <w:lang w:val="en-GB"/>
        </w:rPr>
        <w:t xml:space="preserve"> </w:t>
      </w:r>
      <w:r w:rsidRPr="0081358C">
        <w:rPr>
          <w:i/>
          <w:lang w:val="en-GB"/>
        </w:rPr>
        <w:t>Philadelphia Inquirer</w:t>
      </w:r>
      <w:r w:rsidRPr="0081358C">
        <w:rPr>
          <w:lang w:val="en-GB"/>
        </w:rPr>
        <w:t xml:space="preserve">, October 30, 2018, accessed December 28, 2018, </w:t>
      </w:r>
      <w:hyperlink r:id="rId1" w:history="1">
        <w:r w:rsidRPr="0081358C">
          <w:rPr>
            <w:lang w:val="en-GB"/>
          </w:rPr>
          <w:t>www.philly.com/philly/blogs/inq-phillydeals/rite-aid-shareholders-vote-against-executive-pay-package-20181030.html</w:t>
        </w:r>
      </w:hyperlink>
      <w:r w:rsidRPr="0081358C">
        <w:rPr>
          <w:lang w:val="en-GB"/>
        </w:rPr>
        <w:t>.</w:t>
      </w:r>
    </w:p>
  </w:endnote>
  <w:endnote w:id="4">
    <w:p w14:paraId="66CEEDCA" w14:textId="36F861C9" w:rsidR="002621C2" w:rsidRPr="0081358C" w:rsidRDefault="002621C2" w:rsidP="00A60B7D">
      <w:pPr>
        <w:pStyle w:val="Footnote"/>
        <w:rPr>
          <w:lang w:val="en-GB"/>
        </w:rPr>
      </w:pPr>
      <w:r w:rsidRPr="0081358C">
        <w:rPr>
          <w:rStyle w:val="EndnoteReference"/>
          <w:lang w:val="en-GB"/>
        </w:rPr>
        <w:endnoteRef/>
      </w:r>
      <w:r>
        <w:rPr>
          <w:lang w:val="en-GB"/>
        </w:rPr>
        <w:t xml:space="preserve"> </w:t>
      </w:r>
      <w:r w:rsidRPr="0081358C">
        <w:rPr>
          <w:lang w:val="en-GB"/>
        </w:rPr>
        <w:t xml:space="preserve">Bruce Japsen, “Rite Aid, Albertsons Abort Merger on Eve of Shareholders Vote,” </w:t>
      </w:r>
      <w:r w:rsidRPr="00596187">
        <w:rPr>
          <w:i/>
          <w:lang w:val="en-GB"/>
        </w:rPr>
        <w:t>Forbes</w:t>
      </w:r>
      <w:r w:rsidRPr="0081358C">
        <w:rPr>
          <w:lang w:val="en-GB"/>
        </w:rPr>
        <w:t xml:space="preserve">, August 8, 2018, accessed December 26, 2018, </w:t>
      </w:r>
      <w:hyperlink r:id="rId2" w:history="1">
        <w:r w:rsidRPr="0081358C">
          <w:rPr>
            <w:lang w:val="en-GB"/>
          </w:rPr>
          <w:t>www.forbes.com/sites/brucejapsen/2018/08/08/rite-aid-and-albertsons-abort-merger/</w:t>
        </w:r>
      </w:hyperlink>
      <w:r w:rsidRPr="0081358C">
        <w:rPr>
          <w:lang w:val="en-GB"/>
        </w:rPr>
        <w:t>.</w:t>
      </w:r>
    </w:p>
  </w:endnote>
  <w:endnote w:id="5">
    <w:p w14:paraId="2B854197" w14:textId="01390970"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Angelica LaVito and Lauren Hirsch, “Amazon Shakes Up Drugstore Business with Deal to Buy Online Pharmacy PillPack,” CNBC, June 28, 2018, accessed December 26, 2018, </w:t>
      </w:r>
      <w:hyperlink r:id="rId3" w:history="1">
        <w:r w:rsidRPr="00F91873">
          <w:rPr>
            <w:spacing w:val="-4"/>
            <w:kern w:val="17"/>
            <w:lang w:val="en-GB"/>
          </w:rPr>
          <w:t>www.cnbc.com/2018/06/28/amazon-to-acquire-online-pharmacy-pillpack.html</w:t>
        </w:r>
      </w:hyperlink>
      <w:r w:rsidRPr="00F91873">
        <w:rPr>
          <w:spacing w:val="-4"/>
          <w:kern w:val="17"/>
          <w:lang w:val="en-GB"/>
        </w:rPr>
        <w:t>.</w:t>
      </w:r>
    </w:p>
  </w:endnote>
  <w:endnote w:id="6">
    <w:p w14:paraId="474AF342" w14:textId="29DE6273"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“Top 15 Retailers, Ranked by Total </w:t>
      </w:r>
      <w:r>
        <w:rPr>
          <w:lang w:val="en-GB"/>
        </w:rPr>
        <w:t>US</w:t>
      </w:r>
      <w:r w:rsidRPr="0081358C">
        <w:rPr>
          <w:lang w:val="en-GB"/>
        </w:rPr>
        <w:t xml:space="preserve"> Sales 2017</w:t>
      </w:r>
      <w:r>
        <w:rPr>
          <w:lang w:val="en-GB"/>
        </w:rPr>
        <w:t>,</w:t>
      </w:r>
      <w:r w:rsidRPr="0081358C">
        <w:rPr>
          <w:lang w:val="en-GB"/>
        </w:rPr>
        <w:t xml:space="preserve">” eMarketer Retail, June 28, 2018, accessed August 30, 2019, </w:t>
      </w:r>
      <w:r w:rsidRPr="0081358C">
        <w:rPr>
          <w:rStyle w:val="Hyperlink"/>
          <w:color w:val="auto"/>
          <w:u w:val="none"/>
          <w:lang w:val="en-GB"/>
        </w:rPr>
        <w:t>https://chart-na1.emarketer.com/220697/top-15-retailers-ranked-by-total-us-sales-2017</w:t>
      </w:r>
      <w:r>
        <w:rPr>
          <w:rStyle w:val="Hyperlink"/>
          <w:color w:val="auto"/>
          <w:u w:val="none"/>
          <w:lang w:val="en-GB"/>
        </w:rPr>
        <w:t>;</w:t>
      </w:r>
      <w:r w:rsidRPr="0081358C">
        <w:rPr>
          <w:lang w:val="en-GB"/>
        </w:rPr>
        <w:t xml:space="preserve"> “Store Count by State,” Walgreens: Newsroom, August 31, 2018, accessed February 12, 2019, https://news.walgreens.com/fact-sheets/store-count-by-state.htm.</w:t>
      </w:r>
    </w:p>
  </w:endnote>
  <w:endnote w:id="7">
    <w:p w14:paraId="10BDB4CE" w14:textId="77777777" w:rsidR="002621C2" w:rsidRPr="00F91873" w:rsidRDefault="002621C2" w:rsidP="00B97B46">
      <w:pPr>
        <w:pStyle w:val="Footnote"/>
        <w:rPr>
          <w:spacing w:val="-6"/>
          <w:kern w:val="17"/>
          <w:lang w:val="en-GB"/>
        </w:rPr>
      </w:pPr>
      <w:r w:rsidRPr="00F91873">
        <w:rPr>
          <w:rStyle w:val="EndnoteReference"/>
          <w:spacing w:val="-6"/>
          <w:kern w:val="17"/>
          <w:lang w:val="en-GB"/>
        </w:rPr>
        <w:endnoteRef/>
      </w:r>
      <w:r w:rsidRPr="00F91873">
        <w:rPr>
          <w:spacing w:val="-6"/>
          <w:kern w:val="17"/>
          <w:lang w:val="en-GB"/>
        </w:rPr>
        <w:t xml:space="preserve"> “Rite Aid Reports Fiscal 2018 Fourth Quarter and Full Year Results,” Rite Aid: Newsroom, April 12, 2018, accessed February 12, 2019, </w:t>
      </w:r>
      <w:hyperlink r:id="rId4" w:history="1">
        <w:r w:rsidRPr="00F91873">
          <w:rPr>
            <w:spacing w:val="-6"/>
            <w:kern w:val="17"/>
            <w:lang w:val="en-GB"/>
          </w:rPr>
          <w:t>www.riteaid.com/corporate/news/-/pressreleases/news-room/2018/rite-aid-reports-fiscal-2018-fourth-quarter-and-full-year-results</w:t>
        </w:r>
      </w:hyperlink>
      <w:r w:rsidRPr="00F91873">
        <w:rPr>
          <w:spacing w:val="-6"/>
          <w:kern w:val="17"/>
          <w:lang w:val="en-GB"/>
        </w:rPr>
        <w:t>.</w:t>
      </w:r>
    </w:p>
  </w:endnote>
  <w:endnote w:id="8">
    <w:p w14:paraId="6E637B9B" w14:textId="3EC61CD0"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Ana Swanson, “</w:t>
      </w:r>
      <w:r w:rsidRPr="009F0E9B">
        <w:rPr>
          <w:lang w:val="en-GB"/>
        </w:rPr>
        <w:t>Big Pharmaceutical Companies Are Spending Far More on Marketing than Research</w:t>
      </w:r>
      <w:r w:rsidRPr="0081358C">
        <w:rPr>
          <w:lang w:val="en-GB"/>
        </w:rPr>
        <w:t xml:space="preserve">,” </w:t>
      </w:r>
      <w:r w:rsidRPr="0081358C">
        <w:rPr>
          <w:i/>
          <w:lang w:val="en-GB"/>
        </w:rPr>
        <w:t>Washington Post,</w:t>
      </w:r>
      <w:r w:rsidRPr="0081358C">
        <w:rPr>
          <w:lang w:val="en-GB"/>
        </w:rPr>
        <w:t xml:space="preserve"> February 11, 2015, accessed July 15, 2019, </w:t>
      </w:r>
      <w:hyperlink r:id="rId5" w:history="1">
        <w:r w:rsidRPr="0081358C">
          <w:rPr>
            <w:lang w:val="en-GB"/>
          </w:rPr>
          <w:t>www.washingtonpost.com/news/wonk/wp/2015/02/11/big-pharmaceutical-companies-are-spending-far-more-on-marketing-than-research/?noredirect=on&amp;utm_term=.de0e69b5f756</w:t>
        </w:r>
      </w:hyperlink>
      <w:r w:rsidRPr="0081358C">
        <w:rPr>
          <w:lang w:val="en-GB"/>
        </w:rPr>
        <w:t>; Sasha Mortimer, “</w:t>
      </w:r>
      <w:r w:rsidRPr="00EC2F1C">
        <w:rPr>
          <w:lang w:val="en-GB"/>
        </w:rPr>
        <w:t>Investing into R&amp;D Pays Off for Some of Biotech’s Biggest Companies</w:t>
      </w:r>
      <w:r w:rsidRPr="0081358C">
        <w:rPr>
          <w:lang w:val="en-GB"/>
        </w:rPr>
        <w:t xml:space="preserve">,” BioSpace, January 2, 2019, accessed July 15, 2019, </w:t>
      </w:r>
      <w:hyperlink r:id="rId6" w:history="1">
        <w:r w:rsidRPr="0081358C">
          <w:rPr>
            <w:lang w:val="en-GB"/>
          </w:rPr>
          <w:t>www.biospace.com/article/investing-into-r-and-d-pays-off-for-some-of-biotech-s-biggest-companies/</w:t>
        </w:r>
      </w:hyperlink>
      <w:r w:rsidRPr="0081358C">
        <w:rPr>
          <w:lang w:val="en-GB"/>
        </w:rPr>
        <w:t xml:space="preserve">; John Carroll, “The Top 15 Spenders in the Global Drug R&amp;D Business: 2017,” Endpoint News, April 24, 2017, accessed July 15, 2019, </w:t>
      </w:r>
      <w:hyperlink r:id="rId7" w:history="1">
        <w:r w:rsidRPr="0081358C">
          <w:rPr>
            <w:rStyle w:val="Hyperlink"/>
            <w:color w:val="auto"/>
            <w:u w:val="none"/>
            <w:lang w:val="en-GB"/>
          </w:rPr>
          <w:t>https://endpts.com/special/top-research-budgets-in-pharma-and-biotech</w:t>
        </w:r>
      </w:hyperlink>
      <w:r w:rsidRPr="0081358C">
        <w:rPr>
          <w:rStyle w:val="Hyperlink"/>
          <w:color w:val="auto"/>
          <w:u w:val="none"/>
          <w:lang w:val="en-GB"/>
        </w:rPr>
        <w:t xml:space="preserve">. </w:t>
      </w:r>
    </w:p>
  </w:endnote>
  <w:endnote w:id="9">
    <w:p w14:paraId="7989CF5C" w14:textId="514C2872"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“How Medicare Works with Other Insurance,” Medicare.gov, accessed July 14, 2019, </w:t>
      </w:r>
      <w:hyperlink r:id="rId8" w:history="1">
        <w:r w:rsidRPr="0081358C">
          <w:rPr>
            <w:rStyle w:val="Hyperlink"/>
            <w:color w:val="auto"/>
            <w:u w:val="none"/>
            <w:lang w:val="en-GB"/>
          </w:rPr>
          <w:t>www.medicare.gov/supplements-other-insurance/how-medicare-works-with-other-insurance</w:t>
        </w:r>
      </w:hyperlink>
      <w:r w:rsidRPr="0081358C">
        <w:rPr>
          <w:lang w:val="en-GB"/>
        </w:rPr>
        <w:t xml:space="preserve">; “How Part D Works with Other Insurance,” Medicare.gov, accessed July 14, 2019, </w:t>
      </w:r>
      <w:hyperlink r:id="rId9" w:history="1">
        <w:r w:rsidRPr="0081358C">
          <w:rPr>
            <w:lang w:val="en-GB"/>
          </w:rPr>
          <w:t>www.medicare.gov/drug-coverage-part-d/how-part-d-works-with-other-insurance</w:t>
        </w:r>
      </w:hyperlink>
      <w:r w:rsidRPr="0081358C">
        <w:rPr>
          <w:lang w:val="en-GB"/>
        </w:rPr>
        <w:t>.</w:t>
      </w:r>
    </w:p>
  </w:endnote>
  <w:endnote w:id="10">
    <w:p w14:paraId="36E4E58C" w14:textId="71B88D81"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Kristina Zucchi, “How Express Scripts Makes Money,” Investopedia, July 30, 2019, accessed December 26, 2018, </w:t>
      </w:r>
      <w:hyperlink r:id="rId10" w:history="1">
        <w:r w:rsidRPr="0081358C">
          <w:rPr>
            <w:lang w:val="en-GB"/>
          </w:rPr>
          <w:t>www.investopedia.com/articles/personal-finance/072915/how-express-scripts-makes-money.asp</w:t>
        </w:r>
      </w:hyperlink>
      <w:r w:rsidRPr="0081358C">
        <w:rPr>
          <w:lang w:val="en-GB"/>
        </w:rPr>
        <w:t>.</w:t>
      </w:r>
    </w:p>
  </w:endnote>
  <w:endnote w:id="11">
    <w:p w14:paraId="0646FFB5" w14:textId="58103898"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Adam J. Fein, “2018 MDM Market Leaders | Top Pharmaceutical Distributors,” mdm, accessed July 14, 2019, </w:t>
      </w:r>
      <w:hyperlink r:id="rId11" w:history="1">
        <w:r w:rsidRPr="0081358C">
          <w:rPr>
            <w:lang w:val="en-GB"/>
          </w:rPr>
          <w:t>www.mdm.com/2017-top-pharmaceuticals-distributors</w:t>
        </w:r>
      </w:hyperlink>
      <w:r w:rsidRPr="0081358C">
        <w:rPr>
          <w:lang w:val="en-GB"/>
        </w:rPr>
        <w:t>.</w:t>
      </w:r>
    </w:p>
  </w:endnote>
  <w:endnote w:id="12">
    <w:p w14:paraId="6CCC800B" w14:textId="523ADD6E" w:rsidR="002621C2" w:rsidRPr="00F91873" w:rsidRDefault="002621C2" w:rsidP="00A60B7D">
      <w:pPr>
        <w:pStyle w:val="Footnote"/>
        <w:rPr>
          <w:spacing w:val="-2"/>
          <w:kern w:val="17"/>
          <w:lang w:val="en-GB"/>
        </w:rPr>
      </w:pPr>
      <w:r w:rsidRPr="00F91873">
        <w:rPr>
          <w:rStyle w:val="EndnoteReference"/>
          <w:spacing w:val="-2"/>
          <w:kern w:val="17"/>
          <w:lang w:val="en-GB"/>
        </w:rPr>
        <w:endnoteRef/>
      </w:r>
      <w:r w:rsidRPr="00F91873">
        <w:rPr>
          <w:spacing w:val="-2"/>
          <w:kern w:val="17"/>
          <w:lang w:val="en-GB"/>
        </w:rPr>
        <w:t xml:space="preserve"> Christopher Lombardo, “Pharmacies &amp; Drug Stores Industry in the US - Market Research Report,” IBIS World, December 2018</w:t>
      </w:r>
      <w:r w:rsidR="00F91873" w:rsidRPr="00F91873">
        <w:rPr>
          <w:spacing w:val="-2"/>
          <w:kern w:val="17"/>
          <w:lang w:val="en-GB"/>
        </w:rPr>
        <w:t>.</w:t>
      </w:r>
    </w:p>
  </w:endnote>
  <w:endnote w:id="13">
    <w:p w14:paraId="7C591629" w14:textId="26BF61A0"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Paul Gottlieb, “Three Drug Stores on the Brink: Deal to Involve Rite Aids,” </w:t>
      </w:r>
      <w:r w:rsidRPr="00596187">
        <w:rPr>
          <w:i/>
          <w:lang w:val="en-GB"/>
        </w:rPr>
        <w:t>Peninsula Daily News</w:t>
      </w:r>
      <w:r w:rsidRPr="0081358C">
        <w:rPr>
          <w:lang w:val="en-GB"/>
        </w:rPr>
        <w:t xml:space="preserve">, December 23, 2016, accessed August 22, 2018, </w:t>
      </w:r>
      <w:hyperlink r:id="rId12" w:history="1">
        <w:r w:rsidRPr="0081358C">
          <w:rPr>
            <w:lang w:val="en-GB"/>
          </w:rPr>
          <w:t>www.peninsuladailynews.com/news/three-drug-stores-on-the-brink-deal-to-involves-rite-aids/</w:t>
        </w:r>
      </w:hyperlink>
      <w:r w:rsidRPr="0081358C">
        <w:rPr>
          <w:lang w:val="en-GB"/>
        </w:rPr>
        <w:t>.</w:t>
      </w:r>
    </w:p>
  </w:endnote>
  <w:endnote w:id="14">
    <w:p w14:paraId="00B41FF4" w14:textId="572FE5F4"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“SEC Announces Fraud Charges against Former Rite Aid Senior Management,” U.S. Securities and Exchange Commission, June 21, 2002, accessed August 22, 2018, </w:t>
      </w:r>
      <w:hyperlink r:id="rId13" w:history="1">
        <w:r w:rsidRPr="0081358C">
          <w:rPr>
            <w:lang w:val="en-GB"/>
          </w:rPr>
          <w:t>www.sec.gov/news/press/2002-92.htm</w:t>
        </w:r>
      </w:hyperlink>
      <w:r w:rsidRPr="0081358C">
        <w:rPr>
          <w:lang w:val="en-GB"/>
        </w:rPr>
        <w:t xml:space="preserve">. </w:t>
      </w:r>
    </w:p>
  </w:endnote>
  <w:endnote w:id="15">
    <w:p w14:paraId="193A8D43" w14:textId="1C3B5F01"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“Management Team,” Rite Aid, accessed August 22, 2018, </w:t>
      </w:r>
      <w:hyperlink r:id="rId14" w:history="1">
        <w:r w:rsidRPr="00F91873">
          <w:rPr>
            <w:spacing w:val="-4"/>
            <w:kern w:val="17"/>
            <w:lang w:val="en-GB"/>
          </w:rPr>
          <w:t>www.riteaid.com/shop/info/corporate/governance/management-team</w:t>
        </w:r>
      </w:hyperlink>
      <w:r w:rsidRPr="00F91873">
        <w:rPr>
          <w:spacing w:val="-4"/>
          <w:kern w:val="17"/>
          <w:lang w:val="en-GB"/>
        </w:rPr>
        <w:t xml:space="preserve">. </w:t>
      </w:r>
    </w:p>
  </w:endnote>
  <w:endnote w:id="16">
    <w:p w14:paraId="764A10F7" w14:textId="6A4ECE10"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00F91873">
        <w:rPr>
          <w:spacing w:val="-4"/>
          <w:kern w:val="17"/>
          <w:lang w:val="en-GB"/>
        </w:rPr>
        <w:t> “Rite Aid Corp.,” MarketWatch, accessed August 22, </w:t>
      </w:r>
      <w:r w:rsidRPr="00F91873">
        <w:rPr>
          <w:spacing w:val="-4"/>
          <w:kern w:val="17"/>
          <w:lang w:val="en-GB"/>
        </w:rPr>
        <w:t>2018,</w:t>
      </w:r>
      <w:r w:rsidR="00F91873">
        <w:rPr>
          <w:spacing w:val="-4"/>
          <w:kern w:val="17"/>
          <w:lang w:val="en-GB"/>
        </w:rPr>
        <w:t> </w:t>
      </w:r>
      <w:hyperlink r:id="rId15" w:history="1">
        <w:r w:rsidRPr="00F91873">
          <w:rPr>
            <w:spacing w:val="-4"/>
            <w:kern w:val="17"/>
            <w:lang w:val="en-GB"/>
          </w:rPr>
          <w:t>www.marketwatch.com/investing/Stock/RAD/SecFilings?subview=secarticle&amp;sid=4118&amp;guid=7208892&amp;type=1</w:t>
        </w:r>
      </w:hyperlink>
      <w:r w:rsidRPr="00F91873">
        <w:rPr>
          <w:rStyle w:val="Hyperlink"/>
          <w:color w:val="auto"/>
          <w:spacing w:val="-4"/>
          <w:kern w:val="17"/>
          <w:u w:val="none"/>
          <w:lang w:val="en-GB"/>
        </w:rPr>
        <w:t xml:space="preserve">; Rite Aid Corporation, “Form 10-K: For the Fiscal Year Ended March 3, 2018,” United States Securities and Exchange Commission, accessed August 22, 2018, </w:t>
      </w:r>
      <w:hyperlink r:id="rId16" w:history="1">
        <w:r w:rsidRPr="00F91873">
          <w:rPr>
            <w:spacing w:val="-4"/>
            <w:kern w:val="17"/>
            <w:lang w:val="en-GB"/>
          </w:rPr>
          <w:t>www.riteaid.com/documents/45609410/73421892/annual18.pdf/a272018c-2577-3c9e-0551-4934d2138ce1</w:t>
        </w:r>
      </w:hyperlink>
      <w:r w:rsidRPr="00F91873">
        <w:rPr>
          <w:spacing w:val="-4"/>
          <w:kern w:val="17"/>
          <w:lang w:val="en-GB"/>
        </w:rPr>
        <w:t>.</w:t>
      </w:r>
    </w:p>
  </w:endnote>
  <w:endnote w:id="17">
    <w:p w14:paraId="1279BFF8" w14:textId="5308376C"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Robert Langreth, “Rite Aid Drops after Failed Merger Narrows Drugstore Options,” Bloomberg, August 8, 2018, accessed July 14, 2019, </w:t>
      </w:r>
      <w:hyperlink r:id="rId17" w:history="1">
        <w:r w:rsidRPr="0081358C">
          <w:rPr>
            <w:lang w:val="en-GB"/>
          </w:rPr>
          <w:t>www.bloomberg.com/news/articles/2018-08-09/rite-aid-and-albertsons-scrap-agreement-to-merge-operations</w:t>
        </w:r>
      </w:hyperlink>
      <w:r w:rsidRPr="0081358C">
        <w:rPr>
          <w:lang w:val="en-GB"/>
        </w:rPr>
        <w:t>.</w:t>
      </w:r>
    </w:p>
  </w:endnote>
  <w:endnote w:id="18">
    <w:p w14:paraId="63C63C12" w14:textId="6F014D2A"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Nathan Bomey, “Walgreens in $17.2B Deal to Acquire Rite Aid,” </w:t>
      </w:r>
      <w:r w:rsidRPr="0081358C">
        <w:rPr>
          <w:i/>
          <w:lang w:val="en-GB"/>
        </w:rPr>
        <w:t>USA Today</w:t>
      </w:r>
      <w:r w:rsidRPr="0081358C">
        <w:rPr>
          <w:lang w:val="en-GB"/>
        </w:rPr>
        <w:t xml:space="preserve">, October 27, 2015, accessed August 22, 2018, </w:t>
      </w:r>
      <w:hyperlink r:id="rId18" w:history="1">
        <w:r w:rsidRPr="0081358C">
          <w:rPr>
            <w:lang w:val="en-GB"/>
          </w:rPr>
          <w:t>www.usatoday.com/story/money/2015/10/27/walgreens-rite-aid/74684642/</w:t>
        </w:r>
      </w:hyperlink>
      <w:r w:rsidRPr="0081358C">
        <w:rPr>
          <w:lang w:val="en-GB"/>
        </w:rPr>
        <w:t>.</w:t>
      </w:r>
    </w:p>
  </w:endnote>
  <w:endnote w:id="19">
    <w:p w14:paraId="46FB7A78" w14:textId="127390C8"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Jill Disis, “Walgreens Finally Buys Rite Aid Stores in a Diminished Deal,” CNN Money, September 19, 2017, accessed August 22, 2018,</w:t>
      </w:r>
      <w:hyperlink r:id="rId19" w:history="1">
        <w:r w:rsidRPr="0081358C">
          <w:rPr>
            <w:lang w:val="en-GB"/>
          </w:rPr>
          <w:t xml:space="preserve"> https://money.cnn.com/2017/09/19/news/walgreens-rite-aid-deal/index.html</w:t>
        </w:r>
      </w:hyperlink>
      <w:r w:rsidRPr="0081358C">
        <w:rPr>
          <w:lang w:val="en-GB"/>
        </w:rPr>
        <w:t>.</w:t>
      </w:r>
    </w:p>
  </w:endnote>
  <w:endnote w:id="20">
    <w:p w14:paraId="38963811" w14:textId="51663D47"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Nathaniel Meyersohn, “Albertsons Agrees to Buy Rite Aid,” CNN Business, February 20, 2018, accessed August 22, 2018, </w:t>
      </w:r>
      <w:hyperlink r:id="rId20" w:history="1">
        <w:r w:rsidRPr="0081358C">
          <w:rPr>
            <w:rStyle w:val="Hyperlink"/>
            <w:color w:val="auto"/>
            <w:u w:val="none"/>
            <w:lang w:val="en-GB"/>
          </w:rPr>
          <w:t>https://money.cnn.com/2018/02/20/news/companies/albertsons-rite-aid/index.html</w:t>
        </w:r>
      </w:hyperlink>
      <w:r w:rsidRPr="0081358C">
        <w:rPr>
          <w:lang w:val="en-GB"/>
        </w:rPr>
        <w:t>.</w:t>
      </w:r>
    </w:p>
  </w:endnote>
  <w:endnote w:id="21">
    <w:p w14:paraId="75F1C248" w14:textId="41FF33C1"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James F. Peltz, “</w:t>
      </w:r>
      <w:r w:rsidRPr="004C5889">
        <w:rPr>
          <w:lang w:val="en-GB"/>
        </w:rPr>
        <w:t>Albertsons, Which Owns Grocers Vons and Safeway, Is Buying Rite Aid</w:t>
      </w:r>
      <w:r w:rsidRPr="0081358C">
        <w:rPr>
          <w:lang w:val="en-GB"/>
        </w:rPr>
        <w:t xml:space="preserve">,” </w:t>
      </w:r>
      <w:r w:rsidRPr="0081358C">
        <w:rPr>
          <w:i/>
          <w:lang w:val="en-GB"/>
        </w:rPr>
        <w:t>Los Angeles Times</w:t>
      </w:r>
      <w:r w:rsidRPr="0081358C">
        <w:rPr>
          <w:lang w:val="en-GB"/>
        </w:rPr>
        <w:t xml:space="preserve">, February 20, 2018, accessed August 22, 2018, </w:t>
      </w:r>
      <w:hyperlink r:id="rId21" w:history="1">
        <w:r w:rsidRPr="0081358C">
          <w:rPr>
            <w:lang w:val="en-GB"/>
          </w:rPr>
          <w:t>www.latimes.com/business/la-fi-albertsons-rite-aide-20180220-story.html</w:t>
        </w:r>
      </w:hyperlink>
      <w:r w:rsidRPr="0081358C">
        <w:rPr>
          <w:lang w:val="en-GB"/>
        </w:rPr>
        <w:t>.</w:t>
      </w:r>
    </w:p>
  </w:endnote>
  <w:endnote w:id="22">
    <w:p w14:paraId="56B749C1" w14:textId="76713F2A"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Japsen, op. cit.</w:t>
      </w:r>
    </w:p>
  </w:endnote>
  <w:endnote w:id="23">
    <w:p w14:paraId="509545DB" w14:textId="2E4668A7"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w:t>
      </w:r>
      <w:r w:rsidRPr="0081358C">
        <w:rPr>
          <w:i/>
          <w:lang w:val="en-GB"/>
        </w:rPr>
        <w:t>Quarterly Results:</w:t>
      </w:r>
      <w:r w:rsidRPr="0081358C">
        <w:rPr>
          <w:lang w:val="en-GB"/>
        </w:rPr>
        <w:t xml:space="preserve"> </w:t>
      </w:r>
      <w:r w:rsidRPr="0081358C">
        <w:rPr>
          <w:i/>
          <w:lang w:val="en-GB"/>
        </w:rPr>
        <w:t>Rite Aid Reports Fiscal 2018 Fourth Quarter and Full Year Results,</w:t>
      </w:r>
      <w:r w:rsidRPr="0081358C">
        <w:rPr>
          <w:lang w:val="en-GB"/>
        </w:rPr>
        <w:t xml:space="preserve"> accessed December 26, 2018, </w:t>
      </w:r>
      <w:hyperlink r:id="rId22" w:history="1">
        <w:r w:rsidRPr="0081358C">
          <w:rPr>
            <w:lang w:val="en-GB"/>
          </w:rPr>
          <w:t>www.riteaid.com/corporate/investor-relations/quarterly-results/-/pressreleases/rite-aid-reports-fiscal-2018-fourth-quarter-and-full-year-results</w:t>
        </w:r>
      </w:hyperlink>
      <w:r w:rsidRPr="0081358C">
        <w:rPr>
          <w:lang w:val="en-GB"/>
        </w:rPr>
        <w:t>.</w:t>
      </w:r>
    </w:p>
  </w:endnote>
  <w:endnote w:id="24">
    <w:p w14:paraId="09A5CD1C" w14:textId="660A00B8"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w:t>
      </w:r>
      <w:r>
        <w:rPr>
          <w:lang w:val="en-GB"/>
        </w:rPr>
        <w:t xml:space="preserve">McKesson Corporation, </w:t>
      </w:r>
      <w:r w:rsidRPr="0081358C">
        <w:rPr>
          <w:lang w:val="en-GB"/>
        </w:rPr>
        <w:t>“McKesson and Rite Aid Expand Distribution Agreement,”</w:t>
      </w:r>
      <w:r>
        <w:rPr>
          <w:lang w:val="en-GB"/>
        </w:rPr>
        <w:t xml:space="preserve"> press release,</w:t>
      </w:r>
      <w:r w:rsidRPr="0081358C">
        <w:rPr>
          <w:lang w:val="en-GB"/>
        </w:rPr>
        <w:t xml:space="preserve"> February 18, 2014, accessed August 23, 2018, </w:t>
      </w:r>
      <w:hyperlink r:id="rId23" w:history="1">
        <w:r w:rsidRPr="0081358C">
          <w:rPr>
            <w:lang w:val="en-GB"/>
          </w:rPr>
          <w:t>www.mckesson.com/about-mckesson/newsroom/press-releases/2014/mckesson-and-rite-aid-expand-distribution-agreement/</w:t>
        </w:r>
      </w:hyperlink>
      <w:r w:rsidRPr="0081358C">
        <w:rPr>
          <w:lang w:val="en-GB"/>
        </w:rPr>
        <w:t>.</w:t>
      </w:r>
    </w:p>
  </w:endnote>
  <w:endnote w:id="25">
    <w:p w14:paraId="627D0493" w14:textId="28CA76E0"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Updates Fiscal 2019 Outlook,” MarketWatch</w:t>
      </w:r>
      <w:r>
        <w:rPr>
          <w:lang w:val="en-GB"/>
        </w:rPr>
        <w:t>,</w:t>
      </w:r>
      <w:r w:rsidRPr="0081358C">
        <w:rPr>
          <w:lang w:val="en-GB"/>
        </w:rPr>
        <w:t xml:space="preserve"> August 6, 2018, accessed August 22, 2018, www.marketwatch.com/press-release/rite-aid-updates-fiscal-2019-outlook-2018-08-06; RTNews, “Rite Aid Corp. Lowers FY19 Earnings Outlook - Quick Facts,” Markets Insider, August 6, 2018, accessed August 22, 2018, </w:t>
      </w:r>
      <w:hyperlink r:id="rId24" w:history="1">
        <w:r w:rsidRPr="0081358C">
          <w:rPr>
            <w:rStyle w:val="Hyperlink"/>
            <w:color w:val="auto"/>
            <w:u w:val="none"/>
            <w:lang w:val="en-GB"/>
          </w:rPr>
          <w:t>https://markets.businessinsider.com/news/stocks/rite-aid-corp-lowers-fy19-earnings-outlook-quick-facts-1027434380</w:t>
        </w:r>
      </w:hyperlink>
      <w:r w:rsidRPr="0081358C">
        <w:rPr>
          <w:lang w:val="en-GB"/>
        </w:rPr>
        <w:t>.</w:t>
      </w:r>
    </w:p>
  </w:endnote>
  <w:endnote w:id="26">
    <w:p w14:paraId="2646BBB0" w14:textId="77777777" w:rsidR="002621C2" w:rsidRPr="0081358C" w:rsidRDefault="002621C2" w:rsidP="00A53EDC">
      <w:pPr>
        <w:pStyle w:val="Footnote"/>
        <w:rPr>
          <w:lang w:val="en-GB"/>
        </w:rPr>
      </w:pPr>
      <w:r w:rsidRPr="0081358C">
        <w:rPr>
          <w:rStyle w:val="EndnoteReference"/>
          <w:lang w:val="en-GB"/>
        </w:rPr>
        <w:endnoteRef/>
      </w:r>
      <w:r w:rsidRPr="0081358C">
        <w:rPr>
          <w:lang w:val="en-GB"/>
        </w:rPr>
        <w:t xml:space="preserve"> “Our Story,” Rite Aid, accessed December 26, 2018, </w:t>
      </w:r>
      <w:hyperlink r:id="rId25" w:history="1">
        <w:r w:rsidRPr="0081358C">
          <w:rPr>
            <w:lang w:val="en-GB"/>
          </w:rPr>
          <w:t>www.riteaid.com/about-us/our-story</w:t>
        </w:r>
      </w:hyperlink>
      <w:r w:rsidRPr="0081358C">
        <w:rPr>
          <w:lang w:val="en-GB"/>
        </w:rPr>
        <w:t>.</w:t>
      </w:r>
    </w:p>
  </w:endnote>
  <w:endnote w:id="27">
    <w:p w14:paraId="454BC342" w14:textId="19C8CE9A"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Jacob Sonenshine, “Rite Aid Gets Rocked after Cutting Drug Purchasing Efficiencies,” TheStreet, August 6, 2018, accessed December 23, 2018, </w:t>
      </w:r>
      <w:hyperlink r:id="rId26" w:history="1">
        <w:r w:rsidRPr="0081358C">
          <w:rPr>
            <w:lang w:val="en-GB"/>
          </w:rPr>
          <w:t>www.thestreet.com/markets/rite-aid-stock-price-cvs-earnings-14674203</w:t>
        </w:r>
      </w:hyperlink>
      <w:r w:rsidRPr="0081358C">
        <w:rPr>
          <w:lang w:val="en-GB"/>
        </w:rPr>
        <w:t>.</w:t>
      </w:r>
    </w:p>
  </w:endnote>
  <w:endnote w:id="28">
    <w:p w14:paraId="5BDFF962" w14:textId="77777777" w:rsidR="00777AEF" w:rsidRPr="0081358C" w:rsidRDefault="00777AEF" w:rsidP="00777AEF">
      <w:pPr>
        <w:pStyle w:val="Footnote"/>
        <w:rPr>
          <w:lang w:val="en-GB"/>
        </w:rPr>
      </w:pPr>
      <w:r w:rsidRPr="0081358C">
        <w:rPr>
          <w:rStyle w:val="EndnoteReference"/>
          <w:lang w:val="en-GB"/>
        </w:rPr>
        <w:endnoteRef/>
      </w:r>
      <w:r w:rsidRPr="0081358C">
        <w:rPr>
          <w:lang w:val="en-GB"/>
        </w:rPr>
        <w:t xml:space="preserve"> Rite Aid Corporation, “</w:t>
      </w:r>
      <w:r w:rsidRPr="0081358C">
        <w:rPr>
          <w:rStyle w:val="Hyperlink"/>
          <w:color w:val="auto"/>
          <w:u w:val="none"/>
          <w:lang w:val="en-GB"/>
        </w:rPr>
        <w:t>“Form 10-K: For the Fiscal Year Ended March 3, 2018</w:t>
      </w:r>
      <w:r w:rsidRPr="0081358C">
        <w:rPr>
          <w:lang w:val="en-GB"/>
        </w:rPr>
        <w:t>,” op. cit., 7</w:t>
      </w:r>
      <w:r>
        <w:rPr>
          <w:lang w:val="en-GB"/>
        </w:rPr>
        <w:t xml:space="preserve">, </w:t>
      </w:r>
      <w:r w:rsidRPr="0081358C">
        <w:rPr>
          <w:lang w:val="en-GB"/>
        </w:rPr>
        <w:t>9.</w:t>
      </w:r>
    </w:p>
  </w:endnote>
  <w:endnote w:id="29">
    <w:p w14:paraId="262C7065" w14:textId="4FD1AEAB"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Corporation, “</w:t>
      </w:r>
      <w:r w:rsidRPr="0081358C">
        <w:rPr>
          <w:rStyle w:val="Hyperlink"/>
          <w:color w:val="auto"/>
          <w:u w:val="none"/>
          <w:lang w:val="en-GB"/>
        </w:rPr>
        <w:t>“Form 10-K: For the Fiscal Year Ended March 3, 2018</w:t>
      </w:r>
      <w:r w:rsidRPr="0081358C">
        <w:rPr>
          <w:lang w:val="en-GB"/>
        </w:rPr>
        <w:t>,” op. cit., 7.</w:t>
      </w:r>
    </w:p>
  </w:endnote>
  <w:endnote w:id="30">
    <w:p w14:paraId="27C12BE9" w14:textId="77777777" w:rsidR="00777AEF" w:rsidRPr="0081358C" w:rsidRDefault="00777AEF" w:rsidP="00777AEF">
      <w:pPr>
        <w:pStyle w:val="Footnote"/>
        <w:rPr>
          <w:lang w:val="en-GB"/>
        </w:rPr>
      </w:pPr>
      <w:r w:rsidRPr="0081358C">
        <w:rPr>
          <w:rStyle w:val="EndnoteReference"/>
          <w:lang w:val="en-GB"/>
        </w:rPr>
        <w:endnoteRef/>
      </w:r>
      <w:r w:rsidRPr="0081358C">
        <w:rPr>
          <w:lang w:val="en-GB"/>
        </w:rPr>
        <w:t xml:space="preserve"> Ibid.</w:t>
      </w:r>
    </w:p>
  </w:endnote>
  <w:endnote w:id="31">
    <w:p w14:paraId="6F371DE4" w14:textId="3A26BCA0"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David Gelles, “Rite Aid to Buy Pharmacy Benefit Manager EnvisionRx,” </w:t>
      </w:r>
      <w:r w:rsidRPr="0081358C">
        <w:rPr>
          <w:i/>
          <w:lang w:val="en-GB"/>
        </w:rPr>
        <w:t>New York Times</w:t>
      </w:r>
      <w:r w:rsidRPr="0081358C">
        <w:rPr>
          <w:lang w:val="en-GB"/>
        </w:rPr>
        <w:t xml:space="preserve">, February 11, 2015, accessed July 14, 2019, </w:t>
      </w:r>
      <w:hyperlink r:id="rId27" w:history="1">
        <w:r w:rsidRPr="0081358C">
          <w:rPr>
            <w:rStyle w:val="Hyperlink"/>
            <w:color w:val="auto"/>
            <w:u w:val="none"/>
            <w:lang w:val="en-GB"/>
          </w:rPr>
          <w:t>https://dealbook.nytimes.com/2015/02/11/rite-aid-to-buy-pharmacy-benefit-manager-envisionrx/</w:t>
        </w:r>
      </w:hyperlink>
      <w:r w:rsidRPr="0081358C">
        <w:rPr>
          <w:lang w:val="en-GB"/>
        </w:rPr>
        <w:t>.</w:t>
      </w:r>
    </w:p>
  </w:endnote>
  <w:endnote w:id="32">
    <w:p w14:paraId="3082AF3C" w14:textId="7B1F0C2E"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Corporation, “</w:t>
      </w:r>
      <w:r w:rsidRPr="0081358C">
        <w:rPr>
          <w:rStyle w:val="Hyperlink"/>
          <w:color w:val="auto"/>
          <w:u w:val="none"/>
          <w:lang w:val="en-GB"/>
        </w:rPr>
        <w:t>“Form 10-K: For the Fiscal Year Ended March 3, 2018</w:t>
      </w:r>
      <w:r w:rsidRPr="0081358C">
        <w:rPr>
          <w:lang w:val="en-GB"/>
        </w:rPr>
        <w:t xml:space="preserve">,” op. cit. </w:t>
      </w:r>
    </w:p>
  </w:endnote>
  <w:endnote w:id="33">
    <w:p w14:paraId="208970EF" w14:textId="222846B4"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Alison Burdo, “After Walgreens Deal, Rite Aid Focusing on Growing its Pharmacy Benefits Manager,” Philadelphia Business Journal, January 4, 2018, accessed August 23, 2018, </w:t>
      </w:r>
      <w:hyperlink r:id="rId28" w:history="1">
        <w:r w:rsidRPr="0081358C">
          <w:rPr>
            <w:lang w:val="en-GB"/>
          </w:rPr>
          <w:t>www.bizjournals.com/philadelphia/news/2018/01/04/walgreens-rite-aid-envision-rx-pharmacy-benefits.html</w:t>
        </w:r>
      </w:hyperlink>
      <w:r w:rsidRPr="0081358C">
        <w:rPr>
          <w:lang w:val="en-GB"/>
        </w:rPr>
        <w:t xml:space="preserve">. </w:t>
      </w:r>
    </w:p>
  </w:endnote>
  <w:endnote w:id="34">
    <w:p w14:paraId="53BE3606" w14:textId="6F89CDD2"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Bruce Japsen, “Rite Aid Sees </w:t>
      </w:r>
      <w:r>
        <w:rPr>
          <w:lang w:val="en-GB"/>
        </w:rPr>
        <w:t>‘</w:t>
      </w:r>
      <w:r w:rsidRPr="0081358C">
        <w:rPr>
          <w:lang w:val="en-GB"/>
        </w:rPr>
        <w:t>Mid-Sized Market</w:t>
      </w:r>
      <w:r>
        <w:rPr>
          <w:lang w:val="en-GB"/>
        </w:rPr>
        <w:t>’</w:t>
      </w:r>
      <w:r w:rsidRPr="0081358C">
        <w:rPr>
          <w:lang w:val="en-GB"/>
        </w:rPr>
        <w:t xml:space="preserve"> Future for its PBM,” </w:t>
      </w:r>
      <w:r w:rsidRPr="00596187">
        <w:rPr>
          <w:i/>
          <w:lang w:val="en-GB"/>
        </w:rPr>
        <w:t>Forbes</w:t>
      </w:r>
      <w:r w:rsidRPr="0081358C">
        <w:rPr>
          <w:lang w:val="en-GB"/>
        </w:rPr>
        <w:t xml:space="preserve">, April 13. 2018, accessed August 23, 2018, </w:t>
      </w:r>
      <w:hyperlink r:id="rId29" w:anchor="579d2b033397" w:history="1">
        <w:r w:rsidRPr="0081358C">
          <w:rPr>
            <w:lang w:val="en-GB"/>
          </w:rPr>
          <w:t>www.forbes.com/sites/brucejapsen/2018/04/13/rite-aid-sees-mid-sized-market-future-for-its-pbm/#579d2b033397</w:t>
        </w:r>
      </w:hyperlink>
      <w:r w:rsidRPr="0081358C">
        <w:rPr>
          <w:rStyle w:val="Hyperlink"/>
          <w:color w:val="auto"/>
          <w:u w:val="none"/>
          <w:lang w:val="en-GB"/>
        </w:rPr>
        <w:t>.</w:t>
      </w:r>
      <w:r w:rsidRPr="0081358C">
        <w:rPr>
          <w:lang w:val="en-GB"/>
        </w:rPr>
        <w:t xml:space="preserve"> </w:t>
      </w:r>
    </w:p>
  </w:endnote>
  <w:endnote w:id="35">
    <w:p w14:paraId="432B5CAC" w14:textId="1C3B1308"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Adam J. Fein, “What Will Happen to Rite Aid’s Struggling EnvisionRx PBM?,” Drug Channels, July 25, 2017, accessed August 23, 2018, </w:t>
      </w:r>
      <w:hyperlink r:id="rId30" w:history="1">
        <w:r w:rsidRPr="0081358C">
          <w:rPr>
            <w:lang w:val="en-GB"/>
          </w:rPr>
          <w:t>www.drugchannels.net/2017/07/what-will-happen-to-rite-aids.html</w:t>
        </w:r>
      </w:hyperlink>
      <w:r w:rsidRPr="0081358C">
        <w:rPr>
          <w:lang w:val="en-GB"/>
        </w:rPr>
        <w:t>.</w:t>
      </w:r>
    </w:p>
  </w:endnote>
  <w:endnote w:id="36">
    <w:p w14:paraId="718EF9D0" w14:textId="14A9DDB7"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Corporation, “</w:t>
      </w:r>
      <w:r w:rsidRPr="0081358C">
        <w:rPr>
          <w:rStyle w:val="Hyperlink"/>
          <w:color w:val="auto"/>
          <w:u w:val="none"/>
          <w:lang w:val="en-GB"/>
        </w:rPr>
        <w:t>“Form 10-K: For the Fiscal Year Ended March 3, 2018</w:t>
      </w:r>
      <w:r w:rsidRPr="0081358C">
        <w:rPr>
          <w:lang w:val="en-GB"/>
        </w:rPr>
        <w:t>,” op. cit., 9–10.</w:t>
      </w:r>
    </w:p>
  </w:endnote>
  <w:endnote w:id="37">
    <w:p w14:paraId="15129DC5" w14:textId="3F9CD2D2"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“OneTrip Prescription Refills,” Rite Aid, March 2017, accessed July 15, 2019, </w:t>
      </w:r>
      <w:hyperlink r:id="rId31" w:history="1">
        <w:r w:rsidRPr="00F91873">
          <w:rPr>
            <w:spacing w:val="-4"/>
            <w:kern w:val="17"/>
            <w:lang w:val="en-GB"/>
          </w:rPr>
          <w:t>www.riteaid.com/articles/onetrip-prescription-refills</w:t>
        </w:r>
      </w:hyperlink>
      <w:r w:rsidRPr="00F91873">
        <w:rPr>
          <w:spacing w:val="-4"/>
          <w:kern w:val="17"/>
          <w:lang w:val="en-GB"/>
        </w:rPr>
        <w:t>.</w:t>
      </w:r>
    </w:p>
  </w:endnote>
  <w:endnote w:id="38">
    <w:p w14:paraId="2D63CF03" w14:textId="3FA90A7B"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Russell Redman, “Rite Aid's RediClinic Opens New Clinics in NJ,” APhA, March 2, 2017, accessed December 21, 2018, </w:t>
      </w:r>
      <w:hyperlink r:id="rId32" w:history="1">
        <w:r w:rsidRPr="0081358C">
          <w:rPr>
            <w:lang w:val="en-GB"/>
          </w:rPr>
          <w:t>www.pharmacist.com/article/rite-aids-rediclinic-opens-new-clinics-nj</w:t>
        </w:r>
      </w:hyperlink>
      <w:r>
        <w:rPr>
          <w:lang w:val="en-GB"/>
        </w:rPr>
        <w:t>;</w:t>
      </w:r>
      <w:r w:rsidRPr="0081358C">
        <w:rPr>
          <w:lang w:val="en-GB"/>
        </w:rPr>
        <w:t xml:space="preserve"> “RediClinic,” Rite Aid, accessed December 21, 2018, www.riteaid.com/shop/info/pharmacy/services/rediclinic.</w:t>
      </w:r>
    </w:p>
  </w:endnote>
  <w:endnote w:id="39">
    <w:p w14:paraId="69096135" w14:textId="70F4DB89"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“Health Dialog Introduces New Medication Therapy Management Services,” Health Dialog, July 24, 2017 accessed December 21, 2018, </w:t>
      </w:r>
      <w:hyperlink r:id="rId33" w:history="1">
        <w:r w:rsidRPr="00F91873">
          <w:rPr>
            <w:spacing w:val="-4"/>
            <w:kern w:val="17"/>
            <w:lang w:val="en-GB"/>
          </w:rPr>
          <w:t>www.healthdialog.com/news-events/health-dialog-introduces-new-medication-therapy-management-services</w:t>
        </w:r>
      </w:hyperlink>
      <w:r w:rsidRPr="00F91873">
        <w:rPr>
          <w:spacing w:val="-4"/>
          <w:kern w:val="17"/>
          <w:lang w:val="en-GB"/>
        </w:rPr>
        <w:t>.</w:t>
      </w:r>
    </w:p>
  </w:endnote>
  <w:endnote w:id="40">
    <w:p w14:paraId="27E31428" w14:textId="3FB482B2"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Jerry Barbee Jr., Katy Lauderdale, and Alexis Smith, “Hospital Formulary Management,” Pharmacy Times, September 28, 2017, accessed July 15, 2019, </w:t>
      </w:r>
      <w:hyperlink r:id="rId34" w:history="1">
        <w:r w:rsidRPr="0081358C">
          <w:rPr>
            <w:lang w:val="en-GB"/>
          </w:rPr>
          <w:t>www.pharmacytimes.com/publications/health-system-edition/2017/september2017/hospital-formulary-management</w:t>
        </w:r>
      </w:hyperlink>
      <w:r w:rsidRPr="0081358C">
        <w:rPr>
          <w:lang w:val="en-GB"/>
        </w:rPr>
        <w:t>.</w:t>
      </w:r>
    </w:p>
  </w:endnote>
  <w:endnote w:id="41">
    <w:p w14:paraId="4D891D92" w14:textId="2C2F5AF7"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“Select Emerging PBMs Gain Market Share,” </w:t>
      </w:r>
      <w:r>
        <w:rPr>
          <w:lang w:val="en-GB"/>
        </w:rPr>
        <w:t xml:space="preserve">Eversana, </w:t>
      </w:r>
      <w:r w:rsidRPr="0081358C">
        <w:rPr>
          <w:lang w:val="en-GB"/>
        </w:rPr>
        <w:t>February 23, 2017, accessed December 28, 2018, www.healthstrategies.com/blog/select-emerging-pbms-gain-market-share.</w:t>
      </w:r>
    </w:p>
  </w:endnote>
  <w:endnote w:id="42">
    <w:p w14:paraId="2040381E" w14:textId="7C97176B"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Rite Aid Corporation, “</w:t>
      </w:r>
      <w:r w:rsidRPr="0081358C">
        <w:rPr>
          <w:rStyle w:val="Hyperlink"/>
          <w:color w:val="auto"/>
          <w:u w:val="none"/>
          <w:lang w:val="en-GB"/>
        </w:rPr>
        <w:t>Form 10-K: For the Fiscal Year Ended March 3, 2018</w:t>
      </w:r>
      <w:r w:rsidRPr="0081358C">
        <w:rPr>
          <w:lang w:val="en-GB"/>
        </w:rPr>
        <w:t>,” op. cit., 9.</w:t>
      </w:r>
    </w:p>
  </w:endnote>
  <w:endnote w:id="43">
    <w:p w14:paraId="5AB594B7" w14:textId="4B6A5F6D"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Keith Speights, “Rite Aid Is Outperforming the S&amp;P 500 So Far in 2018: Here Are 5 Reasons Why,” The Motley Fool, January 11, 2018, accessed December 18, 2018, www.fool.com/investing/2018/01/11/rite-aid-is-outperforming-the-sp-500-so-far-in-201.aspx.</w:t>
      </w:r>
    </w:p>
  </w:endnote>
  <w:endnote w:id="44">
    <w:p w14:paraId="369CFD05" w14:textId="4ADBC6AB"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Angelica LaVito, “CVS Creates New Health-Care Giant as $69 Billion Merger with Aetna Officially Closes,” CNBC, November 28,</w:t>
      </w:r>
      <w:r>
        <w:rPr>
          <w:lang w:val="en-GB"/>
        </w:rPr>
        <w:t xml:space="preserve"> </w:t>
      </w:r>
      <w:r w:rsidRPr="0081358C">
        <w:rPr>
          <w:lang w:val="en-GB"/>
        </w:rPr>
        <w:t xml:space="preserve">2018, accessed January 1, 2019, </w:t>
      </w:r>
      <w:hyperlink r:id="rId35" w:history="1">
        <w:r w:rsidRPr="0081358C">
          <w:rPr>
            <w:lang w:val="en-GB"/>
          </w:rPr>
          <w:t>www.cnbc.com/2018/11/28/cvs-creates-new-health-care-giant-as-69-billion-aetna-merger-closes.html</w:t>
        </w:r>
      </w:hyperlink>
      <w:r w:rsidRPr="0081358C">
        <w:rPr>
          <w:lang w:val="en-GB"/>
        </w:rPr>
        <w:t xml:space="preserve">. </w:t>
      </w:r>
    </w:p>
    <w:p w14:paraId="031704B4" w14:textId="512CA930" w:rsidR="002621C2" w:rsidRPr="0081358C" w:rsidRDefault="002621C2" w:rsidP="00A60B7D">
      <w:pPr>
        <w:pStyle w:val="Footnote"/>
        <w:rPr>
          <w:lang w:val="en-GB"/>
        </w:rPr>
      </w:pPr>
      <w:r w:rsidRPr="0081358C">
        <w:rPr>
          <w:vertAlign w:val="superscript"/>
          <w:lang w:val="en-GB"/>
        </w:rPr>
        <w:t>46</w:t>
      </w:r>
      <w:r w:rsidRPr="0081358C">
        <w:rPr>
          <w:lang w:val="en-GB"/>
        </w:rPr>
        <w:t xml:space="preserve"> Angelica LaVito, “CVS CEO Merlo Gets Personal with New Data-Driven Health-Care Model in Aetna Merger,” CNBC, September 20, 2018, accessed January 1, 2019, </w:t>
      </w:r>
      <w:hyperlink r:id="rId36" w:history="1">
        <w:r w:rsidRPr="0081358C">
          <w:rPr>
            <w:lang w:val="en-GB"/>
          </w:rPr>
          <w:t>www.cnbc.com/2018/09/20/cvs-health-ceo-larry-merlo-outlines-vision-for-aetna-acquisition.html</w:t>
        </w:r>
      </w:hyperlink>
      <w:r w:rsidRPr="0081358C">
        <w:rPr>
          <w:lang w:val="en-GB"/>
        </w:rPr>
        <w:t>.</w:t>
      </w:r>
    </w:p>
  </w:endnote>
  <w:endnote w:id="45">
    <w:p w14:paraId="37ABB6E3" w14:textId="72BDA078" w:rsidR="002621C2" w:rsidRPr="0081358C" w:rsidRDefault="002621C2" w:rsidP="00C85CF8">
      <w:pPr>
        <w:pStyle w:val="EndnoteText"/>
        <w:rPr>
          <w:rFonts w:ascii="Arial" w:hAnsi="Arial" w:cs="Arial"/>
          <w:sz w:val="17"/>
          <w:szCs w:val="17"/>
          <w:lang w:val="en-GB"/>
        </w:rPr>
      </w:pPr>
      <w:r w:rsidRPr="0081358C">
        <w:rPr>
          <w:rStyle w:val="EndnoteReference"/>
          <w:rFonts w:ascii="Arial" w:hAnsi="Arial" w:cs="Arial"/>
          <w:sz w:val="17"/>
          <w:szCs w:val="17"/>
          <w:lang w:val="en-GB"/>
        </w:rPr>
        <w:endnoteRef/>
      </w:r>
      <w:r w:rsidRPr="0081358C">
        <w:rPr>
          <w:rFonts w:ascii="Arial" w:hAnsi="Arial" w:cs="Arial"/>
          <w:sz w:val="17"/>
          <w:szCs w:val="17"/>
          <w:lang w:val="en-GB"/>
        </w:rPr>
        <w:t xml:space="preserve"> Tae Kim, “</w:t>
      </w:r>
      <w:r w:rsidRPr="00B50724">
        <w:rPr>
          <w:rFonts w:ascii="Arial" w:hAnsi="Arial" w:cs="Arial"/>
          <w:sz w:val="17"/>
          <w:szCs w:val="17"/>
          <w:lang w:val="en-GB"/>
        </w:rPr>
        <w:t>Walgreens, CVS and Rite-Aid Lose $11 Billion in Value after Amazon Buys Online Pharmacy PillPack</w:t>
      </w:r>
      <w:r>
        <w:rPr>
          <w:rFonts w:ascii="Arial" w:hAnsi="Arial" w:cs="Arial"/>
          <w:sz w:val="17"/>
          <w:szCs w:val="17"/>
          <w:lang w:val="en-GB"/>
        </w:rPr>
        <w:t>,</w:t>
      </w:r>
      <w:r w:rsidRPr="0081358C">
        <w:rPr>
          <w:rFonts w:ascii="Arial" w:hAnsi="Arial" w:cs="Arial"/>
          <w:sz w:val="17"/>
          <w:szCs w:val="17"/>
          <w:lang w:val="en-GB"/>
        </w:rPr>
        <w:t xml:space="preserve">” CNBC, June 28 2018, accessed August 30, 2019, </w:t>
      </w:r>
      <w:r w:rsidR="00777AEF">
        <w:rPr>
          <w:rFonts w:ascii="Arial" w:hAnsi="Arial" w:cs="Arial"/>
          <w:sz w:val="17"/>
          <w:szCs w:val="17"/>
          <w:lang w:val="en-GB"/>
        </w:rPr>
        <w:t>www</w:t>
      </w:r>
      <w:r w:rsidRPr="0081358C">
        <w:rPr>
          <w:rFonts w:ascii="Arial" w:hAnsi="Arial" w:cs="Arial"/>
          <w:sz w:val="17"/>
          <w:szCs w:val="17"/>
          <w:lang w:val="en-GB"/>
        </w:rPr>
        <w:t>.cnbc.com/2018/06/28/walgreens-cvs-shares-tank-after-amazon-buys-online-pharmacy-pillpack.html?&amp;qsearchterm=cvs%20pillpak</w:t>
      </w:r>
      <w:r>
        <w:rPr>
          <w:rFonts w:ascii="Arial" w:hAnsi="Arial" w:cs="Arial"/>
          <w:sz w:val="17"/>
          <w:szCs w:val="17"/>
          <w:lang w:val="en-GB"/>
        </w:rPr>
        <w:t>.</w:t>
      </w:r>
    </w:p>
  </w:endnote>
  <w:endnote w:id="46">
    <w:p w14:paraId="47EB16FF" w14:textId="262211B6"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Christina Farr, “</w:t>
      </w:r>
      <w:r w:rsidRPr="00D63B37">
        <w:rPr>
          <w:lang w:val="en-GB"/>
        </w:rPr>
        <w:t>Amazon’s PillPack May Be Gearing Up to Serve the Retailer’s Employees before Broader Rollout, Analyst Says</w:t>
      </w:r>
      <w:r w:rsidRPr="0081358C">
        <w:rPr>
          <w:lang w:val="en-GB"/>
        </w:rPr>
        <w:t xml:space="preserve">,” CNBC, November 21, 2018, accessed January 1, 2019, </w:t>
      </w:r>
      <w:hyperlink r:id="rId37" w:history="1">
        <w:r w:rsidRPr="0081358C">
          <w:rPr>
            <w:lang w:val="en-GB"/>
          </w:rPr>
          <w:t>www.cnbc.com/2018/11/21/pillpack-is-applying-for-licenses-as-amazon-expands-pharmacy-business.html</w:t>
        </w:r>
      </w:hyperlink>
      <w:r>
        <w:rPr>
          <w:lang w:val="en-GB"/>
        </w:rPr>
        <w:t xml:space="preserve">; </w:t>
      </w:r>
      <w:r w:rsidRPr="0081358C">
        <w:rPr>
          <w:lang w:val="en-GB"/>
        </w:rPr>
        <w:t>Sara Salinas, “</w:t>
      </w:r>
      <w:r w:rsidRPr="00B10C48">
        <w:rPr>
          <w:lang w:val="en-GB"/>
        </w:rPr>
        <w:t>Amazon Raises Minimum Wage to $15 for All US Employees</w:t>
      </w:r>
      <w:r w:rsidRPr="0081358C">
        <w:rPr>
          <w:lang w:val="en-GB"/>
        </w:rPr>
        <w:t xml:space="preserve">,” CNBC, October 2, 2018, accessed January 1, 2019, </w:t>
      </w:r>
      <w:hyperlink r:id="rId38" w:history="1">
        <w:r w:rsidRPr="0081358C">
          <w:rPr>
            <w:lang w:val="en-GB"/>
          </w:rPr>
          <w:t>www.cnbc.com/2018/10/02/amazon-raises-minimum-wage-to-15-for-all-us-employees.html</w:t>
        </w:r>
      </w:hyperlink>
      <w:r w:rsidRPr="0081358C">
        <w:rPr>
          <w:lang w:val="en-GB"/>
        </w:rPr>
        <w:t>.</w:t>
      </w:r>
    </w:p>
  </w:endnote>
  <w:endnote w:id="47">
    <w:p w14:paraId="20DE1945" w14:textId="040E4132" w:rsidR="002621C2" w:rsidRPr="00F91873" w:rsidRDefault="002621C2" w:rsidP="00A60B7D">
      <w:pPr>
        <w:pStyle w:val="Footnote"/>
        <w:rPr>
          <w:spacing w:val="-4"/>
          <w:kern w:val="17"/>
          <w:lang w:val="en-GB"/>
        </w:rPr>
      </w:pPr>
      <w:r w:rsidRPr="00F91873">
        <w:rPr>
          <w:rStyle w:val="EndnoteReference"/>
          <w:spacing w:val="-4"/>
          <w:kern w:val="17"/>
          <w:lang w:val="en-GB"/>
        </w:rPr>
        <w:endnoteRef/>
      </w:r>
      <w:r w:rsidRPr="00F91873">
        <w:rPr>
          <w:spacing w:val="-4"/>
          <w:kern w:val="17"/>
          <w:lang w:val="en-GB"/>
        </w:rPr>
        <w:t xml:space="preserve"> Katie Thomas, Reed Abelson, and Chad Bray, “Cigna to Buy Express Scripts in $52 Billion Health Care Deal,” </w:t>
      </w:r>
      <w:r w:rsidRPr="00F91873">
        <w:rPr>
          <w:i/>
          <w:spacing w:val="-4"/>
          <w:kern w:val="17"/>
          <w:lang w:val="en-GB"/>
        </w:rPr>
        <w:t>New York Times</w:t>
      </w:r>
      <w:r w:rsidRPr="00F91873">
        <w:rPr>
          <w:spacing w:val="-4"/>
          <w:kern w:val="17"/>
          <w:lang w:val="en-GB"/>
        </w:rPr>
        <w:t xml:space="preserve">, March 8, 2018, accessed August 22, 2018, </w:t>
      </w:r>
      <w:hyperlink r:id="rId39" w:history="1">
        <w:r w:rsidRPr="00F91873">
          <w:rPr>
            <w:spacing w:val="-4"/>
            <w:kern w:val="17"/>
            <w:lang w:val="en-GB"/>
          </w:rPr>
          <w:t>www.nytimes.com/2018/03/08/business/dealbook/cigna-express-scripts.html</w:t>
        </w:r>
      </w:hyperlink>
      <w:r w:rsidRPr="00F91873">
        <w:rPr>
          <w:spacing w:val="-4"/>
          <w:kern w:val="17"/>
          <w:lang w:val="en-GB"/>
        </w:rPr>
        <w:t>.</w:t>
      </w:r>
    </w:p>
  </w:endnote>
  <w:endnote w:id="48">
    <w:p w14:paraId="037C1D60" w14:textId="2634E4A2" w:rsidR="002621C2" w:rsidRPr="0081358C" w:rsidRDefault="002621C2" w:rsidP="00A60B7D">
      <w:pPr>
        <w:pStyle w:val="Footnote"/>
        <w:rPr>
          <w:lang w:val="en-GB"/>
        </w:rPr>
      </w:pPr>
      <w:r w:rsidRPr="0081358C">
        <w:rPr>
          <w:rStyle w:val="EndnoteReference"/>
          <w:lang w:val="en-GB"/>
        </w:rPr>
        <w:endnoteRef/>
      </w:r>
      <w:r w:rsidRPr="0081358C">
        <w:rPr>
          <w:lang w:val="en-GB"/>
        </w:rPr>
        <w:t xml:space="preserve"> “Q&amp;A with Cigna CEO David Cordani on Express Scripts Transaction, ACA Exchanges,” Modern Healthcare, May 19, 2018, accessed January 1, 2019, www.modernhealthcare.com/article/20180519/NEWS/180519930.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87270" w14:textId="77777777" w:rsidR="002621C2" w:rsidRDefault="002621C2" w:rsidP="00D75295">
      <w:r>
        <w:separator/>
      </w:r>
    </w:p>
  </w:footnote>
  <w:footnote w:type="continuationSeparator" w:id="0">
    <w:p w14:paraId="690786C6" w14:textId="77777777" w:rsidR="002621C2" w:rsidRDefault="002621C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D1C7812" w:rsidR="002621C2" w:rsidRPr="00C92CC4" w:rsidRDefault="002621C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358A">
      <w:rPr>
        <w:rFonts w:ascii="Arial" w:hAnsi="Arial"/>
        <w:b/>
        <w:noProof/>
      </w:rPr>
      <w:t>2</w:t>
    </w:r>
    <w:r>
      <w:rPr>
        <w:rFonts w:ascii="Arial" w:hAnsi="Arial"/>
        <w:b/>
      </w:rPr>
      <w:fldChar w:fldCharType="end"/>
    </w:r>
    <w:r w:rsidR="00CC3BF2">
      <w:rPr>
        <w:rFonts w:ascii="Arial" w:hAnsi="Arial"/>
        <w:b/>
      </w:rPr>
      <w:tab/>
      <w:t>9B19M119</w:t>
    </w:r>
  </w:p>
  <w:p w14:paraId="2B53C0A0" w14:textId="77777777" w:rsidR="002621C2" w:rsidRDefault="002621C2" w:rsidP="00D13667">
    <w:pPr>
      <w:pStyle w:val="Header"/>
      <w:tabs>
        <w:tab w:val="clear" w:pos="4680"/>
      </w:tabs>
      <w:rPr>
        <w:sz w:val="18"/>
        <w:szCs w:val="18"/>
      </w:rPr>
    </w:pPr>
  </w:p>
  <w:p w14:paraId="47119730" w14:textId="77777777" w:rsidR="002621C2" w:rsidRPr="00C92CC4" w:rsidRDefault="002621C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2F716E"/>
    <w:multiLevelType w:val="hybridMultilevel"/>
    <w:tmpl w:val="CD2E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E4832"/>
    <w:multiLevelType w:val="hybridMultilevel"/>
    <w:tmpl w:val="C13EDC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1"/>
  </w:num>
  <w:num w:numId="5">
    <w:abstractNumId w:val="3"/>
  </w:num>
  <w:num w:numId="6">
    <w:abstractNumId w:val="9"/>
  </w:num>
  <w:num w:numId="7">
    <w:abstractNumId w:val="0"/>
  </w:num>
  <w:num w:numId="8">
    <w:abstractNumId w:val="13"/>
  </w:num>
  <w:num w:numId="9">
    <w:abstractNumId w:val="10"/>
  </w:num>
  <w:num w:numId="10">
    <w:abstractNumId w:val="1"/>
  </w:num>
  <w:num w:numId="11">
    <w:abstractNumId w:val="7"/>
  </w:num>
  <w:num w:numId="12">
    <w:abstractNumId w:val="8"/>
  </w:num>
  <w:num w:numId="13">
    <w:abstractNumId w:val="4"/>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308"/>
    <w:rsid w:val="00013360"/>
    <w:rsid w:val="00016759"/>
    <w:rsid w:val="000216CE"/>
    <w:rsid w:val="00024ED4"/>
    <w:rsid w:val="00025321"/>
    <w:rsid w:val="00025DC7"/>
    <w:rsid w:val="00035F09"/>
    <w:rsid w:val="00040BEE"/>
    <w:rsid w:val="00044ECC"/>
    <w:rsid w:val="000451FA"/>
    <w:rsid w:val="000531D3"/>
    <w:rsid w:val="0005646B"/>
    <w:rsid w:val="000610DA"/>
    <w:rsid w:val="000610FD"/>
    <w:rsid w:val="000615D1"/>
    <w:rsid w:val="00064917"/>
    <w:rsid w:val="000702F7"/>
    <w:rsid w:val="0008102D"/>
    <w:rsid w:val="0008694A"/>
    <w:rsid w:val="00086B26"/>
    <w:rsid w:val="00094C0E"/>
    <w:rsid w:val="00096E54"/>
    <w:rsid w:val="000A146D"/>
    <w:rsid w:val="000B622A"/>
    <w:rsid w:val="000B63FA"/>
    <w:rsid w:val="000D2A2F"/>
    <w:rsid w:val="000D7091"/>
    <w:rsid w:val="000F0C22"/>
    <w:rsid w:val="000F67A5"/>
    <w:rsid w:val="000F6B09"/>
    <w:rsid w:val="000F6FDC"/>
    <w:rsid w:val="00103A57"/>
    <w:rsid w:val="00104567"/>
    <w:rsid w:val="00104916"/>
    <w:rsid w:val="00104AA7"/>
    <w:rsid w:val="00116324"/>
    <w:rsid w:val="00124CFF"/>
    <w:rsid w:val="001252EB"/>
    <w:rsid w:val="0012732D"/>
    <w:rsid w:val="001432ED"/>
    <w:rsid w:val="00143F25"/>
    <w:rsid w:val="00151ED2"/>
    <w:rsid w:val="00152682"/>
    <w:rsid w:val="00154FC9"/>
    <w:rsid w:val="0016722F"/>
    <w:rsid w:val="00170E18"/>
    <w:rsid w:val="00173472"/>
    <w:rsid w:val="00174386"/>
    <w:rsid w:val="00186342"/>
    <w:rsid w:val="00187762"/>
    <w:rsid w:val="001901C0"/>
    <w:rsid w:val="0019241A"/>
    <w:rsid w:val="00192A18"/>
    <w:rsid w:val="001A22D1"/>
    <w:rsid w:val="001A752D"/>
    <w:rsid w:val="001A757E"/>
    <w:rsid w:val="001B4712"/>
    <w:rsid w:val="001B5032"/>
    <w:rsid w:val="001B64C3"/>
    <w:rsid w:val="001C0538"/>
    <w:rsid w:val="001C2176"/>
    <w:rsid w:val="001C7777"/>
    <w:rsid w:val="001D117A"/>
    <w:rsid w:val="001D1D9C"/>
    <w:rsid w:val="001D344B"/>
    <w:rsid w:val="001E364F"/>
    <w:rsid w:val="001E7390"/>
    <w:rsid w:val="001F4222"/>
    <w:rsid w:val="00203AA1"/>
    <w:rsid w:val="00213E98"/>
    <w:rsid w:val="002234C9"/>
    <w:rsid w:val="002265A6"/>
    <w:rsid w:val="00230150"/>
    <w:rsid w:val="0023081A"/>
    <w:rsid w:val="00231552"/>
    <w:rsid w:val="00233111"/>
    <w:rsid w:val="00233D01"/>
    <w:rsid w:val="0024033A"/>
    <w:rsid w:val="00242153"/>
    <w:rsid w:val="00256922"/>
    <w:rsid w:val="002621C2"/>
    <w:rsid w:val="00265FA8"/>
    <w:rsid w:val="00271644"/>
    <w:rsid w:val="00275579"/>
    <w:rsid w:val="002774B6"/>
    <w:rsid w:val="002820AE"/>
    <w:rsid w:val="00286297"/>
    <w:rsid w:val="002A358A"/>
    <w:rsid w:val="002B13A3"/>
    <w:rsid w:val="002B40FF"/>
    <w:rsid w:val="002C4E29"/>
    <w:rsid w:val="002C5253"/>
    <w:rsid w:val="002C757E"/>
    <w:rsid w:val="002D219A"/>
    <w:rsid w:val="002D5402"/>
    <w:rsid w:val="002D7DEB"/>
    <w:rsid w:val="002F266F"/>
    <w:rsid w:val="002F460C"/>
    <w:rsid w:val="002F48D6"/>
    <w:rsid w:val="00302B9A"/>
    <w:rsid w:val="00304B5B"/>
    <w:rsid w:val="003078DC"/>
    <w:rsid w:val="00307A36"/>
    <w:rsid w:val="00317391"/>
    <w:rsid w:val="00317CB4"/>
    <w:rsid w:val="00326216"/>
    <w:rsid w:val="0032634A"/>
    <w:rsid w:val="00336580"/>
    <w:rsid w:val="00340223"/>
    <w:rsid w:val="003428BD"/>
    <w:rsid w:val="00354899"/>
    <w:rsid w:val="00355FD6"/>
    <w:rsid w:val="003601FD"/>
    <w:rsid w:val="00364A5C"/>
    <w:rsid w:val="003723A3"/>
    <w:rsid w:val="00373FB1"/>
    <w:rsid w:val="0039034A"/>
    <w:rsid w:val="00396C76"/>
    <w:rsid w:val="003B3075"/>
    <w:rsid w:val="003B30D8"/>
    <w:rsid w:val="003B7EF2"/>
    <w:rsid w:val="003C3FA4"/>
    <w:rsid w:val="003D0BA1"/>
    <w:rsid w:val="003D551D"/>
    <w:rsid w:val="003D5553"/>
    <w:rsid w:val="003E172C"/>
    <w:rsid w:val="003E51B3"/>
    <w:rsid w:val="003E5806"/>
    <w:rsid w:val="003E5CE5"/>
    <w:rsid w:val="003E5FD8"/>
    <w:rsid w:val="003F2B0C"/>
    <w:rsid w:val="004105B2"/>
    <w:rsid w:val="0041145A"/>
    <w:rsid w:val="00412900"/>
    <w:rsid w:val="004221E4"/>
    <w:rsid w:val="004273F8"/>
    <w:rsid w:val="00430573"/>
    <w:rsid w:val="004355A3"/>
    <w:rsid w:val="00437FB9"/>
    <w:rsid w:val="00443196"/>
    <w:rsid w:val="00446546"/>
    <w:rsid w:val="00452769"/>
    <w:rsid w:val="00454FA7"/>
    <w:rsid w:val="00465348"/>
    <w:rsid w:val="004728C3"/>
    <w:rsid w:val="00474050"/>
    <w:rsid w:val="00481514"/>
    <w:rsid w:val="00486F82"/>
    <w:rsid w:val="00493766"/>
    <w:rsid w:val="00495646"/>
    <w:rsid w:val="004979A5"/>
    <w:rsid w:val="004A25E0"/>
    <w:rsid w:val="004A6B36"/>
    <w:rsid w:val="004B1CCB"/>
    <w:rsid w:val="004B632F"/>
    <w:rsid w:val="004C2A93"/>
    <w:rsid w:val="004C46B3"/>
    <w:rsid w:val="004C5889"/>
    <w:rsid w:val="004D3FB1"/>
    <w:rsid w:val="004D45F2"/>
    <w:rsid w:val="004D4C40"/>
    <w:rsid w:val="004D4CD3"/>
    <w:rsid w:val="004D6F21"/>
    <w:rsid w:val="004D73A5"/>
    <w:rsid w:val="004E1317"/>
    <w:rsid w:val="004E2D32"/>
    <w:rsid w:val="004F5481"/>
    <w:rsid w:val="0050495D"/>
    <w:rsid w:val="0051471B"/>
    <w:rsid w:val="005160F1"/>
    <w:rsid w:val="00517E10"/>
    <w:rsid w:val="00524F2F"/>
    <w:rsid w:val="00527E5C"/>
    <w:rsid w:val="00532CF5"/>
    <w:rsid w:val="00533610"/>
    <w:rsid w:val="00541361"/>
    <w:rsid w:val="005528CB"/>
    <w:rsid w:val="0055774C"/>
    <w:rsid w:val="005631DB"/>
    <w:rsid w:val="00566771"/>
    <w:rsid w:val="00574CC7"/>
    <w:rsid w:val="00581E2E"/>
    <w:rsid w:val="00584F15"/>
    <w:rsid w:val="00587CCA"/>
    <w:rsid w:val="005924DA"/>
    <w:rsid w:val="005937FE"/>
    <w:rsid w:val="0059514B"/>
    <w:rsid w:val="00596187"/>
    <w:rsid w:val="005A1B0F"/>
    <w:rsid w:val="005A27EE"/>
    <w:rsid w:val="005A6529"/>
    <w:rsid w:val="005A6CF9"/>
    <w:rsid w:val="005B4CE6"/>
    <w:rsid w:val="005B5EFE"/>
    <w:rsid w:val="005E4AC1"/>
    <w:rsid w:val="005F6BD9"/>
    <w:rsid w:val="00600785"/>
    <w:rsid w:val="006163F7"/>
    <w:rsid w:val="006175EC"/>
    <w:rsid w:val="00624855"/>
    <w:rsid w:val="00627C63"/>
    <w:rsid w:val="0063350B"/>
    <w:rsid w:val="0063658C"/>
    <w:rsid w:val="00637114"/>
    <w:rsid w:val="006407AB"/>
    <w:rsid w:val="00644731"/>
    <w:rsid w:val="00652606"/>
    <w:rsid w:val="00681ED2"/>
    <w:rsid w:val="0068490C"/>
    <w:rsid w:val="006946EE"/>
    <w:rsid w:val="006978D4"/>
    <w:rsid w:val="006A58A9"/>
    <w:rsid w:val="006A606D"/>
    <w:rsid w:val="006B0064"/>
    <w:rsid w:val="006B085A"/>
    <w:rsid w:val="006C0371"/>
    <w:rsid w:val="006C08B6"/>
    <w:rsid w:val="006C0B1A"/>
    <w:rsid w:val="006C6065"/>
    <w:rsid w:val="006C765D"/>
    <w:rsid w:val="006C7F9F"/>
    <w:rsid w:val="006D1F66"/>
    <w:rsid w:val="006E2F6D"/>
    <w:rsid w:val="006E58F6"/>
    <w:rsid w:val="006E77E1"/>
    <w:rsid w:val="006F131D"/>
    <w:rsid w:val="007076FE"/>
    <w:rsid w:val="00711642"/>
    <w:rsid w:val="00721C33"/>
    <w:rsid w:val="00722D11"/>
    <w:rsid w:val="00723E5E"/>
    <w:rsid w:val="00741892"/>
    <w:rsid w:val="007507C6"/>
    <w:rsid w:val="00751E0B"/>
    <w:rsid w:val="00752BCD"/>
    <w:rsid w:val="00761A10"/>
    <w:rsid w:val="00766DA1"/>
    <w:rsid w:val="00772A75"/>
    <w:rsid w:val="00777AEF"/>
    <w:rsid w:val="00780D94"/>
    <w:rsid w:val="00781D47"/>
    <w:rsid w:val="0078523B"/>
    <w:rsid w:val="007866A6"/>
    <w:rsid w:val="007868FF"/>
    <w:rsid w:val="007872F5"/>
    <w:rsid w:val="007931AC"/>
    <w:rsid w:val="007965EA"/>
    <w:rsid w:val="007A130D"/>
    <w:rsid w:val="007B278F"/>
    <w:rsid w:val="007D11B1"/>
    <w:rsid w:val="007D1A2D"/>
    <w:rsid w:val="007D32E6"/>
    <w:rsid w:val="007D4102"/>
    <w:rsid w:val="007E2503"/>
    <w:rsid w:val="007E54A7"/>
    <w:rsid w:val="007F43B7"/>
    <w:rsid w:val="00801B82"/>
    <w:rsid w:val="00802A3C"/>
    <w:rsid w:val="0080500E"/>
    <w:rsid w:val="0081358C"/>
    <w:rsid w:val="00821FFC"/>
    <w:rsid w:val="00823A89"/>
    <w:rsid w:val="008271CA"/>
    <w:rsid w:val="008467D5"/>
    <w:rsid w:val="0085375B"/>
    <w:rsid w:val="0085736A"/>
    <w:rsid w:val="0086685C"/>
    <w:rsid w:val="00866DF3"/>
    <w:rsid w:val="0087308C"/>
    <w:rsid w:val="00882754"/>
    <w:rsid w:val="00885A75"/>
    <w:rsid w:val="00885E0B"/>
    <w:rsid w:val="0089203D"/>
    <w:rsid w:val="00895F66"/>
    <w:rsid w:val="008A1183"/>
    <w:rsid w:val="008A4DC4"/>
    <w:rsid w:val="008B1797"/>
    <w:rsid w:val="008B1BE7"/>
    <w:rsid w:val="008B438C"/>
    <w:rsid w:val="008C2100"/>
    <w:rsid w:val="008C57B9"/>
    <w:rsid w:val="008D06CA"/>
    <w:rsid w:val="008D3A46"/>
    <w:rsid w:val="008E2AF2"/>
    <w:rsid w:val="008E3879"/>
    <w:rsid w:val="008E5BB3"/>
    <w:rsid w:val="008F2385"/>
    <w:rsid w:val="008F3CA1"/>
    <w:rsid w:val="00903F99"/>
    <w:rsid w:val="009067A4"/>
    <w:rsid w:val="00917CA9"/>
    <w:rsid w:val="00930885"/>
    <w:rsid w:val="00933D68"/>
    <w:rsid w:val="009340DB"/>
    <w:rsid w:val="0094618C"/>
    <w:rsid w:val="0095684B"/>
    <w:rsid w:val="00967EAD"/>
    <w:rsid w:val="00970C25"/>
    <w:rsid w:val="00972498"/>
    <w:rsid w:val="0097481F"/>
    <w:rsid w:val="00974CC6"/>
    <w:rsid w:val="00975EAB"/>
    <w:rsid w:val="00976AD4"/>
    <w:rsid w:val="00995547"/>
    <w:rsid w:val="009A312F"/>
    <w:rsid w:val="009A3654"/>
    <w:rsid w:val="009A5348"/>
    <w:rsid w:val="009B0AB7"/>
    <w:rsid w:val="009B647A"/>
    <w:rsid w:val="009C53E0"/>
    <w:rsid w:val="009C76D5"/>
    <w:rsid w:val="009D6467"/>
    <w:rsid w:val="009E7603"/>
    <w:rsid w:val="009F0E9B"/>
    <w:rsid w:val="009F4F88"/>
    <w:rsid w:val="009F7AA4"/>
    <w:rsid w:val="00A04E5E"/>
    <w:rsid w:val="00A10AD7"/>
    <w:rsid w:val="00A11A4C"/>
    <w:rsid w:val="00A13DC1"/>
    <w:rsid w:val="00A23ADE"/>
    <w:rsid w:val="00A323B0"/>
    <w:rsid w:val="00A35283"/>
    <w:rsid w:val="00A53EDC"/>
    <w:rsid w:val="00A553E1"/>
    <w:rsid w:val="00A559DB"/>
    <w:rsid w:val="00A569EA"/>
    <w:rsid w:val="00A5781D"/>
    <w:rsid w:val="00A60B7D"/>
    <w:rsid w:val="00A676A0"/>
    <w:rsid w:val="00A76AED"/>
    <w:rsid w:val="00A8033E"/>
    <w:rsid w:val="00A83EF0"/>
    <w:rsid w:val="00A8729D"/>
    <w:rsid w:val="00AA2A80"/>
    <w:rsid w:val="00AA55D3"/>
    <w:rsid w:val="00AB0739"/>
    <w:rsid w:val="00AD6544"/>
    <w:rsid w:val="00AE0C86"/>
    <w:rsid w:val="00AF35FC"/>
    <w:rsid w:val="00AF5556"/>
    <w:rsid w:val="00B02ADD"/>
    <w:rsid w:val="00B03639"/>
    <w:rsid w:val="00B0652A"/>
    <w:rsid w:val="00B104B2"/>
    <w:rsid w:val="00B10C48"/>
    <w:rsid w:val="00B1109F"/>
    <w:rsid w:val="00B132E4"/>
    <w:rsid w:val="00B21A2C"/>
    <w:rsid w:val="00B25FD3"/>
    <w:rsid w:val="00B260A4"/>
    <w:rsid w:val="00B27D5A"/>
    <w:rsid w:val="00B36950"/>
    <w:rsid w:val="00B40937"/>
    <w:rsid w:val="00B423EF"/>
    <w:rsid w:val="00B453DE"/>
    <w:rsid w:val="00B47305"/>
    <w:rsid w:val="00B50724"/>
    <w:rsid w:val="00B52A86"/>
    <w:rsid w:val="00B62497"/>
    <w:rsid w:val="00B64A21"/>
    <w:rsid w:val="00B72597"/>
    <w:rsid w:val="00B731BA"/>
    <w:rsid w:val="00B75229"/>
    <w:rsid w:val="00B80FB7"/>
    <w:rsid w:val="00B83A80"/>
    <w:rsid w:val="00B857B2"/>
    <w:rsid w:val="00B87DC0"/>
    <w:rsid w:val="00B901F9"/>
    <w:rsid w:val="00B95B11"/>
    <w:rsid w:val="00B97B46"/>
    <w:rsid w:val="00BA5EAC"/>
    <w:rsid w:val="00BB08C7"/>
    <w:rsid w:val="00BB0DF6"/>
    <w:rsid w:val="00BC0D0A"/>
    <w:rsid w:val="00BC4D98"/>
    <w:rsid w:val="00BD1F86"/>
    <w:rsid w:val="00BD6EFB"/>
    <w:rsid w:val="00BE1661"/>
    <w:rsid w:val="00BE3DF5"/>
    <w:rsid w:val="00BF5057"/>
    <w:rsid w:val="00BF5EAB"/>
    <w:rsid w:val="00C02410"/>
    <w:rsid w:val="00C027EE"/>
    <w:rsid w:val="00C04CF4"/>
    <w:rsid w:val="00C14D78"/>
    <w:rsid w:val="00C1584D"/>
    <w:rsid w:val="00C15BE2"/>
    <w:rsid w:val="00C2636D"/>
    <w:rsid w:val="00C33893"/>
    <w:rsid w:val="00C341AD"/>
    <w:rsid w:val="00C3447F"/>
    <w:rsid w:val="00C35F8B"/>
    <w:rsid w:val="00C37A4C"/>
    <w:rsid w:val="00C41798"/>
    <w:rsid w:val="00C44714"/>
    <w:rsid w:val="00C44F9A"/>
    <w:rsid w:val="00C67102"/>
    <w:rsid w:val="00C72E20"/>
    <w:rsid w:val="00C80EBD"/>
    <w:rsid w:val="00C81491"/>
    <w:rsid w:val="00C81676"/>
    <w:rsid w:val="00C81B87"/>
    <w:rsid w:val="00C85C5D"/>
    <w:rsid w:val="00C85CF8"/>
    <w:rsid w:val="00C92CC4"/>
    <w:rsid w:val="00CA0AFB"/>
    <w:rsid w:val="00CA20CC"/>
    <w:rsid w:val="00CA2CE1"/>
    <w:rsid w:val="00CA3976"/>
    <w:rsid w:val="00CA50E3"/>
    <w:rsid w:val="00CA690C"/>
    <w:rsid w:val="00CA757B"/>
    <w:rsid w:val="00CC1787"/>
    <w:rsid w:val="00CC182C"/>
    <w:rsid w:val="00CC297E"/>
    <w:rsid w:val="00CC3BF2"/>
    <w:rsid w:val="00CC3FB7"/>
    <w:rsid w:val="00CC4257"/>
    <w:rsid w:val="00CD0824"/>
    <w:rsid w:val="00CD19B3"/>
    <w:rsid w:val="00CD2908"/>
    <w:rsid w:val="00D017CA"/>
    <w:rsid w:val="00D03A82"/>
    <w:rsid w:val="00D126F4"/>
    <w:rsid w:val="00D13667"/>
    <w:rsid w:val="00D15070"/>
    <w:rsid w:val="00D15344"/>
    <w:rsid w:val="00D20011"/>
    <w:rsid w:val="00D20BB1"/>
    <w:rsid w:val="00D23F57"/>
    <w:rsid w:val="00D31BEC"/>
    <w:rsid w:val="00D522DF"/>
    <w:rsid w:val="00D60BEA"/>
    <w:rsid w:val="00D61388"/>
    <w:rsid w:val="00D63150"/>
    <w:rsid w:val="00D636BA"/>
    <w:rsid w:val="00D63B37"/>
    <w:rsid w:val="00D64A32"/>
    <w:rsid w:val="00D64EFC"/>
    <w:rsid w:val="00D66879"/>
    <w:rsid w:val="00D720A5"/>
    <w:rsid w:val="00D75295"/>
    <w:rsid w:val="00D76CE9"/>
    <w:rsid w:val="00D804A4"/>
    <w:rsid w:val="00D85301"/>
    <w:rsid w:val="00D96864"/>
    <w:rsid w:val="00D97F12"/>
    <w:rsid w:val="00DA2175"/>
    <w:rsid w:val="00DA6095"/>
    <w:rsid w:val="00DB42E7"/>
    <w:rsid w:val="00DC09D8"/>
    <w:rsid w:val="00DE01A6"/>
    <w:rsid w:val="00DE4A7E"/>
    <w:rsid w:val="00DE7A98"/>
    <w:rsid w:val="00DF25AF"/>
    <w:rsid w:val="00DF32C2"/>
    <w:rsid w:val="00E0497A"/>
    <w:rsid w:val="00E06D85"/>
    <w:rsid w:val="00E110F8"/>
    <w:rsid w:val="00E14160"/>
    <w:rsid w:val="00E161E4"/>
    <w:rsid w:val="00E1770B"/>
    <w:rsid w:val="00E20858"/>
    <w:rsid w:val="00E255DE"/>
    <w:rsid w:val="00E25613"/>
    <w:rsid w:val="00E2639D"/>
    <w:rsid w:val="00E3643F"/>
    <w:rsid w:val="00E4377E"/>
    <w:rsid w:val="00E471A7"/>
    <w:rsid w:val="00E635CF"/>
    <w:rsid w:val="00E90743"/>
    <w:rsid w:val="00E92BAB"/>
    <w:rsid w:val="00E96604"/>
    <w:rsid w:val="00E96A16"/>
    <w:rsid w:val="00EA0101"/>
    <w:rsid w:val="00EB1E3B"/>
    <w:rsid w:val="00EB34F5"/>
    <w:rsid w:val="00EC2F1C"/>
    <w:rsid w:val="00EC362D"/>
    <w:rsid w:val="00EC5C16"/>
    <w:rsid w:val="00EC6E0A"/>
    <w:rsid w:val="00ED4E18"/>
    <w:rsid w:val="00ED7922"/>
    <w:rsid w:val="00EE02C4"/>
    <w:rsid w:val="00EE0633"/>
    <w:rsid w:val="00EE1F37"/>
    <w:rsid w:val="00EE4083"/>
    <w:rsid w:val="00EE509D"/>
    <w:rsid w:val="00EE7F9C"/>
    <w:rsid w:val="00EF2638"/>
    <w:rsid w:val="00EF4938"/>
    <w:rsid w:val="00F0159C"/>
    <w:rsid w:val="00F07A41"/>
    <w:rsid w:val="00F105B7"/>
    <w:rsid w:val="00F13220"/>
    <w:rsid w:val="00F14324"/>
    <w:rsid w:val="00F14327"/>
    <w:rsid w:val="00F17A21"/>
    <w:rsid w:val="00F25B94"/>
    <w:rsid w:val="00F30D89"/>
    <w:rsid w:val="00F36FC2"/>
    <w:rsid w:val="00F373DA"/>
    <w:rsid w:val="00F37B27"/>
    <w:rsid w:val="00F4120E"/>
    <w:rsid w:val="00F42484"/>
    <w:rsid w:val="00F44ABC"/>
    <w:rsid w:val="00F46556"/>
    <w:rsid w:val="00F50E91"/>
    <w:rsid w:val="00F56799"/>
    <w:rsid w:val="00F57D29"/>
    <w:rsid w:val="00F60786"/>
    <w:rsid w:val="00F81FA0"/>
    <w:rsid w:val="00F91873"/>
    <w:rsid w:val="00F91BC7"/>
    <w:rsid w:val="00F96201"/>
    <w:rsid w:val="00F97BFB"/>
    <w:rsid w:val="00FA1BBC"/>
    <w:rsid w:val="00FA7957"/>
    <w:rsid w:val="00FB011F"/>
    <w:rsid w:val="00FD0B18"/>
    <w:rsid w:val="00FD0E67"/>
    <w:rsid w:val="00FD1DAC"/>
    <w:rsid w:val="00FD2FAD"/>
    <w:rsid w:val="00FD6BFF"/>
    <w:rsid w:val="00FD724B"/>
    <w:rsid w:val="00FE19B1"/>
    <w:rsid w:val="00FE714F"/>
    <w:rsid w:val="00FF04FD"/>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9AA937"/>
  <w15:docId w15:val="{A1812D88-5E4F-404C-B707-D4D552C5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rugchannels.net/2018/02/the-top-15-us-pharmacies-of-2017-market.html"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www.sec.gov/news/press/2002-92.htm" TargetMode="External"/><Relationship Id="rId18" Type="http://schemas.openxmlformats.org/officeDocument/2006/relationships/hyperlink" Target="http://www.usatoday.com/story/money/2015/10/27/walgreens-rite-aid/74684642/" TargetMode="External"/><Relationship Id="rId26" Type="http://schemas.openxmlformats.org/officeDocument/2006/relationships/hyperlink" Target="http://www.thestreet.com/markets/rite-aid-stock-price-cvs-earnings-14674203" TargetMode="External"/><Relationship Id="rId39" Type="http://schemas.openxmlformats.org/officeDocument/2006/relationships/hyperlink" Target="http://www.nytimes.com/2018/03/08/business/dealbook/cigna-express-scripts.html" TargetMode="External"/><Relationship Id="rId21" Type="http://schemas.openxmlformats.org/officeDocument/2006/relationships/hyperlink" Target="http://www.latimes.com/business/la-fi-albertsons-rite-aide-20180220-story.html" TargetMode="External"/><Relationship Id="rId34" Type="http://schemas.openxmlformats.org/officeDocument/2006/relationships/hyperlink" Target="http://www.pharmacytimes.com/publications/health-system-edition/2017/september2017/hospital-formulary-management" TargetMode="External"/><Relationship Id="rId7" Type="http://schemas.openxmlformats.org/officeDocument/2006/relationships/hyperlink" Target="https://endpts.com/special/top-research-budgets-in-pharma-and-biotech/" TargetMode="External"/><Relationship Id="rId12" Type="http://schemas.openxmlformats.org/officeDocument/2006/relationships/hyperlink" Target="http://www.peninsuladailynews.com/news/three-drug-stores-on-the-brink-deal-to-involves-rite-aids/" TargetMode="External"/><Relationship Id="rId17" Type="http://schemas.openxmlformats.org/officeDocument/2006/relationships/hyperlink" Target="http://www.bloomberg.com/news/articles/2018-08-09/rite-aid-and-albertsons-scrap-agreement-to-merge-operations" TargetMode="External"/><Relationship Id="rId25" Type="http://schemas.openxmlformats.org/officeDocument/2006/relationships/hyperlink" Target="http://www.riteaid.com/about-us/our-story" TargetMode="External"/><Relationship Id="rId33" Type="http://schemas.openxmlformats.org/officeDocument/2006/relationships/hyperlink" Target="http://www.healthdialog.com/news-events/health-dialog-introduces-new-medication-therapy-management-services" TargetMode="External"/><Relationship Id="rId38" Type="http://schemas.openxmlformats.org/officeDocument/2006/relationships/hyperlink" Target="http://www.cnbc.com/2018/10/02/amazon-raises-minimum-wage-to-15-for-all-us-employees.html" TargetMode="External"/><Relationship Id="rId2" Type="http://schemas.openxmlformats.org/officeDocument/2006/relationships/hyperlink" Target="http://www.forbes.com/sites/brucejapsen/2018/08/08/rite-aid-and-albertsons-abort-merger/" TargetMode="External"/><Relationship Id="rId16" Type="http://schemas.openxmlformats.org/officeDocument/2006/relationships/hyperlink" Target="http://www.riteaid.com/documents/45609410/73421892/annual18.pdf/a272018c-2577-3c9e-0551-4934d2138ce1" TargetMode="External"/><Relationship Id="rId20" Type="http://schemas.openxmlformats.org/officeDocument/2006/relationships/hyperlink" Target="https://money.cnn.com/2018/02/20/news/companies/albertsons-rite-aid/index.html" TargetMode="External"/><Relationship Id="rId29" Type="http://schemas.openxmlformats.org/officeDocument/2006/relationships/hyperlink" Target="http://www.forbes.com/sites/brucejapsen/2018/04/13/rite-aid-sees-mid-sized-market-future-for-its-pbm/" TargetMode="External"/><Relationship Id="rId1" Type="http://schemas.openxmlformats.org/officeDocument/2006/relationships/hyperlink" Target="http://www.philly.com/philly/blogs/inq-phillydeals/rite-aid-shareholders-vote-against-executive-pay-package-20181030.html" TargetMode="External"/><Relationship Id="rId6" Type="http://schemas.openxmlformats.org/officeDocument/2006/relationships/hyperlink" Target="http://www.biospace.com/article/investing-into-r-and-d-pays-off-for-some-of-biotech-s-biggest-companies/" TargetMode="External"/><Relationship Id="rId11" Type="http://schemas.openxmlformats.org/officeDocument/2006/relationships/hyperlink" Target="http://www.mdm.com/2017-top-pharmaceuticals-distributors" TargetMode="External"/><Relationship Id="rId24" Type="http://schemas.openxmlformats.org/officeDocument/2006/relationships/hyperlink" Target="https://markets.businessinsider.com/news/stocks/rite-aid-corp-lowers-fy19-earnings-outlook-quick-facts-1027434380" TargetMode="External"/><Relationship Id="rId32" Type="http://schemas.openxmlformats.org/officeDocument/2006/relationships/hyperlink" Target="http://www.pharmacist.com/article/rite-aids-rediclinic-opens-new-clinics-nj" TargetMode="External"/><Relationship Id="rId37" Type="http://schemas.openxmlformats.org/officeDocument/2006/relationships/hyperlink" Target="http://www.cnbc.com/2018/11/21/pillpack-is-applying-for-licenses-as-amazon-expands-pharmacy-business.html" TargetMode="External"/><Relationship Id="rId5" Type="http://schemas.openxmlformats.org/officeDocument/2006/relationships/hyperlink" Target="http://www.washingtonpost.com/news/wonk/wp/2015/02/11/big-pharmaceutical-companies-are-spending-far-more-on-marketing-than-research/?noredirect=on&amp;utm_term=.de0e69b5f756" TargetMode="External"/><Relationship Id="rId15" Type="http://schemas.openxmlformats.org/officeDocument/2006/relationships/hyperlink" Target="http://www.marketwatch.com/investing/Stock/RAD/SecFilings?subview=secarticle&amp;sid=4118&amp;guid=7208892&amp;type=1" TargetMode="External"/><Relationship Id="rId23" Type="http://schemas.openxmlformats.org/officeDocument/2006/relationships/hyperlink" Target="http://www.mckesson.com/about-mckesson/newsroom/press-releases/2014/mckesson-and-rite-aid-expand-distribution-agreement/" TargetMode="External"/><Relationship Id="rId28" Type="http://schemas.openxmlformats.org/officeDocument/2006/relationships/hyperlink" Target="http://www.bizjournals.com/philadelphia/news/2018/01/04/walgreens-rite-aid-envision-rx-pharmacy-benefits.html" TargetMode="External"/><Relationship Id="rId36" Type="http://schemas.openxmlformats.org/officeDocument/2006/relationships/hyperlink" Target="http://www.cnbc.com/2018/09/20/cvs-health-ceo-larry-merlo-outlines-vision-for-aetna-acquisition.html" TargetMode="External"/><Relationship Id="rId10" Type="http://schemas.openxmlformats.org/officeDocument/2006/relationships/hyperlink" Target="http://www.investopedia.com/articles/personal-finance/072915/how-express-scripts-makes-money.asp" TargetMode="External"/><Relationship Id="rId19" Type="http://schemas.openxmlformats.org/officeDocument/2006/relationships/hyperlink" Target="%20https://money.cnn.com/2017/09/19/news/walgreens-rite-aid-deal/index.html" TargetMode="External"/><Relationship Id="rId31" Type="http://schemas.openxmlformats.org/officeDocument/2006/relationships/hyperlink" Target="http://www.riteaid.com/articles/onetrip-prescription-refills" TargetMode="External"/><Relationship Id="rId4" Type="http://schemas.openxmlformats.org/officeDocument/2006/relationships/hyperlink" Target="http://www.riteaid.com/corporate/news/-/pressreleases/news-room/2018/rite-aid-reports-fiscal-2018-fourth-quarter-and-full-year-results" TargetMode="External"/><Relationship Id="rId9" Type="http://schemas.openxmlformats.org/officeDocument/2006/relationships/hyperlink" Target="http://www.medicare.gov/drug-coverage-part-d/how-part-d-works-with-other-insurance" TargetMode="External"/><Relationship Id="rId14" Type="http://schemas.openxmlformats.org/officeDocument/2006/relationships/hyperlink" Target="http://www.riteaid.com/shop/info/corporate/governance/management-team" TargetMode="External"/><Relationship Id="rId22" Type="http://schemas.openxmlformats.org/officeDocument/2006/relationships/hyperlink" Target="http://www.riteaid.com/corporate/investor-relations/quarterly-results/-/pressreleases/rite-aid-reports-fiscal-2018-fourth-quarter-and-full-year-results" TargetMode="External"/><Relationship Id="rId27" Type="http://schemas.openxmlformats.org/officeDocument/2006/relationships/hyperlink" Target="https://dealbook.nytimes.com/2015/02/11/rite-aid-to-buy-pharmacy-benefit-manager-envisionrx/" TargetMode="External"/><Relationship Id="rId30" Type="http://schemas.openxmlformats.org/officeDocument/2006/relationships/hyperlink" Target="http://www.drugchannels.net/2017/07/what-will-happen-to-rite-aids.html" TargetMode="External"/><Relationship Id="rId35" Type="http://schemas.openxmlformats.org/officeDocument/2006/relationships/hyperlink" Target="http://www.cnbc.com/2018/11/28/cvs-creates-new-health-care-giant-as-69-billion-aetna-merger-closes.html" TargetMode="External"/><Relationship Id="rId8" Type="http://schemas.openxmlformats.org/officeDocument/2006/relationships/hyperlink" Target="https://www.medicare.gov/supplements-other-insurance/how-medicare-works-with-other-insurance" TargetMode="External"/><Relationship Id="rId3" Type="http://schemas.openxmlformats.org/officeDocument/2006/relationships/hyperlink" Target="http://www.cnbc.com/2018/06/28/amazon-to-acquire-online-pharmacy-pillp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77F55-5F4F-48D7-9493-22A022DD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11</cp:revision>
  <cp:lastPrinted>2019-09-23T12:46:00Z</cp:lastPrinted>
  <dcterms:created xsi:type="dcterms:W3CDTF">2019-09-23T12:42:00Z</dcterms:created>
  <dcterms:modified xsi:type="dcterms:W3CDTF">2019-09-27T18:11:00Z</dcterms:modified>
</cp:coreProperties>
</file>