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BB975" w14:textId="65778F72" w:rsidR="00D03225" w:rsidRDefault="005C3CE2"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2C523B04" wp14:editId="69AEE33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B25A5DD" w:rsidR="00C02410" w:rsidRDefault="005C3CE2" w:rsidP="00C02410">
      <w:pPr>
        <w:pStyle w:val="ProductNumber"/>
      </w:pPr>
      <w:r>
        <w:t>9B19M</w:t>
      </w:r>
      <w:r w:rsidR="00567C41">
        <w:t>124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2AB1B3C" w:rsidR="00013360" w:rsidRDefault="00D03225" w:rsidP="00013360">
      <w:pPr>
        <w:pStyle w:val="CaseTitle"/>
        <w:spacing w:after="0" w:line="240" w:lineRule="auto"/>
        <w:rPr>
          <w:sz w:val="20"/>
          <w:szCs w:val="20"/>
        </w:rPr>
      </w:pPr>
      <w:r w:rsidRPr="00BB37E9">
        <w:rPr>
          <w:rFonts w:eastAsiaTheme="minorEastAsia"/>
          <w:color w:val="auto"/>
          <w:lang w:eastAsia="ko-KR"/>
        </w:rPr>
        <w:t>GHANA INVESTMENT FUND LIMITED: ETHICAL ISSUES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B4F7606" w:rsidR="00086B26" w:rsidRPr="00287D6F" w:rsidRDefault="00D03225" w:rsidP="00086B26">
      <w:pPr>
        <w:pStyle w:val="StyleCopyrightStatementAfter0ptBottomSinglesolidline1"/>
        <w:rPr>
          <w:lang w:val="en-GB"/>
        </w:rPr>
      </w:pPr>
      <w:r w:rsidRPr="00BB37E9">
        <w:t>Darrold Cordes and Won-Yong Oh</w:t>
      </w:r>
      <w:r w:rsidR="00ED7922" w:rsidRPr="00FD7E52">
        <w:rPr>
          <w:rFonts w:cs="Arial"/>
          <w:szCs w:val="16"/>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30FAD501" w14:textId="77777777" w:rsidR="005C3CE2" w:rsidRPr="00A323B0" w:rsidRDefault="005C3CE2" w:rsidP="005C3CE2">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CA6613" w14:textId="77777777" w:rsidR="005C3CE2" w:rsidRPr="00A323B0" w:rsidRDefault="005C3CE2" w:rsidP="005C3CE2">
      <w:pPr>
        <w:pStyle w:val="StyleStyleCopyrightStatementAfter0ptBottomSinglesolid"/>
        <w:rPr>
          <w:rFonts w:cs="Arial"/>
          <w:szCs w:val="16"/>
        </w:rPr>
      </w:pPr>
    </w:p>
    <w:p w14:paraId="3922E14F" w14:textId="33D8007A" w:rsidR="00751E0B" w:rsidRPr="00C02410" w:rsidRDefault="005C3CE2" w:rsidP="005C3CE2">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Ivey Business School Foundation</w:t>
      </w:r>
      <w:r w:rsidR="00A323B0" w:rsidRPr="00A323B0">
        <w:rPr>
          <w:rFonts w:cs="Arial"/>
          <w:iCs w:val="0"/>
          <w:color w:val="auto"/>
          <w:szCs w:val="16"/>
        </w:rPr>
        <w:tab/>
        <w:t xml:space="preserve">Version: </w:t>
      </w:r>
      <w:r w:rsidR="00D03225">
        <w:rPr>
          <w:rFonts w:cs="Arial"/>
          <w:iCs w:val="0"/>
          <w:color w:val="auto"/>
          <w:szCs w:val="16"/>
        </w:rPr>
        <w:t>2019-</w:t>
      </w:r>
      <w:r w:rsidR="004E1483">
        <w:rPr>
          <w:rFonts w:cs="Arial"/>
          <w:iCs w:val="0"/>
          <w:color w:val="auto"/>
          <w:szCs w:val="16"/>
        </w:rPr>
        <w:t>10-</w:t>
      </w:r>
      <w:r w:rsidR="00BD68D1">
        <w:rPr>
          <w:rFonts w:cs="Arial"/>
          <w:iCs w:val="0"/>
          <w:color w:val="auto"/>
          <w:szCs w:val="16"/>
        </w:rPr>
        <w:t>22</w:t>
      </w:r>
    </w:p>
    <w:p w14:paraId="0A2A54E4" w14:textId="77777777" w:rsidR="00751E0B" w:rsidRPr="00AC02E4" w:rsidRDefault="00751E0B" w:rsidP="00751E0B">
      <w:pPr>
        <w:pStyle w:val="StyleCopyrightStatementAfter0ptBottomSinglesolidline1"/>
        <w:rPr>
          <w:rFonts w:ascii="Times New Roman" w:hAnsi="Times New Roman"/>
          <w:sz w:val="22"/>
        </w:rPr>
      </w:pPr>
    </w:p>
    <w:p w14:paraId="2C183161" w14:textId="14B6928D" w:rsidR="00B87DC0" w:rsidRPr="00AC02E4" w:rsidRDefault="00B87DC0" w:rsidP="002B40FF">
      <w:pPr>
        <w:pStyle w:val="Casehead1"/>
        <w:rPr>
          <w:rFonts w:ascii="Times New Roman" w:hAnsi="Times New Roman" w:cs="Times New Roman"/>
          <w:b w:val="0"/>
          <w:sz w:val="22"/>
        </w:rPr>
      </w:pPr>
    </w:p>
    <w:p w14:paraId="5DB5B6D8" w14:textId="2FDCF209" w:rsidR="00D03225" w:rsidRPr="00D03225" w:rsidRDefault="00D03225" w:rsidP="00D03225">
      <w:pPr>
        <w:pStyle w:val="BodyTextMain"/>
      </w:pPr>
      <w:r w:rsidRPr="00D03225">
        <w:t xml:space="preserve">On September 29, 2017, Richard Dawson, the </w:t>
      </w:r>
      <w:r w:rsidR="00971C88">
        <w:t>c</w:t>
      </w:r>
      <w:r w:rsidRPr="00D03225">
        <w:t xml:space="preserve">hief </w:t>
      </w:r>
      <w:r w:rsidR="00971C88">
        <w:t>e</w:t>
      </w:r>
      <w:r w:rsidRPr="00D03225">
        <w:t xml:space="preserve">xecutive </w:t>
      </w:r>
      <w:r w:rsidR="00971C88">
        <w:t>o</w:t>
      </w:r>
      <w:r w:rsidRPr="00D03225">
        <w:t>fficer of RenY Corporation</w:t>
      </w:r>
      <w:r w:rsidR="00D87EEB">
        <w:t xml:space="preserve"> (RenY)</w:t>
      </w:r>
      <w:r w:rsidRPr="00D03225">
        <w:t xml:space="preserve"> based in Hong Kong, was onboard a flight from Accra</w:t>
      </w:r>
      <w:r w:rsidR="00971C88">
        <w:t>, Ghana</w:t>
      </w:r>
      <w:r w:rsidRPr="00D03225">
        <w:t xml:space="preserve"> to his home in Las Vegas. Dawson had just spent two challenging weeks establishing the Ghana Investment Fund Limited (GIF), which aimed to invest in the entrepreneurial ideas of university graduates in Ghana. The establishment of GIF went smoothly in the hands of Derik Badu, a graduate from the University of Ghana, and Charles Kweku, a business consultant who had previously worked in the United Kingdom for several years, and Dawson had </w:t>
      </w:r>
      <w:r w:rsidR="00971C88">
        <w:t>come</w:t>
      </w:r>
      <w:r w:rsidRPr="00D03225">
        <w:t xml:space="preserve"> to know </w:t>
      </w:r>
      <w:r w:rsidR="00D94FD8">
        <w:t xml:space="preserve">them both </w:t>
      </w:r>
      <w:r w:rsidRPr="00D03225">
        <w:t>well. For GIF to operate in Ghana as a foreign-owned entity</w:t>
      </w:r>
      <w:r w:rsidR="00F746BB">
        <w:t>,</w:t>
      </w:r>
      <w:r w:rsidRPr="00D03225">
        <w:t xml:space="preserve"> it had to be registered at the Registrar General’s </w:t>
      </w:r>
      <w:r w:rsidR="00D94FD8">
        <w:t>d</w:t>
      </w:r>
      <w:r w:rsidRPr="00D03225">
        <w:t>epartment</w:t>
      </w:r>
      <w:r w:rsidR="00CB7272">
        <w:t>. To</w:t>
      </w:r>
      <w:r w:rsidRPr="00D03225">
        <w:t xml:space="preserve"> bid for government contracts</w:t>
      </w:r>
      <w:r w:rsidR="00272DA1">
        <w:t>,</w:t>
      </w:r>
      <w:r w:rsidRPr="00D03225">
        <w:t xml:space="preserve"> GIF had to be registered at the Ministry for Works and Housing (MWH). This process was proceeding smoothly until Dawson was confronted with a dilemma he could not immediately resolve</w:t>
      </w:r>
      <w:r w:rsidR="00D94FD8">
        <w:t>: h</w:t>
      </w:r>
      <w:r w:rsidR="00971C88">
        <w:t>e</w:t>
      </w:r>
      <w:r w:rsidRPr="00D03225">
        <w:t xml:space="preserve"> had just learned that the awarding of major </w:t>
      </w:r>
      <w:r w:rsidR="00BD68D1">
        <w:t xml:space="preserve">government </w:t>
      </w:r>
      <w:r w:rsidRPr="00D03225">
        <w:t>contracts in Ghana lacked transparency</w:t>
      </w:r>
      <w:r w:rsidR="00971C88">
        <w:t>,</w:t>
      </w:r>
      <w:r w:rsidRPr="00D03225">
        <w:t xml:space="preserve"> and that successful outcomes may require inducement payments that Dawson believed to be unethical.</w:t>
      </w:r>
    </w:p>
    <w:p w14:paraId="1F345556" w14:textId="56CB48B4" w:rsidR="00D03225" w:rsidRDefault="00D03225" w:rsidP="00D03225">
      <w:pPr>
        <w:pStyle w:val="BodyTextMain"/>
      </w:pPr>
    </w:p>
    <w:p w14:paraId="4FB10977" w14:textId="77777777" w:rsidR="00D03225" w:rsidRPr="00D03225" w:rsidRDefault="00D03225" w:rsidP="00D03225">
      <w:pPr>
        <w:pStyle w:val="BodyTextMain"/>
      </w:pPr>
    </w:p>
    <w:p w14:paraId="35BA880E" w14:textId="480657F4" w:rsidR="00D03225" w:rsidRPr="00D03225" w:rsidRDefault="00D03225" w:rsidP="00D03225">
      <w:pPr>
        <w:pStyle w:val="Casehead1"/>
        <w:rPr>
          <w:lang w:eastAsia="ko-KR"/>
        </w:rPr>
      </w:pPr>
      <w:r w:rsidRPr="00D03225">
        <w:rPr>
          <w:lang w:eastAsia="ko-KR"/>
        </w:rPr>
        <w:t>background</w:t>
      </w:r>
    </w:p>
    <w:p w14:paraId="50024352" w14:textId="2B9CA885" w:rsidR="00D03225" w:rsidRDefault="00D03225" w:rsidP="00D03225">
      <w:pPr>
        <w:pStyle w:val="BodyTextMain"/>
      </w:pPr>
    </w:p>
    <w:p w14:paraId="104370C3" w14:textId="72A1CA59" w:rsidR="003D5D0E" w:rsidRPr="00D03225" w:rsidRDefault="003D5D0E" w:rsidP="003D5D0E">
      <w:pPr>
        <w:pStyle w:val="Casehead2"/>
        <w:rPr>
          <w:rFonts w:eastAsiaTheme="minorEastAsia"/>
          <w:lang w:eastAsia="ko-KR"/>
        </w:rPr>
      </w:pPr>
      <w:r>
        <w:rPr>
          <w:rFonts w:eastAsiaTheme="minorEastAsia"/>
          <w:lang w:eastAsia="ko-KR"/>
        </w:rPr>
        <w:t xml:space="preserve">Country Overview: Ghana </w:t>
      </w:r>
    </w:p>
    <w:p w14:paraId="33F9C691" w14:textId="77777777" w:rsidR="003D5D0E" w:rsidRPr="00D03225" w:rsidRDefault="003D5D0E" w:rsidP="00D03225">
      <w:pPr>
        <w:pStyle w:val="BodyTextMain"/>
      </w:pPr>
    </w:p>
    <w:p w14:paraId="01DD9083" w14:textId="4A3E1D1C" w:rsidR="00D03225" w:rsidRDefault="00D03225" w:rsidP="00D03225">
      <w:pPr>
        <w:pStyle w:val="BodyTextMain"/>
        <w:rPr>
          <w:shd w:val="clear" w:color="auto" w:fill="FFFFFF"/>
        </w:rPr>
      </w:pPr>
      <w:r w:rsidRPr="00D03225">
        <w:t>Ghana</w:t>
      </w:r>
      <w:r w:rsidR="00D94FD8">
        <w:t xml:space="preserve">, </w:t>
      </w:r>
      <w:r w:rsidRPr="00D03225">
        <w:t>a country in West Africa</w:t>
      </w:r>
      <w:r w:rsidR="00D94FD8">
        <w:t>,</w:t>
      </w:r>
      <w:r w:rsidRPr="00D03225">
        <w:t xml:space="preserve"> was a former British colony </w:t>
      </w:r>
      <w:r w:rsidR="004F09BB">
        <w:t xml:space="preserve">that </w:t>
      </w:r>
      <w:r w:rsidRPr="00D03225">
        <w:t>became a democratic republic</w:t>
      </w:r>
      <w:r w:rsidR="004F09BB">
        <w:t xml:space="preserve"> in 1957</w:t>
      </w:r>
      <w:r w:rsidRPr="00D03225">
        <w:t xml:space="preserve">. </w:t>
      </w:r>
      <w:r w:rsidR="00F746BB">
        <w:t>The country</w:t>
      </w:r>
      <w:r w:rsidRPr="00D03225">
        <w:t xml:space="preserve"> ha</w:t>
      </w:r>
      <w:r w:rsidR="009A29F8">
        <w:t>d</w:t>
      </w:r>
      <w:r w:rsidRPr="00D03225">
        <w:t xml:space="preserve"> retained many of the former institutions of government including the parliamentary system, legal system, and many government structures. </w:t>
      </w:r>
      <w:r w:rsidR="00D94FD8">
        <w:rPr>
          <w:shd w:val="clear" w:color="auto" w:fill="FFFFFF"/>
        </w:rPr>
        <w:t>According to t</w:t>
      </w:r>
      <w:r w:rsidR="00B515D0">
        <w:rPr>
          <w:shd w:val="clear" w:color="auto" w:fill="FFFFFF"/>
        </w:rPr>
        <w:t xml:space="preserve">he </w:t>
      </w:r>
      <w:r w:rsidR="00292849">
        <w:rPr>
          <w:shd w:val="clear" w:color="auto" w:fill="FFFFFF"/>
        </w:rPr>
        <w:t>World Factbook Ghana 20</w:t>
      </w:r>
      <w:r w:rsidR="00016D76">
        <w:rPr>
          <w:shd w:val="clear" w:color="auto" w:fill="FFFFFF"/>
        </w:rPr>
        <w:t>17</w:t>
      </w:r>
      <w:r w:rsidR="00D87EEB">
        <w:rPr>
          <w:shd w:val="clear" w:color="auto" w:fill="FFFFFF"/>
        </w:rPr>
        <w:t>:</w:t>
      </w:r>
      <w:r w:rsidR="009B5A99" w:rsidRPr="00D03225">
        <w:rPr>
          <w:rFonts w:cstheme="majorHAnsi"/>
          <w:vertAlign w:val="superscript"/>
        </w:rPr>
        <w:footnoteReference w:id="1"/>
      </w:r>
    </w:p>
    <w:p w14:paraId="4BEFA3D9" w14:textId="77777777" w:rsidR="00BD68D1" w:rsidRPr="00D03225" w:rsidRDefault="00BD68D1" w:rsidP="00D03225">
      <w:pPr>
        <w:pStyle w:val="BodyTextMain"/>
        <w:rPr>
          <w:shd w:val="clear" w:color="auto" w:fill="FFFFFF"/>
        </w:rPr>
      </w:pPr>
    </w:p>
    <w:p w14:paraId="38C33373" w14:textId="736EDEEE" w:rsidR="002F2C3B" w:rsidRPr="000852C7" w:rsidRDefault="002F2C3B" w:rsidP="00D03225">
      <w:pPr>
        <w:pStyle w:val="BodyTextMain"/>
        <w:numPr>
          <w:ilvl w:val="0"/>
          <w:numId w:val="14"/>
        </w:numPr>
        <w:rPr>
          <w:lang w:eastAsia="en-IN"/>
        </w:rPr>
      </w:pPr>
      <w:r>
        <w:t xml:space="preserve">In 2016, </w:t>
      </w:r>
      <w:r w:rsidRPr="00D03225">
        <w:t xml:space="preserve">Ghana had a population of </w:t>
      </w:r>
      <w:r w:rsidRPr="00D03225">
        <w:rPr>
          <w:shd w:val="clear" w:color="auto" w:fill="FFFFFF"/>
        </w:rPr>
        <w:t xml:space="preserve">28,206,728 with a real gross domestic product (GDP) of approximately </w:t>
      </w:r>
      <w:r w:rsidR="004F09BB">
        <w:rPr>
          <w:shd w:val="clear" w:color="auto" w:fill="FFFFFF"/>
        </w:rPr>
        <w:t>$</w:t>
      </w:r>
      <w:r w:rsidRPr="00D03225">
        <w:rPr>
          <w:shd w:val="clear" w:color="auto" w:fill="FFFFFF"/>
        </w:rPr>
        <w:t>46 billion</w:t>
      </w:r>
      <w:r w:rsidR="00D87EEB">
        <w:rPr>
          <w:shd w:val="clear" w:color="auto" w:fill="FFFFFF"/>
        </w:rPr>
        <w:t>.</w:t>
      </w:r>
      <w:r w:rsidR="00447717">
        <w:rPr>
          <w:rStyle w:val="FootnoteReference"/>
          <w:shd w:val="clear" w:color="auto" w:fill="FFFFFF"/>
        </w:rPr>
        <w:footnoteReference w:id="2"/>
      </w:r>
      <w:r w:rsidRPr="00D03225">
        <w:rPr>
          <w:shd w:val="clear" w:color="auto" w:fill="FFFFFF"/>
        </w:rPr>
        <w:t xml:space="preserve"> </w:t>
      </w:r>
    </w:p>
    <w:p w14:paraId="3BB27A5C" w14:textId="5964B3FC" w:rsidR="00D03225" w:rsidRPr="00D03225" w:rsidRDefault="00D03225" w:rsidP="00D03225">
      <w:pPr>
        <w:pStyle w:val="BodyTextMain"/>
        <w:numPr>
          <w:ilvl w:val="0"/>
          <w:numId w:val="14"/>
        </w:numPr>
        <w:rPr>
          <w:lang w:eastAsia="en-IN"/>
        </w:rPr>
      </w:pPr>
      <w:r w:rsidRPr="00D03225">
        <w:rPr>
          <w:lang w:eastAsia="en-IN"/>
        </w:rPr>
        <w:t>Ghana had an abundance of natural resources, but agriculture made up about 20</w:t>
      </w:r>
      <w:r w:rsidR="00F01F4F">
        <w:rPr>
          <w:lang w:eastAsia="en-IN"/>
        </w:rPr>
        <w:t xml:space="preserve"> per cent</w:t>
      </w:r>
      <w:r w:rsidRPr="00D03225">
        <w:rPr>
          <w:lang w:eastAsia="en-IN"/>
        </w:rPr>
        <w:t xml:space="preserve"> of its GDP and more than 50</w:t>
      </w:r>
      <w:r w:rsidR="004F09BB">
        <w:rPr>
          <w:lang w:eastAsia="en-IN"/>
        </w:rPr>
        <w:t xml:space="preserve"> per cent</w:t>
      </w:r>
      <w:r w:rsidRPr="00D03225">
        <w:rPr>
          <w:lang w:eastAsia="en-IN"/>
        </w:rPr>
        <w:t xml:space="preserve"> of its workforce</w:t>
      </w:r>
      <w:r w:rsidR="004F09BB">
        <w:rPr>
          <w:lang w:eastAsia="en-IN"/>
        </w:rPr>
        <w:t>.</w:t>
      </w:r>
      <w:r w:rsidRPr="00D03225">
        <w:rPr>
          <w:lang w:eastAsia="en-IN"/>
        </w:rPr>
        <w:t xml:space="preserve"> </w:t>
      </w:r>
    </w:p>
    <w:p w14:paraId="490CFAF5" w14:textId="14AD4571" w:rsidR="00D03225" w:rsidRPr="00D03225" w:rsidRDefault="00D03225" w:rsidP="00D03225">
      <w:pPr>
        <w:pStyle w:val="BodyTextMain"/>
        <w:numPr>
          <w:ilvl w:val="0"/>
          <w:numId w:val="14"/>
        </w:numPr>
        <w:rPr>
          <w:lang w:eastAsia="en-IN"/>
        </w:rPr>
      </w:pPr>
      <w:r w:rsidRPr="00D03225">
        <w:rPr>
          <w:lang w:eastAsia="en-IN"/>
        </w:rPr>
        <w:t>Gold and cocoa were the major export</w:t>
      </w:r>
      <w:r w:rsidR="001D645F">
        <w:rPr>
          <w:lang w:eastAsia="en-IN"/>
        </w:rPr>
        <w:t>s</w:t>
      </w:r>
      <w:r w:rsidR="004F09BB">
        <w:rPr>
          <w:lang w:eastAsia="en-IN"/>
        </w:rPr>
        <w:t>.</w:t>
      </w:r>
      <w:r w:rsidRPr="00D03225">
        <w:rPr>
          <w:lang w:eastAsia="en-IN"/>
        </w:rPr>
        <w:t xml:space="preserve"> </w:t>
      </w:r>
    </w:p>
    <w:p w14:paraId="12045330" w14:textId="17F839A0" w:rsidR="00D03225" w:rsidRPr="00D03225" w:rsidRDefault="00D03225" w:rsidP="00D03225">
      <w:pPr>
        <w:pStyle w:val="BodyTextMain"/>
        <w:numPr>
          <w:ilvl w:val="0"/>
          <w:numId w:val="14"/>
        </w:numPr>
        <w:rPr>
          <w:lang w:eastAsia="en-IN"/>
        </w:rPr>
      </w:pPr>
      <w:r w:rsidRPr="00D03225">
        <w:rPr>
          <w:lang w:eastAsia="en-IN"/>
        </w:rPr>
        <w:lastRenderedPageBreak/>
        <w:t>The full exploitation of recently discovered off-shore oil reserves had been mitigated by declines in the world prices for oil and gas</w:t>
      </w:r>
      <w:r w:rsidR="004F09BB">
        <w:rPr>
          <w:lang w:eastAsia="en-IN"/>
        </w:rPr>
        <w:t>.</w:t>
      </w:r>
    </w:p>
    <w:p w14:paraId="4AF8052B" w14:textId="085A2EDD" w:rsidR="00D03225" w:rsidRPr="00D03225" w:rsidRDefault="00D03225" w:rsidP="00D03225">
      <w:pPr>
        <w:pStyle w:val="BodyTextMain"/>
        <w:numPr>
          <w:ilvl w:val="0"/>
          <w:numId w:val="14"/>
        </w:numPr>
        <w:rPr>
          <w:lang w:eastAsia="en-IN"/>
        </w:rPr>
      </w:pPr>
      <w:r w:rsidRPr="00D03225">
        <w:rPr>
          <w:lang w:eastAsia="en-IN"/>
        </w:rPr>
        <w:t>Following a period of sustained growth, Ghana was experiencing the effects of a depreciating currency, and large budget and current</w:t>
      </w:r>
      <w:r w:rsidR="00D94FD8">
        <w:rPr>
          <w:lang w:eastAsia="en-IN"/>
        </w:rPr>
        <w:t>-</w:t>
      </w:r>
      <w:r w:rsidRPr="00D03225">
        <w:rPr>
          <w:lang w:eastAsia="en-IN"/>
        </w:rPr>
        <w:t>account deficits</w:t>
      </w:r>
      <w:r w:rsidR="004F09BB">
        <w:rPr>
          <w:lang w:eastAsia="en-IN"/>
        </w:rPr>
        <w:t>.</w:t>
      </w:r>
    </w:p>
    <w:p w14:paraId="27EB2D52" w14:textId="479FDD4E" w:rsidR="00D03225" w:rsidRPr="00D03225" w:rsidRDefault="00D03225" w:rsidP="00D03225">
      <w:pPr>
        <w:pStyle w:val="BodyTextMain"/>
        <w:numPr>
          <w:ilvl w:val="0"/>
          <w:numId w:val="14"/>
        </w:numPr>
      </w:pPr>
      <w:r w:rsidRPr="00BD68D1">
        <w:rPr>
          <w:spacing w:val="2"/>
          <w:lang w:eastAsia="en-IN"/>
        </w:rPr>
        <w:t>The austerity programs accompanying an International Monetary Fund (IMF) loan in 2015 had focused attention on decreasing inefficiencies in the public sector, eliminat</w:t>
      </w:r>
      <w:r w:rsidR="00C50909" w:rsidRPr="00BD68D1">
        <w:rPr>
          <w:spacing w:val="2"/>
          <w:lang w:eastAsia="en-IN"/>
        </w:rPr>
        <w:t>ing</w:t>
      </w:r>
      <w:r w:rsidRPr="00BD68D1">
        <w:rPr>
          <w:spacing w:val="2"/>
          <w:lang w:eastAsia="en-IN"/>
        </w:rPr>
        <w:t xml:space="preserve"> subsidies, and </w:t>
      </w:r>
      <w:r w:rsidRPr="00BD68D1">
        <w:rPr>
          <w:spacing w:val="2"/>
        </w:rPr>
        <w:t>increasing tax revenues</w:t>
      </w:r>
      <w:r w:rsidR="004F09BB" w:rsidRPr="00BD68D1">
        <w:rPr>
          <w:spacing w:val="2"/>
        </w:rPr>
        <w:t>.</w:t>
      </w:r>
      <w:r w:rsidRPr="00D03225">
        <w:rPr>
          <w:rFonts w:cstheme="majorHAnsi"/>
          <w:vertAlign w:val="superscript"/>
        </w:rPr>
        <w:footnoteReference w:id="3"/>
      </w:r>
    </w:p>
    <w:p w14:paraId="04366F72" w14:textId="72ACEFF5" w:rsidR="00D03225" w:rsidRDefault="00D03225" w:rsidP="00D03225">
      <w:pPr>
        <w:pStyle w:val="BodyTextMain"/>
      </w:pPr>
    </w:p>
    <w:p w14:paraId="6F7E79F2" w14:textId="62192123" w:rsidR="00633566" w:rsidRDefault="00633566" w:rsidP="00D03225">
      <w:pPr>
        <w:pStyle w:val="BodyTextMain"/>
      </w:pPr>
    </w:p>
    <w:p w14:paraId="19EBDC0F" w14:textId="543B3938" w:rsidR="00633566" w:rsidRPr="00D03225" w:rsidRDefault="00633566" w:rsidP="00633566">
      <w:pPr>
        <w:pStyle w:val="Casehead2"/>
        <w:rPr>
          <w:rFonts w:eastAsiaTheme="minorEastAsia"/>
          <w:lang w:eastAsia="ko-KR"/>
        </w:rPr>
      </w:pPr>
      <w:r>
        <w:rPr>
          <w:rFonts w:eastAsiaTheme="minorEastAsia"/>
          <w:lang w:eastAsia="ko-KR"/>
        </w:rPr>
        <w:t>Company Background: RenY Corporation</w:t>
      </w:r>
      <w:r w:rsidR="001D645F">
        <w:rPr>
          <w:rFonts w:eastAsiaTheme="minorEastAsia"/>
          <w:lang w:eastAsia="ko-KR"/>
        </w:rPr>
        <w:t xml:space="preserve"> (RenY)</w:t>
      </w:r>
    </w:p>
    <w:p w14:paraId="3FE6F257" w14:textId="77777777" w:rsidR="00633566" w:rsidRDefault="00633566" w:rsidP="00D03225">
      <w:pPr>
        <w:pStyle w:val="BodyTextMain"/>
      </w:pPr>
    </w:p>
    <w:p w14:paraId="1EFA7089" w14:textId="4B513E5C" w:rsidR="00845339" w:rsidRDefault="007D33EC" w:rsidP="00D03225">
      <w:pPr>
        <w:pStyle w:val="BodyTextMain"/>
      </w:pPr>
      <w:r>
        <w:t xml:space="preserve">RenY </w:t>
      </w:r>
      <w:r w:rsidR="007A0C2F">
        <w:t xml:space="preserve">was established by Dawson in Hong Kong in 2010 as a management consulting </w:t>
      </w:r>
      <w:r w:rsidR="006961B7">
        <w:t>and corporate advisory entity</w:t>
      </w:r>
      <w:r w:rsidR="00037F42">
        <w:t>,</w:t>
      </w:r>
      <w:r w:rsidR="006961B7">
        <w:t xml:space="preserve"> with clients in </w:t>
      </w:r>
      <w:r w:rsidR="00037F42">
        <w:t>the U</w:t>
      </w:r>
      <w:r w:rsidR="001D645F">
        <w:t>nited States</w:t>
      </w:r>
      <w:r w:rsidR="00037F42">
        <w:t xml:space="preserve">, </w:t>
      </w:r>
      <w:r w:rsidR="006961B7">
        <w:t>China</w:t>
      </w:r>
      <w:r w:rsidR="00EE46AA">
        <w:t xml:space="preserve">, </w:t>
      </w:r>
      <w:r w:rsidR="00037F42">
        <w:t xml:space="preserve">and </w:t>
      </w:r>
      <w:r w:rsidR="00A857E7">
        <w:t>Australia</w:t>
      </w:r>
      <w:r w:rsidR="00CB32CA">
        <w:t xml:space="preserve">. </w:t>
      </w:r>
      <w:r w:rsidR="00BD68D1">
        <w:t>The company</w:t>
      </w:r>
      <w:r w:rsidR="00CB32CA">
        <w:t xml:space="preserve"> </w:t>
      </w:r>
      <w:r w:rsidR="00EC7BCA">
        <w:t>consulted on</w:t>
      </w:r>
      <w:r w:rsidR="00C7537F">
        <w:t xml:space="preserve"> oil</w:t>
      </w:r>
      <w:r w:rsidR="00237583">
        <w:t xml:space="preserve">, </w:t>
      </w:r>
      <w:r w:rsidR="00C7537F">
        <w:t>gas</w:t>
      </w:r>
      <w:r w:rsidR="002603A3">
        <w:t>,</w:t>
      </w:r>
      <w:r w:rsidR="00EC7BCA">
        <w:t xml:space="preserve"> </w:t>
      </w:r>
      <w:r w:rsidR="00BA17EC">
        <w:t>and</w:t>
      </w:r>
      <w:r w:rsidR="00EC7BCA">
        <w:t xml:space="preserve"> </w:t>
      </w:r>
      <w:r w:rsidR="00D75913">
        <w:t xml:space="preserve">commercial </w:t>
      </w:r>
      <w:r w:rsidR="00BA17EC">
        <w:t xml:space="preserve">property development </w:t>
      </w:r>
      <w:r w:rsidR="00D75913">
        <w:t xml:space="preserve">projects </w:t>
      </w:r>
      <w:r w:rsidR="00873AED">
        <w:t>in China</w:t>
      </w:r>
      <w:r w:rsidR="00BD68D1">
        <w:t xml:space="preserve">, and </w:t>
      </w:r>
      <w:r w:rsidR="00946305">
        <w:t xml:space="preserve">also provided a range of </w:t>
      </w:r>
      <w:r w:rsidR="0032491E">
        <w:t xml:space="preserve">expert services related to small public company restructuring and </w:t>
      </w:r>
      <w:r w:rsidR="00037F42">
        <w:t xml:space="preserve">raising </w:t>
      </w:r>
      <w:r w:rsidR="00CB4DDC">
        <w:t>capital from private investors</w:t>
      </w:r>
      <w:r w:rsidR="00FA3584">
        <w:t xml:space="preserve"> in Australia</w:t>
      </w:r>
      <w:r w:rsidR="00CB4DDC">
        <w:t>.</w:t>
      </w:r>
      <w:r w:rsidR="00AA693E">
        <w:t xml:space="preserve"> RenY was positioned to take advantage of </w:t>
      </w:r>
      <w:r w:rsidR="00AE46F6">
        <w:t xml:space="preserve">the </w:t>
      </w:r>
      <w:r w:rsidR="00B52609">
        <w:t xml:space="preserve">attractive </w:t>
      </w:r>
      <w:r w:rsidR="00AE46F6">
        <w:t>corporate and tax environment in Hong Kong</w:t>
      </w:r>
      <w:r w:rsidR="00A511EC">
        <w:t>,</w:t>
      </w:r>
      <w:r w:rsidR="00AE46F6">
        <w:t xml:space="preserve"> </w:t>
      </w:r>
      <w:r w:rsidR="00037F42">
        <w:t>its</w:t>
      </w:r>
      <w:r w:rsidR="007B41DC">
        <w:t xml:space="preserve"> efficient banking sy</w:t>
      </w:r>
      <w:r w:rsidR="002B17E4">
        <w:t>stem</w:t>
      </w:r>
      <w:r w:rsidR="00A511EC">
        <w:t>,</w:t>
      </w:r>
      <w:r w:rsidR="002F420D">
        <w:t xml:space="preserve"> and </w:t>
      </w:r>
      <w:r w:rsidR="00387EBC">
        <w:t xml:space="preserve">excellent </w:t>
      </w:r>
      <w:r w:rsidR="002B17E4">
        <w:t>foreign exchange provisions</w:t>
      </w:r>
      <w:r w:rsidR="00037F42">
        <w:t>,</w:t>
      </w:r>
      <w:r w:rsidR="002603A3">
        <w:t xml:space="preserve"> as i</w:t>
      </w:r>
      <w:r w:rsidR="000C2A7C">
        <w:t>t</w:t>
      </w:r>
      <w:r w:rsidR="002603A3">
        <w:t xml:space="preserve"> </w:t>
      </w:r>
      <w:r w:rsidR="0020659A">
        <w:t xml:space="preserve">was on the doorstep </w:t>
      </w:r>
      <w:r w:rsidR="00B63C9B">
        <w:t xml:space="preserve">of the </w:t>
      </w:r>
      <w:r w:rsidR="00EF0B21">
        <w:t>highly industrialized G</w:t>
      </w:r>
      <w:r w:rsidR="00B722E3">
        <w:t>ua</w:t>
      </w:r>
      <w:r w:rsidR="00EF0B21">
        <w:t>n</w:t>
      </w:r>
      <w:r w:rsidR="00AA6E62">
        <w:t>g</w:t>
      </w:r>
      <w:r w:rsidR="00EF0B21">
        <w:t xml:space="preserve">dong </w:t>
      </w:r>
      <w:r w:rsidR="00B722E3">
        <w:t xml:space="preserve">province of </w:t>
      </w:r>
      <w:r w:rsidR="00037F42">
        <w:t>S</w:t>
      </w:r>
      <w:r w:rsidR="00B722E3">
        <w:t>outher</w:t>
      </w:r>
      <w:r w:rsidR="00320FF6">
        <w:t>n</w:t>
      </w:r>
      <w:r w:rsidR="00B722E3">
        <w:t xml:space="preserve"> China</w:t>
      </w:r>
      <w:r w:rsidR="00320FF6">
        <w:t>.</w:t>
      </w:r>
      <w:r w:rsidR="003E4AEA">
        <w:t xml:space="preserve"> RenY had been contr</w:t>
      </w:r>
      <w:r w:rsidR="000F5629">
        <w:t xml:space="preserve">acted to undertake preliminary investigations </w:t>
      </w:r>
      <w:r w:rsidR="00C976E7">
        <w:t xml:space="preserve">into </w:t>
      </w:r>
      <w:r w:rsidR="00774D32">
        <w:t>opport</w:t>
      </w:r>
      <w:r w:rsidR="00343F44">
        <w:t>unities</w:t>
      </w:r>
      <w:r w:rsidR="00037F42">
        <w:t xml:space="preserve"> in Ghana</w:t>
      </w:r>
      <w:r w:rsidR="00343F44">
        <w:t xml:space="preserve"> </w:t>
      </w:r>
      <w:r w:rsidR="004A7087">
        <w:t>for</w:t>
      </w:r>
      <w:r w:rsidR="00343F44">
        <w:t xml:space="preserve"> importi</w:t>
      </w:r>
      <w:r w:rsidR="00037F42">
        <w:t>ng</w:t>
      </w:r>
      <w:r w:rsidR="00343F44">
        <w:t xml:space="preserve"> and wholesaling </w:t>
      </w:r>
      <w:r w:rsidR="00BD14E9">
        <w:t xml:space="preserve">a range of </w:t>
      </w:r>
      <w:r w:rsidR="00756312">
        <w:t>seafood and other related products manufactured in China</w:t>
      </w:r>
      <w:r w:rsidR="000E76D0">
        <w:t>.</w:t>
      </w:r>
      <w:r w:rsidR="00FF49F3">
        <w:t xml:space="preserve"> </w:t>
      </w:r>
      <w:r w:rsidR="003E67FE">
        <w:t>RenY was also contracted by clients in the U</w:t>
      </w:r>
      <w:r w:rsidR="001D645F">
        <w:t>nited States</w:t>
      </w:r>
      <w:r w:rsidR="003E67FE">
        <w:t xml:space="preserve"> </w:t>
      </w:r>
      <w:r w:rsidR="003C227A">
        <w:t>to assess market</w:t>
      </w:r>
      <w:r w:rsidR="00DC79D2">
        <w:t>s</w:t>
      </w:r>
      <w:r w:rsidR="003C227A">
        <w:t xml:space="preserve"> in West Africa for </w:t>
      </w:r>
      <w:r w:rsidR="0010097D">
        <w:t xml:space="preserve">sugar, rice, cooking </w:t>
      </w:r>
      <w:r w:rsidR="00F55EC4">
        <w:t>oil</w:t>
      </w:r>
      <w:r w:rsidR="00746C90">
        <w:t>,</w:t>
      </w:r>
      <w:r w:rsidR="00F55EC4">
        <w:t xml:space="preserve"> </w:t>
      </w:r>
      <w:r w:rsidR="001B5DBB">
        <w:t>and other food p</w:t>
      </w:r>
      <w:r w:rsidR="001B0820">
        <w:t xml:space="preserve">roducts to be </w:t>
      </w:r>
      <w:r w:rsidR="0010097D">
        <w:t>imported from Asia and South America.</w:t>
      </w:r>
      <w:r w:rsidR="00BB62E2">
        <w:t xml:space="preserve"> </w:t>
      </w:r>
      <w:r w:rsidR="00A71C2E">
        <w:t xml:space="preserve">Dawson had travelled to Ghana many times since 2011 </w:t>
      </w:r>
      <w:r w:rsidR="000C51FC">
        <w:t>to dev</w:t>
      </w:r>
      <w:r w:rsidR="00401301">
        <w:t xml:space="preserve">elop a comprehensive understanding of the </w:t>
      </w:r>
      <w:r w:rsidR="00E5638B">
        <w:t>business</w:t>
      </w:r>
      <w:r w:rsidR="00FA1184">
        <w:t xml:space="preserve"> and</w:t>
      </w:r>
      <w:r w:rsidR="007F4851">
        <w:t xml:space="preserve"> </w:t>
      </w:r>
      <w:r w:rsidR="00E5638B">
        <w:t>political environment</w:t>
      </w:r>
      <w:r w:rsidR="007F4851">
        <w:t xml:space="preserve">, and </w:t>
      </w:r>
      <w:r w:rsidR="00037F42">
        <w:t xml:space="preserve">to learn about </w:t>
      </w:r>
      <w:r w:rsidR="00FF6706">
        <w:t xml:space="preserve">the </w:t>
      </w:r>
      <w:r w:rsidR="00FA1184">
        <w:t xml:space="preserve">public infrastructure needed </w:t>
      </w:r>
      <w:r w:rsidR="00176005">
        <w:t xml:space="preserve">to </w:t>
      </w:r>
      <w:r w:rsidR="004654DD">
        <w:t>more</w:t>
      </w:r>
      <w:r w:rsidR="00EE46AA">
        <w:t xml:space="preserve"> fully inform RenY</w:t>
      </w:r>
      <w:r w:rsidR="00037F42">
        <w:t>’s</w:t>
      </w:r>
      <w:r w:rsidR="00EE46AA">
        <w:t xml:space="preserve"> clients.</w:t>
      </w:r>
    </w:p>
    <w:p w14:paraId="4079952A" w14:textId="75A79CFF" w:rsidR="00633566" w:rsidRDefault="00633566" w:rsidP="00D03225">
      <w:pPr>
        <w:pStyle w:val="BodyTextMain"/>
      </w:pPr>
    </w:p>
    <w:p w14:paraId="3A3EEA2F" w14:textId="77777777" w:rsidR="00421189" w:rsidRDefault="00421189" w:rsidP="00D03225">
      <w:pPr>
        <w:pStyle w:val="BodyTextMain"/>
      </w:pPr>
    </w:p>
    <w:p w14:paraId="7DA3AB8E" w14:textId="7E0CDAE4" w:rsidR="00633566" w:rsidRPr="00D03225" w:rsidRDefault="00633566" w:rsidP="00633566">
      <w:pPr>
        <w:pStyle w:val="Casehead2"/>
        <w:rPr>
          <w:rFonts w:eastAsiaTheme="minorEastAsia"/>
          <w:lang w:eastAsia="ko-KR"/>
        </w:rPr>
      </w:pPr>
      <w:r>
        <w:rPr>
          <w:rFonts w:eastAsiaTheme="minorEastAsia"/>
          <w:lang w:eastAsia="ko-KR"/>
        </w:rPr>
        <w:t>RenY Corporation</w:t>
      </w:r>
      <w:r w:rsidRPr="00D03225">
        <w:rPr>
          <w:rFonts w:eastAsiaTheme="minorEastAsia"/>
          <w:lang w:eastAsia="ko-KR"/>
        </w:rPr>
        <w:t xml:space="preserve"> </w:t>
      </w:r>
      <w:r>
        <w:rPr>
          <w:rFonts w:eastAsiaTheme="minorEastAsia"/>
          <w:lang w:eastAsia="ko-KR"/>
        </w:rPr>
        <w:t>in Ghana</w:t>
      </w:r>
    </w:p>
    <w:p w14:paraId="4FB351A1" w14:textId="7E445190" w:rsidR="00094CBD" w:rsidRDefault="00094CBD" w:rsidP="00D03225">
      <w:pPr>
        <w:pStyle w:val="BodyTextMain"/>
      </w:pPr>
    </w:p>
    <w:p w14:paraId="375E14EC" w14:textId="3BC21409" w:rsidR="00D03225" w:rsidRPr="00D03225" w:rsidRDefault="005B7529" w:rsidP="00D03225">
      <w:pPr>
        <w:pStyle w:val="BodyTextMain"/>
      </w:pPr>
      <w:r>
        <w:t>D</w:t>
      </w:r>
      <w:r w:rsidR="001E4DE6">
        <w:t>uring these visits</w:t>
      </w:r>
      <w:r>
        <w:t>,</w:t>
      </w:r>
      <w:r w:rsidR="001E4DE6">
        <w:t xml:space="preserve"> Dawson </w:t>
      </w:r>
      <w:r w:rsidR="00D03225" w:rsidRPr="00D03225">
        <w:t>observed the lack of public infrastructure, inadequate public health services, poor education facilities and programs (especially in rural areas)</w:t>
      </w:r>
      <w:r w:rsidR="00423807">
        <w:t>,</w:t>
      </w:r>
      <w:r w:rsidR="00D03225" w:rsidRPr="00D03225">
        <w:t xml:space="preserve"> and increased urban stress due to economically inspired migration from rural areas to the cities by young people. </w:t>
      </w:r>
      <w:r w:rsidR="00D23C3D" w:rsidRPr="00D03225">
        <w:t>The delivery of health, education, energy, transport, telecommunication services</w:t>
      </w:r>
      <w:r w:rsidR="00170D26">
        <w:t>,</w:t>
      </w:r>
      <w:r w:rsidR="00D23C3D" w:rsidRPr="00D03225">
        <w:t xml:space="preserve"> and programs to stimulate jobs and economic growth </w:t>
      </w:r>
      <w:r w:rsidR="00CC4154">
        <w:t>was</w:t>
      </w:r>
      <w:r w:rsidR="00D23C3D" w:rsidRPr="00D03225">
        <w:t xml:space="preserve"> exacerbated by corruption at every level of government</w:t>
      </w:r>
      <w:r w:rsidR="00CC4154">
        <w:t xml:space="preserve">, by </w:t>
      </w:r>
      <w:r w:rsidR="00D23C3D" w:rsidRPr="00D03225">
        <w:t>the legal systems, and by hegemonic political and business groups.</w:t>
      </w:r>
    </w:p>
    <w:p w14:paraId="7CD74F0E" w14:textId="77777777" w:rsidR="00D03225" w:rsidRPr="00D03225" w:rsidRDefault="00D03225" w:rsidP="00D03225">
      <w:pPr>
        <w:pStyle w:val="BodyTextMain"/>
      </w:pPr>
    </w:p>
    <w:p w14:paraId="60897635" w14:textId="1F8772EA" w:rsidR="004B4218" w:rsidRDefault="00D03225" w:rsidP="00D03225">
      <w:pPr>
        <w:pStyle w:val="BodyTextMain"/>
      </w:pPr>
      <w:r w:rsidRPr="00D03225">
        <w:t>Foreign investment failed to produce transformational change in the region under the United Nations Millennium Development Goals</w:t>
      </w:r>
      <w:r w:rsidRPr="00D03225">
        <w:rPr>
          <w:rFonts w:cstheme="majorHAnsi"/>
          <w:vertAlign w:val="superscript"/>
        </w:rPr>
        <w:footnoteReference w:id="4"/>
      </w:r>
      <w:r w:rsidRPr="00D03225">
        <w:rPr>
          <w:rFonts w:cstheme="majorHAnsi"/>
          <w:vertAlign w:val="superscript"/>
        </w:rPr>
        <w:t xml:space="preserve"> </w:t>
      </w:r>
      <w:r w:rsidRPr="00D03225">
        <w:t>and the United Nations Economic Commission for Africa (UNECA) objectives</w:t>
      </w:r>
      <w:bookmarkStart w:id="0" w:name="_Ref13685458"/>
      <w:r w:rsidR="004F09BB">
        <w:t>.</w:t>
      </w:r>
      <w:r w:rsidRPr="00D03225">
        <w:rPr>
          <w:rFonts w:cstheme="majorHAnsi"/>
          <w:vertAlign w:val="superscript"/>
        </w:rPr>
        <w:footnoteReference w:id="5"/>
      </w:r>
      <w:bookmarkEnd w:id="0"/>
      <w:r w:rsidRPr="00D03225">
        <w:t xml:space="preserve"> The UNECA Sustainable Development Report on Africa Managing Land-Based Resources for Sustainable Development (201</w:t>
      </w:r>
      <w:r w:rsidR="00A94952">
        <w:t>1</w:t>
      </w:r>
      <w:r w:rsidRPr="00D03225">
        <w:t xml:space="preserve">) stated that sustainable development </w:t>
      </w:r>
    </w:p>
    <w:p w14:paraId="599DD175" w14:textId="77777777" w:rsidR="004B4218" w:rsidRDefault="004B4218" w:rsidP="00D03225">
      <w:pPr>
        <w:pStyle w:val="BodyTextMain"/>
      </w:pPr>
    </w:p>
    <w:p w14:paraId="6B00C432" w14:textId="0C42E3CC" w:rsidR="00D03225" w:rsidRDefault="004B4218" w:rsidP="004B4218">
      <w:pPr>
        <w:pStyle w:val="BodyTextMain"/>
        <w:ind w:left="720"/>
        <w:rPr>
          <w:rFonts w:cstheme="majorHAnsi"/>
          <w:vertAlign w:val="superscript"/>
        </w:rPr>
      </w:pPr>
      <w:r>
        <w:t xml:space="preserve">. . . </w:t>
      </w:r>
      <w:r w:rsidR="00D03225" w:rsidRPr="00D03225">
        <w:t xml:space="preserve">calls for integrating economic growth, social development and environmental management as interdependent, mutually supportive and reinforcing pillars of long-term development. It calls for participatory and multi-stakeholder approaches to dealing with development issues, involving a </w:t>
      </w:r>
      <w:r w:rsidR="00D03225" w:rsidRPr="00D03225">
        <w:lastRenderedPageBreak/>
        <w:t>wide range of actors</w:t>
      </w:r>
      <w:r>
        <w:t>—</w:t>
      </w:r>
      <w:r w:rsidR="00D03225" w:rsidRPr="00D03225">
        <w:t>government, private sector, civil society organizations, institutions of higher learning</w:t>
      </w:r>
      <w:r>
        <w:t>,</w:t>
      </w:r>
      <w:r w:rsidR="00D03225" w:rsidRPr="00D03225">
        <w:t xml:space="preserve"> and research and development partners.</w:t>
      </w:r>
      <w:r w:rsidR="00D03225" w:rsidRPr="00D03225">
        <w:rPr>
          <w:rFonts w:cstheme="majorHAnsi"/>
          <w:vertAlign w:val="superscript"/>
        </w:rPr>
        <w:t xml:space="preserve"> </w:t>
      </w:r>
      <w:r w:rsidR="00D03225" w:rsidRPr="00D03225">
        <w:rPr>
          <w:rFonts w:cstheme="majorHAnsi"/>
          <w:vertAlign w:val="superscript"/>
        </w:rPr>
        <w:footnoteReference w:id="6"/>
      </w:r>
    </w:p>
    <w:p w14:paraId="32AFE066" w14:textId="77777777" w:rsidR="001D645F" w:rsidRPr="00D03225" w:rsidRDefault="001D645F" w:rsidP="004B4218">
      <w:pPr>
        <w:pStyle w:val="BodyTextMain"/>
        <w:ind w:left="720"/>
      </w:pPr>
    </w:p>
    <w:p w14:paraId="27D7AA76" w14:textId="77777777" w:rsidR="001D645F" w:rsidRDefault="00D03225" w:rsidP="002214B0">
      <w:pPr>
        <w:pStyle w:val="BodyTextMain"/>
      </w:pPr>
      <w:r w:rsidRPr="00D03225">
        <w:t>In 2013, Dr</w:t>
      </w:r>
      <w:r w:rsidR="00447717">
        <w:t>.</w:t>
      </w:r>
      <w:r w:rsidRPr="00D03225">
        <w:t xml:space="preserve"> </w:t>
      </w:r>
      <w:r w:rsidR="00920E7C">
        <w:t xml:space="preserve">Daniel </w:t>
      </w:r>
      <w:r w:rsidRPr="00D03225">
        <w:t>Twerefou at the University of Ghana produced a report</w:t>
      </w:r>
      <w:r w:rsidRPr="00D03225">
        <w:rPr>
          <w:rFonts w:cstheme="majorHAnsi"/>
          <w:vertAlign w:val="superscript"/>
        </w:rPr>
        <w:t xml:space="preserve"> </w:t>
      </w:r>
      <w:r w:rsidRPr="00D03225">
        <w:t xml:space="preserve">on West Africa for the UNECA in which he noted that </w:t>
      </w:r>
    </w:p>
    <w:p w14:paraId="52D5E3FB" w14:textId="77777777" w:rsidR="001D645F" w:rsidRDefault="001D645F" w:rsidP="002214B0">
      <w:pPr>
        <w:pStyle w:val="BodyTextMain"/>
      </w:pPr>
    </w:p>
    <w:p w14:paraId="067248EA" w14:textId="26448EB9" w:rsidR="004B4218" w:rsidRDefault="001D645F" w:rsidP="004B4218">
      <w:pPr>
        <w:pStyle w:val="BodyTextMain"/>
        <w:ind w:left="720"/>
      </w:pPr>
      <w:r>
        <w:t>E</w:t>
      </w:r>
      <w:r w:rsidR="00D03225" w:rsidRPr="00D03225">
        <w:t>conomic growth within the subregion has been driven more by donor inflows rather than domestic savings</w:t>
      </w:r>
      <w:r>
        <w:t xml:space="preserve"> . . . [and] </w:t>
      </w:r>
      <w:r w:rsidR="00D03225" w:rsidRPr="00D03225">
        <w:t>FDI</w:t>
      </w:r>
      <w:r w:rsidR="00BD68D1">
        <w:t xml:space="preserve"> [foreign direct investment]</w:t>
      </w:r>
      <w:r w:rsidR="00D03225" w:rsidRPr="00D03225">
        <w:t xml:space="preserve"> failed to generate the employment needed to increase incomes and reduce poverty in the subregion.</w:t>
      </w:r>
      <w:bookmarkStart w:id="1" w:name="_Ref13684647"/>
      <w:r>
        <w:t xml:space="preserve"> </w:t>
      </w:r>
      <w:r w:rsidRPr="00D03225">
        <w:t>This was mainly because it focused more on capital-intensive extractive industries/sectors, especially the exploitation of mineral resources without value addition to these resources.</w:t>
      </w:r>
      <w:r w:rsidR="00D03225" w:rsidRPr="00D03225">
        <w:rPr>
          <w:rFonts w:cstheme="majorHAnsi"/>
          <w:vertAlign w:val="superscript"/>
        </w:rPr>
        <w:footnoteReference w:id="7"/>
      </w:r>
      <w:bookmarkEnd w:id="1"/>
      <w:r w:rsidR="00D03225" w:rsidRPr="00D03225">
        <w:t xml:space="preserve"> </w:t>
      </w:r>
    </w:p>
    <w:p w14:paraId="3AB3345D" w14:textId="77777777" w:rsidR="004B4218" w:rsidRDefault="004B4218" w:rsidP="002214B0">
      <w:pPr>
        <w:pStyle w:val="BodyTextMain"/>
      </w:pPr>
    </w:p>
    <w:p w14:paraId="7A43B9C4" w14:textId="3ADEDD9B" w:rsidR="004B4218" w:rsidRDefault="00D03225" w:rsidP="002214B0">
      <w:pPr>
        <w:pStyle w:val="BodyTextMain"/>
      </w:pPr>
      <w:r w:rsidRPr="00D03225">
        <w:t>The World Investment Report 2015</w:t>
      </w:r>
      <w:r w:rsidR="006834A6">
        <w:t xml:space="preserve"> </w:t>
      </w:r>
      <w:r w:rsidR="006834A6" w:rsidRPr="00D03225">
        <w:t xml:space="preserve">stated that West African FDI </w:t>
      </w:r>
      <w:r w:rsidR="006834A6">
        <w:t>was</w:t>
      </w:r>
      <w:r w:rsidR="006834A6" w:rsidRPr="00D03225">
        <w:t xml:space="preserve"> focused on projects that ha</w:t>
      </w:r>
      <w:r w:rsidR="006834A6">
        <w:t>d</w:t>
      </w:r>
      <w:r w:rsidR="006834A6" w:rsidRPr="00D03225">
        <w:t xml:space="preserve"> low job creation, such as telecommunications, mining, retail</w:t>
      </w:r>
      <w:r w:rsidR="006834A6">
        <w:t>,</w:t>
      </w:r>
      <w:r w:rsidR="006834A6" w:rsidRPr="00D03225">
        <w:t xml:space="preserve"> and financial services</w:t>
      </w:r>
      <w:r w:rsidR="006834A6">
        <w:t>.</w:t>
      </w:r>
      <w:r w:rsidRPr="00D03225">
        <w:rPr>
          <w:rFonts w:cstheme="majorHAnsi"/>
          <w:vertAlign w:val="superscript"/>
        </w:rPr>
        <w:footnoteReference w:id="8"/>
      </w:r>
      <w:r w:rsidRPr="00D03225">
        <w:t xml:space="preserve"> Health concerns such as the Ebola crisis had resulted in a significant drop in FDI in West Africa since early 2014</w:t>
      </w:r>
      <w:r w:rsidR="004B4218">
        <w:t>.</w:t>
      </w:r>
      <w:r w:rsidRPr="00D03225">
        <w:rPr>
          <w:rFonts w:cstheme="majorHAnsi"/>
          <w:vertAlign w:val="superscript"/>
        </w:rPr>
        <w:footnoteReference w:id="9"/>
      </w:r>
      <w:r w:rsidRPr="00D03225">
        <w:t xml:space="preserve"> </w:t>
      </w:r>
      <w:r w:rsidR="002214B0" w:rsidRPr="00D03225">
        <w:t xml:space="preserve">Twerefou also noted that </w:t>
      </w:r>
    </w:p>
    <w:p w14:paraId="5970DB68" w14:textId="77777777" w:rsidR="00B13A57" w:rsidRDefault="00B13A57" w:rsidP="004B4218">
      <w:pPr>
        <w:pStyle w:val="BodyTextMain"/>
        <w:ind w:left="720"/>
      </w:pPr>
    </w:p>
    <w:p w14:paraId="681A3F7A" w14:textId="17E8EFB8" w:rsidR="002214B0" w:rsidRDefault="004B4218" w:rsidP="004B4218">
      <w:pPr>
        <w:pStyle w:val="BodyTextMain"/>
        <w:ind w:left="720"/>
      </w:pPr>
      <w:r>
        <w:t xml:space="preserve">. . . </w:t>
      </w:r>
      <w:r w:rsidR="002214B0" w:rsidRPr="00D03225">
        <w:t>most countries in the sub-region are not undergoing the structural transformation needed to improve the quality of life of the people and ensure sustainable development. The shrinking of the agricultural sector’s contribution to GDP, accompanied by a decrease, or at best, a stagnation of the manufacturing sector, suggests a pseudo-transformational process whose overall impact on growth and poverty should be properly assessed.</w:t>
      </w:r>
      <w:r w:rsidR="002214B0" w:rsidRPr="00D03225">
        <w:rPr>
          <w:vertAlign w:val="superscript"/>
        </w:rPr>
        <w:footnoteReference w:id="10"/>
      </w:r>
      <w:r w:rsidR="00FC49D7">
        <w:t xml:space="preserve"> </w:t>
      </w:r>
    </w:p>
    <w:p w14:paraId="26345B44" w14:textId="77777777" w:rsidR="00D03225" w:rsidRPr="00D03225" w:rsidRDefault="00D03225" w:rsidP="00D03225">
      <w:pPr>
        <w:pStyle w:val="BodyTextMain"/>
      </w:pPr>
    </w:p>
    <w:p w14:paraId="7524C3A2" w14:textId="798E80D9" w:rsidR="00C3444B" w:rsidRDefault="00D03225" w:rsidP="00C3444B">
      <w:pPr>
        <w:pStyle w:val="BodyTextMain"/>
      </w:pPr>
      <w:r w:rsidRPr="00D03225">
        <w:t xml:space="preserve">On the long flight </w:t>
      </w:r>
      <w:r w:rsidR="00BD68D1">
        <w:t>home</w:t>
      </w:r>
      <w:r w:rsidR="00D87EEB">
        <w:t>,</w:t>
      </w:r>
      <w:r w:rsidRPr="00D03225">
        <w:t xml:space="preserve"> Dawson reflected on </w:t>
      </w:r>
      <w:r w:rsidR="00D97BA7">
        <w:t>his</w:t>
      </w:r>
      <w:r w:rsidR="00AA6D90">
        <w:t xml:space="preserve"> long career as a manufacturer of information technology </w:t>
      </w:r>
      <w:r w:rsidR="00D97BA7">
        <w:t>a</w:t>
      </w:r>
      <w:r w:rsidR="00AA6D90">
        <w:t xml:space="preserve">nd </w:t>
      </w:r>
      <w:proofErr w:type="gramStart"/>
      <w:r w:rsidR="00AA6D90">
        <w:t xml:space="preserve">in </w:t>
      </w:r>
      <w:r w:rsidR="006834A6">
        <w:t>service</w:t>
      </w:r>
      <w:proofErr w:type="gramEnd"/>
      <w:r w:rsidR="006834A6">
        <w:t xml:space="preserve"> delivery of </w:t>
      </w:r>
      <w:r w:rsidR="00AA6D90">
        <w:t>information systems. He had expertise in small business start</w:t>
      </w:r>
      <w:r w:rsidR="001E4C42">
        <w:t>-</w:t>
      </w:r>
      <w:r w:rsidR="00AA6D90">
        <w:t>ups, business restructuring</w:t>
      </w:r>
      <w:r w:rsidR="00D87EEB">
        <w:t>,</w:t>
      </w:r>
      <w:r w:rsidR="00AA6D90">
        <w:t xml:space="preserve"> and capital </w:t>
      </w:r>
      <w:r w:rsidR="00920E7C">
        <w:t>fund</w:t>
      </w:r>
      <w:r w:rsidR="00AA6D90">
        <w:t xml:space="preserve">ing. </w:t>
      </w:r>
      <w:r w:rsidR="00C3444B">
        <w:t>H</w:t>
      </w:r>
      <w:r w:rsidR="00ED7C06">
        <w:t>e</w:t>
      </w:r>
      <w:r w:rsidR="00C3444B" w:rsidRPr="00D03225">
        <w:t xml:space="preserve"> </w:t>
      </w:r>
      <w:r w:rsidR="000945A6">
        <w:t xml:space="preserve">was </w:t>
      </w:r>
      <w:r w:rsidR="00C3444B" w:rsidRPr="00D03225">
        <w:t xml:space="preserve">convinced that graduates from </w:t>
      </w:r>
      <w:r w:rsidR="00970B34">
        <w:t>Ghana’s</w:t>
      </w:r>
      <w:r w:rsidR="00C3444B" w:rsidRPr="00D03225">
        <w:t xml:space="preserve"> many tertiary institutions could be agents for transformational change if </w:t>
      </w:r>
      <w:r w:rsidR="00970B34">
        <w:t xml:space="preserve">they were </w:t>
      </w:r>
      <w:r w:rsidR="00C3444B" w:rsidRPr="00D03225">
        <w:t xml:space="preserve">provided with the right business stimuli, mentoring, and collaborative support. Dawson was aware of the plight of these graduates who, after having satisfied their national service obligations, were unlikely to gain employment in their fields of expertise. </w:t>
      </w:r>
      <w:r w:rsidR="00E92ABA">
        <w:t xml:space="preserve">Dawson </w:t>
      </w:r>
      <w:r w:rsidR="005A4B8E">
        <w:t>believed he could must</w:t>
      </w:r>
      <w:r w:rsidR="0008074C">
        <w:t>er</w:t>
      </w:r>
      <w:r w:rsidR="005A4B8E">
        <w:t xml:space="preserve"> the resources needed to </w:t>
      </w:r>
      <w:r w:rsidR="007D32EE">
        <w:t xml:space="preserve">stimulate economic growth </w:t>
      </w:r>
      <w:r w:rsidR="00FA0B74">
        <w:t xml:space="preserve">in Ghana </w:t>
      </w:r>
      <w:r w:rsidR="007D32EE">
        <w:t xml:space="preserve">through </w:t>
      </w:r>
      <w:r w:rsidR="00DC3038">
        <w:t>graduat</w:t>
      </w:r>
      <w:r w:rsidR="00D726CF">
        <w:t>e</w:t>
      </w:r>
      <w:r w:rsidR="005F73AF">
        <w:t>-</w:t>
      </w:r>
      <w:r w:rsidR="00D726CF">
        <w:t xml:space="preserve">led </w:t>
      </w:r>
      <w:r w:rsidR="007D32EE">
        <w:t>small business development</w:t>
      </w:r>
      <w:r w:rsidR="00D87EEB">
        <w:t>,</w:t>
      </w:r>
      <w:r w:rsidR="007D32EE">
        <w:t xml:space="preserve"> and </w:t>
      </w:r>
      <w:r w:rsidR="00F56AC1">
        <w:t xml:space="preserve">he </w:t>
      </w:r>
      <w:r w:rsidR="00970B34">
        <w:t>was</w:t>
      </w:r>
      <w:r w:rsidR="00CC27C3">
        <w:t xml:space="preserve"> motivated to</w:t>
      </w:r>
      <w:r w:rsidR="00D12034">
        <w:t xml:space="preserve"> </w:t>
      </w:r>
      <w:r w:rsidR="00CC27C3">
        <w:t>commit to this goa</w:t>
      </w:r>
      <w:r w:rsidR="00D12034">
        <w:t>l despite the ethical dilemma he now faced.</w:t>
      </w:r>
      <w:r w:rsidR="00FF1F88">
        <w:t xml:space="preserve"> </w:t>
      </w:r>
      <w:r w:rsidR="002C5C19">
        <w:t>He saw t</w:t>
      </w:r>
      <w:r w:rsidR="0077001C">
        <w:t>his as a large profitable opportunity for RenY</w:t>
      </w:r>
      <w:r w:rsidR="00170D26">
        <w:t>,</w:t>
      </w:r>
      <w:r w:rsidR="00C03052">
        <w:t xml:space="preserve"> </w:t>
      </w:r>
      <w:r w:rsidR="00D87EEB">
        <w:t xml:space="preserve">which could also </w:t>
      </w:r>
      <w:r w:rsidR="00C03052">
        <w:t>address</w:t>
      </w:r>
      <w:r w:rsidR="00170D26">
        <w:t xml:space="preserve"> </w:t>
      </w:r>
      <w:r w:rsidR="00C03052">
        <w:t>low-income depr</w:t>
      </w:r>
      <w:r w:rsidR="00970B34">
        <w:t>i</w:t>
      </w:r>
      <w:r w:rsidR="00C03052">
        <w:t>vation</w:t>
      </w:r>
      <w:r w:rsidR="005F73AF">
        <w:t xml:space="preserve"> </w:t>
      </w:r>
      <w:r w:rsidR="00970B34">
        <w:t xml:space="preserve">in the region </w:t>
      </w:r>
      <w:r w:rsidR="005F73AF">
        <w:t xml:space="preserve">and </w:t>
      </w:r>
      <w:r w:rsidR="00970B34">
        <w:t xml:space="preserve">reach </w:t>
      </w:r>
      <w:r w:rsidR="006B0269">
        <w:t xml:space="preserve">many of the United Nations Sustainable Development </w:t>
      </w:r>
      <w:r w:rsidR="001A4BC7">
        <w:t>G</w:t>
      </w:r>
      <w:r w:rsidR="006B0269">
        <w:t>oals</w:t>
      </w:r>
      <w:r w:rsidR="00D87EEB">
        <w:t xml:space="preserve"> (see Exhibit 1)</w:t>
      </w:r>
      <w:r w:rsidR="00E3483F">
        <w:t xml:space="preserve">. </w:t>
      </w:r>
    </w:p>
    <w:p w14:paraId="7137F3B8" w14:textId="6DDA6BD5" w:rsidR="00A445A5" w:rsidRDefault="00A445A5" w:rsidP="00D03225">
      <w:pPr>
        <w:pStyle w:val="BodyTextMain"/>
      </w:pPr>
    </w:p>
    <w:p w14:paraId="63E37A14" w14:textId="77777777" w:rsidR="00D03225" w:rsidRPr="00D03225" w:rsidRDefault="00D03225" w:rsidP="00D03225">
      <w:pPr>
        <w:pStyle w:val="BodyTextMain"/>
      </w:pPr>
    </w:p>
    <w:p w14:paraId="28CF2B8E" w14:textId="77777777" w:rsidR="00D03225" w:rsidRPr="00D03225" w:rsidRDefault="00D03225" w:rsidP="003654BA">
      <w:pPr>
        <w:pStyle w:val="Casehead1"/>
        <w:keepNext/>
        <w:rPr>
          <w:lang w:eastAsia="ko-KR"/>
        </w:rPr>
      </w:pPr>
      <w:r w:rsidRPr="00D03225">
        <w:rPr>
          <w:lang w:eastAsia="ko-KR"/>
        </w:rPr>
        <w:lastRenderedPageBreak/>
        <w:t>vision for transformational change</w:t>
      </w:r>
    </w:p>
    <w:p w14:paraId="2EC6BBB5" w14:textId="77777777" w:rsidR="00D03225" w:rsidRPr="00D03225" w:rsidRDefault="00D03225" w:rsidP="003654BA">
      <w:pPr>
        <w:pStyle w:val="BodyTextMain"/>
        <w:keepNext/>
        <w:rPr>
          <w:lang w:eastAsia="ko-KR"/>
        </w:rPr>
      </w:pPr>
    </w:p>
    <w:p w14:paraId="191BCF6B" w14:textId="77777777" w:rsidR="00D03225" w:rsidRPr="00D03225" w:rsidRDefault="00D03225" w:rsidP="003654BA">
      <w:pPr>
        <w:pStyle w:val="Casehead2"/>
        <w:keepNext/>
        <w:rPr>
          <w:rFonts w:eastAsiaTheme="minorEastAsia"/>
          <w:lang w:eastAsia="ko-KR"/>
        </w:rPr>
      </w:pPr>
      <w:r w:rsidRPr="00D03225">
        <w:rPr>
          <w:rFonts w:eastAsiaTheme="minorEastAsia"/>
          <w:lang w:eastAsia="ko-KR"/>
        </w:rPr>
        <w:t>Research</w:t>
      </w:r>
    </w:p>
    <w:p w14:paraId="5AF10C58" w14:textId="77777777" w:rsidR="00D03225" w:rsidRPr="00D03225" w:rsidRDefault="00D03225" w:rsidP="003654BA">
      <w:pPr>
        <w:pStyle w:val="BodyTextMain"/>
        <w:keepNext/>
        <w:rPr>
          <w:rFonts w:eastAsiaTheme="minorEastAsia"/>
          <w:lang w:eastAsia="ko-KR"/>
        </w:rPr>
      </w:pPr>
    </w:p>
    <w:p w14:paraId="6C7368F4" w14:textId="71FA2D77" w:rsidR="00D03225" w:rsidRPr="00D03225" w:rsidRDefault="00D03225" w:rsidP="003654BA">
      <w:pPr>
        <w:pStyle w:val="BodyTextMain"/>
        <w:keepNext/>
      </w:pPr>
      <w:r w:rsidRPr="00D03225">
        <w:t xml:space="preserve">Dawson had been </w:t>
      </w:r>
      <w:r w:rsidR="00970B34">
        <w:t>given</w:t>
      </w:r>
      <w:r w:rsidR="00970B34" w:rsidRPr="00D03225">
        <w:t xml:space="preserve"> </w:t>
      </w:r>
      <w:r w:rsidRPr="00D03225">
        <w:t xml:space="preserve">anecdotal information on the potential number of </w:t>
      </w:r>
      <w:r w:rsidR="00970B34">
        <w:t xml:space="preserve">Ghana’s </w:t>
      </w:r>
      <w:r w:rsidRPr="00D03225">
        <w:t xml:space="preserve">graduates </w:t>
      </w:r>
      <w:r w:rsidR="00970B34">
        <w:t>who</w:t>
      </w:r>
      <w:r w:rsidRPr="00D03225">
        <w:t xml:space="preserve"> were unemployed</w:t>
      </w:r>
      <w:r w:rsidR="00E43D05">
        <w:t>—</w:t>
      </w:r>
      <w:r w:rsidRPr="00D03225">
        <w:t xml:space="preserve">between 200,000 and 400,000 graduates were not employed or were employed in areas not aligned with their professional </w:t>
      </w:r>
      <w:r w:rsidR="00E43D05">
        <w:t>expertise</w:t>
      </w:r>
      <w:r w:rsidRPr="00D03225">
        <w:t xml:space="preserve">. One report suggested </w:t>
      </w:r>
      <w:r w:rsidR="001A4BC7">
        <w:t xml:space="preserve">that </w:t>
      </w:r>
      <w:r w:rsidRPr="00D03225">
        <w:t>one million graduates</w:t>
      </w:r>
      <w:r w:rsidR="001A4BC7">
        <w:t xml:space="preserve"> could be </w:t>
      </w:r>
      <w:r w:rsidR="001A4BC7" w:rsidRPr="00D03225">
        <w:t>unemployed</w:t>
      </w:r>
      <w:r w:rsidR="001A4BC7">
        <w:t>, but this number</w:t>
      </w:r>
      <w:r w:rsidRPr="00D03225">
        <w:t xml:space="preserve"> could not be verified. These numbers were derived from news media reports and from the membership of the Graduates Ghana (GaG) and Entrepreneurs Ghana (ENG)</w:t>
      </w:r>
      <w:r w:rsidR="00E43D05">
        <w:t xml:space="preserve"> groups</w:t>
      </w:r>
      <w:r w:rsidR="00805577">
        <w:t xml:space="preserve">—two </w:t>
      </w:r>
      <w:r w:rsidRPr="00D03225">
        <w:t xml:space="preserve">student and youth advocacy </w:t>
      </w:r>
      <w:r w:rsidR="00805577">
        <w:t>groups</w:t>
      </w:r>
      <w:r w:rsidRPr="00D03225">
        <w:t xml:space="preserve"> seeking to provide better career paths for graduates and vocationally trained youth. </w:t>
      </w:r>
    </w:p>
    <w:p w14:paraId="228E4271" w14:textId="77777777" w:rsidR="00D03225" w:rsidRPr="00D03225" w:rsidRDefault="00D03225" w:rsidP="00D03225">
      <w:pPr>
        <w:pStyle w:val="BodyTextMain"/>
      </w:pPr>
    </w:p>
    <w:p w14:paraId="4697AECF" w14:textId="1FF5C8AD" w:rsidR="00D03225" w:rsidRPr="00D03225" w:rsidRDefault="00D03225" w:rsidP="00D03225">
      <w:pPr>
        <w:pStyle w:val="BodyTextMain"/>
      </w:pPr>
      <w:r w:rsidRPr="00D03225">
        <w:t>During the first half of 2017, Dawson commissioned a study to try to determine a more accurate measure of the number of unemployed graduates, their interest in entrepreneurial pursuits, and their business interest</w:t>
      </w:r>
      <w:r w:rsidR="00E43D05">
        <w:t>s</w:t>
      </w:r>
      <w:r w:rsidRPr="00D03225">
        <w:t xml:space="preserve">. </w:t>
      </w:r>
      <w:r w:rsidR="00E43D05">
        <w:t xml:space="preserve">He </w:t>
      </w:r>
      <w:r w:rsidRPr="00D03225">
        <w:t>engaged with both ENG and GaG in an Internet and social</w:t>
      </w:r>
      <w:r w:rsidR="00E43D05">
        <w:t>-</w:t>
      </w:r>
      <w:r w:rsidRPr="00D03225">
        <w:t>media campaign to invite graduates to register their interests and ideas for development. This led to the construction of several websites and social</w:t>
      </w:r>
      <w:r w:rsidR="00E43D05">
        <w:t>-</w:t>
      </w:r>
      <w:r w:rsidRPr="00D03225">
        <w:t>media profiles that focused attention on a registration website. Social</w:t>
      </w:r>
      <w:r w:rsidR="00E43D05">
        <w:t>-</w:t>
      </w:r>
      <w:r w:rsidRPr="00D03225">
        <w:t>media campaigns targeted graduates who listed one of three universities in their social</w:t>
      </w:r>
      <w:r w:rsidR="00E43D05">
        <w:t>-</w:t>
      </w:r>
      <w:r w:rsidRPr="00D03225">
        <w:t xml:space="preserve">media profiles. In the space of about </w:t>
      </w:r>
      <w:r w:rsidR="00170D26">
        <w:t>three</w:t>
      </w:r>
      <w:r w:rsidRPr="00D03225">
        <w:t xml:space="preserve"> weeks, more than 9,000 likes were recorded along with almost 2,000 graduates submitting detailed ideas about what they would like to do if they </w:t>
      </w:r>
      <w:r w:rsidR="00805577">
        <w:t>were</w:t>
      </w:r>
      <w:r w:rsidRPr="00D03225">
        <w:t xml:space="preserve"> funded. Analysis of the registrations </w:t>
      </w:r>
      <w:r w:rsidR="00805577">
        <w:t xml:space="preserve">indicated </w:t>
      </w:r>
      <w:r w:rsidR="00E43D05">
        <w:t>that</w:t>
      </w:r>
      <w:r w:rsidRPr="00D03225">
        <w:t xml:space="preserve"> approximately 500,000 </w:t>
      </w:r>
      <w:r w:rsidR="00E43D05">
        <w:t xml:space="preserve">of Ghana’s </w:t>
      </w:r>
      <w:r w:rsidRPr="00D03225">
        <w:t xml:space="preserve">graduates were unemployed or not employed in areas they were trained for. The business proposals covered a wide range of ideas in agribusiness, construction, manufacturing, retail, and services. This highly encouraging outcome </w:t>
      </w:r>
      <w:r w:rsidR="00805577">
        <w:t xml:space="preserve">reinforced </w:t>
      </w:r>
      <w:r w:rsidRPr="00D03225">
        <w:t>Dawson</w:t>
      </w:r>
      <w:r w:rsidR="00805577">
        <w:t>’s belief that</w:t>
      </w:r>
      <w:r w:rsidRPr="00D03225">
        <w:t xml:space="preserve"> he could access a considerable pool of intellectual capital vital to his ideas for business development.</w:t>
      </w:r>
    </w:p>
    <w:p w14:paraId="441A1929" w14:textId="77777777" w:rsidR="00D03225" w:rsidRPr="00D03225" w:rsidRDefault="00D03225" w:rsidP="00D03225">
      <w:pPr>
        <w:pStyle w:val="BodyTextMain"/>
      </w:pPr>
    </w:p>
    <w:p w14:paraId="38440B31" w14:textId="77777777" w:rsidR="00D03225" w:rsidRPr="00D03225" w:rsidRDefault="00D03225" w:rsidP="00D03225">
      <w:pPr>
        <w:pStyle w:val="BodyTextMain"/>
      </w:pPr>
    </w:p>
    <w:p w14:paraId="256E33B7" w14:textId="77777777" w:rsidR="00D03225" w:rsidRPr="00D03225" w:rsidRDefault="00D03225" w:rsidP="00D03225">
      <w:pPr>
        <w:pStyle w:val="Casehead2"/>
        <w:rPr>
          <w:rFonts w:eastAsiaTheme="minorEastAsia"/>
          <w:lang w:eastAsia="ko-KR"/>
        </w:rPr>
      </w:pPr>
      <w:r w:rsidRPr="00D03225">
        <w:rPr>
          <w:rFonts w:eastAsiaTheme="minorEastAsia"/>
          <w:lang w:eastAsia="ko-KR"/>
        </w:rPr>
        <w:t>Electronic Commerce</w:t>
      </w:r>
    </w:p>
    <w:p w14:paraId="0FC2AFF3" w14:textId="77777777" w:rsidR="00D03225" w:rsidRPr="00D03225" w:rsidRDefault="00D03225" w:rsidP="00D03225">
      <w:pPr>
        <w:pStyle w:val="BodyTextMain"/>
      </w:pPr>
    </w:p>
    <w:p w14:paraId="3AE4C728" w14:textId="33204866" w:rsidR="00D03225" w:rsidRDefault="00D03225" w:rsidP="00D03225">
      <w:pPr>
        <w:pStyle w:val="BodyTextMain"/>
      </w:pPr>
      <w:r w:rsidRPr="00D03225">
        <w:t xml:space="preserve">Dawson was impressed with the degree of interconnectedness of graduates </w:t>
      </w:r>
      <w:r w:rsidR="005271F4">
        <w:t>discovered</w:t>
      </w:r>
      <w:r w:rsidRPr="00D03225">
        <w:t xml:space="preserve"> during the research. Internet </w:t>
      </w:r>
      <w:r w:rsidR="005271F4">
        <w:t xml:space="preserve">access </w:t>
      </w:r>
      <w:r w:rsidRPr="00D03225">
        <w:t xml:space="preserve">and social media had great reach into communities across all regions of Ghana. Further, he observed that mobile payments were expanding rapidly as an alternative to traditional banking facilities. </w:t>
      </w:r>
      <w:r w:rsidR="005271F4">
        <w:t xml:space="preserve">With </w:t>
      </w:r>
      <w:r w:rsidRPr="00D03225">
        <w:t xml:space="preserve">mobile payments, people were able to transfer small amounts of money </w:t>
      </w:r>
      <w:r w:rsidR="005271F4">
        <w:t>to each other</w:t>
      </w:r>
      <w:r w:rsidRPr="00D03225">
        <w:t xml:space="preserve"> and to pay merchant accounts via their mobile phones. Cash could be collected at locations designated by the telecommunications carrier. These transactions were convenient and </w:t>
      </w:r>
      <w:r w:rsidR="00FB559F">
        <w:t>cost less</w:t>
      </w:r>
      <w:r w:rsidRPr="00D03225">
        <w:t xml:space="preserve"> than traditional bank services. </w:t>
      </w:r>
    </w:p>
    <w:p w14:paraId="60D46520" w14:textId="77777777" w:rsidR="002F16B6" w:rsidRPr="00D03225" w:rsidRDefault="002F16B6" w:rsidP="00D03225">
      <w:pPr>
        <w:pStyle w:val="BodyTextMain"/>
      </w:pPr>
    </w:p>
    <w:p w14:paraId="75B9271D" w14:textId="491A88DB" w:rsidR="00D03225" w:rsidRPr="00D03225" w:rsidRDefault="00D03225" w:rsidP="00D03225">
      <w:pPr>
        <w:pStyle w:val="BodyTextMain"/>
      </w:pPr>
      <w:r w:rsidRPr="00D03225">
        <w:t xml:space="preserve">This </w:t>
      </w:r>
      <w:r w:rsidR="00FB559F">
        <w:t xml:space="preserve">information </w:t>
      </w:r>
      <w:r w:rsidRPr="00D03225">
        <w:t>inspired Dawson to consider electronic commerce (e-commerce) as a platform for enabling graduate-led businesses to gain access to local, national, and global</w:t>
      </w:r>
      <w:r w:rsidR="00494A6B">
        <w:t xml:space="preserve"> markets</w:t>
      </w:r>
      <w:r w:rsidRPr="00D03225">
        <w:t xml:space="preserve"> for the sale of goods and services. This could lead to the disintermediation of agents that typically extracted most of the value from the supply chains and </w:t>
      </w:r>
      <w:r w:rsidR="00494A6B">
        <w:t xml:space="preserve">could also </w:t>
      </w:r>
      <w:r w:rsidRPr="00D03225">
        <w:t xml:space="preserve">allow graduate-led businesses to </w:t>
      </w:r>
      <w:r w:rsidR="00FB559F">
        <w:t xml:space="preserve">access these markets by </w:t>
      </w:r>
      <w:r w:rsidRPr="00D03225">
        <w:t>deal</w:t>
      </w:r>
      <w:r w:rsidR="00FB559F">
        <w:t>ing</w:t>
      </w:r>
      <w:r w:rsidRPr="00D03225">
        <w:t xml:space="preserve"> direct</w:t>
      </w:r>
      <w:r w:rsidR="00703357">
        <w:t>ly</w:t>
      </w:r>
      <w:r w:rsidRPr="00D03225">
        <w:t xml:space="preserve"> or through collaborative portals. Dawson ha</w:t>
      </w:r>
      <w:r w:rsidR="00703357">
        <w:t>d</w:t>
      </w:r>
      <w:r w:rsidRPr="00D03225">
        <w:t xml:space="preserve"> a strong background in information technology and felt confident that e-commerce delivery platforms could be built and proliferated at reasonably low costs. He could see many small businesses</w:t>
      </w:r>
      <w:r w:rsidR="00494A6B">
        <w:t>,</w:t>
      </w:r>
      <w:r w:rsidRPr="00D03225">
        <w:t xml:space="preserve"> each with </w:t>
      </w:r>
      <w:r w:rsidR="005271F4">
        <w:t>its</w:t>
      </w:r>
      <w:r w:rsidRPr="00D03225">
        <w:t xml:space="preserve"> own professional e-commerce website</w:t>
      </w:r>
      <w:r w:rsidR="00494A6B">
        <w:t>,</w:t>
      </w:r>
      <w:r w:rsidRPr="00D03225">
        <w:t xml:space="preserve"> reaching out to markets everywhere. Coupled with proven social</w:t>
      </w:r>
      <w:r w:rsidR="00494A6B">
        <w:t>-</w:t>
      </w:r>
      <w:r w:rsidRPr="00D03225">
        <w:t>media skills, all the basic ingredients for market research and market reach were in place.</w:t>
      </w:r>
    </w:p>
    <w:p w14:paraId="5B1E7EB7" w14:textId="77777777" w:rsidR="00D03225" w:rsidRPr="00D03225" w:rsidRDefault="00D03225" w:rsidP="00D03225">
      <w:pPr>
        <w:pStyle w:val="BodyTextMain"/>
        <w:rPr>
          <w:rFonts w:eastAsiaTheme="minorEastAsia"/>
          <w:lang w:eastAsia="ko-KR"/>
        </w:rPr>
      </w:pPr>
    </w:p>
    <w:p w14:paraId="3BF023FF" w14:textId="77777777" w:rsidR="00D03225" w:rsidRPr="00D03225" w:rsidRDefault="00D03225" w:rsidP="00D03225">
      <w:pPr>
        <w:pStyle w:val="BodyTextMain"/>
        <w:rPr>
          <w:rFonts w:eastAsiaTheme="minorEastAsia"/>
          <w:lang w:eastAsia="ko-KR"/>
        </w:rPr>
      </w:pPr>
    </w:p>
    <w:p w14:paraId="06A1CE99" w14:textId="77777777" w:rsidR="00D03225" w:rsidRPr="00D03225" w:rsidRDefault="00D03225" w:rsidP="003654BA">
      <w:pPr>
        <w:pStyle w:val="Casehead2"/>
        <w:keepNext/>
      </w:pPr>
      <w:r w:rsidRPr="00D03225">
        <w:t>Financial Capital</w:t>
      </w:r>
    </w:p>
    <w:p w14:paraId="087F78B6" w14:textId="77777777" w:rsidR="00D03225" w:rsidRPr="00D03225" w:rsidRDefault="00D03225" w:rsidP="003654BA">
      <w:pPr>
        <w:pStyle w:val="BodyTextMain"/>
        <w:keepNext/>
        <w:rPr>
          <w:rFonts w:eastAsiaTheme="minorEastAsia"/>
          <w:lang w:eastAsia="ko-KR"/>
        </w:rPr>
      </w:pPr>
    </w:p>
    <w:p w14:paraId="339A2B5B" w14:textId="370159D7" w:rsidR="00D03225" w:rsidRDefault="005271F4" w:rsidP="003654BA">
      <w:pPr>
        <w:pStyle w:val="BodyTextMain"/>
        <w:keepNext/>
        <w:rPr>
          <w:rFonts w:eastAsiaTheme="minorEastAsia"/>
          <w:lang w:eastAsia="ko-KR"/>
        </w:rPr>
      </w:pPr>
      <w:r>
        <w:rPr>
          <w:rFonts w:eastAsiaTheme="minorEastAsia"/>
          <w:lang w:eastAsia="ko-KR"/>
        </w:rPr>
        <w:t>Dawson needed to find methods to raise</w:t>
      </w:r>
      <w:r w:rsidR="00D03225" w:rsidRPr="00D03225">
        <w:rPr>
          <w:rFonts w:eastAsiaTheme="minorEastAsia"/>
          <w:lang w:eastAsia="ko-KR"/>
        </w:rPr>
        <w:t xml:space="preserve"> money to cover start-up and initial operating costs of the graduate-led businesses. Could these projects be funded the traditional way? Typically, start-ups were funded through </w:t>
      </w:r>
      <w:r w:rsidR="00D03225" w:rsidRPr="00D03225">
        <w:rPr>
          <w:rFonts w:eastAsiaTheme="minorEastAsia"/>
          <w:lang w:eastAsia="ko-KR"/>
        </w:rPr>
        <w:lastRenderedPageBreak/>
        <w:t xml:space="preserve">the entrepreneur’s </w:t>
      </w:r>
      <w:r w:rsidR="00542E9F">
        <w:rPr>
          <w:rFonts w:eastAsiaTheme="minorEastAsia"/>
          <w:lang w:eastAsia="ko-KR"/>
        </w:rPr>
        <w:t xml:space="preserve">own </w:t>
      </w:r>
      <w:r w:rsidR="00D03225" w:rsidRPr="00D03225">
        <w:rPr>
          <w:rFonts w:eastAsiaTheme="minorEastAsia"/>
          <w:lang w:eastAsia="ko-KR"/>
        </w:rPr>
        <w:t xml:space="preserve">funds, </w:t>
      </w:r>
      <w:r w:rsidR="00542E9F">
        <w:rPr>
          <w:rFonts w:eastAsiaTheme="minorEastAsia"/>
          <w:lang w:eastAsia="ko-KR"/>
        </w:rPr>
        <w:t xml:space="preserve">and </w:t>
      </w:r>
      <w:r w:rsidR="00D03225" w:rsidRPr="00D03225">
        <w:rPr>
          <w:rFonts w:eastAsiaTheme="minorEastAsia"/>
          <w:lang w:eastAsia="ko-KR"/>
        </w:rPr>
        <w:t xml:space="preserve">family and friends. Analysis of the submissions by graduates during the research phase indicated that $3,000 to $10,000 covered most of the start-up capital estimated by the graduates for their ideas. The initial idea trialed by Dawson was to crowd-fund the capital needed for each project through donations. A donor website was set up and several projects listed for funding. </w:t>
      </w:r>
      <w:r w:rsidR="004F0890">
        <w:rPr>
          <w:rFonts w:eastAsiaTheme="minorEastAsia"/>
          <w:lang w:eastAsia="ko-KR"/>
        </w:rPr>
        <w:t>G</w:t>
      </w:r>
      <w:r w:rsidR="00D03225" w:rsidRPr="00D03225">
        <w:rPr>
          <w:rFonts w:eastAsiaTheme="minorEastAsia"/>
          <w:lang w:eastAsia="ko-KR"/>
        </w:rPr>
        <w:t xml:space="preserve">raduates could </w:t>
      </w:r>
      <w:r w:rsidR="004F0890">
        <w:rPr>
          <w:rFonts w:eastAsiaTheme="minorEastAsia"/>
          <w:lang w:eastAsia="ko-KR"/>
        </w:rPr>
        <w:t xml:space="preserve">use social media to </w:t>
      </w:r>
      <w:r w:rsidR="00D03225" w:rsidRPr="00D03225">
        <w:rPr>
          <w:rFonts w:eastAsiaTheme="minorEastAsia"/>
          <w:lang w:eastAsia="ko-KR"/>
        </w:rPr>
        <w:t>channel their connections to their online profile</w:t>
      </w:r>
      <w:r w:rsidR="002B6A1E">
        <w:rPr>
          <w:rFonts w:eastAsiaTheme="minorEastAsia"/>
          <w:lang w:eastAsia="ko-KR"/>
        </w:rPr>
        <w:t>s</w:t>
      </w:r>
      <w:r w:rsidR="00D03225" w:rsidRPr="00D03225">
        <w:rPr>
          <w:rFonts w:eastAsiaTheme="minorEastAsia"/>
          <w:lang w:eastAsia="ko-KR"/>
        </w:rPr>
        <w:t xml:space="preserve"> and encourage them to contribute. </w:t>
      </w:r>
      <w:r w:rsidR="00FB559F">
        <w:rPr>
          <w:rFonts w:eastAsiaTheme="minorEastAsia"/>
          <w:lang w:eastAsia="ko-KR"/>
        </w:rPr>
        <w:t xml:space="preserve">However, this plan </w:t>
      </w:r>
      <w:r w:rsidR="00D03225" w:rsidRPr="00D03225">
        <w:rPr>
          <w:rFonts w:eastAsiaTheme="minorEastAsia"/>
          <w:lang w:eastAsia="ko-KR"/>
        </w:rPr>
        <w:t xml:space="preserve">failed </w:t>
      </w:r>
      <w:r w:rsidR="004F0890">
        <w:rPr>
          <w:rFonts w:eastAsiaTheme="minorEastAsia"/>
          <w:lang w:eastAsia="ko-KR"/>
        </w:rPr>
        <w:t>because t</w:t>
      </w:r>
      <w:r w:rsidR="00D03225" w:rsidRPr="00D03225">
        <w:rPr>
          <w:rFonts w:eastAsiaTheme="minorEastAsia"/>
          <w:lang w:eastAsia="ko-KR"/>
        </w:rPr>
        <w:t xml:space="preserve">he donor website was not promoted through radio and television exposure, and the graduates themselves were unable to muster the support of their immediate circle of family and friends to the extent that was hoped. </w:t>
      </w:r>
    </w:p>
    <w:p w14:paraId="06AF76EF" w14:textId="77777777" w:rsidR="00FB559F" w:rsidRPr="00D03225" w:rsidRDefault="00FB559F" w:rsidP="003654BA">
      <w:pPr>
        <w:pStyle w:val="BodyTextMain"/>
        <w:keepNext/>
        <w:rPr>
          <w:rFonts w:eastAsiaTheme="minorEastAsia"/>
          <w:lang w:eastAsia="ko-KR"/>
        </w:rPr>
      </w:pPr>
    </w:p>
    <w:p w14:paraId="4AC7F1D5" w14:textId="0E16807C" w:rsidR="00D03225" w:rsidRDefault="00D03225" w:rsidP="00D03225">
      <w:pPr>
        <w:pStyle w:val="BodyTextMain"/>
        <w:rPr>
          <w:rFonts w:eastAsiaTheme="minorEastAsia"/>
          <w:lang w:eastAsia="ko-KR"/>
        </w:rPr>
      </w:pPr>
      <w:r w:rsidRPr="00D03225">
        <w:rPr>
          <w:rFonts w:eastAsiaTheme="minorEastAsia"/>
          <w:lang w:eastAsia="ko-KR"/>
        </w:rPr>
        <w:t xml:space="preserve">Dawson realized that a different approach </w:t>
      </w:r>
      <w:r w:rsidR="00600279">
        <w:rPr>
          <w:rFonts w:eastAsiaTheme="minorEastAsia"/>
          <w:lang w:eastAsia="ko-KR"/>
        </w:rPr>
        <w:t>was needed</w:t>
      </w:r>
      <w:r w:rsidRPr="00D03225">
        <w:rPr>
          <w:rFonts w:eastAsiaTheme="minorEastAsia"/>
          <w:lang w:eastAsia="ko-KR"/>
        </w:rPr>
        <w:t xml:space="preserve"> to escalate the project</w:t>
      </w:r>
      <w:r w:rsidR="00600279">
        <w:rPr>
          <w:rFonts w:eastAsiaTheme="minorEastAsia"/>
          <w:lang w:eastAsia="ko-KR"/>
        </w:rPr>
        <w:t>’s visibility</w:t>
      </w:r>
      <w:r w:rsidRPr="00D03225">
        <w:rPr>
          <w:rFonts w:eastAsiaTheme="minorEastAsia"/>
          <w:lang w:eastAsia="ko-KR"/>
        </w:rPr>
        <w:t xml:space="preserve"> to get independent coverage from national and international media outlets. He subsequently decided to fund the initial stages from his own resources and then work to engage other private sector investors over time.</w:t>
      </w:r>
    </w:p>
    <w:p w14:paraId="57709419" w14:textId="77777777" w:rsidR="004B4218" w:rsidRDefault="004B4218" w:rsidP="00D03225">
      <w:pPr>
        <w:pStyle w:val="BodyTextMain"/>
        <w:rPr>
          <w:rFonts w:eastAsiaTheme="minorEastAsia"/>
          <w:lang w:eastAsia="ko-KR"/>
        </w:rPr>
      </w:pPr>
    </w:p>
    <w:p w14:paraId="14EE58F4" w14:textId="77777777" w:rsidR="004B4218" w:rsidRPr="00D03225" w:rsidRDefault="004B4218" w:rsidP="00D03225">
      <w:pPr>
        <w:pStyle w:val="BodyTextMain"/>
        <w:rPr>
          <w:rFonts w:eastAsiaTheme="minorEastAsia"/>
          <w:lang w:eastAsia="ko-KR"/>
        </w:rPr>
      </w:pPr>
    </w:p>
    <w:p w14:paraId="1FDC0C90" w14:textId="77777777" w:rsidR="00D03225" w:rsidRPr="00D03225" w:rsidRDefault="00D03225" w:rsidP="00D03225">
      <w:pPr>
        <w:pStyle w:val="Casehead2"/>
        <w:rPr>
          <w:lang w:eastAsia="ko-KR"/>
        </w:rPr>
      </w:pPr>
      <w:r w:rsidRPr="00D03225">
        <w:rPr>
          <w:lang w:eastAsia="ko-KR"/>
        </w:rPr>
        <w:t>Mentoring and Collaboration</w:t>
      </w:r>
    </w:p>
    <w:p w14:paraId="57DAB133" w14:textId="77777777" w:rsidR="00D03225" w:rsidRPr="00D03225" w:rsidRDefault="00D03225" w:rsidP="00D03225">
      <w:pPr>
        <w:pStyle w:val="BodyTextMain"/>
        <w:rPr>
          <w:rFonts w:eastAsiaTheme="minorEastAsia"/>
          <w:lang w:eastAsia="ko-KR"/>
        </w:rPr>
      </w:pPr>
    </w:p>
    <w:p w14:paraId="7BCCD6E7" w14:textId="3CBF7315" w:rsidR="00D03225" w:rsidRPr="00D03225" w:rsidRDefault="00D03225" w:rsidP="00D03225">
      <w:pPr>
        <w:pStyle w:val="BodyTextMain"/>
        <w:rPr>
          <w:rFonts w:eastAsiaTheme="minorEastAsia"/>
          <w:lang w:eastAsia="ko-KR"/>
        </w:rPr>
      </w:pPr>
      <w:r w:rsidRPr="00D03225">
        <w:rPr>
          <w:rFonts w:eastAsiaTheme="minorEastAsia"/>
          <w:lang w:eastAsia="ko-KR"/>
        </w:rPr>
        <w:t xml:space="preserve">Dawson realized that </w:t>
      </w:r>
      <w:r w:rsidR="00542E9F">
        <w:rPr>
          <w:rFonts w:eastAsiaTheme="minorEastAsia"/>
          <w:lang w:eastAsia="ko-KR"/>
        </w:rPr>
        <w:t xml:space="preserve">the </w:t>
      </w:r>
      <w:r w:rsidRPr="00D03225">
        <w:rPr>
          <w:rFonts w:eastAsiaTheme="minorEastAsia"/>
          <w:lang w:eastAsia="ko-KR"/>
        </w:rPr>
        <w:t xml:space="preserve">graduate-led projects could not be </w:t>
      </w:r>
      <w:r w:rsidR="00542E9F">
        <w:rPr>
          <w:rFonts w:eastAsiaTheme="minorEastAsia"/>
          <w:lang w:eastAsia="ko-KR"/>
        </w:rPr>
        <w:t>supported</w:t>
      </w:r>
      <w:r w:rsidRPr="00D03225">
        <w:rPr>
          <w:rFonts w:eastAsiaTheme="minorEastAsia"/>
          <w:lang w:eastAsia="ko-KR"/>
        </w:rPr>
        <w:t xml:space="preserve"> in isolation. </w:t>
      </w:r>
      <w:r w:rsidR="00FB559F">
        <w:rPr>
          <w:rFonts w:eastAsiaTheme="minorEastAsia"/>
          <w:lang w:eastAsia="ko-KR"/>
        </w:rPr>
        <w:t>P</w:t>
      </w:r>
      <w:r w:rsidRPr="00D03225">
        <w:rPr>
          <w:rFonts w:eastAsiaTheme="minorEastAsia"/>
          <w:lang w:eastAsia="ko-KR"/>
        </w:rPr>
        <w:t>roviding mentoring to help the graduates formulate and operationalize their business ideas</w:t>
      </w:r>
      <w:r w:rsidR="00FB559F">
        <w:rPr>
          <w:rFonts w:eastAsiaTheme="minorEastAsia"/>
          <w:lang w:eastAsia="ko-KR"/>
        </w:rPr>
        <w:t xml:space="preserve"> had many benefits</w:t>
      </w:r>
      <w:r w:rsidRPr="00D03225">
        <w:rPr>
          <w:rFonts w:eastAsiaTheme="minorEastAsia"/>
          <w:lang w:eastAsia="ko-KR"/>
        </w:rPr>
        <w:t xml:space="preserve">. Mentors would be drawn initially from a handful of motivated and successful businesspeople who could share their time among several graduate-led projects. </w:t>
      </w:r>
    </w:p>
    <w:p w14:paraId="7C5D52E7" w14:textId="77777777" w:rsidR="00D03225" w:rsidRPr="00D03225" w:rsidRDefault="00D03225" w:rsidP="00D03225">
      <w:pPr>
        <w:pStyle w:val="BodyTextMain"/>
        <w:rPr>
          <w:rFonts w:eastAsiaTheme="minorEastAsia"/>
          <w:lang w:eastAsia="ko-KR"/>
        </w:rPr>
      </w:pPr>
    </w:p>
    <w:p w14:paraId="234252D8" w14:textId="17AEC93E" w:rsidR="00D03225" w:rsidRPr="00D03225" w:rsidRDefault="00D03225" w:rsidP="00D03225">
      <w:pPr>
        <w:pStyle w:val="BodyTextMain"/>
        <w:rPr>
          <w:rFonts w:eastAsiaTheme="minorEastAsia"/>
          <w:lang w:eastAsia="ko-KR"/>
        </w:rPr>
      </w:pPr>
      <w:r w:rsidRPr="00D03225">
        <w:rPr>
          <w:rFonts w:eastAsiaTheme="minorEastAsia"/>
          <w:lang w:eastAsia="ko-KR"/>
        </w:rPr>
        <w:t xml:space="preserve">The idea was to seed the first few projects with these mentors who would then develop graduates to become mentors for new graduate projects over time. The mentoring would take place using electronic media and face-to-face meetings. This approach would also assist in the development of collaborative groups in similar industry sectors. ENG and GaG would play an important role </w:t>
      </w:r>
      <w:r w:rsidR="002B6A1E">
        <w:rPr>
          <w:rFonts w:eastAsiaTheme="minorEastAsia"/>
          <w:lang w:eastAsia="ko-KR"/>
        </w:rPr>
        <w:t>in</w:t>
      </w:r>
      <w:r w:rsidRPr="00D03225">
        <w:rPr>
          <w:rFonts w:eastAsiaTheme="minorEastAsia"/>
          <w:lang w:eastAsia="ko-KR"/>
        </w:rPr>
        <w:t xml:space="preserve"> facilitating collaboration through special events, industry seminars, social</w:t>
      </w:r>
      <w:r w:rsidR="00F94C83">
        <w:rPr>
          <w:rFonts w:eastAsiaTheme="minorEastAsia"/>
          <w:lang w:eastAsia="ko-KR"/>
        </w:rPr>
        <w:t>-</w:t>
      </w:r>
      <w:r w:rsidRPr="00D03225">
        <w:rPr>
          <w:rFonts w:eastAsiaTheme="minorEastAsia"/>
          <w:lang w:eastAsia="ko-KR"/>
        </w:rPr>
        <w:t>media promotions</w:t>
      </w:r>
      <w:r w:rsidR="002B6A1E">
        <w:rPr>
          <w:rFonts w:eastAsiaTheme="minorEastAsia"/>
          <w:lang w:eastAsia="ko-KR"/>
        </w:rPr>
        <w:t>,</w:t>
      </w:r>
      <w:r w:rsidRPr="00D03225">
        <w:rPr>
          <w:rFonts w:eastAsiaTheme="minorEastAsia"/>
          <w:lang w:eastAsia="ko-KR"/>
        </w:rPr>
        <w:t xml:space="preserve"> and competitions. They would also act as advocates for graduates to gain exposure to</w:t>
      </w:r>
      <w:r w:rsidR="00BA1E6A">
        <w:rPr>
          <w:rFonts w:eastAsiaTheme="minorEastAsia"/>
          <w:lang w:eastAsia="ko-KR"/>
        </w:rPr>
        <w:t>,</w:t>
      </w:r>
      <w:r w:rsidRPr="00D03225">
        <w:rPr>
          <w:rFonts w:eastAsiaTheme="minorEastAsia"/>
          <w:lang w:eastAsia="ko-KR"/>
        </w:rPr>
        <w:t xml:space="preserve"> and benefit from</w:t>
      </w:r>
      <w:r w:rsidR="00BA1E6A">
        <w:rPr>
          <w:rFonts w:eastAsiaTheme="minorEastAsia"/>
          <w:lang w:eastAsia="ko-KR"/>
        </w:rPr>
        <w:t>,</w:t>
      </w:r>
      <w:r w:rsidRPr="00D03225">
        <w:rPr>
          <w:rFonts w:eastAsiaTheme="minorEastAsia"/>
          <w:lang w:eastAsia="ko-KR"/>
        </w:rPr>
        <w:t xml:space="preserve"> government and business initiatives</w:t>
      </w:r>
      <w:r w:rsidR="00BA1E6A">
        <w:rPr>
          <w:rFonts w:eastAsiaTheme="minorEastAsia"/>
          <w:lang w:eastAsia="ko-KR"/>
        </w:rPr>
        <w:t>—</w:t>
      </w:r>
      <w:r w:rsidRPr="00D03225">
        <w:rPr>
          <w:rFonts w:eastAsiaTheme="minorEastAsia"/>
          <w:lang w:eastAsia="ko-KR"/>
        </w:rPr>
        <w:t>through support programs, contracts, and employment.</w:t>
      </w:r>
    </w:p>
    <w:p w14:paraId="4270E3BD" w14:textId="77777777" w:rsidR="00D03225" w:rsidRPr="00D03225" w:rsidRDefault="00D03225" w:rsidP="00D03225">
      <w:pPr>
        <w:pStyle w:val="BodyTextMain"/>
        <w:rPr>
          <w:rFonts w:eastAsiaTheme="minorEastAsia"/>
          <w:lang w:eastAsia="ko-KR"/>
        </w:rPr>
      </w:pPr>
    </w:p>
    <w:p w14:paraId="7FDD9722" w14:textId="77777777" w:rsidR="00D03225" w:rsidRPr="00D03225" w:rsidRDefault="00D03225" w:rsidP="00D03225">
      <w:pPr>
        <w:pStyle w:val="BodyTextMain"/>
        <w:rPr>
          <w:rFonts w:eastAsiaTheme="minorEastAsia"/>
          <w:b/>
          <w:lang w:eastAsia="ko-KR"/>
        </w:rPr>
      </w:pPr>
    </w:p>
    <w:p w14:paraId="72FBEC82" w14:textId="77777777" w:rsidR="00D03225" w:rsidRPr="00D03225" w:rsidRDefault="00D03225" w:rsidP="00D03225">
      <w:pPr>
        <w:pStyle w:val="Casehead1"/>
        <w:keepNext/>
        <w:rPr>
          <w:lang w:eastAsia="ko-KR"/>
        </w:rPr>
      </w:pPr>
      <w:r w:rsidRPr="00D03225">
        <w:rPr>
          <w:lang w:eastAsia="ko-KR"/>
        </w:rPr>
        <w:t>The next stage</w:t>
      </w:r>
    </w:p>
    <w:p w14:paraId="45AD2C7D" w14:textId="77777777" w:rsidR="00D03225" w:rsidRPr="00D03225" w:rsidRDefault="00D03225" w:rsidP="00D03225">
      <w:pPr>
        <w:pStyle w:val="BodyTextMain"/>
        <w:keepNext/>
        <w:rPr>
          <w:rFonts w:eastAsiaTheme="minorEastAsia"/>
          <w:lang w:eastAsia="ko-KR"/>
        </w:rPr>
      </w:pPr>
    </w:p>
    <w:p w14:paraId="1F909B97" w14:textId="524A470C" w:rsidR="00D03225" w:rsidRPr="00D03225" w:rsidRDefault="00D03225" w:rsidP="00D03225">
      <w:pPr>
        <w:pStyle w:val="BodyTextMain"/>
        <w:keepNext/>
      </w:pPr>
      <w:r w:rsidRPr="00D03225">
        <w:t xml:space="preserve">Dawson had mustered the ingredients for what he believed would make this a successful venture. His research had shown that many graduates </w:t>
      </w:r>
      <w:r w:rsidR="002D30EF">
        <w:t xml:space="preserve">were </w:t>
      </w:r>
      <w:r w:rsidRPr="00D03225">
        <w:t>eager to start</w:t>
      </w:r>
      <w:r w:rsidR="002D30EF">
        <w:t xml:space="preserve"> and</w:t>
      </w:r>
      <w:r w:rsidRPr="00D03225">
        <w:t xml:space="preserve"> that e-commerce could deliver many benefits and increased market scope</w:t>
      </w:r>
      <w:r w:rsidR="00BA1E6A">
        <w:t xml:space="preserve">. He also knew that </w:t>
      </w:r>
      <w:r w:rsidRPr="00D03225">
        <w:t xml:space="preserve">the financial capital was adequate to get multiple projects underway simultaneously while building the supporting infrastructure for a much larger expedited roll-out in the future. </w:t>
      </w:r>
    </w:p>
    <w:p w14:paraId="09ADC414" w14:textId="77777777" w:rsidR="00D03225" w:rsidRPr="00D03225" w:rsidRDefault="00D03225" w:rsidP="00D03225">
      <w:pPr>
        <w:pStyle w:val="BodyTextMain"/>
      </w:pPr>
    </w:p>
    <w:p w14:paraId="6A47ED08" w14:textId="081DBF53" w:rsidR="00D03225" w:rsidRPr="00D03225" w:rsidRDefault="00D03225" w:rsidP="00D03225">
      <w:pPr>
        <w:pStyle w:val="BodyTextMain"/>
      </w:pPr>
      <w:r w:rsidRPr="00D03225">
        <w:t>He was also confident that he had the resources on the ground to build this project as a Ghanaian</w:t>
      </w:r>
      <w:r w:rsidR="0080347A">
        <w:t>-</w:t>
      </w:r>
      <w:r w:rsidRPr="00D03225">
        <w:t xml:space="preserve">inspired initiative with genuine </w:t>
      </w:r>
      <w:r w:rsidR="00975E03">
        <w:t>i</w:t>
      </w:r>
      <w:r w:rsidRPr="00D03225">
        <w:t>ndigenous roots. The success of this undertaking could lead to economic, social, and environmental growth in many low-income communities</w:t>
      </w:r>
      <w:r w:rsidR="002D30EF">
        <w:t xml:space="preserve"> and </w:t>
      </w:r>
      <w:r w:rsidRPr="00D03225">
        <w:t>aligned with the objectives of the United Nations Sustainable Development Goals (</w:t>
      </w:r>
      <w:r w:rsidR="004B4218">
        <w:t xml:space="preserve">see </w:t>
      </w:r>
      <w:r w:rsidRPr="00D03225">
        <w:t>Exhibit 1)</w:t>
      </w:r>
      <w:r w:rsidR="002D30EF">
        <w:t xml:space="preserve">; this plan </w:t>
      </w:r>
      <w:r w:rsidRPr="00D03225">
        <w:t xml:space="preserve">would </w:t>
      </w:r>
      <w:r w:rsidR="002D30EF">
        <w:t xml:space="preserve">also </w:t>
      </w:r>
      <w:r w:rsidRPr="00D03225">
        <w:t xml:space="preserve">be a for-profit undertaking for GIF and for each of the graduate-led projects. </w:t>
      </w:r>
    </w:p>
    <w:p w14:paraId="645D4DD4" w14:textId="77777777" w:rsidR="00D03225" w:rsidRPr="00D03225" w:rsidRDefault="00D03225" w:rsidP="00D03225">
      <w:pPr>
        <w:pStyle w:val="BodyTextMain"/>
      </w:pPr>
    </w:p>
    <w:p w14:paraId="6A7FBCDE" w14:textId="3DD040CE" w:rsidR="00D03225" w:rsidRDefault="00D03225" w:rsidP="00D03225">
      <w:pPr>
        <w:pStyle w:val="BodyTextMain"/>
      </w:pPr>
      <w:r w:rsidRPr="00D03225">
        <w:t xml:space="preserve">The next stage was the </w:t>
      </w:r>
      <w:r w:rsidR="0080347A">
        <w:t>“</w:t>
      </w:r>
      <w:r w:rsidRPr="00D03225">
        <w:t>doing,</w:t>
      </w:r>
      <w:r w:rsidR="0080347A">
        <w:t>”</w:t>
      </w:r>
      <w:r w:rsidRPr="00D03225">
        <w:t xml:space="preserve"> but as Dawson sat through the last part of his flight</w:t>
      </w:r>
      <w:r w:rsidR="002D30EF">
        <w:t xml:space="preserve">, </w:t>
      </w:r>
      <w:r w:rsidRPr="00D03225">
        <w:t>he reflected further on the challenges that were ahead of him.</w:t>
      </w:r>
    </w:p>
    <w:p w14:paraId="7952F959" w14:textId="7F34B55A" w:rsidR="009F3E50" w:rsidRDefault="009F3E50" w:rsidP="00D03225">
      <w:pPr>
        <w:pStyle w:val="BodyTextMain"/>
      </w:pPr>
    </w:p>
    <w:p w14:paraId="241E3ECC" w14:textId="77777777" w:rsidR="009F3E50" w:rsidRPr="00D03225" w:rsidRDefault="009F3E50" w:rsidP="00D03225">
      <w:pPr>
        <w:pStyle w:val="BodyTextMain"/>
      </w:pPr>
    </w:p>
    <w:p w14:paraId="64120F0B" w14:textId="77777777" w:rsidR="00D03225" w:rsidRPr="00D03225" w:rsidRDefault="00D03225" w:rsidP="009F3E50">
      <w:pPr>
        <w:pStyle w:val="Casehead1"/>
        <w:keepNext/>
        <w:rPr>
          <w:lang w:eastAsia="ko-KR"/>
        </w:rPr>
      </w:pPr>
      <w:r w:rsidRPr="00D03225">
        <w:rPr>
          <w:lang w:eastAsia="ko-KR"/>
        </w:rPr>
        <w:lastRenderedPageBreak/>
        <w:t>dilemma</w:t>
      </w:r>
    </w:p>
    <w:p w14:paraId="23D7FDC7" w14:textId="77777777" w:rsidR="00D03225" w:rsidRPr="00D03225" w:rsidRDefault="00D03225" w:rsidP="009F3E50">
      <w:pPr>
        <w:pStyle w:val="BodyTextMain"/>
        <w:keepNext/>
        <w:rPr>
          <w:rFonts w:eastAsiaTheme="minorEastAsia"/>
          <w:lang w:eastAsia="ko-KR"/>
        </w:rPr>
      </w:pPr>
    </w:p>
    <w:p w14:paraId="302F7A89" w14:textId="28C5DEA5" w:rsidR="00D03225" w:rsidRPr="00D03225" w:rsidRDefault="00D03225" w:rsidP="009F3E50">
      <w:pPr>
        <w:pStyle w:val="BodyTextMain"/>
        <w:keepNext/>
        <w:rPr>
          <w:rFonts w:eastAsiaTheme="minorEastAsia"/>
          <w:lang w:eastAsia="ko-KR"/>
        </w:rPr>
      </w:pPr>
      <w:r w:rsidRPr="00D03225">
        <w:rPr>
          <w:rFonts w:eastAsiaTheme="minorEastAsia"/>
          <w:lang w:eastAsia="ko-KR"/>
        </w:rPr>
        <w:t>The meetings in Ghana with officials at the Registrar General’s Office went well</w:t>
      </w:r>
      <w:r w:rsidR="0080347A">
        <w:rPr>
          <w:rFonts w:eastAsiaTheme="minorEastAsia"/>
          <w:lang w:eastAsia="ko-KR"/>
        </w:rPr>
        <w:t>,</w:t>
      </w:r>
      <w:r w:rsidRPr="00D03225">
        <w:rPr>
          <w:rFonts w:eastAsiaTheme="minorEastAsia"/>
          <w:lang w:eastAsia="ko-KR"/>
        </w:rPr>
        <w:t xml:space="preserve"> and GIF was subsequently registered as a foreign-owned entity with little difficulty. Similarly, the process at the Ministry for Works and Housing also proceeded with no apparent difficulties</w:t>
      </w:r>
      <w:r w:rsidR="0080347A">
        <w:rPr>
          <w:rFonts w:eastAsiaTheme="minorEastAsia"/>
          <w:lang w:eastAsia="ko-KR"/>
        </w:rPr>
        <w:t>,</w:t>
      </w:r>
      <w:r w:rsidRPr="00D03225">
        <w:rPr>
          <w:rFonts w:eastAsiaTheme="minorEastAsia"/>
          <w:lang w:eastAsia="ko-KR"/>
        </w:rPr>
        <w:t xml:space="preserve"> and the license to bid as a contractor for government contracts was issued. With all the proper paperwork in hand</w:t>
      </w:r>
      <w:r w:rsidR="0080347A">
        <w:rPr>
          <w:rFonts w:eastAsiaTheme="minorEastAsia"/>
          <w:lang w:eastAsia="ko-KR"/>
        </w:rPr>
        <w:t>,</w:t>
      </w:r>
      <w:r w:rsidRPr="00D03225">
        <w:rPr>
          <w:rFonts w:eastAsiaTheme="minorEastAsia"/>
          <w:lang w:eastAsia="ko-KR"/>
        </w:rPr>
        <w:t xml:space="preserve"> the trio of Dawson, Badu, and Kweku proceeded to a meeting at Stanbic Bank for the account opening. </w:t>
      </w:r>
    </w:p>
    <w:p w14:paraId="287C98F0" w14:textId="77777777" w:rsidR="00D03225" w:rsidRPr="00D03225" w:rsidRDefault="00D03225" w:rsidP="00D03225">
      <w:pPr>
        <w:pStyle w:val="BodyTextMain"/>
        <w:rPr>
          <w:rFonts w:eastAsiaTheme="minorEastAsia"/>
          <w:lang w:eastAsia="ko-KR"/>
        </w:rPr>
      </w:pPr>
    </w:p>
    <w:p w14:paraId="4F03E762" w14:textId="3FC4360C" w:rsidR="00D03225" w:rsidRPr="00D03225" w:rsidRDefault="00D03225" w:rsidP="00D03225">
      <w:pPr>
        <w:pStyle w:val="BodyTextMain"/>
        <w:rPr>
          <w:rFonts w:eastAsiaTheme="minorEastAsia"/>
          <w:lang w:eastAsia="ko-KR"/>
        </w:rPr>
      </w:pPr>
      <w:r w:rsidRPr="00D03225">
        <w:rPr>
          <w:rFonts w:eastAsiaTheme="minorEastAsia"/>
          <w:lang w:eastAsia="ko-KR"/>
        </w:rPr>
        <w:t xml:space="preserve">Dawson wanted a </w:t>
      </w:r>
      <w:r w:rsidR="009F3E50">
        <w:rPr>
          <w:rFonts w:eastAsiaTheme="minorEastAsia"/>
          <w:lang w:eastAsia="ko-KR"/>
        </w:rPr>
        <w:t>US</w:t>
      </w:r>
      <w:r w:rsidR="002D30EF">
        <w:rPr>
          <w:rFonts w:eastAsiaTheme="minorEastAsia"/>
          <w:lang w:eastAsia="ko-KR"/>
        </w:rPr>
        <w:t>$</w:t>
      </w:r>
      <w:r w:rsidRPr="00D03225">
        <w:rPr>
          <w:rFonts w:eastAsiaTheme="minorEastAsia"/>
          <w:lang w:eastAsia="ko-KR"/>
        </w:rPr>
        <w:t xml:space="preserve"> foreign currency account and a local </w:t>
      </w:r>
      <w:r w:rsidR="009F3E50" w:rsidRPr="00D03225">
        <w:rPr>
          <w:rFonts w:eastAsiaTheme="minorEastAsia"/>
          <w:lang w:eastAsia="ko-KR"/>
        </w:rPr>
        <w:t>Ghan</w:t>
      </w:r>
      <w:r w:rsidR="009F3E50">
        <w:rPr>
          <w:rFonts w:eastAsiaTheme="minorEastAsia"/>
          <w:lang w:eastAsia="ko-KR"/>
        </w:rPr>
        <w:t>aian</w:t>
      </w:r>
      <w:r w:rsidRPr="00D03225">
        <w:rPr>
          <w:rFonts w:eastAsiaTheme="minorEastAsia"/>
          <w:lang w:eastAsia="ko-KR"/>
        </w:rPr>
        <w:t xml:space="preserve"> </w:t>
      </w:r>
      <w:r w:rsidR="009F3E50">
        <w:rPr>
          <w:rFonts w:eastAsiaTheme="minorEastAsia"/>
          <w:lang w:eastAsia="ko-KR"/>
        </w:rPr>
        <w:t>c</w:t>
      </w:r>
      <w:r w:rsidRPr="00D03225">
        <w:rPr>
          <w:rFonts w:eastAsiaTheme="minorEastAsia"/>
          <w:lang w:eastAsia="ko-KR"/>
        </w:rPr>
        <w:t xml:space="preserve">edi account so that foreign remittances could be held as hard currency </w:t>
      </w:r>
      <w:r w:rsidR="00B57343">
        <w:rPr>
          <w:rFonts w:eastAsiaTheme="minorEastAsia"/>
          <w:lang w:eastAsia="ko-KR"/>
        </w:rPr>
        <w:t>and</w:t>
      </w:r>
      <w:r w:rsidRPr="00D03225">
        <w:rPr>
          <w:rFonts w:eastAsiaTheme="minorEastAsia"/>
          <w:lang w:eastAsia="ko-KR"/>
        </w:rPr>
        <w:t xml:space="preserve"> local payments could be processed efficiently. Dawson was aware of certain foreign</w:t>
      </w:r>
      <w:r w:rsidR="00B57343">
        <w:rPr>
          <w:rFonts w:eastAsiaTheme="minorEastAsia"/>
          <w:lang w:eastAsia="ko-KR"/>
        </w:rPr>
        <w:t>-</w:t>
      </w:r>
      <w:r w:rsidRPr="00D03225">
        <w:rPr>
          <w:rFonts w:eastAsiaTheme="minorEastAsia"/>
          <w:lang w:eastAsia="ko-KR"/>
        </w:rPr>
        <w:t xml:space="preserve">exchange restrictions that imposed limits on the repatriation of funds and </w:t>
      </w:r>
      <w:r w:rsidR="002B6A1E">
        <w:rPr>
          <w:rFonts w:eastAsiaTheme="minorEastAsia"/>
          <w:lang w:eastAsia="ko-KR"/>
        </w:rPr>
        <w:t>o</w:t>
      </w:r>
      <w:r w:rsidRPr="00D03225">
        <w:rPr>
          <w:rFonts w:eastAsiaTheme="minorEastAsia"/>
          <w:lang w:eastAsia="ko-KR"/>
        </w:rPr>
        <w:t>n the amount of foreign currency cash that could be withdrawn</w:t>
      </w:r>
      <w:r w:rsidR="002B6A1E">
        <w:rPr>
          <w:rFonts w:eastAsiaTheme="minorEastAsia"/>
          <w:lang w:eastAsia="ko-KR"/>
        </w:rPr>
        <w:t>,</w:t>
      </w:r>
      <w:r w:rsidRPr="00D03225">
        <w:rPr>
          <w:rFonts w:eastAsiaTheme="minorEastAsia"/>
          <w:lang w:eastAsia="ko-KR"/>
        </w:rPr>
        <w:t xml:space="preserve"> but </w:t>
      </w:r>
      <w:r w:rsidR="00B57343">
        <w:rPr>
          <w:rFonts w:eastAsiaTheme="minorEastAsia"/>
          <w:lang w:eastAsia="ko-KR"/>
        </w:rPr>
        <w:t xml:space="preserve">he </w:t>
      </w:r>
      <w:r w:rsidRPr="00D03225">
        <w:rPr>
          <w:rFonts w:eastAsiaTheme="minorEastAsia"/>
          <w:lang w:eastAsia="ko-KR"/>
        </w:rPr>
        <w:t>felt he could work within these restrictions initially</w:t>
      </w:r>
      <w:r w:rsidR="00B57343">
        <w:rPr>
          <w:rFonts w:eastAsiaTheme="minorEastAsia"/>
          <w:lang w:eastAsia="ko-KR"/>
        </w:rPr>
        <w:t>,</w:t>
      </w:r>
      <w:r w:rsidR="002D30EF">
        <w:rPr>
          <w:rFonts w:eastAsiaTheme="minorEastAsia"/>
          <w:lang w:eastAsia="ko-KR"/>
        </w:rPr>
        <w:t xml:space="preserve"> so</w:t>
      </w:r>
      <w:r w:rsidR="00B57343">
        <w:rPr>
          <w:rFonts w:eastAsiaTheme="minorEastAsia"/>
          <w:lang w:eastAsia="ko-KR"/>
        </w:rPr>
        <w:t xml:space="preserve"> t</w:t>
      </w:r>
      <w:r w:rsidRPr="00D03225">
        <w:rPr>
          <w:rFonts w:eastAsiaTheme="minorEastAsia"/>
          <w:lang w:eastAsia="ko-KR"/>
        </w:rPr>
        <w:t>he accounts were duly opened.</w:t>
      </w:r>
    </w:p>
    <w:p w14:paraId="63D07D48" w14:textId="77777777" w:rsidR="00D03225" w:rsidRPr="00D03225" w:rsidRDefault="00D03225" w:rsidP="00D03225">
      <w:pPr>
        <w:pStyle w:val="BodyTextMain"/>
        <w:rPr>
          <w:rFonts w:eastAsiaTheme="minorEastAsia"/>
          <w:lang w:eastAsia="ko-KR"/>
        </w:rPr>
      </w:pPr>
    </w:p>
    <w:p w14:paraId="50631576" w14:textId="5105E092" w:rsidR="00D03225" w:rsidRPr="00D03225" w:rsidRDefault="00D03225" w:rsidP="00D03225">
      <w:pPr>
        <w:pStyle w:val="BodyTextMain"/>
        <w:rPr>
          <w:rFonts w:eastAsiaTheme="minorEastAsia"/>
          <w:lang w:eastAsia="ko-KR"/>
        </w:rPr>
      </w:pPr>
      <w:r w:rsidRPr="00D03225">
        <w:rPr>
          <w:rFonts w:eastAsiaTheme="minorEastAsia"/>
          <w:lang w:eastAsia="ko-KR"/>
        </w:rPr>
        <w:t xml:space="preserve">Dawson, Badu, and Kweku then returned </w:t>
      </w:r>
      <w:r w:rsidR="002D30EF" w:rsidRPr="00D03225">
        <w:rPr>
          <w:rFonts w:eastAsiaTheme="minorEastAsia"/>
          <w:lang w:eastAsia="ko-KR"/>
        </w:rPr>
        <w:t xml:space="preserve">for a celebratory dinner </w:t>
      </w:r>
      <w:r w:rsidR="002D30EF">
        <w:rPr>
          <w:rFonts w:eastAsiaTheme="minorEastAsia"/>
          <w:lang w:eastAsia="ko-KR"/>
        </w:rPr>
        <w:t>at</w:t>
      </w:r>
      <w:r w:rsidRPr="00D03225">
        <w:rPr>
          <w:rFonts w:eastAsiaTheme="minorEastAsia"/>
          <w:lang w:eastAsia="ko-KR"/>
        </w:rPr>
        <w:t xml:space="preserve"> the </w:t>
      </w:r>
      <w:r w:rsidR="009F3E50">
        <w:rPr>
          <w:rFonts w:eastAsiaTheme="minorEastAsia"/>
          <w:lang w:eastAsia="ko-KR"/>
        </w:rPr>
        <w:t>h</w:t>
      </w:r>
      <w:r w:rsidRPr="00D03225">
        <w:rPr>
          <w:rFonts w:eastAsiaTheme="minorEastAsia"/>
          <w:lang w:eastAsia="ko-KR"/>
        </w:rPr>
        <w:t xml:space="preserve">otel where Dawson was staying. </w:t>
      </w:r>
      <w:r w:rsidR="002D30EF">
        <w:rPr>
          <w:rFonts w:eastAsiaTheme="minorEastAsia"/>
          <w:lang w:eastAsia="ko-KR"/>
        </w:rPr>
        <w:t>A</w:t>
      </w:r>
      <w:r w:rsidRPr="00D03225">
        <w:rPr>
          <w:rFonts w:eastAsiaTheme="minorEastAsia"/>
          <w:lang w:eastAsia="ko-KR"/>
        </w:rPr>
        <w:t>t this dinner</w:t>
      </w:r>
      <w:r w:rsidR="002D30EF">
        <w:rPr>
          <w:rFonts w:eastAsiaTheme="minorEastAsia"/>
          <w:lang w:eastAsia="ko-KR"/>
        </w:rPr>
        <w:t>,</w:t>
      </w:r>
      <w:r w:rsidRPr="00D03225">
        <w:rPr>
          <w:rFonts w:eastAsiaTheme="minorEastAsia"/>
          <w:lang w:eastAsia="ko-KR"/>
        </w:rPr>
        <w:t xml:space="preserve"> Kweku dropped a bombshell</w:t>
      </w:r>
      <w:r w:rsidR="002D30EF">
        <w:rPr>
          <w:rFonts w:eastAsiaTheme="minorEastAsia"/>
          <w:lang w:eastAsia="ko-KR"/>
        </w:rPr>
        <w:t>. H</w:t>
      </w:r>
      <w:r w:rsidRPr="00D03225">
        <w:rPr>
          <w:rFonts w:eastAsiaTheme="minorEastAsia"/>
          <w:lang w:eastAsia="ko-KR"/>
        </w:rPr>
        <w:t>e said, “You must realize Mr. Dawson that the contractor’s license is not really worth anything. We are unlikely to get any government contracts under that license.” Dawson was astonished</w:t>
      </w:r>
      <w:r w:rsidR="002D30EF">
        <w:rPr>
          <w:rFonts w:eastAsiaTheme="minorEastAsia"/>
          <w:lang w:eastAsia="ko-KR"/>
        </w:rPr>
        <w:t xml:space="preserve"> and </w:t>
      </w:r>
      <w:r w:rsidRPr="00D03225">
        <w:rPr>
          <w:rFonts w:eastAsiaTheme="minorEastAsia"/>
          <w:lang w:eastAsia="ko-KR"/>
        </w:rPr>
        <w:t>said</w:t>
      </w:r>
      <w:r w:rsidR="00EB12B9">
        <w:rPr>
          <w:rFonts w:eastAsiaTheme="minorEastAsia"/>
          <w:lang w:eastAsia="ko-KR"/>
        </w:rPr>
        <w:t>,</w:t>
      </w:r>
      <w:r w:rsidRPr="00D03225">
        <w:rPr>
          <w:rFonts w:eastAsiaTheme="minorEastAsia"/>
          <w:lang w:eastAsia="ko-KR"/>
        </w:rPr>
        <w:t xml:space="preserve"> “But we went through the process and we paid the fees and got the license</w:t>
      </w:r>
      <w:r w:rsidR="00EB12B9">
        <w:rPr>
          <w:rFonts w:eastAsiaTheme="minorEastAsia"/>
          <w:lang w:eastAsia="ko-KR"/>
        </w:rPr>
        <w:t>.</w:t>
      </w:r>
      <w:r w:rsidRPr="00D03225">
        <w:rPr>
          <w:rFonts w:eastAsiaTheme="minorEastAsia"/>
          <w:lang w:eastAsia="ko-KR"/>
        </w:rPr>
        <w:t xml:space="preserve"> </w:t>
      </w:r>
      <w:r w:rsidR="00EB12B9">
        <w:rPr>
          <w:rFonts w:eastAsiaTheme="minorEastAsia"/>
          <w:lang w:eastAsia="ko-KR"/>
        </w:rPr>
        <w:t>W</w:t>
      </w:r>
      <w:r w:rsidRPr="00D03225">
        <w:rPr>
          <w:rFonts w:eastAsiaTheme="minorEastAsia"/>
          <w:lang w:eastAsia="ko-KR"/>
        </w:rPr>
        <w:t xml:space="preserve">hat more should we have done?” </w:t>
      </w:r>
    </w:p>
    <w:p w14:paraId="043B35B3" w14:textId="77777777" w:rsidR="00D03225" w:rsidRPr="00D03225" w:rsidRDefault="00D03225" w:rsidP="00D03225">
      <w:pPr>
        <w:pStyle w:val="BodyTextMain"/>
        <w:rPr>
          <w:rFonts w:eastAsiaTheme="minorEastAsia"/>
          <w:lang w:eastAsia="ko-KR"/>
        </w:rPr>
      </w:pPr>
    </w:p>
    <w:p w14:paraId="5B15D1F7" w14:textId="3BDABA03" w:rsidR="004B4218" w:rsidRDefault="00D03225" w:rsidP="00D03225">
      <w:pPr>
        <w:pStyle w:val="BodyTextMain"/>
        <w:rPr>
          <w:rFonts w:eastAsiaTheme="minorEastAsia"/>
          <w:lang w:eastAsia="ko-KR"/>
        </w:rPr>
      </w:pPr>
      <w:r w:rsidRPr="00D03225">
        <w:rPr>
          <w:rFonts w:eastAsiaTheme="minorEastAsia"/>
          <w:lang w:eastAsia="ko-KR"/>
        </w:rPr>
        <w:t>Kweku was experienced in representing international clients in infrastructure and resource projects in Ghana</w:t>
      </w:r>
      <w:r w:rsidR="00EB12B9">
        <w:rPr>
          <w:rFonts w:eastAsiaTheme="minorEastAsia"/>
          <w:lang w:eastAsia="ko-KR"/>
        </w:rPr>
        <w:t>,</w:t>
      </w:r>
      <w:r w:rsidRPr="00D03225">
        <w:rPr>
          <w:rFonts w:eastAsiaTheme="minorEastAsia"/>
          <w:lang w:eastAsia="ko-KR"/>
        </w:rPr>
        <w:t xml:space="preserve"> and he was well qualified to address this question. He replied, </w:t>
      </w:r>
    </w:p>
    <w:p w14:paraId="728488CF" w14:textId="77777777" w:rsidR="004B4218" w:rsidRDefault="004B4218" w:rsidP="00D03225">
      <w:pPr>
        <w:pStyle w:val="BodyTextMain"/>
        <w:rPr>
          <w:rFonts w:eastAsiaTheme="minorEastAsia"/>
          <w:lang w:eastAsia="ko-KR"/>
        </w:rPr>
      </w:pPr>
    </w:p>
    <w:p w14:paraId="61817199" w14:textId="6789FE8C" w:rsidR="004B4218" w:rsidRDefault="00D03225" w:rsidP="004B4218">
      <w:pPr>
        <w:pStyle w:val="BodyTextMain"/>
        <w:ind w:left="720"/>
        <w:rPr>
          <w:rFonts w:eastAsiaTheme="minorEastAsia"/>
          <w:lang w:eastAsia="ko-KR"/>
        </w:rPr>
      </w:pPr>
      <w:r w:rsidRPr="00D03225">
        <w:rPr>
          <w:rFonts w:eastAsiaTheme="minorEastAsia"/>
          <w:lang w:eastAsia="ko-KR"/>
        </w:rPr>
        <w:t>Mr. Dawson, there is a way of doing business here that is a little different to what is publicly announced. You must understand that large government contracts in Ghana attract interested groups from China, India, Turkey, and elsewhere. They each have their own way of doing business and it is not exactly what you would like to hear. They come in with large pockets of cash</w:t>
      </w:r>
      <w:r w:rsidR="002D30EF">
        <w:rPr>
          <w:rFonts w:eastAsiaTheme="minorEastAsia"/>
          <w:lang w:eastAsia="ko-KR"/>
        </w:rPr>
        <w:t>,</w:t>
      </w:r>
      <w:r w:rsidRPr="00D03225">
        <w:rPr>
          <w:rFonts w:eastAsiaTheme="minorEastAsia"/>
          <w:lang w:eastAsia="ko-KR"/>
        </w:rPr>
        <w:t xml:space="preserve"> and they ask to see what contracts are available and they pay for the right to win contracts of their choice. We have not done that. We have followed the letter of the law</w:t>
      </w:r>
      <w:r w:rsidR="002D30EF">
        <w:rPr>
          <w:rFonts w:eastAsiaTheme="minorEastAsia"/>
          <w:lang w:eastAsia="ko-KR"/>
        </w:rPr>
        <w:t>,</w:t>
      </w:r>
      <w:r w:rsidRPr="00D03225">
        <w:rPr>
          <w:rFonts w:eastAsiaTheme="minorEastAsia"/>
          <w:lang w:eastAsia="ko-KR"/>
        </w:rPr>
        <w:t xml:space="preserve"> and you wanted that from the outset. The reality is different.</w:t>
      </w:r>
    </w:p>
    <w:p w14:paraId="347B877E" w14:textId="77777777" w:rsidR="004B4218" w:rsidRDefault="004B4218" w:rsidP="00D03225">
      <w:pPr>
        <w:pStyle w:val="BodyTextMain"/>
        <w:rPr>
          <w:rFonts w:eastAsiaTheme="minorEastAsia"/>
          <w:lang w:eastAsia="ko-KR"/>
        </w:rPr>
      </w:pPr>
    </w:p>
    <w:p w14:paraId="0FCB94A8" w14:textId="421B442C" w:rsidR="00D03225" w:rsidRPr="00D03225" w:rsidRDefault="00D03225" w:rsidP="00D03225">
      <w:pPr>
        <w:pStyle w:val="BodyTextMain"/>
        <w:rPr>
          <w:rFonts w:eastAsiaTheme="minorEastAsia"/>
          <w:lang w:eastAsia="ko-KR"/>
        </w:rPr>
      </w:pPr>
      <w:r w:rsidRPr="00D03225">
        <w:rPr>
          <w:rFonts w:eastAsiaTheme="minorEastAsia"/>
          <w:lang w:eastAsia="ko-KR"/>
        </w:rPr>
        <w:t>Dawson looked at Kweku</w:t>
      </w:r>
      <w:r w:rsidR="002D30EF">
        <w:rPr>
          <w:rFonts w:eastAsiaTheme="minorEastAsia"/>
          <w:lang w:eastAsia="ko-KR"/>
        </w:rPr>
        <w:t xml:space="preserve">; </w:t>
      </w:r>
      <w:r w:rsidRPr="00D03225">
        <w:rPr>
          <w:rFonts w:eastAsiaTheme="minorEastAsia"/>
          <w:lang w:eastAsia="ko-KR"/>
        </w:rPr>
        <w:t>he could tell that this was how it worked. “Why didn’t you tell me that from the beginning</w:t>
      </w:r>
      <w:r w:rsidR="004B4218">
        <w:rPr>
          <w:rFonts w:eastAsiaTheme="minorEastAsia"/>
          <w:lang w:eastAsia="ko-KR"/>
        </w:rPr>
        <w:t>,</w:t>
      </w:r>
      <w:r w:rsidRPr="00D03225">
        <w:rPr>
          <w:rFonts w:eastAsiaTheme="minorEastAsia"/>
          <w:lang w:eastAsia="ko-KR"/>
        </w:rPr>
        <w:t>” Dawson inquired</w:t>
      </w:r>
      <w:r w:rsidR="00400C85">
        <w:rPr>
          <w:rFonts w:eastAsiaTheme="minorEastAsia"/>
          <w:lang w:eastAsia="ko-KR"/>
        </w:rPr>
        <w:t xml:space="preserve">. </w:t>
      </w:r>
      <w:r w:rsidRPr="00D03225">
        <w:rPr>
          <w:rFonts w:eastAsiaTheme="minorEastAsia"/>
          <w:lang w:eastAsia="ko-KR"/>
        </w:rPr>
        <w:t>Kweku replied, “It is not in the national interest for me to be discussing such things so openly</w:t>
      </w:r>
      <w:r w:rsidR="00400C85">
        <w:rPr>
          <w:rFonts w:eastAsiaTheme="minorEastAsia"/>
          <w:lang w:eastAsia="ko-KR"/>
        </w:rPr>
        <w:t>,</w:t>
      </w:r>
      <w:r w:rsidRPr="00D03225">
        <w:rPr>
          <w:rFonts w:eastAsiaTheme="minorEastAsia"/>
          <w:lang w:eastAsia="ko-KR"/>
        </w:rPr>
        <w:t xml:space="preserve"> and I did not want to allow this knowledge to impact on your judgment of how to organize in Ghana. We have worked within the law, and it was my obligation to help you with that.” Kweku went on to explain the different levels of contractor licensing and the process for getting favo</w:t>
      </w:r>
      <w:r w:rsidR="004B4218">
        <w:rPr>
          <w:rFonts w:eastAsiaTheme="minorEastAsia"/>
          <w:lang w:eastAsia="ko-KR"/>
        </w:rPr>
        <w:t>u</w:t>
      </w:r>
      <w:r w:rsidRPr="00D03225">
        <w:rPr>
          <w:rFonts w:eastAsiaTheme="minorEastAsia"/>
          <w:lang w:eastAsia="ko-KR"/>
        </w:rPr>
        <w:t>rable treatment in government contracts. Kweku finished by saying, “If you want to bid for certain projects you must play by these rules</w:t>
      </w:r>
      <w:r w:rsidR="004B4218">
        <w:rPr>
          <w:rFonts w:eastAsiaTheme="minorEastAsia"/>
          <w:lang w:eastAsia="ko-KR"/>
        </w:rPr>
        <w:t>,</w:t>
      </w:r>
      <w:r w:rsidRPr="00D03225">
        <w:rPr>
          <w:rFonts w:eastAsiaTheme="minorEastAsia"/>
          <w:lang w:eastAsia="ko-KR"/>
        </w:rPr>
        <w:t xml:space="preserve"> otherwise the rule of the purse will defeat you.”</w:t>
      </w:r>
    </w:p>
    <w:p w14:paraId="1012A961" w14:textId="77777777" w:rsidR="00D03225" w:rsidRPr="00D03225" w:rsidRDefault="00D03225" w:rsidP="00D03225">
      <w:pPr>
        <w:pStyle w:val="BodyTextMain"/>
        <w:rPr>
          <w:rFonts w:eastAsiaTheme="minorEastAsia"/>
          <w:lang w:eastAsia="ko-KR"/>
        </w:rPr>
      </w:pPr>
    </w:p>
    <w:p w14:paraId="36F8B87E" w14:textId="0253E1A1" w:rsidR="00D03225" w:rsidRPr="009F3E50" w:rsidRDefault="00D03225" w:rsidP="00D03225">
      <w:pPr>
        <w:pStyle w:val="BodyTextMain"/>
        <w:rPr>
          <w:rFonts w:eastAsiaTheme="minorEastAsia"/>
          <w:spacing w:val="-2"/>
          <w:lang w:eastAsia="ko-KR"/>
        </w:rPr>
      </w:pPr>
      <w:r w:rsidRPr="009F3E50">
        <w:rPr>
          <w:rFonts w:eastAsiaTheme="minorEastAsia"/>
          <w:spacing w:val="-2"/>
          <w:lang w:eastAsia="ko-KR"/>
        </w:rPr>
        <w:t xml:space="preserve">Dawson retired to his hotel room to prepare for his departure the following day. He was troubled by what he </w:t>
      </w:r>
      <w:r w:rsidR="004B4218" w:rsidRPr="009F3E50">
        <w:rPr>
          <w:rFonts w:eastAsiaTheme="minorEastAsia"/>
          <w:spacing w:val="-2"/>
          <w:lang w:eastAsia="ko-KR"/>
        </w:rPr>
        <w:t>had</w:t>
      </w:r>
      <w:r w:rsidRPr="009F3E50">
        <w:rPr>
          <w:rFonts w:eastAsiaTheme="minorEastAsia"/>
          <w:spacing w:val="-2"/>
          <w:lang w:eastAsia="ko-KR"/>
        </w:rPr>
        <w:t xml:space="preserve"> just </w:t>
      </w:r>
      <w:r w:rsidR="004B4218" w:rsidRPr="009F3E50">
        <w:rPr>
          <w:rFonts w:eastAsiaTheme="minorEastAsia"/>
          <w:spacing w:val="-2"/>
          <w:lang w:eastAsia="ko-KR"/>
        </w:rPr>
        <w:t xml:space="preserve">been </w:t>
      </w:r>
      <w:r w:rsidRPr="009F3E50">
        <w:rPr>
          <w:rFonts w:eastAsiaTheme="minorEastAsia"/>
          <w:spacing w:val="-2"/>
          <w:lang w:eastAsia="ko-KR"/>
        </w:rPr>
        <w:t>told because certain infrastructure projects such as community housing, renewable energy, water supply, and sanitation aligned well with his plan for mobilizing coalitions of graduates and industry expertise to bid for and deliver on these contracts. This was a major setback</w:t>
      </w:r>
      <w:r w:rsidR="004B4218" w:rsidRPr="009F3E50">
        <w:rPr>
          <w:rFonts w:eastAsiaTheme="minorEastAsia"/>
          <w:spacing w:val="-2"/>
          <w:lang w:eastAsia="ko-KR"/>
        </w:rPr>
        <w:t>—</w:t>
      </w:r>
      <w:r w:rsidRPr="009F3E50">
        <w:rPr>
          <w:rFonts w:eastAsiaTheme="minorEastAsia"/>
          <w:spacing w:val="-2"/>
          <w:lang w:eastAsia="ko-KR"/>
        </w:rPr>
        <w:t xml:space="preserve">how could he condone unethical institutional practices while insisting and supporting the ethical development of graduate-led businesses? </w:t>
      </w:r>
    </w:p>
    <w:p w14:paraId="7ECA93D5" w14:textId="77777777" w:rsidR="00D03225" w:rsidRPr="00D03225" w:rsidRDefault="00D03225" w:rsidP="00D03225">
      <w:pPr>
        <w:pStyle w:val="BodyTextMain"/>
        <w:rPr>
          <w:rFonts w:eastAsiaTheme="minorEastAsia"/>
          <w:lang w:eastAsia="ko-KR"/>
        </w:rPr>
      </w:pPr>
    </w:p>
    <w:p w14:paraId="3C965F52" w14:textId="2B133496" w:rsidR="00D03225" w:rsidRPr="00D03225" w:rsidRDefault="00D03225" w:rsidP="00D03225">
      <w:pPr>
        <w:pStyle w:val="BodyTextMain"/>
        <w:rPr>
          <w:rFonts w:eastAsiaTheme="minorEastAsia"/>
          <w:lang w:eastAsia="ko-KR"/>
        </w:rPr>
      </w:pPr>
      <w:r w:rsidRPr="00D03225">
        <w:rPr>
          <w:rFonts w:eastAsiaTheme="minorEastAsia"/>
          <w:lang w:eastAsia="ko-KR"/>
        </w:rPr>
        <w:t>Compliance with the law of the land and cultural norms was essential for the success of these businesses</w:t>
      </w:r>
      <w:r w:rsidR="00EB12B9">
        <w:rPr>
          <w:rFonts w:eastAsiaTheme="minorEastAsia"/>
          <w:lang w:eastAsia="ko-KR"/>
        </w:rPr>
        <w:t>;</w:t>
      </w:r>
      <w:r w:rsidRPr="00D03225">
        <w:rPr>
          <w:rFonts w:eastAsiaTheme="minorEastAsia"/>
          <w:lang w:eastAsia="ko-KR"/>
        </w:rPr>
        <w:t xml:space="preserve"> </w:t>
      </w:r>
      <w:r w:rsidR="00EB12B9">
        <w:rPr>
          <w:rFonts w:eastAsiaTheme="minorEastAsia"/>
          <w:lang w:eastAsia="ko-KR"/>
        </w:rPr>
        <w:t xml:space="preserve">to do </w:t>
      </w:r>
      <w:r w:rsidRPr="00D03225">
        <w:rPr>
          <w:rFonts w:eastAsiaTheme="minorEastAsia"/>
          <w:lang w:eastAsia="ko-KR"/>
        </w:rPr>
        <w:t>otherwise</w:t>
      </w:r>
      <w:r w:rsidR="00EB12B9">
        <w:rPr>
          <w:rFonts w:eastAsiaTheme="minorEastAsia"/>
          <w:lang w:eastAsia="ko-KR"/>
        </w:rPr>
        <w:t xml:space="preserve"> </w:t>
      </w:r>
      <w:r w:rsidRPr="00D03225">
        <w:rPr>
          <w:rFonts w:eastAsiaTheme="minorEastAsia"/>
          <w:lang w:eastAsia="ko-KR"/>
        </w:rPr>
        <w:t>would lead to the proliferation of corrupt and unethical business practices result</w:t>
      </w:r>
      <w:r w:rsidR="00EB12B9">
        <w:rPr>
          <w:rFonts w:eastAsiaTheme="minorEastAsia"/>
          <w:lang w:eastAsia="ko-KR"/>
        </w:rPr>
        <w:t>ing</w:t>
      </w:r>
      <w:r w:rsidRPr="00D03225">
        <w:rPr>
          <w:rFonts w:eastAsiaTheme="minorEastAsia"/>
          <w:lang w:eastAsia="ko-KR"/>
        </w:rPr>
        <w:t xml:space="preserve"> </w:t>
      </w:r>
      <w:r w:rsidR="00D662E1">
        <w:rPr>
          <w:rFonts w:eastAsiaTheme="minorEastAsia"/>
          <w:lang w:eastAsia="ko-KR"/>
        </w:rPr>
        <w:t>in</w:t>
      </w:r>
      <w:r w:rsidRPr="00D03225">
        <w:rPr>
          <w:rFonts w:eastAsiaTheme="minorEastAsia"/>
          <w:lang w:eastAsia="ko-KR"/>
        </w:rPr>
        <w:t xml:space="preserve"> loss of reputation for the fledgling Ghanaian businesses. This weighed heavily on Dawson’s mind during his journey home to Las Vegas.</w:t>
      </w:r>
    </w:p>
    <w:p w14:paraId="35AF3585" w14:textId="77777777" w:rsidR="009F3E50" w:rsidRDefault="009F3E50" w:rsidP="00D03225">
      <w:pPr>
        <w:pStyle w:val="Casehead1"/>
        <w:rPr>
          <w:lang w:eastAsia="ko-KR"/>
        </w:rPr>
      </w:pPr>
    </w:p>
    <w:p w14:paraId="2163ECE0" w14:textId="698530D4" w:rsidR="00D03225" w:rsidRPr="00D03225" w:rsidRDefault="00D03225" w:rsidP="00D03225">
      <w:pPr>
        <w:pStyle w:val="Casehead1"/>
        <w:rPr>
          <w:lang w:eastAsia="ko-KR"/>
        </w:rPr>
      </w:pPr>
      <w:r w:rsidRPr="00D03225">
        <w:rPr>
          <w:lang w:eastAsia="ko-KR"/>
        </w:rPr>
        <w:lastRenderedPageBreak/>
        <w:t>decision</w:t>
      </w:r>
    </w:p>
    <w:p w14:paraId="11830247" w14:textId="77777777" w:rsidR="00D03225" w:rsidRPr="00D03225" w:rsidRDefault="00D03225" w:rsidP="00D03225">
      <w:pPr>
        <w:pStyle w:val="BodyTextMain"/>
        <w:rPr>
          <w:lang w:eastAsia="ko-KR"/>
        </w:rPr>
      </w:pPr>
    </w:p>
    <w:p w14:paraId="69FB1A68" w14:textId="1AD527D9" w:rsidR="00D03225" w:rsidRPr="00D03225" w:rsidRDefault="00D03225" w:rsidP="00D03225">
      <w:pPr>
        <w:pStyle w:val="BodyTextMain"/>
        <w:rPr>
          <w:rFonts w:eastAsiaTheme="minorEastAsia"/>
          <w:lang w:eastAsia="ko-KR"/>
        </w:rPr>
      </w:pPr>
      <w:r w:rsidRPr="00D03225">
        <w:rPr>
          <w:rFonts w:eastAsiaTheme="minorEastAsia"/>
          <w:lang w:eastAsia="ko-KR"/>
        </w:rPr>
        <w:t>Dawson wondered if the contract award process was indicative of the operations of other government agencies and whether or not he and his team could work within an overall environment</w:t>
      </w:r>
      <w:r w:rsidR="005A6802">
        <w:rPr>
          <w:rFonts w:eastAsiaTheme="minorEastAsia"/>
          <w:lang w:eastAsia="ko-KR"/>
        </w:rPr>
        <w:t xml:space="preserve"> that</w:t>
      </w:r>
      <w:r w:rsidRPr="00D03225">
        <w:rPr>
          <w:rFonts w:eastAsiaTheme="minorEastAsia"/>
          <w:lang w:eastAsia="ko-KR"/>
        </w:rPr>
        <w:t xml:space="preserve"> m</w:t>
      </w:r>
      <w:r w:rsidR="00D662E1">
        <w:rPr>
          <w:rFonts w:eastAsiaTheme="minorEastAsia"/>
          <w:lang w:eastAsia="ko-KR"/>
        </w:rPr>
        <w:t>ight</w:t>
      </w:r>
      <w:r w:rsidRPr="00D03225">
        <w:rPr>
          <w:rFonts w:eastAsiaTheme="minorEastAsia"/>
          <w:lang w:eastAsia="ko-KR"/>
        </w:rPr>
        <w:t xml:space="preserve"> have entrenched unethical practices and corrupt motives (</w:t>
      </w:r>
      <w:r w:rsidR="004B4218">
        <w:rPr>
          <w:rFonts w:eastAsiaTheme="minorEastAsia"/>
          <w:lang w:eastAsia="ko-KR"/>
        </w:rPr>
        <w:t xml:space="preserve">see </w:t>
      </w:r>
      <w:r w:rsidRPr="00D03225">
        <w:rPr>
          <w:rFonts w:eastAsiaTheme="minorEastAsia"/>
          <w:lang w:eastAsia="ko-KR"/>
        </w:rPr>
        <w:t xml:space="preserve">Exhibit 2). </w:t>
      </w:r>
    </w:p>
    <w:p w14:paraId="613105F5" w14:textId="77777777" w:rsidR="00D03225" w:rsidRPr="00D03225" w:rsidRDefault="00D03225" w:rsidP="00D03225">
      <w:pPr>
        <w:pStyle w:val="BodyTextMain"/>
        <w:rPr>
          <w:rFonts w:eastAsiaTheme="minorEastAsia"/>
          <w:lang w:eastAsia="ko-KR"/>
        </w:rPr>
      </w:pPr>
    </w:p>
    <w:p w14:paraId="30BE83B6" w14:textId="029C6E58" w:rsidR="00D03225" w:rsidRPr="00D03225" w:rsidRDefault="00D03225" w:rsidP="00D03225">
      <w:pPr>
        <w:pStyle w:val="BodyTextMain"/>
        <w:rPr>
          <w:rFonts w:eastAsiaTheme="minorEastAsia"/>
          <w:lang w:eastAsia="ko-KR"/>
        </w:rPr>
      </w:pPr>
      <w:r w:rsidRPr="00D03225">
        <w:rPr>
          <w:rFonts w:eastAsiaTheme="minorEastAsia"/>
          <w:lang w:eastAsia="ko-KR"/>
        </w:rPr>
        <w:t>RenY was subject to the laws of Hong Kong. Under the Prevention of Bribery Ordinance (</w:t>
      </w:r>
      <w:r w:rsidR="004B4218">
        <w:rPr>
          <w:rFonts w:eastAsiaTheme="minorEastAsia"/>
          <w:lang w:eastAsia="ko-KR"/>
        </w:rPr>
        <w:t xml:space="preserve">see </w:t>
      </w:r>
      <w:r w:rsidRPr="00D03225">
        <w:rPr>
          <w:rFonts w:eastAsiaTheme="minorEastAsia"/>
          <w:lang w:eastAsia="ko-KR"/>
        </w:rPr>
        <w:t xml:space="preserve">Exhibit 3) bribery </w:t>
      </w:r>
      <w:r w:rsidR="00D662E1">
        <w:rPr>
          <w:rFonts w:eastAsiaTheme="minorEastAsia"/>
          <w:lang w:eastAsia="ko-KR"/>
        </w:rPr>
        <w:t>was</w:t>
      </w:r>
      <w:r w:rsidRPr="00D03225">
        <w:rPr>
          <w:rFonts w:eastAsiaTheme="minorEastAsia"/>
          <w:lang w:eastAsia="ko-KR"/>
        </w:rPr>
        <w:t xml:space="preserve"> unlawful in the public and private sectors within Hong Kong</w:t>
      </w:r>
      <w:r w:rsidR="00F94C83">
        <w:rPr>
          <w:rFonts w:eastAsiaTheme="minorEastAsia"/>
          <w:lang w:eastAsia="ko-KR"/>
        </w:rPr>
        <w:t>,</w:t>
      </w:r>
      <w:r w:rsidRPr="00D03225">
        <w:rPr>
          <w:rFonts w:eastAsiaTheme="minorEastAsia"/>
          <w:lang w:eastAsia="ko-KR"/>
        </w:rPr>
        <w:t xml:space="preserve"> but it did not explicitly prohibit bribery elsewhere. Dawson was a</w:t>
      </w:r>
      <w:r w:rsidR="000E769F">
        <w:rPr>
          <w:rFonts w:eastAsiaTheme="minorEastAsia"/>
          <w:lang w:eastAsia="ko-KR"/>
        </w:rPr>
        <w:t>n Australian citi</w:t>
      </w:r>
      <w:r w:rsidR="00FA31AB">
        <w:rPr>
          <w:rFonts w:eastAsiaTheme="minorEastAsia"/>
          <w:lang w:eastAsia="ko-KR"/>
        </w:rPr>
        <w:t>zen</w:t>
      </w:r>
      <w:r w:rsidRPr="00D03225">
        <w:rPr>
          <w:rFonts w:eastAsiaTheme="minorEastAsia"/>
          <w:lang w:eastAsia="ko-KR"/>
        </w:rPr>
        <w:t xml:space="preserve"> living </w:t>
      </w:r>
      <w:r w:rsidR="00FA31AB">
        <w:rPr>
          <w:rFonts w:eastAsiaTheme="minorEastAsia"/>
          <w:lang w:eastAsia="ko-KR"/>
        </w:rPr>
        <w:t>as a permanent resident (</w:t>
      </w:r>
      <w:r w:rsidR="002C0357">
        <w:rPr>
          <w:rFonts w:eastAsiaTheme="minorEastAsia"/>
          <w:lang w:eastAsia="ko-KR"/>
        </w:rPr>
        <w:t xml:space="preserve">i.e., </w:t>
      </w:r>
      <w:r w:rsidR="00176A92">
        <w:rPr>
          <w:rFonts w:eastAsiaTheme="minorEastAsia"/>
          <w:lang w:eastAsia="ko-KR"/>
        </w:rPr>
        <w:t xml:space="preserve">a </w:t>
      </w:r>
      <w:r w:rsidR="00FA31AB">
        <w:rPr>
          <w:rFonts w:eastAsiaTheme="minorEastAsia"/>
          <w:lang w:eastAsia="ko-KR"/>
        </w:rPr>
        <w:t>Green Card</w:t>
      </w:r>
      <w:r w:rsidR="00176A92">
        <w:rPr>
          <w:rFonts w:eastAsiaTheme="minorEastAsia"/>
          <w:lang w:eastAsia="ko-KR"/>
        </w:rPr>
        <w:t xml:space="preserve"> holder</w:t>
      </w:r>
      <w:r w:rsidR="00FA31AB">
        <w:rPr>
          <w:rFonts w:eastAsiaTheme="minorEastAsia"/>
          <w:lang w:eastAsia="ko-KR"/>
        </w:rPr>
        <w:t xml:space="preserve">) </w:t>
      </w:r>
      <w:r w:rsidRPr="00D03225">
        <w:rPr>
          <w:rFonts w:eastAsiaTheme="minorEastAsia"/>
          <w:lang w:eastAsia="ko-KR"/>
        </w:rPr>
        <w:t>in the U</w:t>
      </w:r>
      <w:r w:rsidR="00D662E1">
        <w:rPr>
          <w:rFonts w:eastAsiaTheme="minorEastAsia"/>
          <w:lang w:eastAsia="ko-KR"/>
        </w:rPr>
        <w:t>nited States</w:t>
      </w:r>
      <w:r w:rsidR="00176A92">
        <w:rPr>
          <w:rFonts w:eastAsiaTheme="minorEastAsia"/>
          <w:lang w:eastAsia="ko-KR"/>
        </w:rPr>
        <w:t>,</w:t>
      </w:r>
      <w:r w:rsidRPr="00D03225">
        <w:rPr>
          <w:rFonts w:eastAsiaTheme="minorEastAsia"/>
          <w:lang w:eastAsia="ko-KR"/>
        </w:rPr>
        <w:t xml:space="preserve"> and he had just formed a new company that would undertake research across Sub-Saharan Africa. Was he subject to the Foreign Corrupt Practices Act (</w:t>
      </w:r>
      <w:r w:rsidR="00447717">
        <w:rPr>
          <w:rFonts w:eastAsiaTheme="minorEastAsia"/>
          <w:lang w:eastAsia="ko-KR"/>
        </w:rPr>
        <w:t xml:space="preserve">see </w:t>
      </w:r>
      <w:r w:rsidRPr="00D03225">
        <w:rPr>
          <w:rFonts w:eastAsiaTheme="minorEastAsia"/>
          <w:lang w:eastAsia="ko-KR"/>
        </w:rPr>
        <w:t>Exhibit 4) in the U</w:t>
      </w:r>
      <w:r w:rsidR="00D662E1">
        <w:rPr>
          <w:rFonts w:eastAsiaTheme="minorEastAsia"/>
          <w:lang w:eastAsia="ko-KR"/>
        </w:rPr>
        <w:t>nited States,</w:t>
      </w:r>
      <w:r w:rsidRPr="00D03225">
        <w:rPr>
          <w:rFonts w:eastAsiaTheme="minorEastAsia"/>
          <w:lang w:eastAsia="ko-KR"/>
        </w:rPr>
        <w:t xml:space="preserve"> which prohibits the bribery of government officials anywhere outside of the U</w:t>
      </w:r>
      <w:r w:rsidR="00D662E1">
        <w:rPr>
          <w:rFonts w:eastAsiaTheme="minorEastAsia"/>
          <w:lang w:eastAsia="ko-KR"/>
        </w:rPr>
        <w:t>nited States</w:t>
      </w:r>
      <w:r w:rsidRPr="00D03225">
        <w:rPr>
          <w:rFonts w:eastAsiaTheme="minorEastAsia"/>
          <w:lang w:eastAsia="ko-KR"/>
        </w:rPr>
        <w:t xml:space="preserve">? </w:t>
      </w:r>
      <w:r w:rsidR="009F6D61">
        <w:rPr>
          <w:rFonts w:eastAsiaTheme="minorEastAsia"/>
          <w:lang w:eastAsia="ko-KR"/>
        </w:rPr>
        <w:t xml:space="preserve">Was he also subject </w:t>
      </w:r>
      <w:r w:rsidR="00C6622B">
        <w:rPr>
          <w:rFonts w:eastAsiaTheme="minorEastAsia"/>
          <w:lang w:eastAsia="ko-KR"/>
        </w:rPr>
        <w:t>to any other similar ordinance in Australia?</w:t>
      </w:r>
    </w:p>
    <w:p w14:paraId="17CFB2B0" w14:textId="77777777" w:rsidR="00D03225" w:rsidRPr="00D03225" w:rsidRDefault="00D03225" w:rsidP="00D03225">
      <w:pPr>
        <w:pStyle w:val="BodyTextMain"/>
        <w:rPr>
          <w:rFonts w:eastAsiaTheme="minorEastAsia"/>
          <w:lang w:eastAsia="ko-KR"/>
        </w:rPr>
      </w:pPr>
    </w:p>
    <w:p w14:paraId="1606CE0D" w14:textId="44EE0669" w:rsidR="00D03225" w:rsidRPr="00D03225" w:rsidRDefault="00D03225" w:rsidP="00D03225">
      <w:pPr>
        <w:pStyle w:val="BodyTextMain"/>
        <w:rPr>
          <w:rFonts w:eastAsiaTheme="minorEastAsia"/>
          <w:lang w:eastAsia="ko-KR"/>
        </w:rPr>
      </w:pPr>
      <w:r w:rsidRPr="00D03225">
        <w:rPr>
          <w:rFonts w:eastAsiaTheme="minorEastAsia"/>
          <w:lang w:eastAsia="ko-KR"/>
        </w:rPr>
        <w:t xml:space="preserve">Dawson was also concerned about the reputation of Ghana and other West African countries </w:t>
      </w:r>
      <w:r w:rsidR="005A6802">
        <w:rPr>
          <w:rFonts w:eastAsiaTheme="minorEastAsia"/>
          <w:lang w:eastAsia="ko-KR"/>
        </w:rPr>
        <w:t>with</w:t>
      </w:r>
      <w:r w:rsidRPr="00D03225">
        <w:rPr>
          <w:rFonts w:eastAsiaTheme="minorEastAsia"/>
          <w:lang w:eastAsia="ko-KR"/>
        </w:rPr>
        <w:t xml:space="preserve"> respect </w:t>
      </w:r>
      <w:r w:rsidR="005A6802">
        <w:rPr>
          <w:rFonts w:eastAsiaTheme="minorEastAsia"/>
          <w:lang w:eastAsia="ko-KR"/>
        </w:rPr>
        <w:t>to</w:t>
      </w:r>
      <w:r w:rsidRPr="00D03225">
        <w:rPr>
          <w:rFonts w:eastAsiaTheme="minorEastAsia"/>
          <w:lang w:eastAsia="ko-KR"/>
        </w:rPr>
        <w:t xml:space="preserve"> money laundering</w:t>
      </w:r>
      <w:r w:rsidR="005A6802">
        <w:rPr>
          <w:rFonts w:eastAsiaTheme="minorEastAsia"/>
          <w:lang w:eastAsia="ko-KR"/>
        </w:rPr>
        <w:t>,</w:t>
      </w:r>
      <w:r w:rsidRPr="00D03225">
        <w:rPr>
          <w:rFonts w:eastAsiaTheme="minorEastAsia"/>
          <w:lang w:eastAsia="ko-KR"/>
        </w:rPr>
        <w:t xml:space="preserve"> and wondered if there was any risk </w:t>
      </w:r>
      <w:r w:rsidR="007D01EC">
        <w:rPr>
          <w:rFonts w:eastAsiaTheme="minorEastAsia"/>
          <w:lang w:eastAsia="ko-KR"/>
        </w:rPr>
        <w:t>of</w:t>
      </w:r>
      <w:r w:rsidRPr="00D03225">
        <w:rPr>
          <w:rFonts w:eastAsiaTheme="minorEastAsia"/>
          <w:lang w:eastAsia="ko-KR"/>
        </w:rPr>
        <w:t xml:space="preserve"> being inadvertently caught up in investigations cause</w:t>
      </w:r>
      <w:r w:rsidR="005A6802">
        <w:rPr>
          <w:rFonts w:eastAsiaTheme="minorEastAsia"/>
          <w:lang w:eastAsia="ko-KR"/>
        </w:rPr>
        <w:t>d</w:t>
      </w:r>
      <w:r w:rsidRPr="00D03225">
        <w:rPr>
          <w:rFonts w:eastAsiaTheme="minorEastAsia"/>
          <w:lang w:eastAsia="ko-KR"/>
        </w:rPr>
        <w:t xml:space="preserve"> </w:t>
      </w:r>
      <w:r w:rsidR="005A6802">
        <w:rPr>
          <w:rFonts w:eastAsiaTheme="minorEastAsia"/>
          <w:lang w:eastAsia="ko-KR"/>
        </w:rPr>
        <w:t>by</w:t>
      </w:r>
      <w:r w:rsidRPr="00D03225">
        <w:rPr>
          <w:rFonts w:eastAsiaTheme="minorEastAsia"/>
          <w:lang w:eastAsia="ko-KR"/>
        </w:rPr>
        <w:t xml:space="preserve"> the movement of funds related to his business objectives. He also recalled that in 2015 the Judicial Council of Ghana suspended 22 circuit court judges and magistrates and placed 12 </w:t>
      </w:r>
      <w:r w:rsidR="00176A92">
        <w:rPr>
          <w:rFonts w:eastAsiaTheme="minorEastAsia"/>
          <w:lang w:eastAsia="ko-KR"/>
        </w:rPr>
        <w:t>h</w:t>
      </w:r>
      <w:r w:rsidRPr="00D03225">
        <w:rPr>
          <w:rFonts w:eastAsiaTheme="minorEastAsia"/>
          <w:lang w:eastAsia="ko-KR"/>
        </w:rPr>
        <w:t xml:space="preserve">igh </w:t>
      </w:r>
      <w:r w:rsidR="00176A92">
        <w:rPr>
          <w:rFonts w:eastAsiaTheme="minorEastAsia"/>
          <w:lang w:eastAsia="ko-KR"/>
        </w:rPr>
        <w:t>c</w:t>
      </w:r>
      <w:r w:rsidRPr="00D03225">
        <w:rPr>
          <w:rFonts w:eastAsiaTheme="minorEastAsia"/>
          <w:lang w:eastAsia="ko-KR"/>
        </w:rPr>
        <w:t>ourt judges under investigation for alleged bribery</w:t>
      </w:r>
      <w:r w:rsidR="005A6802">
        <w:rPr>
          <w:rFonts w:eastAsiaTheme="minorEastAsia"/>
          <w:lang w:eastAsia="ko-KR"/>
        </w:rPr>
        <w:t>.</w:t>
      </w:r>
      <w:r w:rsidRPr="00D03225">
        <w:rPr>
          <w:rFonts w:cstheme="majorHAnsi"/>
          <w:vertAlign w:val="superscript"/>
        </w:rPr>
        <w:footnoteReference w:id="11"/>
      </w:r>
      <w:r w:rsidRPr="00D03225">
        <w:rPr>
          <w:rFonts w:eastAsiaTheme="minorEastAsia"/>
          <w:lang w:eastAsia="ko-KR"/>
        </w:rPr>
        <w:t xml:space="preserve"> </w:t>
      </w:r>
    </w:p>
    <w:p w14:paraId="1E1B8079" w14:textId="77777777" w:rsidR="00D03225" w:rsidRPr="00D03225" w:rsidRDefault="00D03225" w:rsidP="00D03225">
      <w:pPr>
        <w:pStyle w:val="BodyTextMain"/>
        <w:rPr>
          <w:rFonts w:eastAsiaTheme="minorEastAsia"/>
          <w:lang w:eastAsia="ko-KR"/>
        </w:rPr>
      </w:pPr>
    </w:p>
    <w:p w14:paraId="201C5AD4" w14:textId="1E738430" w:rsidR="00D03225" w:rsidRPr="00D03225" w:rsidRDefault="00D03225" w:rsidP="00D03225">
      <w:pPr>
        <w:pStyle w:val="BodyTextMain"/>
        <w:rPr>
          <w:rFonts w:eastAsiaTheme="minorEastAsia"/>
          <w:lang w:eastAsia="ko-KR"/>
        </w:rPr>
      </w:pPr>
      <w:r w:rsidRPr="00D03225">
        <w:rPr>
          <w:rFonts w:eastAsiaTheme="minorEastAsia"/>
          <w:lang w:eastAsia="ko-KR"/>
        </w:rPr>
        <w:t>A pattern was emerging in Dawson’s mind</w:t>
      </w:r>
      <w:r w:rsidR="00D662E1">
        <w:rPr>
          <w:rFonts w:eastAsiaTheme="minorEastAsia"/>
          <w:lang w:eastAsia="ko-KR"/>
        </w:rPr>
        <w:t>—</w:t>
      </w:r>
      <w:r w:rsidR="00176A92">
        <w:rPr>
          <w:rFonts w:eastAsiaTheme="minorEastAsia"/>
          <w:lang w:eastAsia="ko-KR"/>
        </w:rPr>
        <w:t xml:space="preserve">Ghana’s </w:t>
      </w:r>
      <w:r w:rsidRPr="00D03225">
        <w:rPr>
          <w:rFonts w:eastAsiaTheme="minorEastAsia"/>
          <w:lang w:eastAsia="ko-KR"/>
        </w:rPr>
        <w:t>government institutions could not be trusted and the enforcement of the rule of law was not assured (see Exhibit 5). Dawson had also experienced bank fraud relating to a wire transfer from Hong Kong to a purportedly reputable bank in Ghana. The wire transfer was redirected to another account</w:t>
      </w:r>
      <w:r w:rsidR="00176A92">
        <w:rPr>
          <w:rFonts w:eastAsiaTheme="minorEastAsia"/>
          <w:lang w:eastAsia="ko-KR"/>
        </w:rPr>
        <w:t>,</w:t>
      </w:r>
      <w:r w:rsidRPr="00D03225">
        <w:rPr>
          <w:rFonts w:eastAsiaTheme="minorEastAsia"/>
          <w:lang w:eastAsia="ko-KR"/>
        </w:rPr>
        <w:t xml:space="preserve"> and the Ghanaian bank sent fraudulent responses to inquiries from </w:t>
      </w:r>
      <w:r w:rsidR="00176A92">
        <w:rPr>
          <w:rFonts w:eastAsiaTheme="minorEastAsia"/>
          <w:lang w:eastAsia="ko-KR"/>
        </w:rPr>
        <w:t>Dawson’s</w:t>
      </w:r>
      <w:r w:rsidRPr="00D03225">
        <w:rPr>
          <w:rFonts w:eastAsiaTheme="minorEastAsia"/>
          <w:lang w:eastAsia="ko-KR"/>
        </w:rPr>
        <w:t xml:space="preserve"> bank in Hong Kong. The Economic and Organized Crime Office in Ghana seemed powerless to intervene</w:t>
      </w:r>
      <w:r w:rsidR="00D662E1">
        <w:rPr>
          <w:rFonts w:eastAsiaTheme="minorEastAsia"/>
          <w:lang w:eastAsia="ko-KR"/>
        </w:rPr>
        <w:t xml:space="preserve">; </w:t>
      </w:r>
      <w:r w:rsidRPr="00D03225">
        <w:rPr>
          <w:rFonts w:eastAsiaTheme="minorEastAsia"/>
          <w:lang w:eastAsia="ko-KR"/>
        </w:rPr>
        <w:t>officials connected to the Presidency of Ghana</w:t>
      </w:r>
      <w:r w:rsidR="00D662E1">
        <w:rPr>
          <w:rFonts w:eastAsiaTheme="minorEastAsia"/>
          <w:lang w:eastAsia="ko-KR"/>
        </w:rPr>
        <w:t xml:space="preserve"> had to </w:t>
      </w:r>
      <w:proofErr w:type="gramStart"/>
      <w:r w:rsidR="00D662E1">
        <w:rPr>
          <w:rFonts w:eastAsiaTheme="minorEastAsia"/>
          <w:lang w:eastAsia="ko-KR"/>
        </w:rPr>
        <w:t>take action</w:t>
      </w:r>
      <w:proofErr w:type="gramEnd"/>
      <w:r w:rsidR="00D662E1">
        <w:rPr>
          <w:rFonts w:eastAsiaTheme="minorEastAsia"/>
          <w:lang w:eastAsia="ko-KR"/>
        </w:rPr>
        <w:t xml:space="preserve"> </w:t>
      </w:r>
      <w:r w:rsidRPr="00D03225">
        <w:rPr>
          <w:rFonts w:eastAsiaTheme="minorEastAsia"/>
          <w:lang w:eastAsia="ko-KR"/>
        </w:rPr>
        <w:t>to resolve the matter.</w:t>
      </w:r>
    </w:p>
    <w:p w14:paraId="7AD54BAE" w14:textId="77777777" w:rsidR="00D03225" w:rsidRPr="00D03225" w:rsidRDefault="00D03225" w:rsidP="00D03225">
      <w:pPr>
        <w:pStyle w:val="BodyTextMain"/>
        <w:rPr>
          <w:rFonts w:eastAsiaTheme="minorEastAsia"/>
          <w:lang w:eastAsia="ko-KR"/>
        </w:rPr>
      </w:pPr>
    </w:p>
    <w:p w14:paraId="63C55C27" w14:textId="0C98CA2C" w:rsidR="00D03225" w:rsidRPr="00D03225" w:rsidRDefault="00D03225" w:rsidP="00D03225">
      <w:pPr>
        <w:pStyle w:val="BodyTextMain"/>
        <w:rPr>
          <w:rFonts w:eastAsiaTheme="minorEastAsia"/>
          <w:lang w:eastAsia="ko-KR"/>
        </w:rPr>
      </w:pPr>
      <w:r w:rsidRPr="00D03225">
        <w:rPr>
          <w:rFonts w:eastAsiaTheme="minorEastAsia"/>
          <w:lang w:eastAsia="ko-KR"/>
        </w:rPr>
        <w:t>Dawson was enthusiastic about his ideas for engaging Ghana</w:t>
      </w:r>
      <w:r w:rsidR="005A6802">
        <w:rPr>
          <w:rFonts w:eastAsiaTheme="minorEastAsia"/>
          <w:lang w:eastAsia="ko-KR"/>
        </w:rPr>
        <w:t>’s</w:t>
      </w:r>
      <w:r w:rsidRPr="00D03225">
        <w:rPr>
          <w:rFonts w:eastAsiaTheme="minorEastAsia"/>
          <w:lang w:eastAsia="ko-KR"/>
        </w:rPr>
        <w:t xml:space="preserve"> graduates in sustainable development projects in communities across the nation. Ghana was a peaceful country without internal violence since its independence from Britain in 1957</w:t>
      </w:r>
      <w:r w:rsidR="00447717">
        <w:rPr>
          <w:rFonts w:eastAsiaTheme="minorEastAsia"/>
          <w:lang w:eastAsia="ko-KR"/>
        </w:rPr>
        <w:t>.</w:t>
      </w:r>
      <w:r w:rsidRPr="00D03225">
        <w:rPr>
          <w:rFonts w:cstheme="majorHAnsi"/>
          <w:vertAlign w:val="superscript"/>
        </w:rPr>
        <w:footnoteReference w:id="12"/>
      </w:r>
      <w:r w:rsidRPr="00D03225">
        <w:rPr>
          <w:lang w:eastAsia="en-IN"/>
        </w:rPr>
        <w:t xml:space="preserve"> </w:t>
      </w:r>
      <w:r w:rsidRPr="00D03225">
        <w:rPr>
          <w:rFonts w:eastAsiaTheme="minorEastAsia"/>
          <w:lang w:eastAsia="ko-KR"/>
        </w:rPr>
        <w:t>Its electoral processes had generally been conducted transparently without evidence of fraud. The country had made significant improvements in the reduction of poverty and had met the United Nations Millennial Development Goal of a 50</w:t>
      </w:r>
      <w:r w:rsidR="00447717">
        <w:rPr>
          <w:rFonts w:eastAsiaTheme="minorEastAsia"/>
          <w:lang w:eastAsia="ko-KR"/>
        </w:rPr>
        <w:t xml:space="preserve"> per cent</w:t>
      </w:r>
      <w:r w:rsidRPr="00D03225">
        <w:rPr>
          <w:rFonts w:eastAsiaTheme="minorEastAsia"/>
          <w:lang w:eastAsia="ko-KR"/>
        </w:rPr>
        <w:t xml:space="preserve"> reduction in poverty by 2015</w:t>
      </w:r>
      <w:r w:rsidR="00447717">
        <w:rPr>
          <w:rFonts w:eastAsiaTheme="minorEastAsia"/>
          <w:lang w:eastAsia="ko-KR"/>
        </w:rPr>
        <w:t>.</w:t>
      </w:r>
      <w:r w:rsidRPr="00D03225">
        <w:rPr>
          <w:rFonts w:cstheme="majorHAnsi"/>
          <w:vertAlign w:val="superscript"/>
        </w:rPr>
        <w:footnoteReference w:id="13"/>
      </w:r>
      <w:r w:rsidRPr="00D03225">
        <w:rPr>
          <w:rFonts w:eastAsiaTheme="minorEastAsia"/>
          <w:lang w:eastAsia="ko-KR"/>
        </w:rPr>
        <w:t xml:space="preserve"> Initiatives in education had reduced illiteracy rates</w:t>
      </w:r>
      <w:r w:rsidR="005A6802">
        <w:rPr>
          <w:rFonts w:eastAsiaTheme="minorEastAsia"/>
          <w:lang w:eastAsia="ko-KR"/>
        </w:rPr>
        <w:t>,</w:t>
      </w:r>
      <w:r w:rsidRPr="00D03225">
        <w:rPr>
          <w:rFonts w:eastAsiaTheme="minorEastAsia"/>
          <w:lang w:eastAsia="ko-KR"/>
        </w:rPr>
        <w:t xml:space="preserve"> and increase</w:t>
      </w:r>
      <w:r w:rsidR="005A6802">
        <w:rPr>
          <w:rFonts w:eastAsiaTheme="minorEastAsia"/>
          <w:lang w:eastAsia="ko-KR"/>
        </w:rPr>
        <w:t>d</w:t>
      </w:r>
      <w:r w:rsidRPr="00D03225">
        <w:rPr>
          <w:rFonts w:eastAsiaTheme="minorEastAsia"/>
          <w:lang w:eastAsia="ko-KR"/>
        </w:rPr>
        <w:t xml:space="preserve"> food nutrition had reduced developmental health issues in children. </w:t>
      </w:r>
    </w:p>
    <w:p w14:paraId="256D2D72" w14:textId="77777777" w:rsidR="00D03225" w:rsidRPr="00D03225" w:rsidRDefault="00D03225" w:rsidP="00D03225">
      <w:pPr>
        <w:pStyle w:val="BodyTextMain"/>
        <w:rPr>
          <w:rFonts w:eastAsiaTheme="minorEastAsia"/>
          <w:lang w:eastAsia="ko-KR"/>
        </w:rPr>
      </w:pPr>
    </w:p>
    <w:p w14:paraId="40116981" w14:textId="7274FBA2" w:rsidR="00F94C83" w:rsidRDefault="00176A92" w:rsidP="003654BA">
      <w:pPr>
        <w:pStyle w:val="BodyTextMain"/>
        <w:rPr>
          <w:rFonts w:ascii="Arial" w:eastAsiaTheme="minorEastAsia" w:hAnsi="Arial" w:cs="Arial"/>
          <w:b/>
          <w:caps/>
        </w:rPr>
      </w:pPr>
      <w:r>
        <w:rPr>
          <w:rFonts w:eastAsiaTheme="minorEastAsia"/>
          <w:lang w:eastAsia="ko-KR"/>
        </w:rPr>
        <w:t>Dawson</w:t>
      </w:r>
      <w:r w:rsidR="00D03225" w:rsidRPr="00D03225">
        <w:rPr>
          <w:rFonts w:eastAsiaTheme="minorEastAsia"/>
          <w:lang w:eastAsia="ko-KR"/>
        </w:rPr>
        <w:t xml:space="preserve"> had spent the best part of the previous five years cultivating contacts and researching business opportunities in West Africa. </w:t>
      </w:r>
      <w:r w:rsidR="005A6802" w:rsidRPr="00D03225">
        <w:rPr>
          <w:rFonts w:eastAsiaTheme="minorEastAsia"/>
          <w:lang w:eastAsia="ko-KR"/>
        </w:rPr>
        <w:t>Against this backdrop of challenges and opportunities Dawson had to decide</w:t>
      </w:r>
      <w:r w:rsidR="005A6802">
        <w:rPr>
          <w:rFonts w:eastAsiaTheme="minorEastAsia"/>
          <w:lang w:eastAsia="ko-KR"/>
        </w:rPr>
        <w:t>—w</w:t>
      </w:r>
      <w:r w:rsidR="00D03225" w:rsidRPr="00D03225">
        <w:rPr>
          <w:rFonts w:eastAsiaTheme="minorEastAsia"/>
          <w:lang w:eastAsia="ko-KR"/>
        </w:rPr>
        <w:t>as this investment going to result in nothing</w:t>
      </w:r>
      <w:r w:rsidR="00D662E1">
        <w:rPr>
          <w:rFonts w:eastAsiaTheme="minorEastAsia"/>
          <w:lang w:eastAsia="ko-KR"/>
        </w:rPr>
        <w:t>,</w:t>
      </w:r>
      <w:r w:rsidR="00D03225" w:rsidRPr="00D03225">
        <w:rPr>
          <w:rFonts w:eastAsiaTheme="minorEastAsia"/>
          <w:lang w:eastAsia="ko-KR"/>
        </w:rPr>
        <w:t xml:space="preserve"> or was there a way to move forward?</w:t>
      </w:r>
      <w:r w:rsidR="00F94C83">
        <w:rPr>
          <w:rFonts w:ascii="Arial" w:eastAsiaTheme="minorEastAsia" w:hAnsi="Arial" w:cs="Arial"/>
          <w:b/>
          <w:caps/>
        </w:rPr>
        <w:br w:type="page"/>
      </w:r>
    </w:p>
    <w:p w14:paraId="4BCEEB69" w14:textId="1282D426" w:rsidR="00D03225" w:rsidRPr="00D03225" w:rsidRDefault="00D03225" w:rsidP="00D03225">
      <w:pPr>
        <w:jc w:val="center"/>
        <w:rPr>
          <w:rFonts w:ascii="Arial" w:eastAsiaTheme="minorEastAsia" w:hAnsi="Arial" w:cs="Arial"/>
          <w:b/>
          <w:caps/>
        </w:rPr>
      </w:pPr>
      <w:r w:rsidRPr="00D03225">
        <w:rPr>
          <w:rFonts w:ascii="Arial" w:eastAsiaTheme="minorEastAsia" w:hAnsi="Arial" w:cs="Arial"/>
          <w:b/>
          <w:caps/>
        </w:rPr>
        <w:lastRenderedPageBreak/>
        <w:t>Exhibit 1: UNIted nations sustainable development goals</w:t>
      </w:r>
    </w:p>
    <w:p w14:paraId="5C29EA7E" w14:textId="77777777" w:rsidR="00D03225" w:rsidRPr="00D03225" w:rsidRDefault="00D03225" w:rsidP="00D03225">
      <w:pPr>
        <w:rPr>
          <w:rFonts w:eastAsiaTheme="minorEastAsia"/>
          <w:caps/>
          <w:sz w:val="22"/>
          <w:szCs w:val="22"/>
        </w:rPr>
      </w:pPr>
    </w:p>
    <w:tbl>
      <w:tblPr>
        <w:tblStyle w:val="TableGrid1"/>
        <w:tblW w:w="0" w:type="auto"/>
        <w:jc w:val="center"/>
        <w:tblLayout w:type="fixed"/>
        <w:tblCellMar>
          <w:left w:w="72" w:type="dxa"/>
          <w:right w:w="72" w:type="dxa"/>
        </w:tblCellMar>
        <w:tblLook w:val="04A0" w:firstRow="1" w:lastRow="0" w:firstColumn="1" w:lastColumn="0" w:noHBand="0" w:noVBand="1"/>
      </w:tblPr>
      <w:tblGrid>
        <w:gridCol w:w="805"/>
        <w:gridCol w:w="4140"/>
      </w:tblGrid>
      <w:tr w:rsidR="00D03225" w:rsidRPr="008260BB" w14:paraId="585C0822" w14:textId="77777777" w:rsidTr="002C3BA2">
        <w:trPr>
          <w:jc w:val="center"/>
        </w:trPr>
        <w:tc>
          <w:tcPr>
            <w:tcW w:w="805" w:type="dxa"/>
          </w:tcPr>
          <w:p w14:paraId="4F15CB53" w14:textId="77777777" w:rsidR="00D03225" w:rsidRPr="00F47BDF" w:rsidRDefault="00D03225" w:rsidP="00F47BDF">
            <w:pPr>
              <w:keepNext/>
              <w:keepLines/>
              <w:spacing w:before="20" w:beforeAutospacing="1" w:after="20" w:afterAutospacing="1"/>
              <w:rPr>
                <w:rFonts w:ascii="Arial" w:hAnsi="Arial" w:cs="Arial"/>
                <w:b/>
                <w:szCs w:val="18"/>
                <w:lang w:eastAsia="en-IN"/>
              </w:rPr>
            </w:pPr>
            <w:r w:rsidRPr="00F47BDF">
              <w:rPr>
                <w:rFonts w:ascii="Arial" w:hAnsi="Arial" w:cs="Arial"/>
                <w:b/>
                <w:szCs w:val="18"/>
                <w:lang w:eastAsia="en-IN"/>
              </w:rPr>
              <w:t>Goal #</w:t>
            </w:r>
          </w:p>
        </w:tc>
        <w:tc>
          <w:tcPr>
            <w:tcW w:w="4140" w:type="dxa"/>
          </w:tcPr>
          <w:p w14:paraId="12260A0B" w14:textId="77777777" w:rsidR="00D03225" w:rsidRPr="00F47BDF" w:rsidRDefault="00D03225" w:rsidP="00F47BDF">
            <w:pPr>
              <w:keepNext/>
              <w:keepLines/>
              <w:spacing w:before="20" w:beforeAutospacing="1" w:after="20" w:afterAutospacing="1"/>
              <w:jc w:val="center"/>
              <w:rPr>
                <w:rFonts w:ascii="Arial" w:hAnsi="Arial" w:cs="Arial"/>
                <w:b/>
                <w:szCs w:val="18"/>
                <w:lang w:eastAsia="en-IN"/>
              </w:rPr>
            </w:pPr>
            <w:r w:rsidRPr="00F47BDF">
              <w:rPr>
                <w:rFonts w:ascii="Arial" w:hAnsi="Arial" w:cs="Arial"/>
                <w:b/>
                <w:szCs w:val="18"/>
                <w:lang w:eastAsia="en-IN"/>
              </w:rPr>
              <w:t>Outcomes</w:t>
            </w:r>
          </w:p>
        </w:tc>
      </w:tr>
      <w:tr w:rsidR="00D03225" w:rsidRPr="008260BB" w14:paraId="0A8B9F3C" w14:textId="77777777" w:rsidTr="002C3BA2">
        <w:trPr>
          <w:jc w:val="center"/>
        </w:trPr>
        <w:tc>
          <w:tcPr>
            <w:tcW w:w="805" w:type="dxa"/>
          </w:tcPr>
          <w:p w14:paraId="5DB0ECC5"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w:t>
            </w:r>
          </w:p>
        </w:tc>
        <w:tc>
          <w:tcPr>
            <w:tcW w:w="4140" w:type="dxa"/>
          </w:tcPr>
          <w:p w14:paraId="67783B66"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No poverty</w:t>
            </w:r>
          </w:p>
        </w:tc>
      </w:tr>
      <w:tr w:rsidR="00D03225" w:rsidRPr="008260BB" w14:paraId="5BB0C12A" w14:textId="77777777" w:rsidTr="002C3BA2">
        <w:trPr>
          <w:jc w:val="center"/>
        </w:trPr>
        <w:tc>
          <w:tcPr>
            <w:tcW w:w="805" w:type="dxa"/>
          </w:tcPr>
          <w:p w14:paraId="296878D8"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2</w:t>
            </w:r>
          </w:p>
        </w:tc>
        <w:tc>
          <w:tcPr>
            <w:tcW w:w="4140" w:type="dxa"/>
          </w:tcPr>
          <w:p w14:paraId="27F0CB37"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Zero hunger</w:t>
            </w:r>
          </w:p>
        </w:tc>
      </w:tr>
      <w:tr w:rsidR="00D03225" w:rsidRPr="008260BB" w14:paraId="7664F319" w14:textId="77777777" w:rsidTr="002C3BA2">
        <w:trPr>
          <w:jc w:val="center"/>
        </w:trPr>
        <w:tc>
          <w:tcPr>
            <w:tcW w:w="805" w:type="dxa"/>
          </w:tcPr>
          <w:p w14:paraId="26EF4D57"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3</w:t>
            </w:r>
          </w:p>
        </w:tc>
        <w:tc>
          <w:tcPr>
            <w:tcW w:w="4140" w:type="dxa"/>
          </w:tcPr>
          <w:p w14:paraId="4576B75B"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Good health and wellbeing</w:t>
            </w:r>
          </w:p>
        </w:tc>
      </w:tr>
      <w:tr w:rsidR="00D03225" w:rsidRPr="008260BB" w14:paraId="4F5575DB" w14:textId="77777777" w:rsidTr="002C3BA2">
        <w:trPr>
          <w:jc w:val="center"/>
        </w:trPr>
        <w:tc>
          <w:tcPr>
            <w:tcW w:w="805" w:type="dxa"/>
          </w:tcPr>
          <w:p w14:paraId="19CF0C82"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4</w:t>
            </w:r>
          </w:p>
        </w:tc>
        <w:tc>
          <w:tcPr>
            <w:tcW w:w="4140" w:type="dxa"/>
          </w:tcPr>
          <w:p w14:paraId="371F859C"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Quality education</w:t>
            </w:r>
          </w:p>
        </w:tc>
      </w:tr>
      <w:tr w:rsidR="00D03225" w:rsidRPr="008260BB" w14:paraId="1FA9C290" w14:textId="77777777" w:rsidTr="002C3BA2">
        <w:trPr>
          <w:jc w:val="center"/>
        </w:trPr>
        <w:tc>
          <w:tcPr>
            <w:tcW w:w="805" w:type="dxa"/>
          </w:tcPr>
          <w:p w14:paraId="1C9737A4"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5</w:t>
            </w:r>
          </w:p>
        </w:tc>
        <w:tc>
          <w:tcPr>
            <w:tcW w:w="4140" w:type="dxa"/>
          </w:tcPr>
          <w:p w14:paraId="703E4353"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Gender equality</w:t>
            </w:r>
          </w:p>
        </w:tc>
      </w:tr>
      <w:tr w:rsidR="00D03225" w:rsidRPr="008260BB" w14:paraId="4770954A" w14:textId="77777777" w:rsidTr="002C3BA2">
        <w:trPr>
          <w:jc w:val="center"/>
        </w:trPr>
        <w:tc>
          <w:tcPr>
            <w:tcW w:w="805" w:type="dxa"/>
          </w:tcPr>
          <w:p w14:paraId="4E99C815"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6</w:t>
            </w:r>
          </w:p>
        </w:tc>
        <w:tc>
          <w:tcPr>
            <w:tcW w:w="4140" w:type="dxa"/>
          </w:tcPr>
          <w:p w14:paraId="7C9DA930"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Clean water and sanitation</w:t>
            </w:r>
          </w:p>
        </w:tc>
      </w:tr>
      <w:tr w:rsidR="00D03225" w:rsidRPr="008260BB" w14:paraId="3D25130B" w14:textId="77777777" w:rsidTr="002C3BA2">
        <w:trPr>
          <w:jc w:val="center"/>
        </w:trPr>
        <w:tc>
          <w:tcPr>
            <w:tcW w:w="805" w:type="dxa"/>
          </w:tcPr>
          <w:p w14:paraId="451C25A7"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7</w:t>
            </w:r>
          </w:p>
        </w:tc>
        <w:tc>
          <w:tcPr>
            <w:tcW w:w="4140" w:type="dxa"/>
          </w:tcPr>
          <w:p w14:paraId="63DD557A"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Affordable and clean energy</w:t>
            </w:r>
          </w:p>
        </w:tc>
      </w:tr>
      <w:tr w:rsidR="00D03225" w:rsidRPr="008260BB" w14:paraId="345BBE63" w14:textId="77777777" w:rsidTr="002C3BA2">
        <w:trPr>
          <w:jc w:val="center"/>
        </w:trPr>
        <w:tc>
          <w:tcPr>
            <w:tcW w:w="805" w:type="dxa"/>
          </w:tcPr>
          <w:p w14:paraId="52587226"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8</w:t>
            </w:r>
          </w:p>
        </w:tc>
        <w:tc>
          <w:tcPr>
            <w:tcW w:w="4140" w:type="dxa"/>
          </w:tcPr>
          <w:p w14:paraId="261FFDE3"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Decent work and economic growth</w:t>
            </w:r>
          </w:p>
        </w:tc>
      </w:tr>
      <w:tr w:rsidR="00D03225" w:rsidRPr="008260BB" w14:paraId="747DC7FE" w14:textId="77777777" w:rsidTr="002C3BA2">
        <w:trPr>
          <w:jc w:val="center"/>
        </w:trPr>
        <w:tc>
          <w:tcPr>
            <w:tcW w:w="805" w:type="dxa"/>
          </w:tcPr>
          <w:p w14:paraId="3EA3BC66"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9</w:t>
            </w:r>
          </w:p>
        </w:tc>
        <w:tc>
          <w:tcPr>
            <w:tcW w:w="4140" w:type="dxa"/>
          </w:tcPr>
          <w:p w14:paraId="2A7F6621" w14:textId="10E349D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Industry, innovation</w:t>
            </w:r>
            <w:r w:rsidR="00447717" w:rsidRPr="00F47BDF">
              <w:rPr>
                <w:rFonts w:ascii="Arial" w:hAnsi="Arial" w:cs="Arial"/>
                <w:szCs w:val="18"/>
                <w:lang w:eastAsia="en-IN"/>
              </w:rPr>
              <w:t>,</w:t>
            </w:r>
            <w:r w:rsidRPr="00F47BDF">
              <w:rPr>
                <w:rFonts w:ascii="Arial" w:hAnsi="Arial" w:cs="Arial"/>
                <w:szCs w:val="18"/>
                <w:lang w:eastAsia="en-IN"/>
              </w:rPr>
              <w:t xml:space="preserve"> and infrastructure</w:t>
            </w:r>
          </w:p>
        </w:tc>
      </w:tr>
      <w:tr w:rsidR="00D03225" w:rsidRPr="008260BB" w14:paraId="57998C7B" w14:textId="77777777" w:rsidTr="002C3BA2">
        <w:trPr>
          <w:jc w:val="center"/>
        </w:trPr>
        <w:tc>
          <w:tcPr>
            <w:tcW w:w="805" w:type="dxa"/>
          </w:tcPr>
          <w:p w14:paraId="186E4A78"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10</w:t>
            </w:r>
          </w:p>
        </w:tc>
        <w:tc>
          <w:tcPr>
            <w:tcW w:w="4140" w:type="dxa"/>
          </w:tcPr>
          <w:p w14:paraId="5A2BA659"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Reduced inequalities</w:t>
            </w:r>
          </w:p>
        </w:tc>
      </w:tr>
      <w:tr w:rsidR="00D03225" w:rsidRPr="008260BB" w14:paraId="7AF2E92F" w14:textId="77777777" w:rsidTr="002C3BA2">
        <w:trPr>
          <w:jc w:val="center"/>
        </w:trPr>
        <w:tc>
          <w:tcPr>
            <w:tcW w:w="805" w:type="dxa"/>
          </w:tcPr>
          <w:p w14:paraId="38AF36F5"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11</w:t>
            </w:r>
          </w:p>
        </w:tc>
        <w:tc>
          <w:tcPr>
            <w:tcW w:w="4140" w:type="dxa"/>
          </w:tcPr>
          <w:p w14:paraId="34DC1A8A"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Sustainable cities and communities</w:t>
            </w:r>
          </w:p>
        </w:tc>
      </w:tr>
      <w:tr w:rsidR="00D03225" w:rsidRPr="008260BB" w14:paraId="61B137C9" w14:textId="77777777" w:rsidTr="002C3BA2">
        <w:trPr>
          <w:jc w:val="center"/>
        </w:trPr>
        <w:tc>
          <w:tcPr>
            <w:tcW w:w="805" w:type="dxa"/>
          </w:tcPr>
          <w:p w14:paraId="53E8B419"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12</w:t>
            </w:r>
          </w:p>
        </w:tc>
        <w:tc>
          <w:tcPr>
            <w:tcW w:w="4140" w:type="dxa"/>
          </w:tcPr>
          <w:p w14:paraId="2151FF05"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Responsible production and consumption</w:t>
            </w:r>
          </w:p>
        </w:tc>
      </w:tr>
      <w:tr w:rsidR="00D03225" w:rsidRPr="008260BB" w14:paraId="3E1E4DB4" w14:textId="77777777" w:rsidTr="002C3BA2">
        <w:trPr>
          <w:jc w:val="center"/>
        </w:trPr>
        <w:tc>
          <w:tcPr>
            <w:tcW w:w="805" w:type="dxa"/>
          </w:tcPr>
          <w:p w14:paraId="66B5F31B"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13</w:t>
            </w:r>
          </w:p>
        </w:tc>
        <w:tc>
          <w:tcPr>
            <w:tcW w:w="4140" w:type="dxa"/>
          </w:tcPr>
          <w:p w14:paraId="6D3C51E2"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Climate action</w:t>
            </w:r>
          </w:p>
        </w:tc>
      </w:tr>
      <w:tr w:rsidR="00D03225" w:rsidRPr="008260BB" w14:paraId="48B41481" w14:textId="77777777" w:rsidTr="002C3BA2">
        <w:trPr>
          <w:jc w:val="center"/>
        </w:trPr>
        <w:tc>
          <w:tcPr>
            <w:tcW w:w="805" w:type="dxa"/>
          </w:tcPr>
          <w:p w14:paraId="2B97BCF2"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14</w:t>
            </w:r>
          </w:p>
        </w:tc>
        <w:tc>
          <w:tcPr>
            <w:tcW w:w="4140" w:type="dxa"/>
          </w:tcPr>
          <w:p w14:paraId="77385F7C"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Life below water</w:t>
            </w:r>
          </w:p>
        </w:tc>
      </w:tr>
      <w:tr w:rsidR="00D03225" w:rsidRPr="008260BB" w14:paraId="3AC2749A" w14:textId="77777777" w:rsidTr="002C3BA2">
        <w:trPr>
          <w:jc w:val="center"/>
        </w:trPr>
        <w:tc>
          <w:tcPr>
            <w:tcW w:w="805" w:type="dxa"/>
          </w:tcPr>
          <w:p w14:paraId="3F836777"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15</w:t>
            </w:r>
          </w:p>
        </w:tc>
        <w:tc>
          <w:tcPr>
            <w:tcW w:w="4140" w:type="dxa"/>
          </w:tcPr>
          <w:p w14:paraId="2F250876"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Life on land</w:t>
            </w:r>
          </w:p>
        </w:tc>
      </w:tr>
      <w:tr w:rsidR="00D03225" w:rsidRPr="008260BB" w14:paraId="70B621AD" w14:textId="77777777" w:rsidTr="002C3BA2">
        <w:trPr>
          <w:jc w:val="center"/>
        </w:trPr>
        <w:tc>
          <w:tcPr>
            <w:tcW w:w="805" w:type="dxa"/>
          </w:tcPr>
          <w:p w14:paraId="51001AB3"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16</w:t>
            </w:r>
          </w:p>
        </w:tc>
        <w:tc>
          <w:tcPr>
            <w:tcW w:w="4140" w:type="dxa"/>
          </w:tcPr>
          <w:p w14:paraId="0C0D2E4E" w14:textId="7DC53085"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Peace, justice</w:t>
            </w:r>
            <w:r w:rsidR="00447717" w:rsidRPr="00F47BDF">
              <w:rPr>
                <w:rFonts w:ascii="Arial" w:hAnsi="Arial" w:cs="Arial"/>
                <w:szCs w:val="18"/>
                <w:lang w:eastAsia="en-IN"/>
              </w:rPr>
              <w:t>,</w:t>
            </w:r>
            <w:r w:rsidRPr="00F47BDF">
              <w:rPr>
                <w:rFonts w:ascii="Arial" w:hAnsi="Arial" w:cs="Arial"/>
                <w:szCs w:val="18"/>
                <w:lang w:eastAsia="en-IN"/>
              </w:rPr>
              <w:t xml:space="preserve"> and strong institutions</w:t>
            </w:r>
          </w:p>
        </w:tc>
      </w:tr>
      <w:tr w:rsidR="00D03225" w:rsidRPr="008260BB" w14:paraId="2EA601D3" w14:textId="77777777" w:rsidTr="002C3BA2">
        <w:trPr>
          <w:jc w:val="center"/>
        </w:trPr>
        <w:tc>
          <w:tcPr>
            <w:tcW w:w="805" w:type="dxa"/>
          </w:tcPr>
          <w:p w14:paraId="1636E4A8"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17</w:t>
            </w:r>
          </w:p>
        </w:tc>
        <w:tc>
          <w:tcPr>
            <w:tcW w:w="4140" w:type="dxa"/>
          </w:tcPr>
          <w:p w14:paraId="52EECFC8"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Partnerships for the goals</w:t>
            </w:r>
          </w:p>
        </w:tc>
      </w:tr>
    </w:tbl>
    <w:p w14:paraId="31A0D126" w14:textId="77777777" w:rsidR="00D03225" w:rsidRPr="00D03225" w:rsidRDefault="00D03225" w:rsidP="00D03225">
      <w:pPr>
        <w:spacing w:line="276" w:lineRule="auto"/>
        <w:rPr>
          <w:rFonts w:ascii="Arial" w:hAnsi="Arial" w:cs="Arial"/>
          <w:sz w:val="17"/>
          <w:szCs w:val="17"/>
        </w:rPr>
      </w:pPr>
    </w:p>
    <w:p w14:paraId="01845BF3" w14:textId="57BF772D" w:rsidR="00D03225" w:rsidRPr="00D03225" w:rsidRDefault="00D03225" w:rsidP="00AC02E4">
      <w:pPr>
        <w:spacing w:line="276" w:lineRule="auto"/>
        <w:jc w:val="both"/>
        <w:rPr>
          <w:rFonts w:ascii="Arial" w:hAnsi="Arial" w:cs="Arial"/>
          <w:sz w:val="17"/>
          <w:szCs w:val="17"/>
        </w:rPr>
      </w:pPr>
      <w:r w:rsidRPr="00D03225">
        <w:rPr>
          <w:rFonts w:ascii="Arial" w:hAnsi="Arial" w:cs="Arial"/>
          <w:sz w:val="17"/>
          <w:szCs w:val="17"/>
        </w:rPr>
        <w:t xml:space="preserve">Source: </w:t>
      </w:r>
      <w:r w:rsidR="006401D5">
        <w:rPr>
          <w:rFonts w:ascii="Arial" w:hAnsi="Arial" w:cs="Arial"/>
          <w:sz w:val="17"/>
          <w:szCs w:val="17"/>
        </w:rPr>
        <w:t>“</w:t>
      </w:r>
      <w:r w:rsidR="003D7581">
        <w:rPr>
          <w:rFonts w:ascii="Arial" w:hAnsi="Arial" w:cs="Arial"/>
          <w:sz w:val="17"/>
          <w:szCs w:val="17"/>
        </w:rPr>
        <w:t xml:space="preserve">Do You Know all 17 </w:t>
      </w:r>
      <w:proofErr w:type="gramStart"/>
      <w:r w:rsidR="003D7581">
        <w:rPr>
          <w:rFonts w:ascii="Arial" w:hAnsi="Arial" w:cs="Arial"/>
          <w:sz w:val="17"/>
          <w:szCs w:val="17"/>
        </w:rPr>
        <w:t>SDGS?,</w:t>
      </w:r>
      <w:proofErr w:type="gramEnd"/>
      <w:r w:rsidR="003D7581">
        <w:rPr>
          <w:rFonts w:ascii="Arial" w:hAnsi="Arial" w:cs="Arial"/>
          <w:sz w:val="17"/>
          <w:szCs w:val="17"/>
        </w:rPr>
        <w:t>”</w:t>
      </w:r>
      <w:r w:rsidRPr="00D03225">
        <w:rPr>
          <w:rFonts w:ascii="Arial" w:hAnsi="Arial" w:cs="Arial"/>
          <w:sz w:val="17"/>
          <w:szCs w:val="17"/>
        </w:rPr>
        <w:t xml:space="preserve"> </w:t>
      </w:r>
      <w:bookmarkStart w:id="2" w:name="_Hlk7038098"/>
      <w:r w:rsidR="006401D5">
        <w:rPr>
          <w:rFonts w:ascii="Arial" w:hAnsi="Arial" w:cs="Arial"/>
          <w:sz w:val="17"/>
          <w:szCs w:val="17"/>
        </w:rPr>
        <w:t xml:space="preserve">YouTube video, 1:24, posted by United Nations, April 20, 2018, </w:t>
      </w:r>
      <w:r w:rsidRPr="00D03225">
        <w:rPr>
          <w:rFonts w:ascii="Arial" w:hAnsi="Arial" w:cs="Arial"/>
          <w:sz w:val="17"/>
          <w:szCs w:val="17"/>
        </w:rPr>
        <w:t>accessed April 10, 2019</w:t>
      </w:r>
      <w:bookmarkEnd w:id="2"/>
      <w:r w:rsidRPr="00D03225">
        <w:rPr>
          <w:rFonts w:ascii="Arial" w:hAnsi="Arial" w:cs="Arial"/>
          <w:sz w:val="17"/>
          <w:szCs w:val="17"/>
        </w:rPr>
        <w:t xml:space="preserve">, </w:t>
      </w:r>
      <w:r w:rsidR="003D7581" w:rsidRPr="003D7581">
        <w:rPr>
          <w:rFonts w:ascii="Arial" w:hAnsi="Arial" w:cs="Arial"/>
          <w:sz w:val="17"/>
          <w:szCs w:val="17"/>
        </w:rPr>
        <w:t>https://youtu.be/0XTBYMfZyrM</w:t>
      </w:r>
      <w:r>
        <w:rPr>
          <w:rFonts w:ascii="Arial" w:hAnsi="Arial" w:cs="Arial"/>
          <w:sz w:val="17"/>
          <w:szCs w:val="17"/>
        </w:rPr>
        <w:t>.</w:t>
      </w:r>
      <w:r w:rsidRPr="00D03225">
        <w:rPr>
          <w:rFonts w:ascii="Arial" w:hAnsi="Arial" w:cs="Arial"/>
          <w:sz w:val="17"/>
          <w:szCs w:val="17"/>
        </w:rPr>
        <w:t xml:space="preserve"> </w:t>
      </w:r>
    </w:p>
    <w:p w14:paraId="4DC83525" w14:textId="77777777" w:rsidR="00D03225" w:rsidRPr="00D03225" w:rsidRDefault="00D03225" w:rsidP="00D03225">
      <w:pPr>
        <w:rPr>
          <w:rFonts w:ascii="Arial" w:eastAsiaTheme="minorEastAsia" w:hAnsi="Arial" w:cs="Arial"/>
          <w:sz w:val="22"/>
          <w:szCs w:val="22"/>
          <w:lang w:eastAsia="ko-KR"/>
        </w:rPr>
      </w:pPr>
    </w:p>
    <w:p w14:paraId="14ABAB4E" w14:textId="77777777" w:rsidR="00D03225" w:rsidRPr="00D03225" w:rsidRDefault="00D03225" w:rsidP="00D03225">
      <w:pPr>
        <w:rPr>
          <w:rFonts w:ascii="Arial" w:eastAsiaTheme="minorEastAsia" w:hAnsi="Arial" w:cs="Arial"/>
          <w:sz w:val="22"/>
          <w:szCs w:val="22"/>
          <w:lang w:eastAsia="ko-KR"/>
        </w:rPr>
      </w:pPr>
    </w:p>
    <w:p w14:paraId="18D78CA1" w14:textId="77777777" w:rsidR="00D03225" w:rsidRPr="00D03225" w:rsidRDefault="00D03225" w:rsidP="00D03225">
      <w:pPr>
        <w:jc w:val="center"/>
        <w:rPr>
          <w:rFonts w:ascii="Arial" w:eastAsiaTheme="minorEastAsia" w:hAnsi="Arial" w:cs="Arial"/>
          <w:b/>
          <w:caps/>
        </w:rPr>
      </w:pPr>
      <w:r w:rsidRPr="00D03225">
        <w:rPr>
          <w:rFonts w:ascii="Arial" w:eastAsiaTheme="minorEastAsia" w:hAnsi="Arial" w:cs="Arial"/>
          <w:b/>
          <w:caps/>
        </w:rPr>
        <w:t>Exhibit 2: Corruption perceptions index (partial)</w:t>
      </w:r>
    </w:p>
    <w:p w14:paraId="203AC64B" w14:textId="77777777" w:rsidR="00D03225" w:rsidRPr="00D03225" w:rsidRDefault="00D03225" w:rsidP="00D03225">
      <w:pPr>
        <w:jc w:val="both"/>
        <w:rPr>
          <w:rFonts w:eastAsiaTheme="minorEastAsia"/>
          <w:sz w:val="22"/>
          <w:szCs w:val="22"/>
        </w:rPr>
      </w:pPr>
    </w:p>
    <w:tbl>
      <w:tblPr>
        <w:tblStyle w:val="TableGrid1"/>
        <w:tblW w:w="0" w:type="auto"/>
        <w:jc w:val="center"/>
        <w:tblLayout w:type="fixed"/>
        <w:tblCellMar>
          <w:left w:w="72" w:type="dxa"/>
          <w:right w:w="72" w:type="dxa"/>
        </w:tblCellMar>
        <w:tblLook w:val="04A0" w:firstRow="1" w:lastRow="0" w:firstColumn="1" w:lastColumn="0" w:noHBand="0" w:noVBand="1"/>
      </w:tblPr>
      <w:tblGrid>
        <w:gridCol w:w="810"/>
        <w:gridCol w:w="1165"/>
        <w:gridCol w:w="2975"/>
      </w:tblGrid>
      <w:tr w:rsidR="00D03225" w:rsidRPr="008260BB" w14:paraId="66A50C75" w14:textId="77777777" w:rsidTr="00274B7C">
        <w:trPr>
          <w:jc w:val="center"/>
        </w:trPr>
        <w:tc>
          <w:tcPr>
            <w:tcW w:w="810" w:type="dxa"/>
          </w:tcPr>
          <w:p w14:paraId="09D601DE" w14:textId="77777777" w:rsidR="00D03225" w:rsidRPr="00F47BDF" w:rsidRDefault="00D03225" w:rsidP="00D03225">
            <w:pPr>
              <w:keepNext/>
              <w:keepLines/>
              <w:spacing w:before="20" w:beforeAutospacing="1" w:after="20" w:afterAutospacing="1"/>
              <w:rPr>
                <w:rFonts w:ascii="Arial" w:hAnsi="Arial" w:cs="Arial"/>
                <w:b/>
                <w:szCs w:val="18"/>
                <w:lang w:eastAsia="en-IN"/>
              </w:rPr>
            </w:pPr>
            <w:r w:rsidRPr="00F47BDF">
              <w:rPr>
                <w:rFonts w:ascii="Arial" w:hAnsi="Arial" w:cs="Arial"/>
                <w:b/>
                <w:szCs w:val="18"/>
                <w:lang w:eastAsia="en-IN"/>
              </w:rPr>
              <w:t>Rank</w:t>
            </w:r>
          </w:p>
        </w:tc>
        <w:tc>
          <w:tcPr>
            <w:tcW w:w="1165" w:type="dxa"/>
          </w:tcPr>
          <w:p w14:paraId="72125439" w14:textId="77777777" w:rsidR="00D03225" w:rsidRPr="00F47BDF" w:rsidRDefault="00D03225" w:rsidP="00F47BDF">
            <w:pPr>
              <w:keepNext/>
              <w:keepLines/>
              <w:spacing w:before="20" w:beforeAutospacing="1" w:after="20" w:afterAutospacing="1"/>
              <w:jc w:val="center"/>
              <w:rPr>
                <w:rFonts w:ascii="Arial" w:hAnsi="Arial" w:cs="Arial"/>
                <w:b/>
                <w:szCs w:val="18"/>
                <w:lang w:eastAsia="en-IN"/>
              </w:rPr>
            </w:pPr>
            <w:r w:rsidRPr="00F47BDF">
              <w:rPr>
                <w:rFonts w:ascii="Arial" w:hAnsi="Arial" w:cs="Arial"/>
                <w:b/>
                <w:szCs w:val="18"/>
                <w:lang w:eastAsia="en-IN"/>
              </w:rPr>
              <w:t>Score</w:t>
            </w:r>
          </w:p>
        </w:tc>
        <w:tc>
          <w:tcPr>
            <w:tcW w:w="2975" w:type="dxa"/>
          </w:tcPr>
          <w:p w14:paraId="4435FFD9" w14:textId="77777777" w:rsidR="00D03225" w:rsidRPr="00F47BDF" w:rsidRDefault="00D03225" w:rsidP="00F47BDF">
            <w:pPr>
              <w:keepNext/>
              <w:keepLines/>
              <w:spacing w:before="20" w:beforeAutospacing="1" w:after="20" w:afterAutospacing="1"/>
              <w:jc w:val="center"/>
              <w:rPr>
                <w:rFonts w:ascii="Arial" w:hAnsi="Arial" w:cs="Arial"/>
                <w:b/>
                <w:szCs w:val="18"/>
                <w:lang w:eastAsia="en-IN"/>
              </w:rPr>
            </w:pPr>
            <w:r w:rsidRPr="00F47BDF">
              <w:rPr>
                <w:rFonts w:ascii="Arial" w:hAnsi="Arial" w:cs="Arial"/>
                <w:b/>
                <w:szCs w:val="18"/>
                <w:lang w:eastAsia="en-IN"/>
              </w:rPr>
              <w:t>Country</w:t>
            </w:r>
          </w:p>
        </w:tc>
      </w:tr>
      <w:tr w:rsidR="00D03225" w:rsidRPr="008260BB" w14:paraId="36B00542" w14:textId="77777777" w:rsidTr="00274B7C">
        <w:trPr>
          <w:jc w:val="center"/>
        </w:trPr>
        <w:tc>
          <w:tcPr>
            <w:tcW w:w="810" w:type="dxa"/>
          </w:tcPr>
          <w:p w14:paraId="64DBE288"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w:t>
            </w:r>
          </w:p>
        </w:tc>
        <w:tc>
          <w:tcPr>
            <w:tcW w:w="1165" w:type="dxa"/>
          </w:tcPr>
          <w:p w14:paraId="628E692D" w14:textId="77777777" w:rsidR="00D03225" w:rsidRPr="00F47BDF" w:rsidRDefault="00D03225" w:rsidP="00F47BDF">
            <w:pPr>
              <w:keepNext/>
              <w:keepLines/>
              <w:spacing w:before="20" w:beforeAutospacing="1" w:after="20" w:afterAutospacing="1"/>
              <w:jc w:val="center"/>
              <w:rPr>
                <w:rFonts w:ascii="Arial" w:hAnsi="Arial" w:cs="Arial"/>
                <w:szCs w:val="18"/>
                <w:lang w:eastAsia="en-IN"/>
              </w:rPr>
            </w:pPr>
            <w:r w:rsidRPr="00F47BDF">
              <w:rPr>
                <w:rFonts w:ascii="Arial" w:hAnsi="Arial" w:cs="Arial"/>
                <w:szCs w:val="18"/>
                <w:lang w:eastAsia="en-IN"/>
              </w:rPr>
              <w:t>88</w:t>
            </w:r>
          </w:p>
        </w:tc>
        <w:tc>
          <w:tcPr>
            <w:tcW w:w="2975" w:type="dxa"/>
          </w:tcPr>
          <w:p w14:paraId="0C65C129"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Denmark</w:t>
            </w:r>
          </w:p>
        </w:tc>
      </w:tr>
      <w:tr w:rsidR="00D03225" w:rsidRPr="008260BB" w14:paraId="5247347C" w14:textId="77777777" w:rsidTr="00274B7C">
        <w:trPr>
          <w:jc w:val="center"/>
        </w:trPr>
        <w:tc>
          <w:tcPr>
            <w:tcW w:w="810" w:type="dxa"/>
          </w:tcPr>
          <w:p w14:paraId="19C673C5"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13</w:t>
            </w:r>
          </w:p>
        </w:tc>
        <w:tc>
          <w:tcPr>
            <w:tcW w:w="1165" w:type="dxa"/>
          </w:tcPr>
          <w:p w14:paraId="6D540848" w14:textId="77777777" w:rsidR="00D03225" w:rsidRPr="00F47BDF" w:rsidRDefault="00D03225" w:rsidP="00F47BDF">
            <w:pPr>
              <w:keepNext/>
              <w:keepLines/>
              <w:spacing w:before="20" w:beforeAutospacing="1" w:after="20" w:afterAutospacing="1"/>
              <w:jc w:val="center"/>
              <w:rPr>
                <w:rFonts w:ascii="Arial" w:hAnsi="Arial" w:cs="Arial"/>
                <w:szCs w:val="18"/>
                <w:lang w:eastAsia="en-IN"/>
              </w:rPr>
            </w:pPr>
            <w:r w:rsidRPr="00F47BDF">
              <w:rPr>
                <w:rFonts w:ascii="Arial" w:hAnsi="Arial" w:cs="Arial"/>
                <w:szCs w:val="18"/>
                <w:lang w:eastAsia="en-IN"/>
              </w:rPr>
              <w:t>77</w:t>
            </w:r>
          </w:p>
        </w:tc>
        <w:tc>
          <w:tcPr>
            <w:tcW w:w="2975" w:type="dxa"/>
          </w:tcPr>
          <w:p w14:paraId="4BCEA971"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Australia</w:t>
            </w:r>
          </w:p>
        </w:tc>
      </w:tr>
      <w:tr w:rsidR="00D03225" w:rsidRPr="008260BB" w14:paraId="45B18A4F" w14:textId="77777777" w:rsidTr="00274B7C">
        <w:trPr>
          <w:jc w:val="center"/>
        </w:trPr>
        <w:tc>
          <w:tcPr>
            <w:tcW w:w="810" w:type="dxa"/>
          </w:tcPr>
          <w:p w14:paraId="10B54A1F"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14</w:t>
            </w:r>
          </w:p>
        </w:tc>
        <w:tc>
          <w:tcPr>
            <w:tcW w:w="1165" w:type="dxa"/>
          </w:tcPr>
          <w:p w14:paraId="15E94F45" w14:textId="77777777" w:rsidR="00D03225" w:rsidRPr="00F47BDF" w:rsidRDefault="00D03225" w:rsidP="00F47BDF">
            <w:pPr>
              <w:keepNext/>
              <w:keepLines/>
              <w:spacing w:before="20" w:beforeAutospacing="1" w:after="20" w:afterAutospacing="1"/>
              <w:jc w:val="center"/>
              <w:rPr>
                <w:rFonts w:ascii="Arial" w:hAnsi="Arial" w:cs="Arial"/>
                <w:szCs w:val="18"/>
                <w:lang w:eastAsia="en-IN"/>
              </w:rPr>
            </w:pPr>
            <w:r w:rsidRPr="00F47BDF">
              <w:rPr>
                <w:rFonts w:ascii="Arial" w:hAnsi="Arial" w:cs="Arial"/>
                <w:szCs w:val="18"/>
                <w:lang w:eastAsia="en-IN"/>
              </w:rPr>
              <w:t>76</w:t>
            </w:r>
          </w:p>
        </w:tc>
        <w:tc>
          <w:tcPr>
            <w:tcW w:w="2975" w:type="dxa"/>
          </w:tcPr>
          <w:p w14:paraId="3292D2E6"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Hong Kong</w:t>
            </w:r>
          </w:p>
        </w:tc>
      </w:tr>
      <w:tr w:rsidR="00D03225" w:rsidRPr="008260BB" w14:paraId="2BB9FF07" w14:textId="77777777" w:rsidTr="00274B7C">
        <w:trPr>
          <w:jc w:val="center"/>
        </w:trPr>
        <w:tc>
          <w:tcPr>
            <w:tcW w:w="810" w:type="dxa"/>
          </w:tcPr>
          <w:p w14:paraId="4713E0D9"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22</w:t>
            </w:r>
          </w:p>
        </w:tc>
        <w:tc>
          <w:tcPr>
            <w:tcW w:w="1165" w:type="dxa"/>
          </w:tcPr>
          <w:p w14:paraId="60A5D11A" w14:textId="77777777" w:rsidR="00D03225" w:rsidRPr="00F47BDF" w:rsidRDefault="00D03225" w:rsidP="00F47BDF">
            <w:pPr>
              <w:keepNext/>
              <w:keepLines/>
              <w:spacing w:before="20" w:beforeAutospacing="1" w:after="20" w:afterAutospacing="1"/>
              <w:jc w:val="center"/>
              <w:rPr>
                <w:rFonts w:ascii="Arial" w:hAnsi="Arial" w:cs="Arial"/>
                <w:szCs w:val="18"/>
                <w:lang w:eastAsia="en-IN"/>
              </w:rPr>
            </w:pPr>
            <w:r w:rsidRPr="00F47BDF">
              <w:rPr>
                <w:rFonts w:ascii="Arial" w:hAnsi="Arial" w:cs="Arial"/>
                <w:szCs w:val="18"/>
                <w:lang w:eastAsia="en-IN"/>
              </w:rPr>
              <w:t>71</w:t>
            </w:r>
          </w:p>
        </w:tc>
        <w:tc>
          <w:tcPr>
            <w:tcW w:w="2975" w:type="dxa"/>
          </w:tcPr>
          <w:p w14:paraId="5453BE57"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United States of America</w:t>
            </w:r>
          </w:p>
        </w:tc>
      </w:tr>
      <w:tr w:rsidR="00D03225" w:rsidRPr="008260BB" w14:paraId="2C3B0D0A" w14:textId="77777777" w:rsidTr="00274B7C">
        <w:trPr>
          <w:jc w:val="center"/>
        </w:trPr>
        <w:tc>
          <w:tcPr>
            <w:tcW w:w="810" w:type="dxa"/>
          </w:tcPr>
          <w:p w14:paraId="197966D8"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78</w:t>
            </w:r>
          </w:p>
        </w:tc>
        <w:tc>
          <w:tcPr>
            <w:tcW w:w="1165" w:type="dxa"/>
          </w:tcPr>
          <w:p w14:paraId="616B21E4" w14:textId="77777777" w:rsidR="00D03225" w:rsidRPr="00F47BDF" w:rsidRDefault="00D03225" w:rsidP="00F47BDF">
            <w:pPr>
              <w:keepNext/>
              <w:keepLines/>
              <w:spacing w:before="20" w:beforeAutospacing="1" w:after="20" w:afterAutospacing="1"/>
              <w:jc w:val="center"/>
              <w:rPr>
                <w:rFonts w:ascii="Arial" w:hAnsi="Arial" w:cs="Arial"/>
                <w:szCs w:val="18"/>
                <w:lang w:eastAsia="en-IN"/>
              </w:rPr>
            </w:pPr>
            <w:r w:rsidRPr="00F47BDF">
              <w:rPr>
                <w:rFonts w:ascii="Arial" w:hAnsi="Arial" w:cs="Arial"/>
                <w:szCs w:val="18"/>
                <w:lang w:eastAsia="en-IN"/>
              </w:rPr>
              <w:t>41</w:t>
            </w:r>
          </w:p>
        </w:tc>
        <w:tc>
          <w:tcPr>
            <w:tcW w:w="2975" w:type="dxa"/>
          </w:tcPr>
          <w:p w14:paraId="66001539"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Ghana</w:t>
            </w:r>
          </w:p>
        </w:tc>
      </w:tr>
      <w:tr w:rsidR="00D03225" w:rsidRPr="008260BB" w14:paraId="2A162AC4" w14:textId="77777777" w:rsidTr="00274B7C">
        <w:trPr>
          <w:jc w:val="center"/>
        </w:trPr>
        <w:tc>
          <w:tcPr>
            <w:tcW w:w="810" w:type="dxa"/>
          </w:tcPr>
          <w:p w14:paraId="70701099"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180</w:t>
            </w:r>
          </w:p>
        </w:tc>
        <w:tc>
          <w:tcPr>
            <w:tcW w:w="1165" w:type="dxa"/>
          </w:tcPr>
          <w:p w14:paraId="1639A0DD" w14:textId="77777777" w:rsidR="00D03225" w:rsidRPr="00F47BDF" w:rsidRDefault="00D03225" w:rsidP="00F47BDF">
            <w:pPr>
              <w:keepNext/>
              <w:keepLines/>
              <w:spacing w:before="20" w:beforeAutospacing="1" w:after="20" w:afterAutospacing="1"/>
              <w:jc w:val="center"/>
              <w:rPr>
                <w:rFonts w:ascii="Arial" w:hAnsi="Arial" w:cs="Arial"/>
                <w:szCs w:val="18"/>
                <w:lang w:eastAsia="en-IN"/>
              </w:rPr>
            </w:pPr>
            <w:r w:rsidRPr="00F47BDF">
              <w:rPr>
                <w:rFonts w:ascii="Arial" w:hAnsi="Arial" w:cs="Arial"/>
                <w:szCs w:val="18"/>
                <w:lang w:eastAsia="en-IN"/>
              </w:rPr>
              <w:t>10</w:t>
            </w:r>
          </w:p>
        </w:tc>
        <w:tc>
          <w:tcPr>
            <w:tcW w:w="2975" w:type="dxa"/>
          </w:tcPr>
          <w:p w14:paraId="3BDD0BB0" w14:textId="77777777" w:rsidR="00D03225" w:rsidRPr="00F47BDF" w:rsidRDefault="00D03225" w:rsidP="00D03225">
            <w:pPr>
              <w:keepNext/>
              <w:keepLines/>
              <w:spacing w:before="20" w:beforeAutospacing="1" w:after="20" w:afterAutospacing="1"/>
              <w:rPr>
                <w:rFonts w:ascii="Arial" w:hAnsi="Arial" w:cs="Arial"/>
                <w:szCs w:val="18"/>
                <w:lang w:eastAsia="en-IN"/>
              </w:rPr>
            </w:pPr>
            <w:r w:rsidRPr="00F47BDF">
              <w:rPr>
                <w:rFonts w:ascii="Arial" w:hAnsi="Arial" w:cs="Arial"/>
                <w:szCs w:val="18"/>
                <w:lang w:eastAsia="en-IN"/>
              </w:rPr>
              <w:t>Somalia</w:t>
            </w:r>
          </w:p>
        </w:tc>
      </w:tr>
    </w:tbl>
    <w:p w14:paraId="2F737426" w14:textId="77777777" w:rsidR="00D03225" w:rsidRPr="00D03225" w:rsidRDefault="00D03225" w:rsidP="00D03225">
      <w:pPr>
        <w:jc w:val="both"/>
        <w:rPr>
          <w:rFonts w:ascii="Arial" w:eastAsiaTheme="minorEastAsia" w:hAnsi="Arial" w:cs="Arial"/>
          <w:b/>
          <w:caps/>
          <w:sz w:val="18"/>
          <w:szCs w:val="18"/>
        </w:rPr>
      </w:pPr>
    </w:p>
    <w:p w14:paraId="7B3BB290" w14:textId="0DBC167B" w:rsidR="00D03225" w:rsidRPr="00D03225" w:rsidRDefault="00D03225" w:rsidP="00AC02E4">
      <w:pPr>
        <w:jc w:val="both"/>
        <w:rPr>
          <w:rFonts w:ascii="Arial" w:hAnsi="Arial" w:cs="Arial"/>
          <w:sz w:val="17"/>
          <w:szCs w:val="17"/>
        </w:rPr>
      </w:pPr>
      <w:r w:rsidRPr="00D03225">
        <w:rPr>
          <w:rFonts w:ascii="Arial" w:hAnsi="Arial" w:cs="Arial"/>
          <w:sz w:val="17"/>
          <w:szCs w:val="17"/>
        </w:rPr>
        <w:t xml:space="preserve">Source: </w:t>
      </w:r>
      <w:r w:rsidR="004B6935">
        <w:rPr>
          <w:rFonts w:ascii="Arial" w:hAnsi="Arial" w:cs="Arial"/>
          <w:sz w:val="17"/>
          <w:szCs w:val="17"/>
        </w:rPr>
        <w:t>“Corruption Perception</w:t>
      </w:r>
      <w:r w:rsidR="002A4040">
        <w:rPr>
          <w:rFonts w:ascii="Arial" w:hAnsi="Arial" w:cs="Arial"/>
          <w:sz w:val="17"/>
          <w:szCs w:val="17"/>
        </w:rPr>
        <w:t>s</w:t>
      </w:r>
      <w:r w:rsidR="004B6935">
        <w:rPr>
          <w:rFonts w:ascii="Arial" w:hAnsi="Arial" w:cs="Arial"/>
          <w:sz w:val="17"/>
          <w:szCs w:val="17"/>
        </w:rPr>
        <w:t xml:space="preserve"> Index 2018</w:t>
      </w:r>
      <w:r w:rsidR="000C2A7C">
        <w:rPr>
          <w:rFonts w:ascii="Arial" w:hAnsi="Arial" w:cs="Arial"/>
          <w:sz w:val="17"/>
          <w:szCs w:val="17"/>
        </w:rPr>
        <w:t>,</w:t>
      </w:r>
      <w:r w:rsidR="004B6935">
        <w:rPr>
          <w:rFonts w:ascii="Arial" w:hAnsi="Arial" w:cs="Arial"/>
          <w:sz w:val="17"/>
          <w:szCs w:val="17"/>
        </w:rPr>
        <w:t xml:space="preserve">” </w:t>
      </w:r>
      <w:r w:rsidR="004B6935" w:rsidRPr="00D03225">
        <w:rPr>
          <w:rFonts w:ascii="Arial" w:hAnsi="Arial" w:cs="Arial"/>
          <w:sz w:val="17"/>
          <w:szCs w:val="17"/>
        </w:rPr>
        <w:t xml:space="preserve">Transparency International, </w:t>
      </w:r>
      <w:r w:rsidRPr="00D03225">
        <w:rPr>
          <w:rFonts w:ascii="Arial" w:hAnsi="Arial" w:cs="Arial"/>
          <w:sz w:val="17"/>
          <w:szCs w:val="17"/>
        </w:rPr>
        <w:t xml:space="preserve">accessed April 11, 2019, </w:t>
      </w:r>
      <w:r>
        <w:rPr>
          <w:rFonts w:ascii="Arial" w:hAnsi="Arial" w:cs="Arial"/>
          <w:sz w:val="17"/>
          <w:szCs w:val="17"/>
        </w:rPr>
        <w:t>www.</w:t>
      </w:r>
      <w:r w:rsidRPr="00D03225">
        <w:rPr>
          <w:rFonts w:ascii="Arial" w:hAnsi="Arial" w:cs="Arial"/>
          <w:sz w:val="17"/>
          <w:szCs w:val="17"/>
        </w:rPr>
        <w:t>transparency.org/</w:t>
      </w:r>
      <w:r w:rsidR="004B6935">
        <w:rPr>
          <w:rFonts w:ascii="Arial" w:hAnsi="Arial" w:cs="Arial"/>
          <w:sz w:val="17"/>
          <w:szCs w:val="17"/>
        </w:rPr>
        <w:t>cpi2018</w:t>
      </w:r>
      <w:r>
        <w:rPr>
          <w:rFonts w:ascii="Arial" w:hAnsi="Arial" w:cs="Arial"/>
          <w:sz w:val="17"/>
          <w:szCs w:val="17"/>
        </w:rPr>
        <w:t>.</w:t>
      </w:r>
    </w:p>
    <w:p w14:paraId="3C3E3992" w14:textId="77777777" w:rsidR="00D03225" w:rsidRPr="00D03225" w:rsidRDefault="00D03225" w:rsidP="00D03225">
      <w:pPr>
        <w:jc w:val="both"/>
        <w:rPr>
          <w:sz w:val="22"/>
          <w:szCs w:val="22"/>
        </w:rPr>
      </w:pPr>
    </w:p>
    <w:p w14:paraId="3A33683C" w14:textId="77777777" w:rsidR="00D03225" w:rsidRPr="00D03225" w:rsidRDefault="00D03225" w:rsidP="00D03225">
      <w:pPr>
        <w:jc w:val="both"/>
        <w:rPr>
          <w:sz w:val="22"/>
          <w:szCs w:val="22"/>
        </w:rPr>
      </w:pPr>
    </w:p>
    <w:p w14:paraId="6132A99A" w14:textId="77777777" w:rsidR="00D03225" w:rsidRPr="00D03225" w:rsidRDefault="00D03225" w:rsidP="00D03225">
      <w:pPr>
        <w:jc w:val="center"/>
        <w:rPr>
          <w:rFonts w:ascii="Arial" w:eastAsiaTheme="minorEastAsia" w:hAnsi="Arial" w:cs="Arial"/>
          <w:b/>
          <w:caps/>
          <w:lang w:eastAsia="ko-KR"/>
        </w:rPr>
      </w:pPr>
      <w:r w:rsidRPr="00D03225">
        <w:rPr>
          <w:rFonts w:ascii="Arial" w:hAnsi="Arial" w:cs="Arial"/>
          <w:b/>
          <w:caps/>
        </w:rPr>
        <w:t xml:space="preserve">EXHIBIT 3: </w:t>
      </w:r>
      <w:r w:rsidRPr="00D03225">
        <w:rPr>
          <w:rFonts w:ascii="Arial" w:eastAsiaTheme="minorEastAsia" w:hAnsi="Arial" w:cs="Arial"/>
          <w:b/>
          <w:caps/>
        </w:rPr>
        <w:t>ho</w:t>
      </w:r>
      <w:r w:rsidRPr="00D03225">
        <w:rPr>
          <w:rFonts w:ascii="Arial" w:eastAsiaTheme="minorEastAsia" w:hAnsi="Arial" w:cs="Arial"/>
          <w:b/>
          <w:caps/>
          <w:lang w:eastAsia="ko-KR"/>
        </w:rPr>
        <w:t>ng kong prevention of bribery ordinance (pobo)</w:t>
      </w:r>
    </w:p>
    <w:p w14:paraId="6FA150AF" w14:textId="77777777" w:rsidR="00D03225" w:rsidRPr="00D03225" w:rsidRDefault="00D03225" w:rsidP="00D03225">
      <w:pPr>
        <w:jc w:val="both"/>
        <w:rPr>
          <w:rFonts w:eastAsiaTheme="minorEastAsia"/>
          <w:b/>
          <w:caps/>
          <w:sz w:val="22"/>
          <w:szCs w:val="22"/>
        </w:rPr>
      </w:pPr>
    </w:p>
    <w:p w14:paraId="1AA13E51" w14:textId="1BB23D4E" w:rsidR="00D03225" w:rsidRPr="00D03225" w:rsidRDefault="00D03225" w:rsidP="00F47BDF">
      <w:pPr>
        <w:pStyle w:val="ExhibitText"/>
        <w:rPr>
          <w:sz w:val="17"/>
        </w:rPr>
      </w:pPr>
      <w:r w:rsidRPr="00D03225">
        <w:t>Hong Kong’s Prevention of Bribery Ordinance (POBO) does not criminali</w:t>
      </w:r>
      <w:r w:rsidR="00447717">
        <w:t>z</w:t>
      </w:r>
      <w:r w:rsidRPr="00D03225">
        <w:t>e the payment of bribes to foreign government officials. Hong Kong’s companies are also not liable. Outside of Hong Kong, directors and employees may have criminal liability in jurisdictions where the bribery of public officials is an offence.</w:t>
      </w:r>
      <w:r w:rsidRPr="00D03225">
        <w:rPr>
          <w:sz w:val="17"/>
        </w:rPr>
        <w:t xml:space="preserve"> </w:t>
      </w:r>
    </w:p>
    <w:p w14:paraId="36E05CE7" w14:textId="77777777" w:rsidR="00D03225" w:rsidRPr="00D03225" w:rsidRDefault="00D03225" w:rsidP="00F47BDF">
      <w:pPr>
        <w:pStyle w:val="ExhibitText"/>
        <w:rPr>
          <w:sz w:val="17"/>
        </w:rPr>
      </w:pPr>
    </w:p>
    <w:p w14:paraId="5858DB97" w14:textId="59C7C5E3" w:rsidR="00D03225" w:rsidRPr="00D03225" w:rsidRDefault="00D03225" w:rsidP="00AC02E4">
      <w:pPr>
        <w:jc w:val="both"/>
        <w:rPr>
          <w:rFonts w:ascii="Arial" w:hAnsi="Arial" w:cs="Arial"/>
          <w:sz w:val="17"/>
          <w:szCs w:val="17"/>
        </w:rPr>
      </w:pPr>
      <w:r w:rsidRPr="00D03225">
        <w:rPr>
          <w:rFonts w:ascii="Arial" w:hAnsi="Arial" w:cs="Arial"/>
          <w:sz w:val="17"/>
          <w:szCs w:val="17"/>
        </w:rPr>
        <w:t>Source: “</w:t>
      </w:r>
      <w:r w:rsidR="002A4040">
        <w:rPr>
          <w:rFonts w:ascii="Arial" w:hAnsi="Arial" w:cs="Arial"/>
          <w:sz w:val="17"/>
          <w:szCs w:val="17"/>
        </w:rPr>
        <w:t xml:space="preserve">Cap. 201 </w:t>
      </w:r>
      <w:r w:rsidRPr="00D03225">
        <w:rPr>
          <w:rFonts w:ascii="Arial" w:hAnsi="Arial" w:cs="Arial"/>
          <w:sz w:val="17"/>
          <w:szCs w:val="17"/>
        </w:rPr>
        <w:t xml:space="preserve">Prevention of Bribery Ordinance,” Hong Kong e-Legislation, </w:t>
      </w:r>
      <w:r w:rsidR="00DE0B3C">
        <w:rPr>
          <w:rFonts w:ascii="Arial" w:hAnsi="Arial" w:cs="Arial"/>
          <w:sz w:val="17"/>
          <w:szCs w:val="17"/>
        </w:rPr>
        <w:t xml:space="preserve">November 7, 2018, </w:t>
      </w:r>
      <w:r w:rsidRPr="00D03225">
        <w:rPr>
          <w:rFonts w:ascii="Arial" w:hAnsi="Arial" w:cs="Arial"/>
          <w:sz w:val="17"/>
          <w:szCs w:val="17"/>
        </w:rPr>
        <w:t xml:space="preserve">accessed April 10, 2019, </w:t>
      </w:r>
      <w:r w:rsidR="00793121" w:rsidRPr="00793121">
        <w:rPr>
          <w:rFonts w:ascii="Arial" w:hAnsi="Arial" w:cs="Arial"/>
          <w:sz w:val="17"/>
          <w:szCs w:val="17"/>
        </w:rPr>
        <w:t>www.elegislation.gov.hk/</w:t>
      </w:r>
      <w:r w:rsidRPr="00D03225">
        <w:rPr>
          <w:rFonts w:ascii="Arial" w:hAnsi="Arial" w:cs="Arial"/>
          <w:sz w:val="17"/>
          <w:szCs w:val="17"/>
        </w:rPr>
        <w:t>hk/ca</w:t>
      </w:r>
      <w:bookmarkStart w:id="3" w:name="_GoBack"/>
      <w:bookmarkEnd w:id="3"/>
      <w:r w:rsidRPr="00D03225">
        <w:rPr>
          <w:rFonts w:ascii="Arial" w:hAnsi="Arial" w:cs="Arial"/>
          <w:sz w:val="17"/>
          <w:szCs w:val="17"/>
        </w:rPr>
        <w:t>p201</w:t>
      </w:r>
      <w:r>
        <w:rPr>
          <w:rFonts w:ascii="Arial" w:hAnsi="Arial" w:cs="Arial"/>
          <w:sz w:val="17"/>
          <w:szCs w:val="17"/>
        </w:rPr>
        <w:t>.</w:t>
      </w:r>
    </w:p>
    <w:p w14:paraId="63ED093E" w14:textId="77777777" w:rsidR="00D03225" w:rsidRPr="00D03225" w:rsidRDefault="00D03225" w:rsidP="00D03225">
      <w:pPr>
        <w:jc w:val="both"/>
        <w:rPr>
          <w:rFonts w:ascii="Arial" w:hAnsi="Arial" w:cs="Arial"/>
          <w:sz w:val="17"/>
          <w:szCs w:val="17"/>
        </w:rPr>
      </w:pPr>
    </w:p>
    <w:p w14:paraId="1788841D" w14:textId="77777777" w:rsidR="00D03225" w:rsidRPr="00D03225" w:rsidRDefault="00D03225" w:rsidP="00D03225">
      <w:pPr>
        <w:jc w:val="both"/>
        <w:rPr>
          <w:rFonts w:ascii="Arial" w:hAnsi="Arial" w:cs="Arial"/>
          <w:sz w:val="17"/>
          <w:szCs w:val="17"/>
        </w:rPr>
      </w:pPr>
    </w:p>
    <w:p w14:paraId="6B411849" w14:textId="77777777" w:rsidR="00D03225" w:rsidRPr="00D03225" w:rsidRDefault="00D03225" w:rsidP="00D03225">
      <w:pPr>
        <w:spacing w:after="200" w:line="276" w:lineRule="auto"/>
        <w:rPr>
          <w:rFonts w:ascii="Arial" w:hAnsi="Arial" w:cs="Arial"/>
          <w:b/>
          <w:caps/>
        </w:rPr>
      </w:pPr>
      <w:r w:rsidRPr="00D03225">
        <w:br w:type="page"/>
      </w:r>
    </w:p>
    <w:p w14:paraId="3B4D9ADC" w14:textId="6205F4B6" w:rsidR="00D03225" w:rsidRPr="00D03225" w:rsidRDefault="00D03225" w:rsidP="00D03225">
      <w:pPr>
        <w:jc w:val="center"/>
        <w:rPr>
          <w:rFonts w:ascii="Arial" w:eastAsiaTheme="minorEastAsia" w:hAnsi="Arial" w:cs="Arial"/>
          <w:b/>
          <w:caps/>
        </w:rPr>
      </w:pPr>
      <w:r w:rsidRPr="00D03225">
        <w:rPr>
          <w:rFonts w:ascii="Arial" w:hAnsi="Arial" w:cs="Arial"/>
          <w:b/>
          <w:caps/>
        </w:rPr>
        <w:lastRenderedPageBreak/>
        <w:t xml:space="preserve">EXHIBIT 4: </w:t>
      </w:r>
      <w:r w:rsidRPr="00D03225">
        <w:rPr>
          <w:rFonts w:ascii="Arial" w:eastAsiaTheme="minorEastAsia" w:hAnsi="Arial" w:cs="Arial"/>
          <w:b/>
          <w:caps/>
        </w:rPr>
        <w:t>United state</w:t>
      </w:r>
      <w:r w:rsidR="001C16E7">
        <w:rPr>
          <w:rFonts w:ascii="Arial" w:eastAsiaTheme="minorEastAsia" w:hAnsi="Arial" w:cs="Arial"/>
          <w:b/>
          <w:caps/>
        </w:rPr>
        <w:t>S’</w:t>
      </w:r>
      <w:r w:rsidRPr="00D03225">
        <w:rPr>
          <w:rFonts w:ascii="Arial" w:eastAsiaTheme="minorEastAsia" w:hAnsi="Arial" w:cs="Arial"/>
          <w:b/>
          <w:caps/>
        </w:rPr>
        <w:t xml:space="preserve"> foreign corrup</w:t>
      </w:r>
      <w:r w:rsidR="001C16E7">
        <w:rPr>
          <w:rFonts w:ascii="Arial" w:eastAsiaTheme="minorEastAsia" w:hAnsi="Arial" w:cs="Arial"/>
          <w:b/>
          <w:caps/>
        </w:rPr>
        <w:t>t practices</w:t>
      </w:r>
      <w:r w:rsidRPr="00D03225">
        <w:rPr>
          <w:rFonts w:ascii="Arial" w:eastAsiaTheme="minorEastAsia" w:hAnsi="Arial" w:cs="Arial"/>
          <w:b/>
          <w:caps/>
        </w:rPr>
        <w:t xml:space="preserve"> act (fcpa)</w:t>
      </w:r>
    </w:p>
    <w:p w14:paraId="2B3ACAF5" w14:textId="77777777" w:rsidR="00D03225" w:rsidRPr="00D03225" w:rsidRDefault="00D03225" w:rsidP="00D03225">
      <w:pPr>
        <w:jc w:val="both"/>
        <w:rPr>
          <w:rFonts w:ascii="Arial" w:hAnsi="Arial" w:cs="Arial"/>
          <w:sz w:val="18"/>
          <w:szCs w:val="17"/>
        </w:rPr>
      </w:pPr>
    </w:p>
    <w:p w14:paraId="0988D51A" w14:textId="77777777" w:rsidR="00D03225" w:rsidRPr="00F47BDF" w:rsidRDefault="00D03225" w:rsidP="00D03225">
      <w:pPr>
        <w:jc w:val="both"/>
        <w:rPr>
          <w:rFonts w:ascii="Arial" w:hAnsi="Arial" w:cs="Arial"/>
          <w:szCs w:val="17"/>
        </w:rPr>
      </w:pPr>
      <w:r w:rsidRPr="00F47BDF">
        <w:rPr>
          <w:rFonts w:ascii="Arial" w:hAnsi="Arial" w:cs="Arial"/>
          <w:szCs w:val="17"/>
        </w:rPr>
        <w:t>The Foreign Corrupt Practices Act of 1977, as amended, 15 U.S.C. §§ 78dd-1, et seq. ("FCPA"), was enacted for the purpose of making it unlawful for certain classes of persons and entities to make payments to foreign government officials to assist in obtaining or retaining business. Specifically, the anti-bribery provisions of the FCPA prohibit the willful use of the mails or any means of instrumentality of interstate commerce corruptly in furtherance of any offer, payment, promise to pay, or authorization of the payment of money or anything of value to any person, while knowing that all or a portion of such money or thing of value will be offered, given or promised, directly or indirectly, to a foreign official to influence the foreign official in his or her official capacity, induce the foreign official to do or omit to do an act in violation of his or her lawful duty, or to secure any improper advantage in order to assist in obtaining or retaining business for or with, or directing business to, any person. Since 1977, the anti-bribery provisions of the FCPA have applied to all U.S. persons and certain foreign issuers of securities. With the enactment of certain amendments in 1998, the anti-bribery provisions of the FCPA now also apply to foreign firms and persons who cause, directly or through agents, an act in furtherance of such a corrupt payment to take place within the territory of the United States. The FCPA also requires companies whose securities are listed in the United States to meet its accounting provisions. See 15 U.S.C. § 78m. These accounting provisions, which were designed to operate in tandem with the anti-bribery provisions of the FCPA, require corporations covered by the provisions to (a) make and keep books and records that accurately and fairly reflect the transactions of the corporation and (b) devise and maintain an adequate system of internal accounting controls.</w:t>
      </w:r>
    </w:p>
    <w:p w14:paraId="6163ED7B" w14:textId="77777777" w:rsidR="00D03225" w:rsidRPr="00D03225" w:rsidRDefault="00D03225" w:rsidP="00D03225">
      <w:pPr>
        <w:jc w:val="both"/>
        <w:rPr>
          <w:rFonts w:ascii="Arial" w:hAnsi="Arial" w:cs="Arial"/>
          <w:sz w:val="17"/>
          <w:szCs w:val="17"/>
        </w:rPr>
      </w:pPr>
    </w:p>
    <w:p w14:paraId="519A79E0" w14:textId="549E0F1B" w:rsidR="00D03225" w:rsidRPr="00D03225" w:rsidRDefault="00D03225" w:rsidP="00AC02E4">
      <w:pPr>
        <w:jc w:val="both"/>
        <w:rPr>
          <w:rFonts w:ascii="Arial" w:hAnsi="Arial" w:cs="Arial"/>
          <w:sz w:val="17"/>
          <w:szCs w:val="17"/>
        </w:rPr>
      </w:pPr>
      <w:r w:rsidRPr="00D03225">
        <w:rPr>
          <w:rFonts w:ascii="Arial" w:hAnsi="Arial" w:cs="Arial"/>
          <w:sz w:val="17"/>
          <w:szCs w:val="17"/>
        </w:rPr>
        <w:t xml:space="preserve">Source: “Foreign Corrupt Practices Act,” The United States Department of Justice, </w:t>
      </w:r>
      <w:r w:rsidR="00E635F7">
        <w:rPr>
          <w:rFonts w:ascii="Arial" w:hAnsi="Arial" w:cs="Arial"/>
          <w:sz w:val="17"/>
          <w:szCs w:val="17"/>
        </w:rPr>
        <w:t xml:space="preserve">February 3, 2017, </w:t>
      </w:r>
      <w:r w:rsidRPr="00D03225">
        <w:rPr>
          <w:rFonts w:ascii="Arial" w:hAnsi="Arial" w:cs="Arial"/>
          <w:sz w:val="17"/>
          <w:szCs w:val="17"/>
        </w:rPr>
        <w:t xml:space="preserve">accessed April 10, 2019, </w:t>
      </w:r>
      <w:r>
        <w:rPr>
          <w:rFonts w:ascii="Arial" w:hAnsi="Arial" w:cs="Arial"/>
          <w:sz w:val="17"/>
          <w:szCs w:val="17"/>
        </w:rPr>
        <w:t>www.</w:t>
      </w:r>
      <w:r w:rsidRPr="00D03225">
        <w:rPr>
          <w:rFonts w:ascii="Arial" w:hAnsi="Arial" w:cs="Arial"/>
          <w:sz w:val="17"/>
          <w:szCs w:val="17"/>
        </w:rPr>
        <w:t>justice.gov/criminal-fraud/foreign-corrupt-practices-act</w:t>
      </w:r>
      <w:r>
        <w:rPr>
          <w:rFonts w:ascii="Arial" w:hAnsi="Arial" w:cs="Arial"/>
          <w:sz w:val="17"/>
          <w:szCs w:val="17"/>
        </w:rPr>
        <w:t>.</w:t>
      </w:r>
    </w:p>
    <w:p w14:paraId="42697B8D" w14:textId="79132CD8" w:rsidR="00D03225" w:rsidRPr="00D03225" w:rsidRDefault="00D03225" w:rsidP="00D03225">
      <w:pPr>
        <w:jc w:val="both"/>
        <w:rPr>
          <w:rFonts w:ascii="Arial" w:eastAsiaTheme="minorEastAsia" w:hAnsi="Arial" w:cs="Arial"/>
          <w:b/>
          <w:caps/>
          <w:lang w:eastAsia="ko-KR"/>
        </w:rPr>
      </w:pPr>
    </w:p>
    <w:p w14:paraId="63B5A51D" w14:textId="77777777" w:rsidR="00D03225" w:rsidRPr="00D03225" w:rsidRDefault="00D03225" w:rsidP="00D03225">
      <w:pPr>
        <w:jc w:val="both"/>
        <w:rPr>
          <w:rFonts w:ascii="Arial" w:eastAsiaTheme="minorEastAsia" w:hAnsi="Arial" w:cs="Arial"/>
          <w:b/>
          <w:caps/>
          <w:lang w:eastAsia="ko-KR"/>
        </w:rPr>
      </w:pPr>
    </w:p>
    <w:p w14:paraId="4A8C4205" w14:textId="77777777" w:rsidR="00D03225" w:rsidRPr="00D03225" w:rsidRDefault="00D03225" w:rsidP="00D03225">
      <w:pPr>
        <w:jc w:val="center"/>
        <w:rPr>
          <w:rFonts w:ascii="Arial" w:eastAsiaTheme="minorEastAsia" w:hAnsi="Arial" w:cs="Arial"/>
          <w:b/>
          <w:caps/>
        </w:rPr>
      </w:pPr>
      <w:r w:rsidRPr="00D03225">
        <w:rPr>
          <w:rFonts w:ascii="Arial" w:hAnsi="Arial" w:cs="Arial"/>
          <w:b/>
          <w:caps/>
        </w:rPr>
        <w:t xml:space="preserve">EXHIBIT 5: </w:t>
      </w:r>
      <w:r w:rsidRPr="00D03225">
        <w:rPr>
          <w:rFonts w:ascii="Arial" w:eastAsiaTheme="minorEastAsia" w:hAnsi="Arial" w:cs="Arial"/>
          <w:b/>
          <w:caps/>
        </w:rPr>
        <w:t>GHana criminal offences act (gcoa)</w:t>
      </w:r>
    </w:p>
    <w:p w14:paraId="01CD96A8" w14:textId="77777777" w:rsidR="00D03225" w:rsidRPr="00D03225" w:rsidRDefault="00D03225" w:rsidP="00D03225">
      <w:pPr>
        <w:rPr>
          <w:rFonts w:ascii="Arial" w:hAnsi="Arial" w:cs="Arial"/>
          <w:sz w:val="18"/>
          <w:szCs w:val="17"/>
        </w:rPr>
      </w:pPr>
    </w:p>
    <w:p w14:paraId="47196088" w14:textId="4EB6628A" w:rsidR="00D03225" w:rsidRPr="00F47BDF" w:rsidRDefault="00D03225" w:rsidP="00D03225">
      <w:pPr>
        <w:jc w:val="both"/>
        <w:rPr>
          <w:rFonts w:ascii="Arial" w:hAnsi="Arial" w:cs="Arial"/>
          <w:szCs w:val="17"/>
        </w:rPr>
      </w:pPr>
      <w:r w:rsidRPr="00F47BDF">
        <w:rPr>
          <w:rFonts w:ascii="Arial" w:hAnsi="Arial" w:cs="Arial"/>
          <w:szCs w:val="17"/>
        </w:rPr>
        <w:t>Despite corruption levels in Ghana being low compared to other African countries, rampant corruption, weak rule of law and an under-regulated property rights system are significant impediments to business confidence. Low-level government employees may ask for a “dash” (tip) in return for facilitating license and permit applications, and companies applying for licenses and permits are frequently confronted with demands for facilitation payments. Companies also contend with high corruption risks when dealing with Ghana’s public procurement system. While there is no singular piece of legislation to tackle corruption, the Ghana Criminal Offices Act (GCOA) criminalizes corruption in the form of active and passive bribery, extortion, wilful exploitation of public office, use of public office for private gain, and bribery of foreign public officials. Moreover, corruption is deemed illegal, and both agent and principal are liable, regardless of nationality. Corruption under section 239 of the GCOA is defined as “corruption of a public officer</w:t>
      </w:r>
      <w:r w:rsidR="00447717" w:rsidRPr="00F47BDF">
        <w:rPr>
          <w:rFonts w:ascii="Arial" w:hAnsi="Arial" w:cs="Arial"/>
          <w:szCs w:val="17"/>
        </w:rPr>
        <w:t>,</w:t>
      </w:r>
      <w:r w:rsidRPr="00F47BDF">
        <w:rPr>
          <w:rFonts w:ascii="Arial" w:hAnsi="Arial" w:cs="Arial"/>
          <w:szCs w:val="17"/>
        </w:rPr>
        <w:t>” and subsequent clauses define various forms of corruption, including bribery and extortion. This definition does not include corporate or private bribery offences, and bribery between citizens is not outlawed.</w:t>
      </w:r>
    </w:p>
    <w:p w14:paraId="33990F69" w14:textId="77777777" w:rsidR="00D03225" w:rsidRPr="00D03225" w:rsidRDefault="00D03225" w:rsidP="00D03225">
      <w:pPr>
        <w:jc w:val="both"/>
        <w:rPr>
          <w:rFonts w:ascii="Arial" w:hAnsi="Arial" w:cs="Arial"/>
          <w:sz w:val="17"/>
          <w:szCs w:val="17"/>
        </w:rPr>
      </w:pPr>
    </w:p>
    <w:p w14:paraId="11F0FD00" w14:textId="4DB84165" w:rsidR="00D03225" w:rsidRPr="00D03225" w:rsidRDefault="00D03225" w:rsidP="00AC02E4">
      <w:pPr>
        <w:jc w:val="both"/>
        <w:rPr>
          <w:rFonts w:ascii="Arial" w:hAnsi="Arial" w:cs="Arial"/>
          <w:sz w:val="17"/>
          <w:szCs w:val="17"/>
        </w:rPr>
      </w:pPr>
      <w:r w:rsidRPr="00D03225">
        <w:rPr>
          <w:rFonts w:ascii="Arial" w:hAnsi="Arial" w:cs="Arial"/>
          <w:sz w:val="17"/>
          <w:szCs w:val="17"/>
        </w:rPr>
        <w:t>Source:</w:t>
      </w:r>
      <w:r w:rsidR="004B356F">
        <w:rPr>
          <w:rFonts w:ascii="Arial" w:hAnsi="Arial" w:cs="Arial"/>
          <w:sz w:val="17"/>
          <w:szCs w:val="17"/>
        </w:rPr>
        <w:t xml:space="preserve"> Kaunain Rahman,</w:t>
      </w:r>
      <w:r w:rsidRPr="00D03225">
        <w:rPr>
          <w:rFonts w:ascii="Arial" w:hAnsi="Arial" w:cs="Arial"/>
          <w:sz w:val="17"/>
          <w:szCs w:val="17"/>
        </w:rPr>
        <w:t xml:space="preserve"> “Overview of </w:t>
      </w:r>
      <w:r w:rsidR="004B356F">
        <w:rPr>
          <w:rFonts w:ascii="Arial" w:hAnsi="Arial" w:cs="Arial"/>
          <w:sz w:val="17"/>
          <w:szCs w:val="17"/>
        </w:rPr>
        <w:t>C</w:t>
      </w:r>
      <w:r w:rsidRPr="00D03225">
        <w:rPr>
          <w:rFonts w:ascii="Arial" w:hAnsi="Arial" w:cs="Arial"/>
          <w:sz w:val="17"/>
          <w:szCs w:val="17"/>
        </w:rPr>
        <w:t xml:space="preserve">orruption and </w:t>
      </w:r>
      <w:r w:rsidR="004B356F">
        <w:rPr>
          <w:rFonts w:ascii="Arial" w:hAnsi="Arial" w:cs="Arial"/>
          <w:sz w:val="17"/>
          <w:szCs w:val="17"/>
        </w:rPr>
        <w:t>A</w:t>
      </w:r>
      <w:r w:rsidRPr="00D03225">
        <w:rPr>
          <w:rFonts w:ascii="Arial" w:hAnsi="Arial" w:cs="Arial"/>
          <w:sz w:val="17"/>
          <w:szCs w:val="17"/>
        </w:rPr>
        <w:t>nti-</w:t>
      </w:r>
      <w:r w:rsidR="004B356F">
        <w:rPr>
          <w:rFonts w:ascii="Arial" w:hAnsi="Arial" w:cs="Arial"/>
          <w:sz w:val="17"/>
          <w:szCs w:val="17"/>
        </w:rPr>
        <w:t>C</w:t>
      </w:r>
      <w:r w:rsidRPr="00D03225">
        <w:rPr>
          <w:rFonts w:ascii="Arial" w:hAnsi="Arial" w:cs="Arial"/>
          <w:sz w:val="17"/>
          <w:szCs w:val="17"/>
        </w:rPr>
        <w:t xml:space="preserve">orruption in Ghana,” U4 Anti-Corruption Resource Centre, </w:t>
      </w:r>
      <w:r w:rsidR="000C2A7C">
        <w:rPr>
          <w:rFonts w:ascii="Arial" w:hAnsi="Arial" w:cs="Arial"/>
          <w:sz w:val="17"/>
          <w:szCs w:val="17"/>
        </w:rPr>
        <w:t xml:space="preserve">2018, </w:t>
      </w:r>
      <w:r w:rsidRPr="00D03225">
        <w:rPr>
          <w:rFonts w:ascii="Arial" w:hAnsi="Arial" w:cs="Arial"/>
          <w:sz w:val="17"/>
          <w:szCs w:val="17"/>
        </w:rPr>
        <w:t xml:space="preserve">accessed April 10, 2019, </w:t>
      </w:r>
      <w:r>
        <w:rPr>
          <w:rFonts w:ascii="Arial" w:hAnsi="Arial" w:cs="Arial"/>
          <w:sz w:val="17"/>
          <w:szCs w:val="17"/>
        </w:rPr>
        <w:t>www.</w:t>
      </w:r>
      <w:r w:rsidRPr="00D03225">
        <w:rPr>
          <w:rFonts w:ascii="Arial" w:hAnsi="Arial" w:cs="Arial"/>
          <w:sz w:val="17"/>
          <w:szCs w:val="17"/>
        </w:rPr>
        <w:t>u4.no/publications/overview-of-corruption-and-anti-corruption-in-ghana-2018-update</w:t>
      </w:r>
      <w:r>
        <w:rPr>
          <w:rFonts w:ascii="Arial" w:hAnsi="Arial" w:cs="Arial"/>
          <w:sz w:val="17"/>
          <w:szCs w:val="17"/>
        </w:rPr>
        <w:t>.</w:t>
      </w:r>
    </w:p>
    <w:p w14:paraId="3B20E4EB" w14:textId="77777777" w:rsidR="00D03225" w:rsidRDefault="00D03225" w:rsidP="002B40FF">
      <w:pPr>
        <w:pStyle w:val="Casehead1"/>
      </w:pPr>
    </w:p>
    <w:sectPr w:rsidR="00D03225"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32C22" w14:textId="77777777" w:rsidR="00B2069C" w:rsidRDefault="00B2069C" w:rsidP="00D75295">
      <w:r>
        <w:separator/>
      </w:r>
    </w:p>
  </w:endnote>
  <w:endnote w:type="continuationSeparator" w:id="0">
    <w:p w14:paraId="47349520" w14:textId="77777777" w:rsidR="00B2069C" w:rsidRDefault="00B2069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82B4E" w14:textId="77777777" w:rsidR="00B2069C" w:rsidRDefault="00B2069C" w:rsidP="00D75295">
      <w:r>
        <w:separator/>
      </w:r>
    </w:p>
  </w:footnote>
  <w:footnote w:type="continuationSeparator" w:id="0">
    <w:p w14:paraId="2DC0F9BC" w14:textId="77777777" w:rsidR="00B2069C" w:rsidRDefault="00B2069C" w:rsidP="00D75295">
      <w:r>
        <w:continuationSeparator/>
      </w:r>
    </w:p>
  </w:footnote>
  <w:footnote w:id="1">
    <w:p w14:paraId="1015E80B" w14:textId="5BB8A21D" w:rsidR="005271F4" w:rsidRPr="00F27540" w:rsidRDefault="005271F4" w:rsidP="005C3CE2">
      <w:pPr>
        <w:pStyle w:val="Footnote"/>
        <w:jc w:val="left"/>
      </w:pPr>
      <w:r w:rsidRPr="00F27540">
        <w:rPr>
          <w:rStyle w:val="FootnoteReference"/>
        </w:rPr>
        <w:footnoteRef/>
      </w:r>
      <w:r w:rsidRPr="00F27540">
        <w:t xml:space="preserve"> </w:t>
      </w:r>
      <w:r w:rsidR="00790A9B" w:rsidRPr="00F27540">
        <w:t>“The World Factbook</w:t>
      </w:r>
      <w:r w:rsidR="00790A9B">
        <w:t>:</w:t>
      </w:r>
      <w:r w:rsidR="00790A9B" w:rsidRPr="00F27540">
        <w:t xml:space="preserve"> Ghana</w:t>
      </w:r>
      <w:r w:rsidR="00790A9B">
        <w:t>,</w:t>
      </w:r>
      <w:r w:rsidR="00790A9B" w:rsidRPr="00F27540">
        <w:t>” Central Intelligence Agency</w:t>
      </w:r>
      <w:r w:rsidR="00790A9B">
        <w:t xml:space="preserve">, July 18, 2018, updated October 1, 2019, </w:t>
      </w:r>
      <w:r w:rsidR="00790A9B" w:rsidRPr="00F27540">
        <w:t xml:space="preserve">accessed April 10, 2019, </w:t>
      </w:r>
      <w:r w:rsidR="00790A9B" w:rsidRPr="00BC7398">
        <w:t>www.cia.gov/library/publications/resources/the-world-factbook/geos/gh.html</w:t>
      </w:r>
      <w:r w:rsidR="00790A9B">
        <w:t>.</w:t>
      </w:r>
    </w:p>
  </w:footnote>
  <w:footnote w:id="2">
    <w:p w14:paraId="428C0BEA" w14:textId="63476682" w:rsidR="005271F4" w:rsidRDefault="005271F4" w:rsidP="005C3CE2">
      <w:pPr>
        <w:pStyle w:val="Footnote"/>
        <w:jc w:val="left"/>
      </w:pPr>
      <w:r>
        <w:rPr>
          <w:rStyle w:val="FootnoteReference"/>
        </w:rPr>
        <w:footnoteRef/>
      </w:r>
      <w:r>
        <w:t xml:space="preserve"> All dollar amounts are in US$ unless otherwise specified.</w:t>
      </w:r>
    </w:p>
  </w:footnote>
  <w:footnote w:id="3">
    <w:p w14:paraId="13B8783B" w14:textId="44CDE7CF" w:rsidR="005271F4" w:rsidRPr="00F27540" w:rsidRDefault="005271F4" w:rsidP="00014A3D">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w:t>
      </w:r>
      <w:r w:rsidR="00C47701">
        <w:rPr>
          <w:rFonts w:ascii="Arial" w:hAnsi="Arial" w:cs="Arial"/>
          <w:sz w:val="17"/>
          <w:szCs w:val="17"/>
        </w:rPr>
        <w:t xml:space="preserve">IMF Survey: </w:t>
      </w:r>
      <w:r w:rsidRPr="00F27540">
        <w:rPr>
          <w:rFonts w:ascii="Arial" w:hAnsi="Arial" w:cs="Arial"/>
          <w:sz w:val="17"/>
          <w:szCs w:val="17"/>
        </w:rPr>
        <w:t xml:space="preserve">Ghana </w:t>
      </w:r>
      <w:r>
        <w:rPr>
          <w:rFonts w:ascii="Arial" w:hAnsi="Arial" w:cs="Arial"/>
          <w:sz w:val="17"/>
          <w:szCs w:val="17"/>
        </w:rPr>
        <w:t>G</w:t>
      </w:r>
      <w:r w:rsidRPr="00F27540">
        <w:rPr>
          <w:rFonts w:ascii="Arial" w:hAnsi="Arial" w:cs="Arial"/>
          <w:sz w:val="17"/>
          <w:szCs w:val="17"/>
        </w:rPr>
        <w:t xml:space="preserve">ets $918 </w:t>
      </w:r>
      <w:r>
        <w:rPr>
          <w:rFonts w:ascii="Arial" w:hAnsi="Arial" w:cs="Arial"/>
          <w:sz w:val="17"/>
          <w:szCs w:val="17"/>
        </w:rPr>
        <w:t>M</w:t>
      </w:r>
      <w:r w:rsidRPr="00F27540">
        <w:rPr>
          <w:rFonts w:ascii="Arial" w:hAnsi="Arial" w:cs="Arial"/>
          <w:sz w:val="17"/>
          <w:szCs w:val="17"/>
        </w:rPr>
        <w:t xml:space="preserve">illion IMF </w:t>
      </w:r>
      <w:r>
        <w:rPr>
          <w:rFonts w:ascii="Arial" w:hAnsi="Arial" w:cs="Arial"/>
          <w:sz w:val="17"/>
          <w:szCs w:val="17"/>
        </w:rPr>
        <w:t>L</w:t>
      </w:r>
      <w:r w:rsidRPr="00F27540">
        <w:rPr>
          <w:rFonts w:ascii="Arial" w:hAnsi="Arial" w:cs="Arial"/>
          <w:sz w:val="17"/>
          <w:szCs w:val="17"/>
        </w:rPr>
        <w:t xml:space="preserve">oan to </w:t>
      </w:r>
      <w:r>
        <w:rPr>
          <w:rFonts w:ascii="Arial" w:hAnsi="Arial" w:cs="Arial"/>
          <w:sz w:val="17"/>
          <w:szCs w:val="17"/>
        </w:rPr>
        <w:t>B</w:t>
      </w:r>
      <w:r w:rsidRPr="00F27540">
        <w:rPr>
          <w:rFonts w:ascii="Arial" w:hAnsi="Arial" w:cs="Arial"/>
          <w:sz w:val="17"/>
          <w:szCs w:val="17"/>
        </w:rPr>
        <w:t xml:space="preserve">ack </w:t>
      </w:r>
      <w:r>
        <w:rPr>
          <w:rFonts w:ascii="Arial" w:hAnsi="Arial" w:cs="Arial"/>
          <w:sz w:val="17"/>
          <w:szCs w:val="17"/>
        </w:rPr>
        <w:t>G</w:t>
      </w:r>
      <w:r w:rsidRPr="00F27540">
        <w:rPr>
          <w:rFonts w:ascii="Arial" w:hAnsi="Arial" w:cs="Arial"/>
          <w:sz w:val="17"/>
          <w:szCs w:val="17"/>
        </w:rPr>
        <w:t xml:space="preserve">rowth, </w:t>
      </w:r>
      <w:r>
        <w:rPr>
          <w:rFonts w:ascii="Arial" w:hAnsi="Arial" w:cs="Arial"/>
          <w:sz w:val="17"/>
          <w:szCs w:val="17"/>
        </w:rPr>
        <w:t>J</w:t>
      </w:r>
      <w:r w:rsidRPr="00F27540">
        <w:rPr>
          <w:rFonts w:ascii="Arial" w:hAnsi="Arial" w:cs="Arial"/>
          <w:sz w:val="17"/>
          <w:szCs w:val="17"/>
        </w:rPr>
        <w:t xml:space="preserve">obs </w:t>
      </w:r>
      <w:r>
        <w:rPr>
          <w:rFonts w:ascii="Arial" w:hAnsi="Arial" w:cs="Arial"/>
          <w:sz w:val="17"/>
          <w:szCs w:val="17"/>
        </w:rPr>
        <w:t>P</w:t>
      </w:r>
      <w:r w:rsidRPr="00F27540">
        <w:rPr>
          <w:rFonts w:ascii="Arial" w:hAnsi="Arial" w:cs="Arial"/>
          <w:sz w:val="17"/>
          <w:szCs w:val="17"/>
        </w:rPr>
        <w:t xml:space="preserve">lan,” International Monetary Fund, </w:t>
      </w:r>
      <w:r>
        <w:rPr>
          <w:rFonts w:ascii="Arial" w:hAnsi="Arial" w:cs="Arial"/>
          <w:sz w:val="17"/>
          <w:szCs w:val="17"/>
        </w:rPr>
        <w:t xml:space="preserve">April 3, 2015, </w:t>
      </w:r>
      <w:r w:rsidRPr="00F27540">
        <w:rPr>
          <w:rFonts w:ascii="Arial" w:hAnsi="Arial" w:cs="Arial"/>
          <w:sz w:val="17"/>
          <w:szCs w:val="17"/>
        </w:rPr>
        <w:t>accesse</w:t>
      </w:r>
      <w:r>
        <w:rPr>
          <w:rFonts w:ascii="Arial" w:hAnsi="Arial" w:cs="Arial"/>
          <w:sz w:val="17"/>
          <w:szCs w:val="17"/>
        </w:rPr>
        <w:t>d</w:t>
      </w:r>
      <w:r w:rsidRPr="00F27540">
        <w:rPr>
          <w:rFonts w:ascii="Arial" w:hAnsi="Arial" w:cs="Arial"/>
          <w:sz w:val="17"/>
          <w:szCs w:val="17"/>
        </w:rPr>
        <w:t xml:space="preserve"> April 10, 2019, </w:t>
      </w:r>
      <w:r>
        <w:rPr>
          <w:rFonts w:ascii="Arial" w:hAnsi="Arial" w:cs="Arial"/>
          <w:sz w:val="17"/>
          <w:szCs w:val="17"/>
        </w:rPr>
        <w:t>www.</w:t>
      </w:r>
      <w:r w:rsidRPr="00F27540">
        <w:rPr>
          <w:rFonts w:ascii="Arial" w:hAnsi="Arial" w:cs="Arial"/>
          <w:sz w:val="17"/>
          <w:szCs w:val="17"/>
        </w:rPr>
        <w:t>imf.org/en/News/Articles/2015/09/28/04/53/socar040315a</w:t>
      </w:r>
      <w:r>
        <w:rPr>
          <w:rFonts w:ascii="Arial" w:hAnsi="Arial" w:cs="Arial"/>
          <w:sz w:val="17"/>
          <w:szCs w:val="17"/>
        </w:rPr>
        <w:t>.</w:t>
      </w:r>
    </w:p>
  </w:footnote>
  <w:footnote w:id="4">
    <w:p w14:paraId="4EBC2DEB" w14:textId="11DCCF9D" w:rsidR="00AC02E4" w:rsidRDefault="005271F4">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United Nations, </w:t>
      </w:r>
      <w:r w:rsidRPr="00223C19">
        <w:rPr>
          <w:rFonts w:ascii="Arial" w:hAnsi="Arial" w:cs="Arial"/>
          <w:i/>
          <w:sz w:val="17"/>
          <w:szCs w:val="17"/>
        </w:rPr>
        <w:t>The Millennium Development Goals Report 2015</w:t>
      </w:r>
      <w:r w:rsidRPr="00F27540">
        <w:rPr>
          <w:rFonts w:ascii="Arial" w:hAnsi="Arial" w:cs="Arial"/>
          <w:sz w:val="17"/>
          <w:szCs w:val="17"/>
        </w:rPr>
        <w:t>,</w:t>
      </w:r>
      <w:r>
        <w:rPr>
          <w:rFonts w:ascii="Arial" w:hAnsi="Arial" w:cs="Arial"/>
          <w:sz w:val="17"/>
          <w:szCs w:val="17"/>
        </w:rPr>
        <w:t xml:space="preserve"> </w:t>
      </w:r>
      <w:r w:rsidRPr="00F27540">
        <w:rPr>
          <w:rFonts w:ascii="Arial" w:hAnsi="Arial" w:cs="Arial"/>
          <w:sz w:val="17"/>
          <w:szCs w:val="17"/>
        </w:rPr>
        <w:t xml:space="preserve">accessed April 10, 2019, </w:t>
      </w:r>
      <w:r w:rsidR="00AC02E4" w:rsidRPr="00AC02E4">
        <w:rPr>
          <w:rFonts w:ascii="Arial" w:hAnsi="Arial" w:cs="Arial"/>
          <w:sz w:val="17"/>
          <w:szCs w:val="17"/>
        </w:rPr>
        <w:t>www.un.org/millenniumgoals/</w:t>
      </w:r>
    </w:p>
    <w:p w14:paraId="26E92815" w14:textId="233BF895" w:rsidR="005271F4" w:rsidRPr="00F27540" w:rsidRDefault="005271F4">
      <w:pPr>
        <w:pStyle w:val="FootnoteText"/>
        <w:rPr>
          <w:rFonts w:ascii="Arial" w:hAnsi="Arial" w:cs="Arial"/>
          <w:sz w:val="17"/>
          <w:szCs w:val="17"/>
        </w:rPr>
      </w:pPr>
      <w:r w:rsidRPr="00F27540">
        <w:rPr>
          <w:rFonts w:ascii="Arial" w:hAnsi="Arial" w:cs="Arial"/>
          <w:sz w:val="17"/>
          <w:szCs w:val="17"/>
        </w:rPr>
        <w:t>2015_MDG_Report/pdf/MDG%202015%20rev%20(July%201).pdf</w:t>
      </w:r>
      <w:r>
        <w:rPr>
          <w:rFonts w:ascii="Arial" w:hAnsi="Arial" w:cs="Arial"/>
          <w:sz w:val="17"/>
          <w:szCs w:val="17"/>
        </w:rPr>
        <w:t>.</w:t>
      </w:r>
    </w:p>
  </w:footnote>
  <w:footnote w:id="5">
    <w:p w14:paraId="59B36D64" w14:textId="4E183F01" w:rsidR="005271F4" w:rsidRPr="00F27540" w:rsidRDefault="005271F4">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w:t>
      </w:r>
      <w:r w:rsidRPr="00D2015B">
        <w:rPr>
          <w:rFonts w:ascii="Arial" w:hAnsi="Arial" w:cs="Arial"/>
          <w:sz w:val="17"/>
          <w:szCs w:val="17"/>
        </w:rPr>
        <w:t>United Nations Economic Commission for Africa</w:t>
      </w:r>
      <w:r w:rsidR="00D5730E" w:rsidRPr="00223C19">
        <w:rPr>
          <w:rFonts w:ascii="Arial" w:hAnsi="Arial" w:cs="Arial"/>
          <w:sz w:val="17"/>
          <w:szCs w:val="17"/>
        </w:rPr>
        <w:t>,”</w:t>
      </w:r>
      <w:r w:rsidR="00D5730E">
        <w:rPr>
          <w:rFonts w:ascii="Arial" w:hAnsi="Arial" w:cs="Arial"/>
          <w:sz w:val="17"/>
          <w:szCs w:val="17"/>
        </w:rPr>
        <w:t xml:space="preserve"> </w:t>
      </w:r>
      <w:r w:rsidRPr="00223C19">
        <w:rPr>
          <w:rFonts w:ascii="Arial" w:hAnsi="Arial" w:cs="Arial"/>
          <w:i/>
          <w:sz w:val="17"/>
          <w:szCs w:val="17"/>
        </w:rPr>
        <w:t>MDG Report 2015</w:t>
      </w:r>
      <w:r w:rsidR="00D5730E">
        <w:rPr>
          <w:rFonts w:ascii="Arial" w:hAnsi="Arial" w:cs="Arial"/>
          <w:sz w:val="17"/>
          <w:szCs w:val="17"/>
        </w:rPr>
        <w:t xml:space="preserve">: </w:t>
      </w:r>
      <w:r w:rsidRPr="00223C19">
        <w:rPr>
          <w:rFonts w:ascii="Arial" w:hAnsi="Arial" w:cs="Arial"/>
          <w:i/>
          <w:sz w:val="17"/>
          <w:szCs w:val="17"/>
        </w:rPr>
        <w:t xml:space="preserve">Lessons </w:t>
      </w:r>
      <w:r w:rsidRPr="00C12B6C">
        <w:rPr>
          <w:rFonts w:ascii="Arial" w:hAnsi="Arial" w:cs="Arial"/>
          <w:i/>
          <w:sz w:val="17"/>
          <w:szCs w:val="17"/>
        </w:rPr>
        <w:t>Learn</w:t>
      </w:r>
      <w:r w:rsidRPr="00223C19">
        <w:rPr>
          <w:rFonts w:ascii="Arial" w:hAnsi="Arial" w:cs="Arial"/>
          <w:i/>
          <w:sz w:val="17"/>
          <w:szCs w:val="17"/>
        </w:rPr>
        <w:t>ed in Implementing the MDGS,</w:t>
      </w:r>
      <w:r w:rsidR="00D5730E">
        <w:rPr>
          <w:rFonts w:ascii="Arial" w:hAnsi="Arial" w:cs="Arial"/>
          <w:sz w:val="17"/>
          <w:szCs w:val="17"/>
        </w:rPr>
        <w:t xml:space="preserve"> </w:t>
      </w:r>
      <w:r w:rsidR="00D5730E" w:rsidRPr="0068596B">
        <w:rPr>
          <w:rFonts w:ascii="Arial" w:hAnsi="Arial" w:cs="Arial"/>
          <w:i/>
          <w:sz w:val="17"/>
          <w:szCs w:val="17"/>
        </w:rPr>
        <w:t>Summary</w:t>
      </w:r>
      <w:r w:rsidR="00D5730E">
        <w:rPr>
          <w:rFonts w:ascii="Arial" w:hAnsi="Arial" w:cs="Arial"/>
          <w:sz w:val="17"/>
          <w:szCs w:val="17"/>
        </w:rPr>
        <w:t>,”</w:t>
      </w:r>
      <w:r w:rsidRPr="00223C19">
        <w:rPr>
          <w:rFonts w:ascii="Arial" w:hAnsi="Arial" w:cs="Arial"/>
          <w:i/>
          <w:sz w:val="17"/>
          <w:szCs w:val="17"/>
        </w:rPr>
        <w:t xml:space="preserve"> </w:t>
      </w:r>
      <w:r>
        <w:rPr>
          <w:rFonts w:ascii="Arial" w:hAnsi="Arial" w:cs="Arial"/>
          <w:sz w:val="17"/>
          <w:szCs w:val="17"/>
        </w:rPr>
        <w:t xml:space="preserve">September 2015, </w:t>
      </w:r>
      <w:r w:rsidRPr="00F27540">
        <w:rPr>
          <w:rFonts w:ascii="Arial" w:hAnsi="Arial" w:cs="Arial"/>
          <w:sz w:val="17"/>
          <w:szCs w:val="17"/>
        </w:rPr>
        <w:t xml:space="preserve">accessed April 10, 2019, </w:t>
      </w:r>
      <w:r w:rsidRPr="00793121">
        <w:rPr>
          <w:rFonts w:ascii="Arial" w:hAnsi="Arial" w:cs="Arial"/>
          <w:sz w:val="17"/>
          <w:szCs w:val="17"/>
        </w:rPr>
        <w:t>www.uneca.org/sites/default/files/PublicationFiles/mdg-report-2015_eng_summary_</w:t>
      </w:r>
      <w:r w:rsidRPr="00F27540">
        <w:rPr>
          <w:rFonts w:ascii="Arial" w:hAnsi="Arial" w:cs="Arial"/>
          <w:sz w:val="17"/>
          <w:szCs w:val="17"/>
        </w:rPr>
        <w:t>rev2sept15.pdf</w:t>
      </w:r>
      <w:r>
        <w:rPr>
          <w:rFonts w:ascii="Arial" w:hAnsi="Arial" w:cs="Arial"/>
          <w:sz w:val="17"/>
          <w:szCs w:val="17"/>
        </w:rPr>
        <w:t>.</w:t>
      </w:r>
    </w:p>
  </w:footnote>
  <w:footnote w:id="6">
    <w:p w14:paraId="53788545" w14:textId="4D10FBA5" w:rsidR="005271F4" w:rsidRPr="00BD68D1" w:rsidRDefault="005271F4" w:rsidP="005C3CE2">
      <w:pPr>
        <w:pStyle w:val="Footnote"/>
        <w:jc w:val="left"/>
        <w:rPr>
          <w:b/>
          <w:spacing w:val="-4"/>
        </w:rPr>
      </w:pPr>
      <w:r w:rsidRPr="00BD68D1">
        <w:rPr>
          <w:rStyle w:val="FootnoteReference"/>
          <w:spacing w:val="-4"/>
        </w:rPr>
        <w:footnoteRef/>
      </w:r>
      <w:r w:rsidRPr="00BD68D1">
        <w:rPr>
          <w:spacing w:val="-4"/>
        </w:rPr>
        <w:t xml:space="preserve"> “Sustainable </w:t>
      </w:r>
      <w:r w:rsidR="00165024" w:rsidRPr="00BD68D1">
        <w:rPr>
          <w:spacing w:val="-4"/>
        </w:rPr>
        <w:t>D</w:t>
      </w:r>
      <w:r w:rsidRPr="00BD68D1">
        <w:rPr>
          <w:spacing w:val="-4"/>
        </w:rPr>
        <w:t xml:space="preserve">evelopment </w:t>
      </w:r>
      <w:r w:rsidR="00165024" w:rsidRPr="00BD68D1">
        <w:rPr>
          <w:spacing w:val="-4"/>
        </w:rPr>
        <w:t>R</w:t>
      </w:r>
      <w:r w:rsidRPr="00BD68D1">
        <w:rPr>
          <w:spacing w:val="-4"/>
        </w:rPr>
        <w:t xml:space="preserve">eport on Africa I: </w:t>
      </w:r>
      <w:r w:rsidR="00165024" w:rsidRPr="00BD68D1">
        <w:rPr>
          <w:spacing w:val="-4"/>
        </w:rPr>
        <w:t>M</w:t>
      </w:r>
      <w:r w:rsidRPr="00BD68D1">
        <w:rPr>
          <w:spacing w:val="-4"/>
        </w:rPr>
        <w:t xml:space="preserve">anaging </w:t>
      </w:r>
      <w:r w:rsidR="00165024" w:rsidRPr="00BD68D1">
        <w:rPr>
          <w:spacing w:val="-4"/>
        </w:rPr>
        <w:t>L</w:t>
      </w:r>
      <w:r w:rsidRPr="00BD68D1">
        <w:rPr>
          <w:spacing w:val="-4"/>
        </w:rPr>
        <w:t>and-</w:t>
      </w:r>
      <w:r w:rsidR="00165024" w:rsidRPr="00BD68D1">
        <w:rPr>
          <w:spacing w:val="-4"/>
        </w:rPr>
        <w:t>B</w:t>
      </w:r>
      <w:r w:rsidRPr="00BD68D1">
        <w:rPr>
          <w:spacing w:val="-4"/>
        </w:rPr>
        <w:t xml:space="preserve">ased </w:t>
      </w:r>
      <w:r w:rsidR="00165024" w:rsidRPr="00BD68D1">
        <w:rPr>
          <w:spacing w:val="-4"/>
        </w:rPr>
        <w:t>R</w:t>
      </w:r>
      <w:r w:rsidRPr="00BD68D1">
        <w:rPr>
          <w:spacing w:val="-4"/>
        </w:rPr>
        <w:t xml:space="preserve">esources for </w:t>
      </w:r>
      <w:r w:rsidR="00165024" w:rsidRPr="00BD68D1">
        <w:rPr>
          <w:spacing w:val="-4"/>
        </w:rPr>
        <w:t>S</w:t>
      </w:r>
      <w:r w:rsidRPr="00BD68D1">
        <w:rPr>
          <w:spacing w:val="-4"/>
        </w:rPr>
        <w:t xml:space="preserve">ustainable </w:t>
      </w:r>
      <w:r w:rsidR="00165024" w:rsidRPr="00BD68D1">
        <w:rPr>
          <w:spacing w:val="-4"/>
        </w:rPr>
        <w:t>D</w:t>
      </w:r>
      <w:r w:rsidRPr="00BD68D1">
        <w:rPr>
          <w:spacing w:val="-4"/>
        </w:rPr>
        <w:t>evelopment,” United Nations Economic Commission for Africa</w:t>
      </w:r>
      <w:r w:rsidR="00165024" w:rsidRPr="00BD68D1">
        <w:rPr>
          <w:spacing w:val="-4"/>
        </w:rPr>
        <w:t xml:space="preserve">, </w:t>
      </w:r>
      <w:r w:rsidRPr="00BD68D1">
        <w:rPr>
          <w:spacing w:val="-4"/>
        </w:rPr>
        <w:t>January 2011, accessed April 10, 2019, http://repository.uneca.org/handle/10855/14946.</w:t>
      </w:r>
    </w:p>
  </w:footnote>
  <w:footnote w:id="7">
    <w:p w14:paraId="0D9485BF" w14:textId="1BD5CDFF" w:rsidR="00BD68D1" w:rsidRDefault="005271F4" w:rsidP="00D03225">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w:t>
      </w:r>
      <w:r>
        <w:rPr>
          <w:rFonts w:ascii="Arial" w:hAnsi="Arial" w:cs="Arial"/>
          <w:sz w:val="17"/>
          <w:szCs w:val="17"/>
        </w:rPr>
        <w:t>Daniel K</w:t>
      </w:r>
      <w:r w:rsidR="00165024">
        <w:rPr>
          <w:rFonts w:ascii="Arial" w:hAnsi="Arial" w:cs="Arial"/>
          <w:sz w:val="17"/>
          <w:szCs w:val="17"/>
        </w:rPr>
        <w:t>wabena</w:t>
      </w:r>
      <w:r w:rsidR="00C12B6C">
        <w:rPr>
          <w:rFonts w:ascii="Arial" w:hAnsi="Arial" w:cs="Arial"/>
          <w:sz w:val="17"/>
          <w:szCs w:val="17"/>
        </w:rPr>
        <w:t xml:space="preserve"> </w:t>
      </w:r>
      <w:proofErr w:type="spellStart"/>
      <w:r>
        <w:rPr>
          <w:rFonts w:ascii="Arial" w:hAnsi="Arial" w:cs="Arial"/>
          <w:sz w:val="17"/>
          <w:szCs w:val="17"/>
        </w:rPr>
        <w:t>Twerefou</w:t>
      </w:r>
      <w:proofErr w:type="spellEnd"/>
      <w:r>
        <w:rPr>
          <w:rFonts w:ascii="Arial" w:hAnsi="Arial" w:cs="Arial"/>
          <w:sz w:val="17"/>
          <w:szCs w:val="17"/>
        </w:rPr>
        <w:t xml:space="preserve">, </w:t>
      </w:r>
      <w:r w:rsidR="00165024" w:rsidRPr="00C12B6C">
        <w:rPr>
          <w:rFonts w:ascii="Arial" w:hAnsi="Arial" w:cs="Arial"/>
          <w:sz w:val="17"/>
          <w:szCs w:val="17"/>
        </w:rPr>
        <w:t>“</w:t>
      </w:r>
      <w:r w:rsidRPr="0068596B">
        <w:rPr>
          <w:rFonts w:ascii="Arial" w:hAnsi="Arial" w:cs="Arial"/>
          <w:sz w:val="17"/>
          <w:szCs w:val="17"/>
        </w:rPr>
        <w:t>Report on Sustainable Development Goals for the West Africa Subregion</w:t>
      </w:r>
      <w:r w:rsidR="00165024" w:rsidRPr="00C12B6C">
        <w:rPr>
          <w:rFonts w:ascii="Arial" w:hAnsi="Arial" w:cs="Arial"/>
          <w:sz w:val="17"/>
          <w:szCs w:val="17"/>
        </w:rPr>
        <w:t>:</w:t>
      </w:r>
      <w:r w:rsidRPr="0068596B">
        <w:rPr>
          <w:rFonts w:ascii="Arial" w:hAnsi="Arial" w:cs="Arial"/>
          <w:sz w:val="17"/>
          <w:szCs w:val="17"/>
        </w:rPr>
        <w:t xml:space="preserve"> Summary</w:t>
      </w:r>
      <w:r w:rsidRPr="00C12B6C">
        <w:rPr>
          <w:rFonts w:ascii="Arial" w:hAnsi="Arial" w:cs="Arial"/>
          <w:sz w:val="17"/>
          <w:szCs w:val="17"/>
        </w:rPr>
        <w:t>,</w:t>
      </w:r>
      <w:r w:rsidR="00165024" w:rsidRPr="00C12B6C">
        <w:rPr>
          <w:rFonts w:ascii="Arial" w:hAnsi="Arial" w:cs="Arial"/>
          <w:sz w:val="17"/>
          <w:szCs w:val="17"/>
        </w:rPr>
        <w:t>”</w:t>
      </w:r>
      <w:r w:rsidRPr="00F27540">
        <w:rPr>
          <w:rFonts w:ascii="Arial" w:hAnsi="Arial" w:cs="Arial"/>
          <w:sz w:val="17"/>
          <w:szCs w:val="17"/>
        </w:rPr>
        <w:t xml:space="preserve"> United Nations Economic</w:t>
      </w:r>
      <w:r w:rsidR="00165024">
        <w:rPr>
          <w:rFonts w:ascii="Arial" w:hAnsi="Arial" w:cs="Arial"/>
          <w:sz w:val="17"/>
          <w:szCs w:val="17"/>
        </w:rPr>
        <w:t xml:space="preserve"> and Social Council</w:t>
      </w:r>
      <w:r>
        <w:rPr>
          <w:rFonts w:ascii="Arial" w:hAnsi="Arial" w:cs="Arial"/>
          <w:sz w:val="17"/>
          <w:szCs w:val="17"/>
        </w:rPr>
        <w:t xml:space="preserve">, October 23, 2013, </w:t>
      </w:r>
      <w:r w:rsidRPr="00F27540">
        <w:rPr>
          <w:rFonts w:ascii="Arial" w:hAnsi="Arial" w:cs="Arial"/>
          <w:sz w:val="17"/>
          <w:szCs w:val="17"/>
        </w:rPr>
        <w:t xml:space="preserve">accessed April 10, 2019, </w:t>
      </w:r>
      <w:r w:rsidR="00BD68D1" w:rsidRPr="00BD68D1">
        <w:rPr>
          <w:rFonts w:ascii="Arial" w:hAnsi="Arial" w:cs="Arial"/>
          <w:sz w:val="17"/>
          <w:szCs w:val="17"/>
        </w:rPr>
        <w:t>www.uneca.org/sites/default/files/</w:t>
      </w:r>
    </w:p>
    <w:p w14:paraId="519D9024" w14:textId="3A3E92DA" w:rsidR="005271F4" w:rsidRPr="00F27540" w:rsidRDefault="005271F4" w:rsidP="00D03225">
      <w:pPr>
        <w:pStyle w:val="FootnoteText"/>
        <w:rPr>
          <w:rFonts w:ascii="Arial" w:hAnsi="Arial" w:cs="Arial"/>
          <w:sz w:val="17"/>
          <w:szCs w:val="17"/>
        </w:rPr>
      </w:pPr>
      <w:r w:rsidRPr="00F27540">
        <w:rPr>
          <w:rFonts w:ascii="Arial" w:hAnsi="Arial" w:cs="Arial"/>
          <w:sz w:val="17"/>
          <w:szCs w:val="17"/>
        </w:rPr>
        <w:t>uploaded-documents/SDG/2013/sdg2013_draft-sdgs-report-west-africa_en.pdf</w:t>
      </w:r>
      <w:r>
        <w:rPr>
          <w:rFonts w:ascii="Arial" w:hAnsi="Arial" w:cs="Arial"/>
          <w:sz w:val="17"/>
          <w:szCs w:val="17"/>
        </w:rPr>
        <w:t>.</w:t>
      </w:r>
    </w:p>
  </w:footnote>
  <w:footnote w:id="8">
    <w:p w14:paraId="24AF9A62" w14:textId="3BADCBDC" w:rsidR="005271F4" w:rsidRPr="00F27540" w:rsidRDefault="005271F4" w:rsidP="00D03225">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United Nations Conference on Trade and Development</w:t>
      </w:r>
      <w:r w:rsidR="00223C19">
        <w:rPr>
          <w:rFonts w:ascii="Arial" w:hAnsi="Arial" w:cs="Arial"/>
          <w:sz w:val="17"/>
          <w:szCs w:val="17"/>
        </w:rPr>
        <w:t xml:space="preserve">: </w:t>
      </w:r>
      <w:r>
        <w:rPr>
          <w:rFonts w:ascii="Arial" w:hAnsi="Arial" w:cs="Arial"/>
          <w:sz w:val="17"/>
          <w:szCs w:val="17"/>
        </w:rPr>
        <w:t>UNCTAD</w:t>
      </w:r>
      <w:r w:rsidRPr="00F27540">
        <w:rPr>
          <w:rFonts w:ascii="Arial" w:hAnsi="Arial" w:cs="Arial"/>
          <w:sz w:val="17"/>
          <w:szCs w:val="17"/>
        </w:rPr>
        <w:t xml:space="preserve">, </w:t>
      </w:r>
      <w:r w:rsidRPr="00223C19">
        <w:rPr>
          <w:rFonts w:ascii="Arial" w:hAnsi="Arial" w:cs="Arial"/>
          <w:i/>
          <w:sz w:val="17"/>
          <w:szCs w:val="17"/>
        </w:rPr>
        <w:t>World Investment Report 2015: Reforming International Investment Governance</w:t>
      </w:r>
      <w:r w:rsidRPr="00223C19">
        <w:rPr>
          <w:rFonts w:ascii="Arial" w:hAnsi="Arial" w:cs="Arial"/>
          <w:sz w:val="17"/>
          <w:szCs w:val="17"/>
        </w:rPr>
        <w:t>,</w:t>
      </w:r>
      <w:r w:rsidRPr="00F27540">
        <w:rPr>
          <w:rFonts w:ascii="Arial" w:hAnsi="Arial" w:cs="Arial"/>
          <w:sz w:val="17"/>
          <w:szCs w:val="17"/>
        </w:rPr>
        <w:t xml:space="preserve"> accessed April 10,</w:t>
      </w:r>
      <w:r>
        <w:rPr>
          <w:rFonts w:ascii="Arial" w:hAnsi="Arial" w:cs="Arial"/>
          <w:sz w:val="17"/>
          <w:szCs w:val="17"/>
        </w:rPr>
        <w:t xml:space="preserve"> </w:t>
      </w:r>
      <w:r w:rsidRPr="00F27540">
        <w:rPr>
          <w:rFonts w:ascii="Arial" w:hAnsi="Arial" w:cs="Arial"/>
          <w:sz w:val="17"/>
          <w:szCs w:val="17"/>
        </w:rPr>
        <w:t>2019, https://unctad.org/en/PublicationsLibrary/wir2015_en.pdf</w:t>
      </w:r>
      <w:r>
        <w:rPr>
          <w:rFonts w:ascii="Arial" w:hAnsi="Arial" w:cs="Arial"/>
          <w:sz w:val="17"/>
          <w:szCs w:val="17"/>
        </w:rPr>
        <w:t>.</w:t>
      </w:r>
    </w:p>
  </w:footnote>
  <w:footnote w:id="9">
    <w:p w14:paraId="7FC26B41" w14:textId="351107D0" w:rsidR="005271F4" w:rsidRPr="00F27540" w:rsidRDefault="005271F4" w:rsidP="00D03225">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w:t>
      </w:r>
      <w:r w:rsidRPr="00F27540">
        <w:rPr>
          <w:rFonts w:ascii="Arial" w:hAnsi="Arial" w:cs="Arial"/>
          <w:bCs/>
          <w:sz w:val="17"/>
          <w:szCs w:val="17"/>
          <w:shd w:val="clear" w:color="auto" w:fill="FFFFFF"/>
        </w:rPr>
        <w:t xml:space="preserve">The Economic Impact of the 2014 Ebola Epidemic: </w:t>
      </w:r>
      <w:proofErr w:type="gramStart"/>
      <w:r w:rsidRPr="00F27540">
        <w:rPr>
          <w:rFonts w:ascii="Arial" w:hAnsi="Arial" w:cs="Arial"/>
          <w:bCs/>
          <w:sz w:val="17"/>
          <w:szCs w:val="17"/>
          <w:shd w:val="clear" w:color="auto" w:fill="FFFFFF"/>
        </w:rPr>
        <w:t>Short and Medium Term</w:t>
      </w:r>
      <w:proofErr w:type="gramEnd"/>
      <w:r w:rsidRPr="00F27540">
        <w:rPr>
          <w:rFonts w:ascii="Arial" w:hAnsi="Arial" w:cs="Arial"/>
          <w:bCs/>
          <w:sz w:val="17"/>
          <w:szCs w:val="17"/>
          <w:shd w:val="clear" w:color="auto" w:fill="FFFFFF"/>
        </w:rPr>
        <w:t xml:space="preserve"> Estimates for West Africa,” The World Bank, </w:t>
      </w:r>
      <w:r>
        <w:rPr>
          <w:rFonts w:ascii="Arial" w:hAnsi="Arial" w:cs="Arial"/>
          <w:bCs/>
          <w:sz w:val="17"/>
          <w:szCs w:val="17"/>
          <w:shd w:val="clear" w:color="auto" w:fill="FFFFFF"/>
        </w:rPr>
        <w:t xml:space="preserve">October 8, 2014, </w:t>
      </w:r>
      <w:r w:rsidRPr="00F27540">
        <w:rPr>
          <w:rFonts w:ascii="Arial" w:hAnsi="Arial" w:cs="Arial"/>
          <w:bCs/>
          <w:sz w:val="17"/>
          <w:szCs w:val="17"/>
          <w:shd w:val="clear" w:color="auto" w:fill="FFFFFF"/>
        </w:rPr>
        <w:t xml:space="preserve">accessed April 10, 2019, </w:t>
      </w:r>
      <w:r>
        <w:rPr>
          <w:rFonts w:ascii="Arial" w:hAnsi="Arial" w:cs="Arial"/>
          <w:sz w:val="17"/>
          <w:szCs w:val="17"/>
        </w:rPr>
        <w:t>www.</w:t>
      </w:r>
      <w:r w:rsidRPr="00F27540">
        <w:rPr>
          <w:rFonts w:ascii="Arial" w:hAnsi="Arial" w:cs="Arial"/>
          <w:sz w:val="17"/>
          <w:szCs w:val="17"/>
        </w:rPr>
        <w:t>worldbank.org/en/region/afr/publication/the-economic-impact-of-the-2014-ebola-epidemic-short-and-medium-term-estimates-for-west-africa</w:t>
      </w:r>
      <w:r>
        <w:rPr>
          <w:rFonts w:ascii="Arial" w:hAnsi="Arial" w:cs="Arial"/>
          <w:sz w:val="17"/>
          <w:szCs w:val="17"/>
        </w:rPr>
        <w:t>.</w:t>
      </w:r>
    </w:p>
  </w:footnote>
  <w:footnote w:id="10">
    <w:p w14:paraId="52021CD6" w14:textId="275E0E4E" w:rsidR="005271F4" w:rsidRPr="00F27540" w:rsidRDefault="005271F4" w:rsidP="002214B0">
      <w:pPr>
        <w:autoSpaceDE w:val="0"/>
        <w:autoSpaceDN w:val="0"/>
        <w:adjustRightInd w:val="0"/>
        <w:rPr>
          <w:rFonts w:ascii="Arial" w:hAnsi="Arial" w:cs="Arial"/>
          <w:color w:val="FF0000"/>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w:t>
      </w:r>
      <w:proofErr w:type="spellStart"/>
      <w:r>
        <w:rPr>
          <w:rFonts w:ascii="Arial" w:hAnsi="Arial" w:cs="Arial"/>
          <w:sz w:val="17"/>
          <w:szCs w:val="17"/>
        </w:rPr>
        <w:t>Twerefou</w:t>
      </w:r>
      <w:proofErr w:type="spellEnd"/>
      <w:r w:rsidRPr="00F27540">
        <w:rPr>
          <w:rFonts w:ascii="Arial" w:hAnsi="Arial" w:cs="Arial"/>
          <w:sz w:val="17"/>
          <w:szCs w:val="17"/>
        </w:rPr>
        <w:t xml:space="preserve">, </w:t>
      </w:r>
      <w:r>
        <w:rPr>
          <w:rFonts w:ascii="Arial" w:eastAsiaTheme="minorEastAsia" w:hAnsi="Arial" w:cs="Arial"/>
          <w:bCs/>
          <w:sz w:val="17"/>
          <w:szCs w:val="17"/>
        </w:rPr>
        <w:t>o</w:t>
      </w:r>
      <w:r>
        <w:rPr>
          <w:rFonts w:ascii="Arial" w:hAnsi="Arial" w:cs="Arial"/>
          <w:sz w:val="17"/>
          <w:szCs w:val="17"/>
        </w:rPr>
        <w:t>p. cit.</w:t>
      </w:r>
    </w:p>
  </w:footnote>
  <w:footnote w:id="11">
    <w:p w14:paraId="1BA24F68" w14:textId="40D4372C" w:rsidR="009F3E50" w:rsidRDefault="005271F4" w:rsidP="00D03225">
      <w:pPr>
        <w:pStyle w:val="FootnoteText"/>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“22 </w:t>
      </w:r>
      <w:r w:rsidR="00604B44">
        <w:rPr>
          <w:rFonts w:ascii="Arial" w:hAnsi="Arial" w:cs="Arial"/>
          <w:sz w:val="17"/>
          <w:szCs w:val="17"/>
        </w:rPr>
        <w:t>J</w:t>
      </w:r>
      <w:r w:rsidRPr="00F27540">
        <w:rPr>
          <w:rFonts w:ascii="Arial" w:hAnsi="Arial" w:cs="Arial"/>
          <w:sz w:val="17"/>
          <w:szCs w:val="17"/>
        </w:rPr>
        <w:t xml:space="preserve">udges </w:t>
      </w:r>
      <w:r w:rsidR="00604B44">
        <w:rPr>
          <w:rFonts w:ascii="Arial" w:hAnsi="Arial" w:cs="Arial"/>
          <w:sz w:val="17"/>
          <w:szCs w:val="17"/>
        </w:rPr>
        <w:t>S</w:t>
      </w:r>
      <w:r w:rsidRPr="00F27540">
        <w:rPr>
          <w:rFonts w:ascii="Arial" w:hAnsi="Arial" w:cs="Arial"/>
          <w:sz w:val="17"/>
          <w:szCs w:val="17"/>
        </w:rPr>
        <w:t xml:space="preserve">uspended,” </w:t>
      </w:r>
      <w:proofErr w:type="spellStart"/>
      <w:r w:rsidR="00604B44">
        <w:rPr>
          <w:rFonts w:ascii="Arial" w:hAnsi="Arial" w:cs="Arial"/>
          <w:sz w:val="17"/>
          <w:szCs w:val="17"/>
        </w:rPr>
        <w:t>J</w:t>
      </w:r>
      <w:r w:rsidR="006C0091" w:rsidRPr="00F27540">
        <w:rPr>
          <w:rFonts w:ascii="Arial" w:hAnsi="Arial" w:cs="Arial"/>
          <w:sz w:val="17"/>
          <w:szCs w:val="17"/>
        </w:rPr>
        <w:t>oyonline</w:t>
      </w:r>
      <w:proofErr w:type="spellEnd"/>
      <w:r w:rsidR="006C0091" w:rsidRPr="00F27540">
        <w:rPr>
          <w:rFonts w:ascii="Arial" w:hAnsi="Arial" w:cs="Arial"/>
          <w:sz w:val="17"/>
          <w:szCs w:val="17"/>
        </w:rPr>
        <w:t xml:space="preserve">, </w:t>
      </w:r>
      <w:r w:rsidRPr="00F27540">
        <w:rPr>
          <w:rFonts w:ascii="Arial" w:hAnsi="Arial" w:cs="Arial"/>
          <w:sz w:val="17"/>
          <w:szCs w:val="17"/>
        </w:rPr>
        <w:t xml:space="preserve">September </w:t>
      </w:r>
      <w:r w:rsidR="006C0091">
        <w:rPr>
          <w:rFonts w:ascii="Arial" w:hAnsi="Arial" w:cs="Arial"/>
          <w:sz w:val="17"/>
          <w:szCs w:val="17"/>
        </w:rPr>
        <w:t xml:space="preserve">9, </w:t>
      </w:r>
      <w:r w:rsidRPr="00F27540">
        <w:rPr>
          <w:rFonts w:ascii="Arial" w:hAnsi="Arial" w:cs="Arial"/>
          <w:sz w:val="17"/>
          <w:szCs w:val="17"/>
        </w:rPr>
        <w:t xml:space="preserve">2015, accessed April 10, 2019, </w:t>
      </w:r>
      <w:r w:rsidR="009F3E50" w:rsidRPr="009F3E50">
        <w:rPr>
          <w:rFonts w:ascii="Arial" w:hAnsi="Arial" w:cs="Arial"/>
          <w:sz w:val="17"/>
          <w:szCs w:val="17"/>
        </w:rPr>
        <w:t>www.myjoyonline.com/news/2015/</w:t>
      </w:r>
    </w:p>
    <w:p w14:paraId="7D8F8D5C" w14:textId="4603D229" w:rsidR="005271F4" w:rsidRPr="00F27540" w:rsidRDefault="005271F4" w:rsidP="00D03225">
      <w:pPr>
        <w:pStyle w:val="FootnoteText"/>
        <w:rPr>
          <w:rFonts w:ascii="Arial" w:hAnsi="Arial" w:cs="Arial"/>
          <w:sz w:val="17"/>
          <w:szCs w:val="17"/>
        </w:rPr>
      </w:pPr>
      <w:r w:rsidRPr="00F27540">
        <w:rPr>
          <w:rFonts w:ascii="Arial" w:hAnsi="Arial" w:cs="Arial"/>
          <w:sz w:val="17"/>
          <w:szCs w:val="17"/>
        </w:rPr>
        <w:t>september-9th/breaking-22-judges-suspended.php</w:t>
      </w:r>
      <w:r>
        <w:rPr>
          <w:rFonts w:ascii="Arial" w:hAnsi="Arial" w:cs="Arial"/>
          <w:sz w:val="17"/>
          <w:szCs w:val="17"/>
        </w:rPr>
        <w:t>.</w:t>
      </w:r>
    </w:p>
  </w:footnote>
  <w:footnote w:id="12">
    <w:p w14:paraId="072F00C1" w14:textId="0B9731CA" w:rsidR="005271F4" w:rsidRPr="00F27540" w:rsidRDefault="005271F4" w:rsidP="00D03225">
      <w:pPr>
        <w:pStyle w:val="dx-doi"/>
        <w:spacing w:before="0" w:beforeAutospacing="0" w:after="0" w:afterAutospacing="0"/>
        <w:rPr>
          <w:rFonts w:ascii="Arial" w:hAnsi="Arial" w:cs="Arial"/>
          <w:sz w:val="17"/>
          <w:szCs w:val="17"/>
        </w:rPr>
      </w:pPr>
      <w:r w:rsidRPr="00F27540">
        <w:rPr>
          <w:rStyle w:val="FootnoteReference"/>
          <w:rFonts w:ascii="Arial" w:hAnsi="Arial" w:cs="Arial"/>
          <w:sz w:val="17"/>
          <w:szCs w:val="17"/>
        </w:rPr>
        <w:footnoteRef/>
      </w:r>
      <w:r w:rsidRPr="00F27540">
        <w:rPr>
          <w:rFonts w:ascii="Arial" w:hAnsi="Arial" w:cs="Arial"/>
          <w:sz w:val="17"/>
          <w:szCs w:val="17"/>
        </w:rPr>
        <w:t xml:space="preserve"> Muhammad Dan Suleiman, “Global </w:t>
      </w:r>
      <w:r w:rsidR="00200D7A">
        <w:rPr>
          <w:rFonts w:ascii="Arial" w:hAnsi="Arial" w:cs="Arial"/>
          <w:sz w:val="17"/>
          <w:szCs w:val="17"/>
        </w:rPr>
        <w:t>I</w:t>
      </w:r>
      <w:r w:rsidRPr="00F27540">
        <w:rPr>
          <w:rFonts w:ascii="Arial" w:hAnsi="Arial" w:cs="Arial"/>
          <w:sz w:val="17"/>
          <w:szCs w:val="17"/>
        </w:rPr>
        <w:t xml:space="preserve">nsecurity and </w:t>
      </w:r>
      <w:r w:rsidR="00200D7A">
        <w:rPr>
          <w:rFonts w:ascii="Arial" w:hAnsi="Arial" w:cs="Arial"/>
          <w:sz w:val="17"/>
          <w:szCs w:val="17"/>
        </w:rPr>
        <w:t>L</w:t>
      </w:r>
      <w:r w:rsidRPr="00F27540">
        <w:rPr>
          <w:rFonts w:ascii="Arial" w:hAnsi="Arial" w:cs="Arial"/>
          <w:sz w:val="17"/>
          <w:szCs w:val="17"/>
        </w:rPr>
        <w:t xml:space="preserve">ocal </w:t>
      </w:r>
      <w:r w:rsidR="00200D7A">
        <w:rPr>
          <w:rFonts w:ascii="Arial" w:hAnsi="Arial" w:cs="Arial"/>
          <w:sz w:val="17"/>
          <w:szCs w:val="17"/>
        </w:rPr>
        <w:t>C</w:t>
      </w:r>
      <w:r w:rsidRPr="00F27540">
        <w:rPr>
          <w:rFonts w:ascii="Arial" w:hAnsi="Arial" w:cs="Arial"/>
          <w:sz w:val="17"/>
          <w:szCs w:val="17"/>
        </w:rPr>
        <w:t xml:space="preserve">onflicts in Ghana,” </w:t>
      </w:r>
      <w:r w:rsidRPr="00F27540">
        <w:rPr>
          <w:rFonts w:ascii="Arial" w:hAnsi="Arial" w:cs="Arial"/>
          <w:i/>
          <w:sz w:val="17"/>
          <w:szCs w:val="17"/>
        </w:rPr>
        <w:t>Peace Review</w:t>
      </w:r>
      <w:r w:rsidR="00207CB8">
        <w:rPr>
          <w:rFonts w:ascii="Arial" w:hAnsi="Arial" w:cs="Arial"/>
          <w:i/>
          <w:sz w:val="17"/>
          <w:szCs w:val="17"/>
        </w:rPr>
        <w:t>: A Journal of Social Justice</w:t>
      </w:r>
      <w:r w:rsidRPr="00F27540">
        <w:rPr>
          <w:rFonts w:ascii="Arial" w:hAnsi="Arial" w:cs="Arial"/>
          <w:sz w:val="17"/>
          <w:szCs w:val="17"/>
        </w:rPr>
        <w:t xml:space="preserve"> 29, no. 3, (2017):</w:t>
      </w:r>
      <w:r w:rsidR="00200D7A">
        <w:rPr>
          <w:rFonts w:ascii="Arial" w:hAnsi="Arial" w:cs="Arial"/>
          <w:sz w:val="17"/>
          <w:szCs w:val="17"/>
        </w:rPr>
        <w:t xml:space="preserve"> </w:t>
      </w:r>
      <w:r w:rsidRPr="00F27540">
        <w:rPr>
          <w:rFonts w:ascii="Arial" w:hAnsi="Arial" w:cs="Arial"/>
          <w:sz w:val="17"/>
          <w:szCs w:val="17"/>
        </w:rPr>
        <w:t>315</w:t>
      </w:r>
      <w:r w:rsidR="00200D7A">
        <w:rPr>
          <w:rFonts w:ascii="Arial" w:hAnsi="Arial" w:cs="Arial"/>
          <w:sz w:val="17"/>
          <w:szCs w:val="17"/>
        </w:rPr>
        <w:t>–</w:t>
      </w:r>
      <w:r w:rsidRPr="00F27540">
        <w:rPr>
          <w:rFonts w:ascii="Arial" w:hAnsi="Arial" w:cs="Arial"/>
          <w:sz w:val="17"/>
          <w:szCs w:val="17"/>
        </w:rPr>
        <w:t xml:space="preserve">324, </w:t>
      </w:r>
      <w:proofErr w:type="spellStart"/>
      <w:r w:rsidRPr="00F27540">
        <w:rPr>
          <w:rFonts w:ascii="Arial" w:hAnsi="Arial" w:cs="Arial"/>
          <w:sz w:val="17"/>
          <w:szCs w:val="17"/>
        </w:rPr>
        <w:t>doi</w:t>
      </w:r>
      <w:proofErr w:type="spellEnd"/>
      <w:r w:rsidRPr="00F27540">
        <w:rPr>
          <w:rFonts w:ascii="Arial" w:hAnsi="Arial" w:cs="Arial"/>
          <w:sz w:val="17"/>
          <w:szCs w:val="17"/>
        </w:rPr>
        <w:t>: 10.1080/10402659.2017.1344759</w:t>
      </w:r>
      <w:r>
        <w:rPr>
          <w:rFonts w:ascii="Arial" w:hAnsi="Arial" w:cs="Arial"/>
          <w:sz w:val="17"/>
          <w:szCs w:val="17"/>
        </w:rPr>
        <w:t>.</w:t>
      </w:r>
    </w:p>
  </w:footnote>
  <w:footnote w:id="13">
    <w:p w14:paraId="6D3A65FC" w14:textId="17104DE2" w:rsidR="009F3E50" w:rsidRDefault="005271F4" w:rsidP="00D03225">
      <w:pPr>
        <w:pStyle w:val="FootnoteText"/>
        <w:rPr>
          <w:rFonts w:ascii="Arial" w:hAnsi="Arial" w:cs="Arial"/>
          <w:sz w:val="17"/>
          <w:szCs w:val="17"/>
        </w:rPr>
      </w:pPr>
      <w:r w:rsidRPr="00BC7398">
        <w:rPr>
          <w:rStyle w:val="FootnoteReference"/>
          <w:rFonts w:ascii="Arial" w:hAnsi="Arial" w:cs="Arial"/>
          <w:sz w:val="17"/>
          <w:szCs w:val="17"/>
        </w:rPr>
        <w:footnoteRef/>
      </w:r>
      <w:r w:rsidRPr="00BC7398">
        <w:rPr>
          <w:rFonts w:ascii="Arial" w:hAnsi="Arial" w:cs="Arial"/>
          <w:sz w:val="17"/>
          <w:szCs w:val="17"/>
        </w:rPr>
        <w:t xml:space="preserve"> U</w:t>
      </w:r>
      <w:r w:rsidR="00410B7C">
        <w:rPr>
          <w:rFonts w:ascii="Arial" w:hAnsi="Arial" w:cs="Arial"/>
          <w:sz w:val="17"/>
          <w:szCs w:val="17"/>
        </w:rPr>
        <w:t>N</w:t>
      </w:r>
      <w:r w:rsidRPr="00BC7398">
        <w:rPr>
          <w:rFonts w:ascii="Arial" w:hAnsi="Arial" w:cs="Arial"/>
          <w:sz w:val="17"/>
          <w:szCs w:val="17"/>
        </w:rPr>
        <w:t xml:space="preserve"> </w:t>
      </w:r>
      <w:r w:rsidR="00200D7A" w:rsidRPr="00BC7398">
        <w:rPr>
          <w:rFonts w:ascii="Arial" w:hAnsi="Arial" w:cs="Arial"/>
          <w:sz w:val="17"/>
          <w:szCs w:val="17"/>
        </w:rPr>
        <w:t>Communications Group</w:t>
      </w:r>
      <w:r w:rsidR="00410B7C">
        <w:rPr>
          <w:rFonts w:ascii="Arial" w:hAnsi="Arial" w:cs="Arial"/>
          <w:sz w:val="17"/>
          <w:szCs w:val="17"/>
        </w:rPr>
        <w:t xml:space="preserve"> (UNCG) and CSO Platform on SDGs</w:t>
      </w:r>
      <w:r w:rsidRPr="00BC7398">
        <w:rPr>
          <w:rFonts w:ascii="Arial" w:hAnsi="Arial" w:cs="Arial"/>
          <w:sz w:val="17"/>
          <w:szCs w:val="17"/>
        </w:rPr>
        <w:t xml:space="preserve">, </w:t>
      </w:r>
      <w:r w:rsidRPr="00BC7398">
        <w:rPr>
          <w:rFonts w:ascii="Arial" w:hAnsi="Arial" w:cs="Arial"/>
          <w:i/>
          <w:sz w:val="17"/>
          <w:szCs w:val="17"/>
        </w:rPr>
        <w:t>The Sustainable Development Goals (SDGs) in Ghana</w:t>
      </w:r>
      <w:r w:rsidR="00410B7C">
        <w:rPr>
          <w:rFonts w:ascii="Arial" w:hAnsi="Arial" w:cs="Arial"/>
          <w:i/>
          <w:sz w:val="17"/>
          <w:szCs w:val="17"/>
        </w:rPr>
        <w:t>: Why They Matter &amp; How We Can Help</w:t>
      </w:r>
      <w:r w:rsidRPr="00BC7398">
        <w:rPr>
          <w:rFonts w:ascii="Arial" w:hAnsi="Arial" w:cs="Arial"/>
          <w:sz w:val="17"/>
          <w:szCs w:val="17"/>
        </w:rPr>
        <w:t>,</w:t>
      </w:r>
      <w:r w:rsidR="00410B7C">
        <w:rPr>
          <w:rFonts w:ascii="Arial" w:hAnsi="Arial" w:cs="Arial"/>
          <w:sz w:val="17"/>
          <w:szCs w:val="17"/>
        </w:rPr>
        <w:t xml:space="preserve"> November </w:t>
      </w:r>
      <w:r w:rsidR="00200D7A" w:rsidRPr="00BC7398">
        <w:rPr>
          <w:rFonts w:ascii="Arial" w:hAnsi="Arial" w:cs="Arial"/>
          <w:sz w:val="17"/>
          <w:szCs w:val="17"/>
        </w:rPr>
        <w:t xml:space="preserve">2017, </w:t>
      </w:r>
      <w:r w:rsidRPr="00BC7398">
        <w:rPr>
          <w:rFonts w:ascii="Arial" w:hAnsi="Arial" w:cs="Arial"/>
          <w:sz w:val="17"/>
          <w:szCs w:val="17"/>
        </w:rPr>
        <w:t xml:space="preserve">accessed April 10, 2019, </w:t>
      </w:r>
      <w:r w:rsidR="009F3E50" w:rsidRPr="009F3E50">
        <w:rPr>
          <w:rFonts w:ascii="Arial" w:hAnsi="Arial" w:cs="Arial"/>
          <w:sz w:val="17"/>
          <w:szCs w:val="17"/>
        </w:rPr>
        <w:t>www.undp.org/content/dam/unct/ghana/</w:t>
      </w:r>
    </w:p>
    <w:p w14:paraId="313CA92E" w14:textId="285558BF" w:rsidR="005271F4" w:rsidRPr="00BC7398" w:rsidRDefault="005271F4" w:rsidP="00D03225">
      <w:pPr>
        <w:pStyle w:val="FootnoteText"/>
        <w:rPr>
          <w:rFonts w:ascii="Arial" w:hAnsi="Arial" w:cs="Arial"/>
          <w:sz w:val="17"/>
          <w:szCs w:val="17"/>
        </w:rPr>
      </w:pPr>
      <w:r w:rsidRPr="00BC7398">
        <w:rPr>
          <w:rFonts w:ascii="Arial" w:hAnsi="Arial" w:cs="Arial"/>
          <w:sz w:val="17"/>
          <w:szCs w:val="17"/>
        </w:rPr>
        <w:t>docs/SDGs/UNCT-GH-SDGs-in-Ghana-Avocacy-Messages-2017.pdf.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3C4003F" w:rsidR="005271F4" w:rsidRPr="00C92CC4" w:rsidRDefault="005271F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90A9B">
      <w:rPr>
        <w:rFonts w:ascii="Arial" w:hAnsi="Arial"/>
        <w:b/>
        <w:noProof/>
      </w:rPr>
      <w:t>9</w:t>
    </w:r>
    <w:r>
      <w:rPr>
        <w:rFonts w:ascii="Arial" w:hAnsi="Arial"/>
        <w:b/>
      </w:rPr>
      <w:fldChar w:fldCharType="end"/>
    </w:r>
    <w:r>
      <w:rPr>
        <w:rFonts w:ascii="Arial" w:hAnsi="Arial"/>
        <w:b/>
      </w:rPr>
      <w:tab/>
    </w:r>
    <w:r w:rsidR="005C3CE2">
      <w:rPr>
        <w:rFonts w:ascii="Arial" w:hAnsi="Arial"/>
        <w:b/>
      </w:rPr>
      <w:t>9B19M</w:t>
    </w:r>
    <w:r w:rsidR="00567C41">
      <w:rPr>
        <w:rFonts w:ascii="Arial" w:hAnsi="Arial"/>
        <w:b/>
      </w:rPr>
      <w:t>124</w:t>
    </w:r>
  </w:p>
  <w:p w14:paraId="2B53C0A0" w14:textId="77777777" w:rsidR="005271F4" w:rsidRDefault="005271F4" w:rsidP="00D13667">
    <w:pPr>
      <w:pStyle w:val="Header"/>
      <w:tabs>
        <w:tab w:val="clear" w:pos="4680"/>
      </w:tabs>
      <w:rPr>
        <w:sz w:val="18"/>
        <w:szCs w:val="18"/>
      </w:rPr>
    </w:pPr>
  </w:p>
  <w:p w14:paraId="47119730" w14:textId="77777777" w:rsidR="005271F4" w:rsidRPr="00C92CC4" w:rsidRDefault="005271F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712B"/>
    <w:multiLevelType w:val="hybridMultilevel"/>
    <w:tmpl w:val="BA4A2B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95FE3"/>
    <w:multiLevelType w:val="hybridMultilevel"/>
    <w:tmpl w:val="98B61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13"/>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1269"/>
    <w:rsid w:val="00013360"/>
    <w:rsid w:val="0001409E"/>
    <w:rsid w:val="00014A3D"/>
    <w:rsid w:val="00016759"/>
    <w:rsid w:val="00016D76"/>
    <w:rsid w:val="000216CE"/>
    <w:rsid w:val="00024ED4"/>
    <w:rsid w:val="00025DC7"/>
    <w:rsid w:val="00032339"/>
    <w:rsid w:val="00035F09"/>
    <w:rsid w:val="00037F42"/>
    <w:rsid w:val="00044ECC"/>
    <w:rsid w:val="000531D3"/>
    <w:rsid w:val="00053BDB"/>
    <w:rsid w:val="00055B58"/>
    <w:rsid w:val="0005646B"/>
    <w:rsid w:val="000615D1"/>
    <w:rsid w:val="00074D97"/>
    <w:rsid w:val="00076664"/>
    <w:rsid w:val="00080429"/>
    <w:rsid w:val="0008074C"/>
    <w:rsid w:val="0008102D"/>
    <w:rsid w:val="00081141"/>
    <w:rsid w:val="00082217"/>
    <w:rsid w:val="000852C7"/>
    <w:rsid w:val="00086B26"/>
    <w:rsid w:val="000939C0"/>
    <w:rsid w:val="000945A6"/>
    <w:rsid w:val="00094C0E"/>
    <w:rsid w:val="00094CBD"/>
    <w:rsid w:val="000A146D"/>
    <w:rsid w:val="000C223C"/>
    <w:rsid w:val="000C2A7C"/>
    <w:rsid w:val="000C51FC"/>
    <w:rsid w:val="000D2A2F"/>
    <w:rsid w:val="000D7091"/>
    <w:rsid w:val="000E769F"/>
    <w:rsid w:val="000E76D0"/>
    <w:rsid w:val="000F0C22"/>
    <w:rsid w:val="000F5629"/>
    <w:rsid w:val="000F685C"/>
    <w:rsid w:val="000F6B09"/>
    <w:rsid w:val="000F6FDC"/>
    <w:rsid w:val="0010097D"/>
    <w:rsid w:val="00101DBC"/>
    <w:rsid w:val="001039D3"/>
    <w:rsid w:val="00104567"/>
    <w:rsid w:val="00104916"/>
    <w:rsid w:val="00104AA7"/>
    <w:rsid w:val="0012732D"/>
    <w:rsid w:val="00143F25"/>
    <w:rsid w:val="00144858"/>
    <w:rsid w:val="00144DD1"/>
    <w:rsid w:val="00152682"/>
    <w:rsid w:val="0015433C"/>
    <w:rsid w:val="00154FC9"/>
    <w:rsid w:val="001575F2"/>
    <w:rsid w:val="00165024"/>
    <w:rsid w:val="001709A5"/>
    <w:rsid w:val="00170D26"/>
    <w:rsid w:val="00176005"/>
    <w:rsid w:val="0017650D"/>
    <w:rsid w:val="00176A92"/>
    <w:rsid w:val="001901B1"/>
    <w:rsid w:val="001901C0"/>
    <w:rsid w:val="0019241A"/>
    <w:rsid w:val="00192A18"/>
    <w:rsid w:val="001A22D1"/>
    <w:rsid w:val="001A4BC7"/>
    <w:rsid w:val="001A752D"/>
    <w:rsid w:val="001A757E"/>
    <w:rsid w:val="001A78E1"/>
    <w:rsid w:val="001B0820"/>
    <w:rsid w:val="001B110F"/>
    <w:rsid w:val="001B5032"/>
    <w:rsid w:val="001B5DBB"/>
    <w:rsid w:val="001C16E7"/>
    <w:rsid w:val="001C281E"/>
    <w:rsid w:val="001C7777"/>
    <w:rsid w:val="001D26F3"/>
    <w:rsid w:val="001D2E3D"/>
    <w:rsid w:val="001D344B"/>
    <w:rsid w:val="001D645F"/>
    <w:rsid w:val="001D6583"/>
    <w:rsid w:val="001E22D4"/>
    <w:rsid w:val="001E364F"/>
    <w:rsid w:val="001E4C42"/>
    <w:rsid w:val="001E4DE6"/>
    <w:rsid w:val="001E7257"/>
    <w:rsid w:val="001F4222"/>
    <w:rsid w:val="00200D7A"/>
    <w:rsid w:val="00203641"/>
    <w:rsid w:val="00203AA1"/>
    <w:rsid w:val="0020659A"/>
    <w:rsid w:val="00207CB8"/>
    <w:rsid w:val="00213E98"/>
    <w:rsid w:val="002214B0"/>
    <w:rsid w:val="00223C19"/>
    <w:rsid w:val="00223CD7"/>
    <w:rsid w:val="00226C45"/>
    <w:rsid w:val="00230150"/>
    <w:rsid w:val="0023081A"/>
    <w:rsid w:val="00233111"/>
    <w:rsid w:val="00237583"/>
    <w:rsid w:val="00247D4C"/>
    <w:rsid w:val="002603A3"/>
    <w:rsid w:val="00265FA8"/>
    <w:rsid w:val="00272DA1"/>
    <w:rsid w:val="00274B7C"/>
    <w:rsid w:val="00292849"/>
    <w:rsid w:val="002A1527"/>
    <w:rsid w:val="002A4040"/>
    <w:rsid w:val="002B17E4"/>
    <w:rsid w:val="002B40FF"/>
    <w:rsid w:val="002B4914"/>
    <w:rsid w:val="002B6A1E"/>
    <w:rsid w:val="002C0357"/>
    <w:rsid w:val="002C362A"/>
    <w:rsid w:val="002C3BA2"/>
    <w:rsid w:val="002C4E29"/>
    <w:rsid w:val="002C5C19"/>
    <w:rsid w:val="002D30EF"/>
    <w:rsid w:val="002E5E4D"/>
    <w:rsid w:val="002F16B6"/>
    <w:rsid w:val="002F2C3B"/>
    <w:rsid w:val="002F420D"/>
    <w:rsid w:val="002F460C"/>
    <w:rsid w:val="002F48D6"/>
    <w:rsid w:val="00306F3B"/>
    <w:rsid w:val="00316351"/>
    <w:rsid w:val="00317391"/>
    <w:rsid w:val="00320FF6"/>
    <w:rsid w:val="00323214"/>
    <w:rsid w:val="0032491E"/>
    <w:rsid w:val="00326216"/>
    <w:rsid w:val="00330274"/>
    <w:rsid w:val="00336580"/>
    <w:rsid w:val="00343F44"/>
    <w:rsid w:val="00347D1A"/>
    <w:rsid w:val="003545DC"/>
    <w:rsid w:val="00354899"/>
    <w:rsid w:val="00355FD6"/>
    <w:rsid w:val="00364A5C"/>
    <w:rsid w:val="003654BA"/>
    <w:rsid w:val="003667BF"/>
    <w:rsid w:val="0037172A"/>
    <w:rsid w:val="00373FB1"/>
    <w:rsid w:val="00387EBC"/>
    <w:rsid w:val="0039318E"/>
    <w:rsid w:val="00396BDF"/>
    <w:rsid w:val="00396C76"/>
    <w:rsid w:val="00397012"/>
    <w:rsid w:val="003A7255"/>
    <w:rsid w:val="003B30D8"/>
    <w:rsid w:val="003B4706"/>
    <w:rsid w:val="003B4E25"/>
    <w:rsid w:val="003B7EF2"/>
    <w:rsid w:val="003C227A"/>
    <w:rsid w:val="003C3FA4"/>
    <w:rsid w:val="003D0BA1"/>
    <w:rsid w:val="003D5D0E"/>
    <w:rsid w:val="003D7581"/>
    <w:rsid w:val="003E4AEA"/>
    <w:rsid w:val="003E67FE"/>
    <w:rsid w:val="003F0E74"/>
    <w:rsid w:val="003F0EC0"/>
    <w:rsid w:val="003F2B0C"/>
    <w:rsid w:val="00400C85"/>
    <w:rsid w:val="00401301"/>
    <w:rsid w:val="004105B2"/>
    <w:rsid w:val="00410B7C"/>
    <w:rsid w:val="0041145A"/>
    <w:rsid w:val="00411792"/>
    <w:rsid w:val="00412900"/>
    <w:rsid w:val="00414448"/>
    <w:rsid w:val="00416701"/>
    <w:rsid w:val="00421189"/>
    <w:rsid w:val="004221E4"/>
    <w:rsid w:val="00423807"/>
    <w:rsid w:val="00425763"/>
    <w:rsid w:val="004273F8"/>
    <w:rsid w:val="0043008C"/>
    <w:rsid w:val="004355A3"/>
    <w:rsid w:val="00443E0A"/>
    <w:rsid w:val="00446546"/>
    <w:rsid w:val="00447717"/>
    <w:rsid w:val="00452769"/>
    <w:rsid w:val="00453299"/>
    <w:rsid w:val="00454FA7"/>
    <w:rsid w:val="004602ED"/>
    <w:rsid w:val="00465348"/>
    <w:rsid w:val="004654DD"/>
    <w:rsid w:val="00467352"/>
    <w:rsid w:val="00494A6B"/>
    <w:rsid w:val="004979A5"/>
    <w:rsid w:val="004A06ED"/>
    <w:rsid w:val="004A25E0"/>
    <w:rsid w:val="004A556A"/>
    <w:rsid w:val="004A7087"/>
    <w:rsid w:val="004B1CCB"/>
    <w:rsid w:val="004B20C4"/>
    <w:rsid w:val="004B356F"/>
    <w:rsid w:val="004B4218"/>
    <w:rsid w:val="004B632F"/>
    <w:rsid w:val="004B6935"/>
    <w:rsid w:val="004C1CD9"/>
    <w:rsid w:val="004C22A0"/>
    <w:rsid w:val="004D3FB1"/>
    <w:rsid w:val="004D6F21"/>
    <w:rsid w:val="004D73A5"/>
    <w:rsid w:val="004E1483"/>
    <w:rsid w:val="004E56E9"/>
    <w:rsid w:val="004F0890"/>
    <w:rsid w:val="004F09BB"/>
    <w:rsid w:val="00504C43"/>
    <w:rsid w:val="005160F1"/>
    <w:rsid w:val="00524F2F"/>
    <w:rsid w:val="0052618E"/>
    <w:rsid w:val="005271F4"/>
    <w:rsid w:val="00527E5C"/>
    <w:rsid w:val="00532CF5"/>
    <w:rsid w:val="0053774C"/>
    <w:rsid w:val="00542E9F"/>
    <w:rsid w:val="005528CB"/>
    <w:rsid w:val="00561888"/>
    <w:rsid w:val="00566771"/>
    <w:rsid w:val="00567C41"/>
    <w:rsid w:val="00581E2E"/>
    <w:rsid w:val="00584F15"/>
    <w:rsid w:val="0059514B"/>
    <w:rsid w:val="005A1B0F"/>
    <w:rsid w:val="005A4B8E"/>
    <w:rsid w:val="005A5860"/>
    <w:rsid w:val="005A6802"/>
    <w:rsid w:val="005B4CE6"/>
    <w:rsid w:val="005B5EFE"/>
    <w:rsid w:val="005B7529"/>
    <w:rsid w:val="005C2F39"/>
    <w:rsid w:val="005C3CE2"/>
    <w:rsid w:val="005D0E53"/>
    <w:rsid w:val="005D27E4"/>
    <w:rsid w:val="005E1A09"/>
    <w:rsid w:val="005E4B6A"/>
    <w:rsid w:val="005F29E8"/>
    <w:rsid w:val="005F73AF"/>
    <w:rsid w:val="0060000D"/>
    <w:rsid w:val="00600279"/>
    <w:rsid w:val="00604B44"/>
    <w:rsid w:val="006121CA"/>
    <w:rsid w:val="006163F7"/>
    <w:rsid w:val="00621576"/>
    <w:rsid w:val="006278DD"/>
    <w:rsid w:val="00627C63"/>
    <w:rsid w:val="0063350B"/>
    <w:rsid w:val="00633566"/>
    <w:rsid w:val="006401D5"/>
    <w:rsid w:val="00652606"/>
    <w:rsid w:val="00674012"/>
    <w:rsid w:val="006834A6"/>
    <w:rsid w:val="0068596B"/>
    <w:rsid w:val="006946EE"/>
    <w:rsid w:val="006961B7"/>
    <w:rsid w:val="006A1358"/>
    <w:rsid w:val="006A5856"/>
    <w:rsid w:val="006A58A9"/>
    <w:rsid w:val="006A606D"/>
    <w:rsid w:val="006B0269"/>
    <w:rsid w:val="006C0091"/>
    <w:rsid w:val="006C0371"/>
    <w:rsid w:val="006C08B6"/>
    <w:rsid w:val="006C0B1A"/>
    <w:rsid w:val="006C6065"/>
    <w:rsid w:val="006C7F9F"/>
    <w:rsid w:val="006E2F6D"/>
    <w:rsid w:val="006E58F6"/>
    <w:rsid w:val="006E77E1"/>
    <w:rsid w:val="006F131D"/>
    <w:rsid w:val="006F79C6"/>
    <w:rsid w:val="00703357"/>
    <w:rsid w:val="00711642"/>
    <w:rsid w:val="00725CC3"/>
    <w:rsid w:val="0073798D"/>
    <w:rsid w:val="00740422"/>
    <w:rsid w:val="00746C90"/>
    <w:rsid w:val="007507C6"/>
    <w:rsid w:val="00751E0B"/>
    <w:rsid w:val="00752BCD"/>
    <w:rsid w:val="00756312"/>
    <w:rsid w:val="00756CA5"/>
    <w:rsid w:val="00766DA1"/>
    <w:rsid w:val="00767011"/>
    <w:rsid w:val="0077001C"/>
    <w:rsid w:val="00774D32"/>
    <w:rsid w:val="00780D94"/>
    <w:rsid w:val="0078290D"/>
    <w:rsid w:val="00786602"/>
    <w:rsid w:val="007866A6"/>
    <w:rsid w:val="00790A9B"/>
    <w:rsid w:val="00793121"/>
    <w:rsid w:val="007967CA"/>
    <w:rsid w:val="007A0C2F"/>
    <w:rsid w:val="007A130D"/>
    <w:rsid w:val="007B41DC"/>
    <w:rsid w:val="007B56F5"/>
    <w:rsid w:val="007B7EC1"/>
    <w:rsid w:val="007D01EC"/>
    <w:rsid w:val="007D1A2D"/>
    <w:rsid w:val="007D32E6"/>
    <w:rsid w:val="007D32EE"/>
    <w:rsid w:val="007D33EC"/>
    <w:rsid w:val="007D3DBC"/>
    <w:rsid w:val="007D4102"/>
    <w:rsid w:val="007E54A7"/>
    <w:rsid w:val="007F43B7"/>
    <w:rsid w:val="007F4851"/>
    <w:rsid w:val="0080347A"/>
    <w:rsid w:val="00805577"/>
    <w:rsid w:val="00821FFC"/>
    <w:rsid w:val="008260BB"/>
    <w:rsid w:val="00826A63"/>
    <w:rsid w:val="008271CA"/>
    <w:rsid w:val="008405EF"/>
    <w:rsid w:val="00842E2F"/>
    <w:rsid w:val="00845339"/>
    <w:rsid w:val="008467D5"/>
    <w:rsid w:val="00863091"/>
    <w:rsid w:val="00866B89"/>
    <w:rsid w:val="00872380"/>
    <w:rsid w:val="00873AED"/>
    <w:rsid w:val="008905BC"/>
    <w:rsid w:val="008A4DC4"/>
    <w:rsid w:val="008B438C"/>
    <w:rsid w:val="008B784C"/>
    <w:rsid w:val="008C30CF"/>
    <w:rsid w:val="008D06CA"/>
    <w:rsid w:val="008D3A46"/>
    <w:rsid w:val="008E4D70"/>
    <w:rsid w:val="008F2385"/>
    <w:rsid w:val="009056BD"/>
    <w:rsid w:val="009067A4"/>
    <w:rsid w:val="00907527"/>
    <w:rsid w:val="00920E7C"/>
    <w:rsid w:val="0092617C"/>
    <w:rsid w:val="00930885"/>
    <w:rsid w:val="00932988"/>
    <w:rsid w:val="00933D68"/>
    <w:rsid w:val="00933F99"/>
    <w:rsid w:val="009340DB"/>
    <w:rsid w:val="0093581B"/>
    <w:rsid w:val="0094618C"/>
    <w:rsid w:val="00946305"/>
    <w:rsid w:val="00954B73"/>
    <w:rsid w:val="0095684B"/>
    <w:rsid w:val="009575C3"/>
    <w:rsid w:val="00961E0F"/>
    <w:rsid w:val="009642C1"/>
    <w:rsid w:val="00965DB2"/>
    <w:rsid w:val="009704D3"/>
    <w:rsid w:val="00970B34"/>
    <w:rsid w:val="00971C88"/>
    <w:rsid w:val="00972498"/>
    <w:rsid w:val="0097481F"/>
    <w:rsid w:val="00974CC6"/>
    <w:rsid w:val="00975E03"/>
    <w:rsid w:val="00976AD4"/>
    <w:rsid w:val="00981276"/>
    <w:rsid w:val="00995547"/>
    <w:rsid w:val="009A29F8"/>
    <w:rsid w:val="009A312F"/>
    <w:rsid w:val="009A3611"/>
    <w:rsid w:val="009A5348"/>
    <w:rsid w:val="009B0AB7"/>
    <w:rsid w:val="009B5A99"/>
    <w:rsid w:val="009C76D5"/>
    <w:rsid w:val="009E181B"/>
    <w:rsid w:val="009E3D71"/>
    <w:rsid w:val="009F3E50"/>
    <w:rsid w:val="009F6D61"/>
    <w:rsid w:val="009F7AA4"/>
    <w:rsid w:val="00A06515"/>
    <w:rsid w:val="00A10AD7"/>
    <w:rsid w:val="00A323B0"/>
    <w:rsid w:val="00A42E90"/>
    <w:rsid w:val="00A445A5"/>
    <w:rsid w:val="00A44A37"/>
    <w:rsid w:val="00A47D69"/>
    <w:rsid w:val="00A5000E"/>
    <w:rsid w:val="00A50AEF"/>
    <w:rsid w:val="00A511EC"/>
    <w:rsid w:val="00A559DB"/>
    <w:rsid w:val="00A569EA"/>
    <w:rsid w:val="00A65EAF"/>
    <w:rsid w:val="00A676A0"/>
    <w:rsid w:val="00A71C2E"/>
    <w:rsid w:val="00A810A8"/>
    <w:rsid w:val="00A857E7"/>
    <w:rsid w:val="00A94952"/>
    <w:rsid w:val="00AA693E"/>
    <w:rsid w:val="00AA6D90"/>
    <w:rsid w:val="00AA6E62"/>
    <w:rsid w:val="00AB1444"/>
    <w:rsid w:val="00AC02E4"/>
    <w:rsid w:val="00AD2A90"/>
    <w:rsid w:val="00AE46F6"/>
    <w:rsid w:val="00AF3170"/>
    <w:rsid w:val="00AF35FC"/>
    <w:rsid w:val="00AF5556"/>
    <w:rsid w:val="00B03639"/>
    <w:rsid w:val="00B0652A"/>
    <w:rsid w:val="00B13A57"/>
    <w:rsid w:val="00B2069C"/>
    <w:rsid w:val="00B2669E"/>
    <w:rsid w:val="00B3048C"/>
    <w:rsid w:val="00B34823"/>
    <w:rsid w:val="00B40937"/>
    <w:rsid w:val="00B423EF"/>
    <w:rsid w:val="00B4401F"/>
    <w:rsid w:val="00B453DE"/>
    <w:rsid w:val="00B515D0"/>
    <w:rsid w:val="00B52609"/>
    <w:rsid w:val="00B57343"/>
    <w:rsid w:val="00B62497"/>
    <w:rsid w:val="00B63C9B"/>
    <w:rsid w:val="00B722E3"/>
    <w:rsid w:val="00B72597"/>
    <w:rsid w:val="00B853D7"/>
    <w:rsid w:val="00B87DC0"/>
    <w:rsid w:val="00B901F9"/>
    <w:rsid w:val="00BA17EC"/>
    <w:rsid w:val="00BA1E6A"/>
    <w:rsid w:val="00BB62E2"/>
    <w:rsid w:val="00BC4D98"/>
    <w:rsid w:val="00BC7398"/>
    <w:rsid w:val="00BD14E9"/>
    <w:rsid w:val="00BD5E66"/>
    <w:rsid w:val="00BD68D1"/>
    <w:rsid w:val="00BD6EFB"/>
    <w:rsid w:val="00BE3DF5"/>
    <w:rsid w:val="00BF5EAB"/>
    <w:rsid w:val="00BF6B18"/>
    <w:rsid w:val="00C02410"/>
    <w:rsid w:val="00C03052"/>
    <w:rsid w:val="00C12B6C"/>
    <w:rsid w:val="00C1584D"/>
    <w:rsid w:val="00C15BE2"/>
    <w:rsid w:val="00C33FF9"/>
    <w:rsid w:val="00C3444B"/>
    <w:rsid w:val="00C3447F"/>
    <w:rsid w:val="00C44714"/>
    <w:rsid w:val="00C4656B"/>
    <w:rsid w:val="00C465F4"/>
    <w:rsid w:val="00C47701"/>
    <w:rsid w:val="00C50909"/>
    <w:rsid w:val="00C6622B"/>
    <w:rsid w:val="00C6691E"/>
    <w:rsid w:val="00C67102"/>
    <w:rsid w:val="00C7537F"/>
    <w:rsid w:val="00C7609D"/>
    <w:rsid w:val="00C81491"/>
    <w:rsid w:val="00C81676"/>
    <w:rsid w:val="00C85C5D"/>
    <w:rsid w:val="00C92CC4"/>
    <w:rsid w:val="00C976E7"/>
    <w:rsid w:val="00CA0AFB"/>
    <w:rsid w:val="00CA160A"/>
    <w:rsid w:val="00CA2CE1"/>
    <w:rsid w:val="00CA3976"/>
    <w:rsid w:val="00CA50E3"/>
    <w:rsid w:val="00CA757B"/>
    <w:rsid w:val="00CB32CA"/>
    <w:rsid w:val="00CB4DDC"/>
    <w:rsid w:val="00CB7272"/>
    <w:rsid w:val="00CB73D9"/>
    <w:rsid w:val="00CC1787"/>
    <w:rsid w:val="00CC182C"/>
    <w:rsid w:val="00CC27C3"/>
    <w:rsid w:val="00CC4154"/>
    <w:rsid w:val="00CD0824"/>
    <w:rsid w:val="00CD2908"/>
    <w:rsid w:val="00D001E1"/>
    <w:rsid w:val="00D01A38"/>
    <w:rsid w:val="00D01D43"/>
    <w:rsid w:val="00D021BF"/>
    <w:rsid w:val="00D03225"/>
    <w:rsid w:val="00D03A82"/>
    <w:rsid w:val="00D12034"/>
    <w:rsid w:val="00D13667"/>
    <w:rsid w:val="00D15344"/>
    <w:rsid w:val="00D15585"/>
    <w:rsid w:val="00D2015B"/>
    <w:rsid w:val="00D20DCE"/>
    <w:rsid w:val="00D23C3D"/>
    <w:rsid w:val="00D23F57"/>
    <w:rsid w:val="00D31BEC"/>
    <w:rsid w:val="00D5730E"/>
    <w:rsid w:val="00D63150"/>
    <w:rsid w:val="00D636BA"/>
    <w:rsid w:val="00D64A32"/>
    <w:rsid w:val="00D64EFC"/>
    <w:rsid w:val="00D662E1"/>
    <w:rsid w:val="00D726CF"/>
    <w:rsid w:val="00D75295"/>
    <w:rsid w:val="00D75913"/>
    <w:rsid w:val="00D76CE9"/>
    <w:rsid w:val="00D87EEB"/>
    <w:rsid w:val="00D94FD8"/>
    <w:rsid w:val="00D97BA7"/>
    <w:rsid w:val="00D97F12"/>
    <w:rsid w:val="00DA6095"/>
    <w:rsid w:val="00DA7C71"/>
    <w:rsid w:val="00DB42E7"/>
    <w:rsid w:val="00DC09D8"/>
    <w:rsid w:val="00DC3038"/>
    <w:rsid w:val="00DC79D2"/>
    <w:rsid w:val="00DD473C"/>
    <w:rsid w:val="00DE01A6"/>
    <w:rsid w:val="00DE0B3C"/>
    <w:rsid w:val="00DE7A98"/>
    <w:rsid w:val="00DF177B"/>
    <w:rsid w:val="00DF32C2"/>
    <w:rsid w:val="00DF3711"/>
    <w:rsid w:val="00E11BFC"/>
    <w:rsid w:val="00E22BBE"/>
    <w:rsid w:val="00E24870"/>
    <w:rsid w:val="00E3483F"/>
    <w:rsid w:val="00E37010"/>
    <w:rsid w:val="00E43D05"/>
    <w:rsid w:val="00E471A7"/>
    <w:rsid w:val="00E5638B"/>
    <w:rsid w:val="00E635CF"/>
    <w:rsid w:val="00E635F7"/>
    <w:rsid w:val="00E92ABA"/>
    <w:rsid w:val="00EA7252"/>
    <w:rsid w:val="00EB12B9"/>
    <w:rsid w:val="00EB1E3B"/>
    <w:rsid w:val="00EC6E0A"/>
    <w:rsid w:val="00EC7BCA"/>
    <w:rsid w:val="00ED16B6"/>
    <w:rsid w:val="00ED4E18"/>
    <w:rsid w:val="00ED55C4"/>
    <w:rsid w:val="00ED7922"/>
    <w:rsid w:val="00ED7C06"/>
    <w:rsid w:val="00EE02C4"/>
    <w:rsid w:val="00EE1F37"/>
    <w:rsid w:val="00EE46AA"/>
    <w:rsid w:val="00EF0B21"/>
    <w:rsid w:val="00EF4606"/>
    <w:rsid w:val="00F0159C"/>
    <w:rsid w:val="00F01F4F"/>
    <w:rsid w:val="00F105B7"/>
    <w:rsid w:val="00F13220"/>
    <w:rsid w:val="00F17A21"/>
    <w:rsid w:val="00F24C65"/>
    <w:rsid w:val="00F36FC2"/>
    <w:rsid w:val="00F37B27"/>
    <w:rsid w:val="00F46556"/>
    <w:rsid w:val="00F47BDF"/>
    <w:rsid w:val="00F50E91"/>
    <w:rsid w:val="00F55EC4"/>
    <w:rsid w:val="00F56799"/>
    <w:rsid w:val="00F56AC1"/>
    <w:rsid w:val="00F57D29"/>
    <w:rsid w:val="00F60786"/>
    <w:rsid w:val="00F6347D"/>
    <w:rsid w:val="00F746BB"/>
    <w:rsid w:val="00F75EA8"/>
    <w:rsid w:val="00F84079"/>
    <w:rsid w:val="00F91BC7"/>
    <w:rsid w:val="00F94262"/>
    <w:rsid w:val="00F94C83"/>
    <w:rsid w:val="00F94DBC"/>
    <w:rsid w:val="00F95C36"/>
    <w:rsid w:val="00F96201"/>
    <w:rsid w:val="00FA0B74"/>
    <w:rsid w:val="00FA1184"/>
    <w:rsid w:val="00FA1BBC"/>
    <w:rsid w:val="00FA1E51"/>
    <w:rsid w:val="00FA31AB"/>
    <w:rsid w:val="00FA3584"/>
    <w:rsid w:val="00FA66F2"/>
    <w:rsid w:val="00FB559F"/>
    <w:rsid w:val="00FC49D7"/>
    <w:rsid w:val="00FD0B18"/>
    <w:rsid w:val="00FD2FAD"/>
    <w:rsid w:val="00FD5722"/>
    <w:rsid w:val="00FE714F"/>
    <w:rsid w:val="00FE73CB"/>
    <w:rsid w:val="00FF1F88"/>
    <w:rsid w:val="00FF49F3"/>
    <w:rsid w:val="00FF6706"/>
    <w:rsid w:val="00FF76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2D466D36-7826-4660-BBFD-26B28BE0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D0322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x-doi">
    <w:name w:val="dx-doi"/>
    <w:basedOn w:val="Normal"/>
    <w:rsid w:val="00D03225"/>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306F3B"/>
    <w:rPr>
      <w:color w:val="605E5C"/>
      <w:shd w:val="clear" w:color="auto" w:fill="E1DFDD"/>
    </w:rPr>
  </w:style>
  <w:style w:type="character" w:styleId="UnresolvedMention">
    <w:name w:val="Unresolved Mention"/>
    <w:basedOn w:val="DefaultParagraphFont"/>
    <w:uiPriority w:val="99"/>
    <w:semiHidden/>
    <w:unhideWhenUsed/>
    <w:rsid w:val="00BD6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09315-B425-4BE3-B7F7-FFB6EA63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Alex Bojmelgrin</cp:lastModifiedBy>
  <cp:revision>4</cp:revision>
  <cp:lastPrinted>2015-03-04T20:34:00Z</cp:lastPrinted>
  <dcterms:created xsi:type="dcterms:W3CDTF">2019-10-22T17:09:00Z</dcterms:created>
  <dcterms:modified xsi:type="dcterms:W3CDTF">2019-10-22T18:29:00Z</dcterms:modified>
</cp:coreProperties>
</file>