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B0AC6" w14:textId="690BD58D" w:rsidR="00713A18" w:rsidRPr="00B93205" w:rsidRDefault="0087008E" w:rsidP="00C02410">
      <w:pPr>
        <w:pBdr>
          <w:bottom w:val="single" w:sz="18" w:space="1" w:color="auto"/>
        </w:pBdr>
        <w:tabs>
          <w:tab w:val="left" w:pos="-1440"/>
          <w:tab w:val="left" w:pos="-720"/>
          <w:tab w:val="left" w:pos="1"/>
        </w:tabs>
        <w:jc w:val="both"/>
        <w:rPr>
          <w:rFonts w:ascii="Arial" w:hAnsi="Arial"/>
          <w:b/>
          <w:sz w:val="24"/>
          <w:lang w:val="en-GB"/>
        </w:rPr>
      </w:pPr>
      <w:r w:rsidRPr="00B93205">
        <w:rPr>
          <w:rFonts w:ascii="Arial" w:hAnsi="Arial"/>
          <w:b/>
          <w:noProof/>
          <w:sz w:val="24"/>
          <w:lang w:val="en-CA" w:eastAsia="en-CA"/>
        </w:rPr>
        <w:drawing>
          <wp:inline distT="0" distB="0" distL="0" distR="0" wp14:anchorId="060C5E8A" wp14:editId="2393963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2C6AC30" w:rsidR="00C02410" w:rsidRPr="00B93205" w:rsidRDefault="007049F2" w:rsidP="00C02410">
      <w:pPr>
        <w:pStyle w:val="ProductNumber"/>
        <w:rPr>
          <w:lang w:val="en-GB"/>
        </w:rPr>
      </w:pPr>
      <w:r>
        <w:rPr>
          <w:lang w:val="en-GB"/>
        </w:rPr>
        <w:t>9B19M125</w:t>
      </w:r>
    </w:p>
    <w:p w14:paraId="4E057522" w14:textId="7A113CB1" w:rsidR="00D75295" w:rsidRPr="00B93205" w:rsidRDefault="00D75295" w:rsidP="00D75295">
      <w:pPr>
        <w:jc w:val="right"/>
        <w:rPr>
          <w:rFonts w:ascii="Arial" w:hAnsi="Arial"/>
          <w:b/>
          <w:lang w:val="en-GB"/>
        </w:rPr>
      </w:pPr>
    </w:p>
    <w:p w14:paraId="02524312" w14:textId="77777777" w:rsidR="001901C0" w:rsidRPr="00B93205" w:rsidRDefault="001901C0" w:rsidP="00D75295">
      <w:pPr>
        <w:jc w:val="right"/>
        <w:rPr>
          <w:rFonts w:ascii="Arial" w:hAnsi="Arial"/>
          <w:b/>
          <w:lang w:val="en-GB"/>
        </w:rPr>
      </w:pPr>
    </w:p>
    <w:p w14:paraId="2F03D26A" w14:textId="7428FA48" w:rsidR="00013360" w:rsidRPr="00B93205" w:rsidRDefault="007E17AE" w:rsidP="00013360">
      <w:pPr>
        <w:pStyle w:val="CaseTitle"/>
        <w:spacing w:after="0" w:line="240" w:lineRule="auto"/>
        <w:rPr>
          <w:sz w:val="20"/>
          <w:szCs w:val="20"/>
          <w:lang w:val="en-GB"/>
        </w:rPr>
      </w:pPr>
      <w:r w:rsidRPr="00B93205">
        <w:rPr>
          <w:lang w:val="en-GB"/>
        </w:rPr>
        <w:t>Nestlé and L’Oréal: The “Elephant in the Room”</w:t>
      </w:r>
      <w:r w:rsidR="00820C99" w:rsidRPr="00B93205">
        <w:rPr>
          <w:rStyle w:val="EndnoteReference"/>
          <w:lang w:val="en-GB"/>
        </w:rPr>
        <w:endnoteReference w:id="1"/>
      </w:r>
    </w:p>
    <w:p w14:paraId="40ABF6FD" w14:textId="77777777" w:rsidR="00CA3976" w:rsidRPr="00B93205" w:rsidRDefault="00CA3976" w:rsidP="00013360">
      <w:pPr>
        <w:pStyle w:val="CaseTitle"/>
        <w:spacing w:after="0" w:line="240" w:lineRule="auto"/>
        <w:rPr>
          <w:sz w:val="20"/>
          <w:szCs w:val="20"/>
          <w:lang w:val="en-GB"/>
        </w:rPr>
      </w:pPr>
    </w:p>
    <w:p w14:paraId="202F1085" w14:textId="77777777" w:rsidR="00013360" w:rsidRPr="00B93205" w:rsidRDefault="00013360" w:rsidP="00013360">
      <w:pPr>
        <w:pStyle w:val="CaseTitle"/>
        <w:spacing w:after="0" w:line="240" w:lineRule="auto"/>
        <w:rPr>
          <w:sz w:val="20"/>
          <w:szCs w:val="20"/>
          <w:lang w:val="en-GB"/>
        </w:rPr>
      </w:pPr>
    </w:p>
    <w:p w14:paraId="58B0C73F" w14:textId="68C41E87" w:rsidR="00086B26" w:rsidRPr="00B93205" w:rsidRDefault="007E17AE" w:rsidP="00086B26">
      <w:pPr>
        <w:pStyle w:val="StyleCopyrightStatementAfter0ptBottomSinglesolidline1"/>
        <w:rPr>
          <w:lang w:val="en-GB"/>
        </w:rPr>
      </w:pPr>
      <w:r w:rsidRPr="00B93205">
        <w:rPr>
          <w:lang w:val="en-GB"/>
        </w:rPr>
        <w:t>Ram Subramanian</w:t>
      </w:r>
      <w:r w:rsidR="00ED7922" w:rsidRPr="00B93205">
        <w:rPr>
          <w:rFonts w:cs="Arial"/>
          <w:szCs w:val="16"/>
          <w:lang w:val="en-GB"/>
        </w:rPr>
        <w:t xml:space="preserve"> </w:t>
      </w:r>
      <w:r w:rsidR="00086B26" w:rsidRPr="00B93205">
        <w:rPr>
          <w:lang w:val="en-GB"/>
        </w:rPr>
        <w:t>wrote this case solely to provide material f</w:t>
      </w:r>
      <w:r w:rsidR="005265F4" w:rsidRPr="00B93205">
        <w:rPr>
          <w:lang w:val="en-GB"/>
        </w:rPr>
        <w:t>or class discussion. The author</w:t>
      </w:r>
      <w:r w:rsidR="00086B26" w:rsidRPr="00B93205">
        <w:rPr>
          <w:lang w:val="en-GB"/>
        </w:rPr>
        <w:t xml:space="preserve"> do</w:t>
      </w:r>
      <w:r w:rsidR="005265F4" w:rsidRPr="00B93205">
        <w:rPr>
          <w:lang w:val="en-GB"/>
        </w:rPr>
        <w:t>es</w:t>
      </w:r>
      <w:r w:rsidR="00086B26" w:rsidRPr="00B93205">
        <w:rPr>
          <w:lang w:val="en-GB"/>
        </w:rPr>
        <w:t xml:space="preserve"> not intend to illustrate either effective or ineffective handling of a managerial situation. The authors may have disguised certain names and other identifying information to protect confidentiality.</w:t>
      </w:r>
    </w:p>
    <w:p w14:paraId="10D89D5F" w14:textId="593354AD" w:rsidR="00086B26" w:rsidRPr="00B93205" w:rsidRDefault="00086B26" w:rsidP="00086B26">
      <w:pPr>
        <w:pStyle w:val="StyleCopyrightStatementAfter0ptBottomSinglesolidline1"/>
        <w:rPr>
          <w:lang w:val="en-GB"/>
        </w:rPr>
      </w:pPr>
    </w:p>
    <w:p w14:paraId="6479687C" w14:textId="62F81D80" w:rsidR="00713A18" w:rsidRPr="00B93205" w:rsidRDefault="0087008E" w:rsidP="00086B26">
      <w:pPr>
        <w:pStyle w:val="StyleCopyrightStatementAfter0ptBottomSinglesolidline1"/>
        <w:rPr>
          <w:lang w:val="en-GB"/>
        </w:rPr>
      </w:pPr>
      <w:r w:rsidRPr="00B93205">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4CFA0705" w14:textId="77777777" w:rsidR="0087008E" w:rsidRPr="00B93205" w:rsidRDefault="0087008E" w:rsidP="00A323B0">
      <w:pPr>
        <w:pStyle w:val="StyleStyleCopyrightStatementAfter0ptBottomSinglesolid"/>
        <w:rPr>
          <w:rFonts w:cs="Arial"/>
          <w:iCs w:val="0"/>
          <w:color w:val="auto"/>
          <w:szCs w:val="16"/>
          <w:lang w:val="en-GB"/>
        </w:rPr>
      </w:pPr>
    </w:p>
    <w:p w14:paraId="3922E14F" w14:textId="0E930E0F" w:rsidR="00751E0B" w:rsidRPr="00B93205" w:rsidRDefault="0087008E" w:rsidP="00A323B0">
      <w:pPr>
        <w:pStyle w:val="StyleStyleCopyrightStatementAfter0ptBottomSinglesolid"/>
        <w:rPr>
          <w:rFonts w:cs="Arial"/>
          <w:szCs w:val="16"/>
          <w:lang w:val="en-GB"/>
        </w:rPr>
      </w:pPr>
      <w:r w:rsidRPr="00B93205">
        <w:rPr>
          <w:rFonts w:cs="Arial"/>
          <w:iCs w:val="0"/>
          <w:color w:val="auto"/>
          <w:szCs w:val="16"/>
          <w:lang w:val="en-GB"/>
        </w:rPr>
        <w:t>Copyright © 2019, Ivey Business School Foundation</w:t>
      </w:r>
      <w:r w:rsidR="00A323B0" w:rsidRPr="00B93205">
        <w:rPr>
          <w:rFonts w:cs="Arial"/>
          <w:iCs w:val="0"/>
          <w:color w:val="auto"/>
          <w:szCs w:val="16"/>
          <w:lang w:val="en-GB"/>
        </w:rPr>
        <w:tab/>
        <w:t xml:space="preserve">Version: </w:t>
      </w:r>
      <w:r w:rsidR="00D84C21" w:rsidRPr="00B93205">
        <w:rPr>
          <w:rFonts w:cs="Arial"/>
          <w:iCs w:val="0"/>
          <w:color w:val="auto"/>
          <w:szCs w:val="16"/>
          <w:lang w:val="en-GB"/>
        </w:rPr>
        <w:t>2019-</w:t>
      </w:r>
      <w:r w:rsidR="004B0031">
        <w:rPr>
          <w:rFonts w:cs="Arial"/>
          <w:iCs w:val="0"/>
          <w:color w:val="auto"/>
          <w:szCs w:val="16"/>
          <w:lang w:val="en-GB"/>
        </w:rPr>
        <w:t>10-</w:t>
      </w:r>
      <w:r w:rsidR="00492FDE">
        <w:rPr>
          <w:rFonts w:cs="Arial"/>
          <w:iCs w:val="0"/>
          <w:color w:val="auto"/>
          <w:szCs w:val="16"/>
          <w:lang w:val="en-GB"/>
        </w:rPr>
        <w:t>2</w:t>
      </w:r>
      <w:r w:rsidR="00516B3A">
        <w:rPr>
          <w:rFonts w:cs="Arial"/>
          <w:iCs w:val="0"/>
          <w:color w:val="auto"/>
          <w:szCs w:val="16"/>
          <w:lang w:val="en-GB"/>
        </w:rPr>
        <w:t>9</w:t>
      </w:r>
      <w:bookmarkStart w:id="0" w:name="_GoBack"/>
      <w:bookmarkEnd w:id="0"/>
    </w:p>
    <w:p w14:paraId="0A2A54E4" w14:textId="77777777" w:rsidR="00751E0B" w:rsidRPr="00B93205" w:rsidRDefault="00751E0B" w:rsidP="00751E0B">
      <w:pPr>
        <w:pStyle w:val="StyleCopyrightStatementAfter0ptBottomSinglesolidline1"/>
        <w:rPr>
          <w:rFonts w:ascii="Times New Roman" w:hAnsi="Times New Roman"/>
          <w:sz w:val="20"/>
          <w:lang w:val="en-GB"/>
        </w:rPr>
      </w:pPr>
    </w:p>
    <w:p w14:paraId="2C183161" w14:textId="0B77FD40" w:rsidR="00B87DC0" w:rsidRPr="00B93205" w:rsidRDefault="00B87DC0" w:rsidP="00DD5762">
      <w:pPr>
        <w:pStyle w:val="BodyTextMain"/>
        <w:rPr>
          <w:i/>
          <w:sz w:val="20"/>
          <w:lang w:val="en-GB"/>
        </w:rPr>
      </w:pPr>
    </w:p>
    <w:p w14:paraId="72EE3039" w14:textId="0AEDD855" w:rsidR="00DD5762" w:rsidRPr="00426884" w:rsidRDefault="00DD5762" w:rsidP="00DD5762">
      <w:pPr>
        <w:pStyle w:val="BodyTextMain"/>
        <w:rPr>
          <w:spacing w:val="-4"/>
          <w:lang w:val="en-GB"/>
        </w:rPr>
      </w:pPr>
      <w:r w:rsidRPr="00426884">
        <w:rPr>
          <w:spacing w:val="-4"/>
          <w:lang w:val="en-GB"/>
        </w:rPr>
        <w:t xml:space="preserve">On July 26, 2018, Ulf Mark Schneider, </w:t>
      </w:r>
      <w:r w:rsidR="00426884">
        <w:rPr>
          <w:spacing w:val="-4"/>
          <w:lang w:val="en-GB"/>
        </w:rPr>
        <w:t xml:space="preserve">was </w:t>
      </w:r>
      <w:r w:rsidRPr="00426884">
        <w:rPr>
          <w:spacing w:val="-4"/>
          <w:lang w:val="en-GB"/>
        </w:rPr>
        <w:t xml:space="preserve">the </w:t>
      </w:r>
      <w:r w:rsidR="005C71B8" w:rsidRPr="00426884">
        <w:rPr>
          <w:spacing w:val="-4"/>
          <w:lang w:val="en-GB"/>
        </w:rPr>
        <w:t>chief executive officer (</w:t>
      </w:r>
      <w:r w:rsidRPr="00426884">
        <w:rPr>
          <w:spacing w:val="-4"/>
          <w:lang w:val="en-GB"/>
        </w:rPr>
        <w:t>CEO</w:t>
      </w:r>
      <w:r w:rsidR="005C71B8" w:rsidRPr="00426884">
        <w:rPr>
          <w:spacing w:val="-4"/>
          <w:lang w:val="en-GB"/>
        </w:rPr>
        <w:t>)</w:t>
      </w:r>
      <w:r w:rsidRPr="00426884">
        <w:rPr>
          <w:spacing w:val="-4"/>
          <w:lang w:val="en-GB"/>
        </w:rPr>
        <w:t xml:space="preserve"> of the Switzerland-based Nestlé S</w:t>
      </w:r>
      <w:r w:rsidR="005C71B8" w:rsidRPr="00426884">
        <w:rPr>
          <w:spacing w:val="-4"/>
          <w:lang w:val="en-GB"/>
        </w:rPr>
        <w:t>.</w:t>
      </w:r>
      <w:r w:rsidRPr="00426884">
        <w:rPr>
          <w:spacing w:val="-4"/>
          <w:lang w:val="en-GB"/>
        </w:rPr>
        <w:t>A</w:t>
      </w:r>
      <w:r w:rsidR="005C71B8" w:rsidRPr="00426884">
        <w:rPr>
          <w:spacing w:val="-4"/>
          <w:lang w:val="en-GB"/>
        </w:rPr>
        <w:t>.</w:t>
      </w:r>
      <w:r w:rsidRPr="00426884">
        <w:rPr>
          <w:spacing w:val="-4"/>
          <w:lang w:val="en-GB"/>
        </w:rPr>
        <w:t xml:space="preserve"> </w:t>
      </w:r>
      <w:r w:rsidR="005C71B8" w:rsidRPr="00426884">
        <w:rPr>
          <w:spacing w:val="-4"/>
          <w:lang w:val="en-GB"/>
        </w:rPr>
        <w:t>(Nestlé)</w:t>
      </w:r>
      <w:r w:rsidR="00426884">
        <w:rPr>
          <w:spacing w:val="-4"/>
          <w:lang w:val="en-GB"/>
        </w:rPr>
        <w:t>.</w:t>
      </w:r>
      <w:r w:rsidR="005C71B8" w:rsidRPr="00426884">
        <w:rPr>
          <w:spacing w:val="-4"/>
          <w:lang w:val="en-GB"/>
        </w:rPr>
        <w:t xml:space="preserve"> </w:t>
      </w:r>
      <w:r w:rsidRPr="00426884">
        <w:rPr>
          <w:spacing w:val="-4"/>
          <w:lang w:val="en-GB"/>
        </w:rPr>
        <w:t>For the first time in his 18-month tenure as the head of the global consumer-packaged goods company, Nestlé’s results indicated the positive effects of the many strategic changes he had spearheaded. Organic growth had shown a period-to-period increase of 2.6 per</w:t>
      </w:r>
      <w:r w:rsidR="005C71B8" w:rsidRPr="00426884">
        <w:rPr>
          <w:spacing w:val="-4"/>
          <w:lang w:val="en-GB"/>
        </w:rPr>
        <w:t xml:space="preserve"> </w:t>
      </w:r>
      <w:r w:rsidRPr="00426884">
        <w:rPr>
          <w:spacing w:val="-4"/>
          <w:lang w:val="en-GB"/>
        </w:rPr>
        <w:t xml:space="preserve">cent (versus 2.4 </w:t>
      </w:r>
      <w:r w:rsidR="005C71B8" w:rsidRPr="00426884">
        <w:rPr>
          <w:spacing w:val="-4"/>
          <w:lang w:val="en-GB"/>
        </w:rPr>
        <w:t xml:space="preserve">per cent </w:t>
      </w:r>
      <w:r w:rsidRPr="00426884">
        <w:rPr>
          <w:spacing w:val="-4"/>
          <w:lang w:val="en-GB"/>
        </w:rPr>
        <w:t>for 2017) and operating margin had risen to 16.1 per</w:t>
      </w:r>
      <w:r w:rsidR="005C71B8" w:rsidRPr="00426884">
        <w:rPr>
          <w:spacing w:val="-4"/>
          <w:lang w:val="en-GB"/>
        </w:rPr>
        <w:t xml:space="preserve"> </w:t>
      </w:r>
      <w:r w:rsidRPr="00426884">
        <w:rPr>
          <w:spacing w:val="-4"/>
          <w:lang w:val="en-GB"/>
        </w:rPr>
        <w:t>cent (</w:t>
      </w:r>
      <w:r w:rsidR="005C71B8" w:rsidRPr="00426884">
        <w:rPr>
          <w:spacing w:val="-4"/>
          <w:lang w:val="en-GB"/>
        </w:rPr>
        <w:t xml:space="preserve">versus </w:t>
      </w:r>
      <w:r w:rsidRPr="00426884">
        <w:rPr>
          <w:spacing w:val="-4"/>
          <w:lang w:val="en-GB"/>
        </w:rPr>
        <w:t xml:space="preserve">15.9 </w:t>
      </w:r>
      <w:r w:rsidR="005C71B8" w:rsidRPr="00426884">
        <w:rPr>
          <w:spacing w:val="-4"/>
          <w:lang w:val="en-GB"/>
        </w:rPr>
        <w:t xml:space="preserve">per cent </w:t>
      </w:r>
      <w:r w:rsidRPr="00426884">
        <w:rPr>
          <w:spacing w:val="-4"/>
          <w:lang w:val="en-GB"/>
        </w:rPr>
        <w:t>in 2017)</w:t>
      </w:r>
      <w:r w:rsidR="005C71B8" w:rsidRPr="00426884">
        <w:rPr>
          <w:spacing w:val="-4"/>
          <w:lang w:val="en-GB"/>
        </w:rPr>
        <w:t>.</w:t>
      </w:r>
      <w:r w:rsidRPr="00426884">
        <w:rPr>
          <w:rStyle w:val="EndnoteReference"/>
          <w:spacing w:val="-4"/>
          <w:lang w:val="en-GB"/>
        </w:rPr>
        <w:endnoteReference w:id="2"/>
      </w:r>
      <w:r w:rsidRPr="00426884">
        <w:rPr>
          <w:spacing w:val="-4"/>
          <w:lang w:val="en-GB"/>
        </w:rPr>
        <w:t xml:space="preserve"> The company was midway through its </w:t>
      </w:r>
      <w:r w:rsidR="00D3487B" w:rsidRPr="00426884">
        <w:rPr>
          <w:spacing w:val="-4"/>
          <w:lang w:val="en-GB"/>
        </w:rPr>
        <w:t>US</w:t>
      </w:r>
      <w:r w:rsidRPr="00426884">
        <w:rPr>
          <w:spacing w:val="-4"/>
          <w:lang w:val="en-GB"/>
        </w:rPr>
        <w:t>$20 billion</w:t>
      </w:r>
      <w:r w:rsidR="00D3487B" w:rsidRPr="00426884">
        <w:rPr>
          <w:rStyle w:val="EndnoteReference"/>
          <w:spacing w:val="-4"/>
          <w:lang w:val="en-GB"/>
        </w:rPr>
        <w:endnoteReference w:id="3"/>
      </w:r>
      <w:r w:rsidRPr="00426884">
        <w:rPr>
          <w:spacing w:val="-4"/>
          <w:lang w:val="en-GB"/>
        </w:rPr>
        <w:t xml:space="preserve"> share buyback</w:t>
      </w:r>
      <w:r w:rsidRPr="00426884">
        <w:rPr>
          <w:rStyle w:val="EndnoteReference"/>
          <w:spacing w:val="-4"/>
          <w:lang w:val="en-GB"/>
        </w:rPr>
        <w:endnoteReference w:id="4"/>
      </w:r>
      <w:r w:rsidRPr="00426884">
        <w:rPr>
          <w:spacing w:val="-4"/>
          <w:lang w:val="en-GB"/>
        </w:rPr>
        <w:t xml:space="preserve"> and</w:t>
      </w:r>
      <w:r w:rsidR="005C71B8" w:rsidRPr="00426884">
        <w:rPr>
          <w:spacing w:val="-4"/>
          <w:lang w:val="en-GB"/>
        </w:rPr>
        <w:t>,</w:t>
      </w:r>
      <w:r w:rsidRPr="00426884">
        <w:rPr>
          <w:spacing w:val="-4"/>
          <w:lang w:val="en-GB"/>
        </w:rPr>
        <w:t xml:space="preserve"> in March 2018</w:t>
      </w:r>
      <w:r w:rsidR="005C71B8" w:rsidRPr="00426884">
        <w:rPr>
          <w:spacing w:val="-4"/>
          <w:lang w:val="en-GB"/>
        </w:rPr>
        <w:t>,</w:t>
      </w:r>
      <w:r w:rsidRPr="00426884">
        <w:rPr>
          <w:spacing w:val="-4"/>
          <w:lang w:val="en-GB"/>
        </w:rPr>
        <w:t xml:space="preserve"> had </w:t>
      </w:r>
      <w:r w:rsidR="005C71B8" w:rsidRPr="00426884">
        <w:rPr>
          <w:spacing w:val="-4"/>
          <w:lang w:val="en-GB"/>
        </w:rPr>
        <w:t>signed</w:t>
      </w:r>
      <w:r w:rsidRPr="00426884">
        <w:rPr>
          <w:spacing w:val="-4"/>
          <w:lang w:val="en-GB"/>
        </w:rPr>
        <w:t xml:space="preserve"> a $7 billion contract to sell Starbucks</w:t>
      </w:r>
      <w:r w:rsidR="00A10A1F" w:rsidRPr="00426884">
        <w:rPr>
          <w:spacing w:val="-4"/>
          <w:lang w:val="en-GB"/>
        </w:rPr>
        <w:t>-</w:t>
      </w:r>
      <w:r w:rsidRPr="00426884">
        <w:rPr>
          <w:spacing w:val="-4"/>
          <w:lang w:val="en-GB"/>
        </w:rPr>
        <w:t>branded coffee and tea in retail stores globally</w:t>
      </w:r>
      <w:r w:rsidR="00A10A1F" w:rsidRPr="00426884">
        <w:rPr>
          <w:spacing w:val="-4"/>
          <w:lang w:val="en-GB"/>
        </w:rPr>
        <w:t>.</w:t>
      </w:r>
      <w:r w:rsidR="00AD4632" w:rsidRPr="00426884">
        <w:rPr>
          <w:rStyle w:val="EndnoteReference"/>
          <w:spacing w:val="-4"/>
          <w:lang w:val="en-GB"/>
        </w:rPr>
        <w:endnoteReference w:id="5"/>
      </w:r>
      <w:r w:rsidRPr="00426884">
        <w:rPr>
          <w:spacing w:val="-4"/>
          <w:lang w:val="en-GB"/>
        </w:rPr>
        <w:t xml:space="preserve"> Schneider had divested the company’s US confectionary business and made several key acquisitions in its branded foods business</w:t>
      </w:r>
      <w:r w:rsidR="005C71B8" w:rsidRPr="00426884">
        <w:rPr>
          <w:spacing w:val="-4"/>
          <w:lang w:val="en-GB"/>
        </w:rPr>
        <w:t>.</w:t>
      </w:r>
      <w:r w:rsidRPr="00426884">
        <w:rPr>
          <w:rStyle w:val="EndnoteReference"/>
          <w:spacing w:val="-4"/>
          <w:lang w:val="en-GB"/>
        </w:rPr>
        <w:endnoteReference w:id="6"/>
      </w:r>
      <w:r w:rsidR="005860F0" w:rsidRPr="00426884">
        <w:rPr>
          <w:spacing w:val="-4"/>
          <w:lang w:val="en-GB"/>
        </w:rPr>
        <w:t xml:space="preserve"> </w:t>
      </w:r>
      <w:r w:rsidRPr="00426884">
        <w:rPr>
          <w:spacing w:val="-4"/>
          <w:lang w:val="en-GB"/>
        </w:rPr>
        <w:t xml:space="preserve">However, </w:t>
      </w:r>
      <w:r w:rsidRPr="00426884">
        <w:rPr>
          <w:bCs/>
          <w:spacing w:val="-4"/>
          <w:lang w:val="en-GB"/>
        </w:rPr>
        <w:t>Nestlé</w:t>
      </w:r>
      <w:r w:rsidRPr="00426884">
        <w:rPr>
          <w:spacing w:val="-4"/>
          <w:lang w:val="en-GB"/>
        </w:rPr>
        <w:t xml:space="preserve"> had not publicly responded to a hedge fund’s insistence that the company sell its nearly $32 billion</w:t>
      </w:r>
      <w:r w:rsidR="00426884" w:rsidRPr="00426884">
        <w:rPr>
          <w:rStyle w:val="EndnoteReference"/>
          <w:spacing w:val="-4"/>
          <w:lang w:val="en-GB"/>
        </w:rPr>
        <w:endnoteReference w:id="7"/>
      </w:r>
      <w:r w:rsidRPr="00426884">
        <w:rPr>
          <w:spacing w:val="-4"/>
          <w:lang w:val="en-GB"/>
        </w:rPr>
        <w:t xml:space="preserve"> stake in </w:t>
      </w:r>
      <w:r w:rsidR="005C71B8" w:rsidRPr="00426884">
        <w:rPr>
          <w:spacing w:val="-4"/>
          <w:lang w:val="en-GB"/>
        </w:rPr>
        <w:t xml:space="preserve">the </w:t>
      </w:r>
      <w:r w:rsidRPr="00426884">
        <w:rPr>
          <w:spacing w:val="-4"/>
          <w:lang w:val="en-GB"/>
        </w:rPr>
        <w:t>French cosmetics company, L’Oréal</w:t>
      </w:r>
      <w:r w:rsidR="005C71B8" w:rsidRPr="00426884">
        <w:rPr>
          <w:spacing w:val="-4"/>
          <w:lang w:val="en-GB"/>
        </w:rPr>
        <w:t xml:space="preserve"> S.A. (L’Oréal)</w:t>
      </w:r>
      <w:r w:rsidRPr="00426884">
        <w:rPr>
          <w:spacing w:val="-4"/>
          <w:lang w:val="en-GB"/>
        </w:rPr>
        <w:t>.</w:t>
      </w:r>
      <w:r w:rsidR="00426884">
        <w:rPr>
          <w:rStyle w:val="EndnoteReference"/>
          <w:spacing w:val="-4"/>
          <w:lang w:val="en-GB"/>
        </w:rPr>
        <w:endnoteReference w:id="8"/>
      </w:r>
      <w:r w:rsidR="00426884" w:rsidRPr="00426884">
        <w:rPr>
          <w:rStyle w:val="EndnoteReference"/>
          <w:spacing w:val="-4"/>
          <w:lang w:val="en-GB"/>
        </w:rPr>
        <w:t xml:space="preserve"> </w:t>
      </w:r>
    </w:p>
    <w:p w14:paraId="6965C483" w14:textId="77777777" w:rsidR="00DD5762" w:rsidRPr="00B93205" w:rsidRDefault="00DD5762" w:rsidP="00DD5762">
      <w:pPr>
        <w:pStyle w:val="BodyTextMain"/>
        <w:rPr>
          <w:lang w:val="en-GB"/>
        </w:rPr>
      </w:pPr>
    </w:p>
    <w:p w14:paraId="36BCDCF0" w14:textId="04325340" w:rsidR="00DD5762" w:rsidRPr="00B93205" w:rsidRDefault="002A7196" w:rsidP="00DD5762">
      <w:pPr>
        <w:pStyle w:val="BodyTextMain"/>
        <w:rPr>
          <w:lang w:val="en-GB"/>
        </w:rPr>
      </w:pPr>
      <w:r w:rsidRPr="00B93205">
        <w:rPr>
          <w:lang w:val="en-GB"/>
        </w:rPr>
        <w:t>I</w:t>
      </w:r>
      <w:r w:rsidR="00DD5762" w:rsidRPr="00B93205">
        <w:rPr>
          <w:lang w:val="en-GB"/>
        </w:rPr>
        <w:t xml:space="preserve">n </w:t>
      </w:r>
      <w:r w:rsidRPr="00B93205">
        <w:rPr>
          <w:lang w:val="en-GB"/>
        </w:rPr>
        <w:t xml:space="preserve">a </w:t>
      </w:r>
      <w:r w:rsidR="00DD5762" w:rsidRPr="00B93205">
        <w:rPr>
          <w:lang w:val="en-GB"/>
        </w:rPr>
        <w:t xml:space="preserve">June 2017 </w:t>
      </w:r>
      <w:r w:rsidR="007D7D64" w:rsidRPr="00B93205">
        <w:rPr>
          <w:lang w:val="en-GB"/>
        </w:rPr>
        <w:t xml:space="preserve">communication, </w:t>
      </w:r>
      <w:r w:rsidR="00DD5762" w:rsidRPr="00B93205">
        <w:rPr>
          <w:lang w:val="en-GB"/>
        </w:rPr>
        <w:t>and</w:t>
      </w:r>
      <w:r w:rsidR="007D7D64" w:rsidRPr="00B93205">
        <w:rPr>
          <w:lang w:val="en-GB"/>
        </w:rPr>
        <w:t xml:space="preserve"> later in a</w:t>
      </w:r>
      <w:r w:rsidR="00DD5762" w:rsidRPr="00B93205">
        <w:rPr>
          <w:lang w:val="en-GB"/>
        </w:rPr>
        <w:t xml:space="preserve"> July 1, 2018</w:t>
      </w:r>
      <w:r w:rsidR="00A10A1F">
        <w:rPr>
          <w:lang w:val="en-GB"/>
        </w:rPr>
        <w:t>,</w:t>
      </w:r>
      <w:r w:rsidR="00DD5762" w:rsidRPr="00B93205">
        <w:rPr>
          <w:lang w:val="en-GB"/>
        </w:rPr>
        <w:t xml:space="preserve"> public letter to Nestlé’s shareholders, Third Point</w:t>
      </w:r>
      <w:r w:rsidR="00797E74" w:rsidRPr="00B93205">
        <w:rPr>
          <w:lang w:val="en-GB"/>
        </w:rPr>
        <w:t xml:space="preserve"> LLC (Third Point)</w:t>
      </w:r>
      <w:r w:rsidR="00DD5762" w:rsidRPr="00B93205">
        <w:rPr>
          <w:lang w:val="en-GB"/>
        </w:rPr>
        <w:t xml:space="preserve">, a </w:t>
      </w:r>
      <w:r w:rsidR="007D7D64" w:rsidRPr="00B93205">
        <w:rPr>
          <w:lang w:val="en-GB"/>
        </w:rPr>
        <w:t xml:space="preserve">hedge fund based in </w:t>
      </w:r>
      <w:r w:rsidR="00DD5762" w:rsidRPr="00B93205">
        <w:rPr>
          <w:lang w:val="en-GB"/>
        </w:rPr>
        <w:t xml:space="preserve">New York City, made the L’Oréal divestment a core piece of </w:t>
      </w:r>
      <w:r w:rsidR="007D7D64" w:rsidRPr="00B93205">
        <w:rPr>
          <w:lang w:val="en-GB"/>
        </w:rPr>
        <w:t>its</w:t>
      </w:r>
      <w:r w:rsidR="00DD5762" w:rsidRPr="00B93205">
        <w:rPr>
          <w:lang w:val="en-GB"/>
        </w:rPr>
        <w:t xml:space="preserve"> </w:t>
      </w:r>
      <w:r w:rsidR="007D7D64" w:rsidRPr="00B93205">
        <w:rPr>
          <w:lang w:val="en-GB"/>
        </w:rPr>
        <w:t>rationale</w:t>
      </w:r>
      <w:r w:rsidR="00DD5762" w:rsidRPr="00B93205">
        <w:rPr>
          <w:lang w:val="en-GB"/>
        </w:rPr>
        <w:t xml:space="preserve"> for strategic change at the company. Arguing that it was a passive investment that confused the identity of Nestlé and affected its stock price, Third Point indicated that the right strategic path for Nestlé was to use the proceeds from divesting the L’Oréal stake to buy back stock, make key acquisitions in its current food and nutrition businesses, and fund operational improvements.</w:t>
      </w:r>
      <w:r w:rsidR="001D4531" w:rsidRPr="00B93205">
        <w:rPr>
          <w:rStyle w:val="EndnoteReference"/>
          <w:lang w:val="en-GB"/>
        </w:rPr>
        <w:endnoteReference w:id="9"/>
      </w:r>
      <w:r w:rsidR="00DD5762" w:rsidRPr="00B93205">
        <w:rPr>
          <w:lang w:val="en-GB"/>
        </w:rPr>
        <w:t xml:space="preserve"> </w:t>
      </w:r>
    </w:p>
    <w:p w14:paraId="01348466" w14:textId="77777777" w:rsidR="00DD5762" w:rsidRPr="00B93205" w:rsidRDefault="00DD5762" w:rsidP="00DD5762">
      <w:pPr>
        <w:pStyle w:val="BodyTextMain"/>
        <w:rPr>
          <w:lang w:val="en-GB"/>
        </w:rPr>
      </w:pPr>
    </w:p>
    <w:p w14:paraId="4847FE6C" w14:textId="6198656E" w:rsidR="00DD5762" w:rsidRPr="00B93205" w:rsidRDefault="00DD5762" w:rsidP="00DD5762">
      <w:pPr>
        <w:pStyle w:val="BodyTextMain"/>
        <w:rPr>
          <w:lang w:val="en-GB"/>
        </w:rPr>
      </w:pPr>
      <w:r w:rsidRPr="00B93205">
        <w:rPr>
          <w:lang w:val="en-GB"/>
        </w:rPr>
        <w:t xml:space="preserve">Third Point’s call on the L’Oréal investment was </w:t>
      </w:r>
      <w:r w:rsidR="007D7D64" w:rsidRPr="00B93205">
        <w:rPr>
          <w:lang w:val="en-GB"/>
        </w:rPr>
        <w:t>only one of two related issues</w:t>
      </w:r>
      <w:r w:rsidRPr="00B93205">
        <w:rPr>
          <w:lang w:val="en-GB"/>
        </w:rPr>
        <w:t xml:space="preserve"> that Schneider and Nestl</w:t>
      </w:r>
      <w:r w:rsidR="005860F0" w:rsidRPr="00B93205">
        <w:rPr>
          <w:lang w:val="en-GB"/>
        </w:rPr>
        <w:t xml:space="preserve">é’s </w:t>
      </w:r>
      <w:r w:rsidR="007D7D64" w:rsidRPr="00B93205">
        <w:rPr>
          <w:lang w:val="en-GB"/>
        </w:rPr>
        <w:t>b</w:t>
      </w:r>
      <w:r w:rsidR="005860F0" w:rsidRPr="00B93205">
        <w:rPr>
          <w:lang w:val="en-GB"/>
        </w:rPr>
        <w:t xml:space="preserve">oard </w:t>
      </w:r>
      <w:r w:rsidR="00B51E7C" w:rsidRPr="00B93205">
        <w:rPr>
          <w:lang w:val="en-GB"/>
        </w:rPr>
        <w:t xml:space="preserve">of directors </w:t>
      </w:r>
      <w:r w:rsidR="005860F0" w:rsidRPr="00B93205">
        <w:rPr>
          <w:lang w:val="en-GB"/>
        </w:rPr>
        <w:t xml:space="preserve">faced. </w:t>
      </w:r>
      <w:r w:rsidRPr="00B93205">
        <w:rPr>
          <w:lang w:val="en-GB"/>
        </w:rPr>
        <w:t xml:space="preserve">The </w:t>
      </w:r>
      <w:r w:rsidR="0002017A" w:rsidRPr="00B93205">
        <w:rPr>
          <w:lang w:val="en-GB"/>
        </w:rPr>
        <w:t>other matter involved</w:t>
      </w:r>
      <w:r w:rsidR="00B51E7C" w:rsidRPr="00B93205">
        <w:rPr>
          <w:lang w:val="en-GB"/>
        </w:rPr>
        <w:t xml:space="preserve"> </w:t>
      </w:r>
      <w:r w:rsidR="007D7D64" w:rsidRPr="00B93205">
        <w:rPr>
          <w:lang w:val="en-GB"/>
        </w:rPr>
        <w:t xml:space="preserve">a </w:t>
      </w:r>
      <w:r w:rsidRPr="00B93205">
        <w:rPr>
          <w:lang w:val="en-GB"/>
        </w:rPr>
        <w:t xml:space="preserve">six-month moratorium on </w:t>
      </w:r>
      <w:r w:rsidR="007D7D64" w:rsidRPr="00B93205">
        <w:rPr>
          <w:lang w:val="en-GB"/>
        </w:rPr>
        <w:t xml:space="preserve">any actions by </w:t>
      </w:r>
      <w:r w:rsidRPr="00B93205">
        <w:rPr>
          <w:lang w:val="en-GB"/>
        </w:rPr>
        <w:t xml:space="preserve">Nestlé </w:t>
      </w:r>
      <w:r w:rsidR="00A10D3D" w:rsidRPr="00B93205">
        <w:rPr>
          <w:lang w:val="en-GB"/>
        </w:rPr>
        <w:t>regarding</w:t>
      </w:r>
      <w:r w:rsidR="007D7D64" w:rsidRPr="00B93205">
        <w:rPr>
          <w:lang w:val="en-GB"/>
        </w:rPr>
        <w:t xml:space="preserve"> </w:t>
      </w:r>
      <w:r w:rsidRPr="00B93205">
        <w:rPr>
          <w:lang w:val="en-GB"/>
        </w:rPr>
        <w:t>its</w:t>
      </w:r>
      <w:r w:rsidR="00A10D3D" w:rsidRPr="00B93205">
        <w:rPr>
          <w:lang w:val="en-GB"/>
        </w:rPr>
        <w:t xml:space="preserve"> stake in</w:t>
      </w:r>
      <w:r w:rsidRPr="00B93205">
        <w:rPr>
          <w:lang w:val="en-GB"/>
        </w:rPr>
        <w:t xml:space="preserve"> L’Oréal</w:t>
      </w:r>
      <w:r w:rsidR="00A10D3D" w:rsidRPr="00B93205">
        <w:rPr>
          <w:lang w:val="en-GB"/>
        </w:rPr>
        <w:t>, which</w:t>
      </w:r>
      <w:r w:rsidR="007D7D64" w:rsidRPr="00B93205">
        <w:rPr>
          <w:lang w:val="en-GB"/>
        </w:rPr>
        <w:t xml:space="preserve"> had been enacted after the death of</w:t>
      </w:r>
      <w:r w:rsidRPr="00B93205">
        <w:rPr>
          <w:lang w:val="en-GB"/>
        </w:rPr>
        <w:t xml:space="preserve"> Lillian Bette</w:t>
      </w:r>
      <w:r w:rsidR="001D4531" w:rsidRPr="00B93205">
        <w:rPr>
          <w:lang w:val="en-GB"/>
        </w:rPr>
        <w:t>ncourt</w:t>
      </w:r>
      <w:r w:rsidR="007D7D64" w:rsidRPr="00B93205">
        <w:rPr>
          <w:lang w:val="en-GB"/>
        </w:rPr>
        <w:t xml:space="preserve"> in </w:t>
      </w:r>
      <w:r w:rsidR="001D4531" w:rsidRPr="00B93205">
        <w:rPr>
          <w:lang w:val="en-GB"/>
        </w:rPr>
        <w:t>September 2017</w:t>
      </w:r>
      <w:r w:rsidR="007D7D64" w:rsidRPr="00B93205">
        <w:rPr>
          <w:lang w:val="en-GB"/>
        </w:rPr>
        <w:t>.</w:t>
      </w:r>
      <w:r w:rsidR="00B51E7C" w:rsidRPr="00B93205">
        <w:rPr>
          <w:lang w:val="en-GB"/>
        </w:rPr>
        <w:t xml:space="preserve"> </w:t>
      </w:r>
      <w:r w:rsidR="007D7D64" w:rsidRPr="00B93205">
        <w:rPr>
          <w:lang w:val="en-GB"/>
        </w:rPr>
        <w:t>Before her</w:t>
      </w:r>
      <w:r w:rsidR="001D4531" w:rsidRPr="00B93205">
        <w:rPr>
          <w:lang w:val="en-GB"/>
        </w:rPr>
        <w:t xml:space="preserve"> death</w:t>
      </w:r>
      <w:r w:rsidR="007D7D64" w:rsidRPr="00B93205">
        <w:rPr>
          <w:lang w:val="en-GB"/>
        </w:rPr>
        <w:t>,</w:t>
      </w:r>
      <w:r w:rsidR="001D4531" w:rsidRPr="00B93205">
        <w:rPr>
          <w:lang w:val="en-GB"/>
        </w:rPr>
        <w:t xml:space="preserve"> </w:t>
      </w:r>
      <w:r w:rsidR="007D7D64" w:rsidRPr="00B93205">
        <w:rPr>
          <w:lang w:val="en-GB"/>
        </w:rPr>
        <w:t xml:space="preserve">Bettencourt </w:t>
      </w:r>
      <w:r w:rsidR="00A10A1F">
        <w:rPr>
          <w:lang w:val="en-GB"/>
        </w:rPr>
        <w:t>had been</w:t>
      </w:r>
      <w:r w:rsidR="00A10A1F" w:rsidRPr="00B93205">
        <w:rPr>
          <w:lang w:val="en-GB"/>
        </w:rPr>
        <w:t xml:space="preserve"> </w:t>
      </w:r>
      <w:r w:rsidR="007D7D64" w:rsidRPr="00B93205">
        <w:rPr>
          <w:lang w:val="en-GB"/>
        </w:rPr>
        <w:t xml:space="preserve">one of the principal shareholders in </w:t>
      </w:r>
      <w:r w:rsidRPr="00B93205">
        <w:rPr>
          <w:lang w:val="en-GB"/>
        </w:rPr>
        <w:t>L’Oréal</w:t>
      </w:r>
      <w:r w:rsidR="007D7D64" w:rsidRPr="00B93205">
        <w:rPr>
          <w:lang w:val="en-GB"/>
        </w:rPr>
        <w:t>. However, the moratorium ended on March 21, 2018. Therefore,</w:t>
      </w:r>
      <w:r w:rsidRPr="00B93205">
        <w:rPr>
          <w:lang w:val="en-GB"/>
        </w:rPr>
        <w:t xml:space="preserve"> </w:t>
      </w:r>
      <w:r w:rsidR="007D7D64" w:rsidRPr="00B93205">
        <w:rPr>
          <w:lang w:val="en-GB"/>
        </w:rPr>
        <w:t xml:space="preserve">L’Oréal </w:t>
      </w:r>
      <w:r w:rsidRPr="00B93205">
        <w:rPr>
          <w:lang w:val="en-GB"/>
        </w:rPr>
        <w:t>had public</w:t>
      </w:r>
      <w:r w:rsidR="007D7D64" w:rsidRPr="00B93205">
        <w:rPr>
          <w:lang w:val="en-GB"/>
        </w:rPr>
        <w:t>ly requested</w:t>
      </w:r>
      <w:r w:rsidRPr="00B93205">
        <w:rPr>
          <w:lang w:val="en-GB"/>
        </w:rPr>
        <w:t xml:space="preserve"> clarity </w:t>
      </w:r>
      <w:r w:rsidR="007D7D64" w:rsidRPr="00B93205">
        <w:rPr>
          <w:lang w:val="en-GB"/>
        </w:rPr>
        <w:t>from</w:t>
      </w:r>
      <w:r w:rsidRPr="00B93205">
        <w:rPr>
          <w:lang w:val="en-GB"/>
        </w:rPr>
        <w:t xml:space="preserve"> Nestlé </w:t>
      </w:r>
      <w:r w:rsidR="007D7D64" w:rsidRPr="00B93205">
        <w:rPr>
          <w:lang w:val="en-GB"/>
        </w:rPr>
        <w:t xml:space="preserve">on its </w:t>
      </w:r>
      <w:r w:rsidRPr="00B93205">
        <w:rPr>
          <w:lang w:val="en-GB"/>
        </w:rPr>
        <w:t>intentions regarding the French cosmetic company.</w:t>
      </w:r>
      <w:r w:rsidR="001D4531" w:rsidRPr="00B93205">
        <w:rPr>
          <w:rStyle w:val="EndnoteReference"/>
          <w:lang w:val="en-GB"/>
        </w:rPr>
        <w:endnoteReference w:id="10"/>
      </w:r>
      <w:r w:rsidRPr="00B93205">
        <w:rPr>
          <w:lang w:val="en-GB"/>
        </w:rPr>
        <w:t xml:space="preserve"> </w:t>
      </w:r>
      <w:r w:rsidR="00A10D3D" w:rsidRPr="00B93205">
        <w:rPr>
          <w:lang w:val="en-GB"/>
        </w:rPr>
        <w:t xml:space="preserve">So, </w:t>
      </w:r>
      <w:r w:rsidRPr="00B93205">
        <w:rPr>
          <w:lang w:val="en-GB"/>
        </w:rPr>
        <w:t xml:space="preserve">Schneider and his team </w:t>
      </w:r>
      <w:r w:rsidR="0092669A">
        <w:rPr>
          <w:lang w:val="en-GB"/>
        </w:rPr>
        <w:t>needed</w:t>
      </w:r>
      <w:r w:rsidR="0092669A" w:rsidRPr="00B93205">
        <w:rPr>
          <w:lang w:val="en-GB"/>
        </w:rPr>
        <w:t xml:space="preserve"> </w:t>
      </w:r>
      <w:r w:rsidRPr="00B93205">
        <w:rPr>
          <w:lang w:val="en-GB"/>
        </w:rPr>
        <w:t xml:space="preserve">to </w:t>
      </w:r>
      <w:r w:rsidR="00A10D3D" w:rsidRPr="00B93205">
        <w:rPr>
          <w:lang w:val="en-GB"/>
        </w:rPr>
        <w:t xml:space="preserve">address Third Point’s call and </w:t>
      </w:r>
      <w:r w:rsidRPr="00B93205">
        <w:rPr>
          <w:lang w:val="en-GB"/>
        </w:rPr>
        <w:t>respond to L’Oréal</w:t>
      </w:r>
      <w:r w:rsidR="007D7D64" w:rsidRPr="00B93205">
        <w:rPr>
          <w:lang w:val="en-GB"/>
        </w:rPr>
        <w:t>’s request</w:t>
      </w:r>
      <w:r w:rsidRPr="00B93205">
        <w:rPr>
          <w:lang w:val="en-GB"/>
        </w:rPr>
        <w:t>.</w:t>
      </w:r>
      <w:r w:rsidR="001D4531" w:rsidRPr="00B93205">
        <w:rPr>
          <w:rStyle w:val="EndnoteReference"/>
          <w:lang w:val="en-GB"/>
        </w:rPr>
        <w:t xml:space="preserve"> </w:t>
      </w:r>
    </w:p>
    <w:p w14:paraId="5634FF27" w14:textId="1E6E8B82" w:rsidR="00DD5762" w:rsidRPr="00B93205" w:rsidRDefault="00DD5762" w:rsidP="00DD5762">
      <w:pPr>
        <w:pStyle w:val="BodyTextMain"/>
        <w:rPr>
          <w:lang w:val="en-GB"/>
        </w:rPr>
      </w:pPr>
    </w:p>
    <w:p w14:paraId="11EAC9E1" w14:textId="77777777" w:rsidR="00DD5762" w:rsidRPr="00B93205" w:rsidRDefault="00DD5762" w:rsidP="00DD5762">
      <w:pPr>
        <w:pStyle w:val="BodyTextMain"/>
        <w:rPr>
          <w:lang w:val="en-GB"/>
        </w:rPr>
      </w:pPr>
    </w:p>
    <w:p w14:paraId="0CF842F0" w14:textId="50F15ACB" w:rsidR="00DD5762" w:rsidRPr="00B93205" w:rsidRDefault="00DD5762" w:rsidP="00DD5762">
      <w:pPr>
        <w:pStyle w:val="Casehead1"/>
        <w:rPr>
          <w:lang w:val="en-GB"/>
        </w:rPr>
      </w:pPr>
      <w:r w:rsidRPr="00B93205">
        <w:rPr>
          <w:lang w:val="en-GB"/>
        </w:rPr>
        <w:t>ABOUT NESTLÉ</w:t>
      </w:r>
    </w:p>
    <w:p w14:paraId="68858AEA" w14:textId="77777777" w:rsidR="00DD5762" w:rsidRPr="00B93205" w:rsidRDefault="00DD5762" w:rsidP="00DD5762">
      <w:pPr>
        <w:pStyle w:val="BodyTextMain"/>
        <w:rPr>
          <w:lang w:val="en-GB"/>
        </w:rPr>
      </w:pPr>
    </w:p>
    <w:p w14:paraId="2B2CB287" w14:textId="4D56DBD2" w:rsidR="00DD5762" w:rsidRPr="00B93205" w:rsidRDefault="00DD5762" w:rsidP="00DD5762">
      <w:pPr>
        <w:pStyle w:val="BodyTextMain"/>
        <w:rPr>
          <w:lang w:val="en-GB"/>
        </w:rPr>
      </w:pPr>
      <w:r w:rsidRPr="00B93205">
        <w:rPr>
          <w:lang w:val="en-GB"/>
        </w:rPr>
        <w:t>In 1867, Henri Nestlé founded a company in Vevey, Switzerland</w:t>
      </w:r>
      <w:r w:rsidR="0092669A">
        <w:rPr>
          <w:lang w:val="en-GB"/>
        </w:rPr>
        <w:t>,</w:t>
      </w:r>
      <w:r w:rsidRPr="00B93205">
        <w:rPr>
          <w:lang w:val="en-GB"/>
        </w:rPr>
        <w:t xml:space="preserve"> to develo</w:t>
      </w:r>
      <w:r w:rsidR="00661C0F" w:rsidRPr="00B93205">
        <w:rPr>
          <w:lang w:val="en-GB"/>
        </w:rPr>
        <w:t xml:space="preserve">p and sell his infant formula. </w:t>
      </w:r>
      <w:r w:rsidRPr="00B93205">
        <w:rPr>
          <w:lang w:val="en-GB"/>
        </w:rPr>
        <w:t>He ran it independently until merging it in 1905 with the Anglo-Swiss Condensed Milk Company to form the modern-day food and nutrition multinational. Over the years, Nestlé grew both org</w:t>
      </w:r>
      <w:r w:rsidR="00AA0592" w:rsidRPr="00B93205">
        <w:rPr>
          <w:lang w:val="en-GB"/>
        </w:rPr>
        <w:t xml:space="preserve">anically and via </w:t>
      </w:r>
      <w:r w:rsidR="00AA0592" w:rsidRPr="00B93205">
        <w:rPr>
          <w:lang w:val="en-GB"/>
        </w:rPr>
        <w:lastRenderedPageBreak/>
        <w:t xml:space="preserve">acquisitions. </w:t>
      </w:r>
      <w:r w:rsidRPr="00B93205">
        <w:rPr>
          <w:lang w:val="en-GB"/>
        </w:rPr>
        <w:t xml:space="preserve">At the end of fiscal 2017, Nestlé had $90.28 billion in revenues, sold </w:t>
      </w:r>
      <w:r w:rsidR="00411935" w:rsidRPr="00B93205">
        <w:rPr>
          <w:lang w:val="en-GB"/>
        </w:rPr>
        <w:t xml:space="preserve">its </w:t>
      </w:r>
      <w:r w:rsidRPr="00B93205">
        <w:rPr>
          <w:lang w:val="en-GB"/>
        </w:rPr>
        <w:t>products in 189 countries</w:t>
      </w:r>
      <w:r w:rsidR="00411935" w:rsidRPr="00B93205">
        <w:rPr>
          <w:lang w:val="en-GB"/>
        </w:rPr>
        <w:t>,</w:t>
      </w:r>
      <w:r w:rsidRPr="00B93205">
        <w:rPr>
          <w:lang w:val="en-GB"/>
        </w:rPr>
        <w:t xml:space="preserve"> produced </w:t>
      </w:r>
      <w:r w:rsidR="00411935" w:rsidRPr="00B93205">
        <w:rPr>
          <w:lang w:val="en-GB"/>
        </w:rPr>
        <w:t xml:space="preserve">its goods </w:t>
      </w:r>
      <w:r w:rsidRPr="00B93205">
        <w:rPr>
          <w:lang w:val="en-GB"/>
        </w:rPr>
        <w:t>in 413 factories</w:t>
      </w:r>
      <w:r w:rsidR="00411935" w:rsidRPr="00B93205">
        <w:rPr>
          <w:lang w:val="en-GB"/>
        </w:rPr>
        <w:t xml:space="preserve"> that were</w:t>
      </w:r>
      <w:r w:rsidRPr="00B93205">
        <w:rPr>
          <w:lang w:val="en-GB"/>
        </w:rPr>
        <w:t xml:space="preserve"> located in 85 countries, employed 323,000 people, and owned over 2,000 brands. CEO Schneider reported to a </w:t>
      </w:r>
      <w:r w:rsidR="00B51E7C" w:rsidRPr="00B93205">
        <w:rPr>
          <w:lang w:val="en-GB"/>
        </w:rPr>
        <w:t>b</w:t>
      </w:r>
      <w:r w:rsidRPr="00B93205">
        <w:rPr>
          <w:lang w:val="en-GB"/>
        </w:rPr>
        <w:t xml:space="preserve">oard </w:t>
      </w:r>
      <w:r w:rsidR="00B51E7C" w:rsidRPr="00B93205">
        <w:rPr>
          <w:lang w:val="en-GB"/>
        </w:rPr>
        <w:t xml:space="preserve">of directors </w:t>
      </w:r>
      <w:r w:rsidRPr="00B93205">
        <w:rPr>
          <w:lang w:val="en-GB"/>
        </w:rPr>
        <w:t xml:space="preserve">that was led by </w:t>
      </w:r>
      <w:r w:rsidR="00B51E7C" w:rsidRPr="00B93205">
        <w:rPr>
          <w:lang w:val="en-GB"/>
        </w:rPr>
        <w:t>c</w:t>
      </w:r>
      <w:r w:rsidRPr="00B93205">
        <w:rPr>
          <w:lang w:val="en-GB"/>
        </w:rPr>
        <w:t>hairman Paul Bulcke, who took office in fiscal 2018</w:t>
      </w:r>
      <w:r w:rsidR="00B51E7C" w:rsidRPr="00B93205">
        <w:rPr>
          <w:lang w:val="en-GB"/>
        </w:rPr>
        <w:t>.</w:t>
      </w:r>
      <w:r w:rsidRPr="00B93205">
        <w:rPr>
          <w:rStyle w:val="EndnoteReference"/>
          <w:lang w:val="en-GB"/>
        </w:rPr>
        <w:endnoteReference w:id="11"/>
      </w:r>
      <w:r w:rsidRPr="00B93205">
        <w:rPr>
          <w:lang w:val="en-GB"/>
        </w:rPr>
        <w:t xml:space="preserve"> </w:t>
      </w:r>
    </w:p>
    <w:p w14:paraId="590CD60C" w14:textId="77777777" w:rsidR="00DD5762" w:rsidRPr="00B93205" w:rsidRDefault="00DD5762" w:rsidP="00DD5762">
      <w:pPr>
        <w:pStyle w:val="BodyTextMain"/>
        <w:rPr>
          <w:lang w:val="en-GB"/>
        </w:rPr>
      </w:pPr>
    </w:p>
    <w:p w14:paraId="6CC9A781" w14:textId="527800CB" w:rsidR="00DD5762" w:rsidRPr="00B93205" w:rsidRDefault="00DD5762" w:rsidP="00DD5762">
      <w:pPr>
        <w:pStyle w:val="BodyTextMain"/>
        <w:rPr>
          <w:lang w:val="en-GB"/>
        </w:rPr>
      </w:pPr>
      <w:r w:rsidRPr="00B93205">
        <w:rPr>
          <w:lang w:val="en-GB"/>
        </w:rPr>
        <w:t xml:space="preserve">In a presentation to investors, Schneider underscored Nestlé’s presence as a key global </w:t>
      </w:r>
      <w:r w:rsidR="00B51E7C" w:rsidRPr="00B93205">
        <w:rPr>
          <w:lang w:val="en-GB"/>
        </w:rPr>
        <w:t>competitor</w:t>
      </w:r>
      <w:r w:rsidRPr="00B93205">
        <w:rPr>
          <w:lang w:val="en-GB"/>
        </w:rPr>
        <w:t xml:space="preserve"> in the nutrition, health, and wellness (NHW) mar</w:t>
      </w:r>
      <w:r w:rsidR="00EB033A" w:rsidRPr="00B93205">
        <w:rPr>
          <w:lang w:val="en-GB"/>
        </w:rPr>
        <w:t xml:space="preserve">ket. </w:t>
      </w:r>
      <w:r w:rsidRPr="00B93205">
        <w:rPr>
          <w:lang w:val="en-GB"/>
        </w:rPr>
        <w:t>In th</w:t>
      </w:r>
      <w:r w:rsidR="00882B7F" w:rsidRPr="00B93205">
        <w:rPr>
          <w:lang w:val="en-GB"/>
        </w:rPr>
        <w:t>is</w:t>
      </w:r>
      <w:r w:rsidRPr="00B93205">
        <w:rPr>
          <w:lang w:val="en-GB"/>
        </w:rPr>
        <w:t xml:space="preserve"> market, Nestlé’s strengths included a strong portfolio with a presence in the market</w:t>
      </w:r>
      <w:r w:rsidR="00882B7F" w:rsidRPr="00B93205">
        <w:rPr>
          <w:lang w:val="en-GB"/>
        </w:rPr>
        <w:t>’</w:t>
      </w:r>
      <w:r w:rsidRPr="00B93205">
        <w:rPr>
          <w:lang w:val="en-GB"/>
        </w:rPr>
        <w:t>s growth segments, brands names that global consumers trusted, and a track record of successfully ad</w:t>
      </w:r>
      <w:r w:rsidR="00EB033A" w:rsidRPr="00B93205">
        <w:rPr>
          <w:lang w:val="en-GB"/>
        </w:rPr>
        <w:t xml:space="preserve">apting to marketplace changes. </w:t>
      </w:r>
      <w:r w:rsidRPr="00B93205">
        <w:rPr>
          <w:lang w:val="en-GB"/>
        </w:rPr>
        <w:t xml:space="preserve">Schneider indicated that food and beverage </w:t>
      </w:r>
      <w:r w:rsidR="00B51E7C" w:rsidRPr="00B93205">
        <w:rPr>
          <w:lang w:val="en-GB"/>
        </w:rPr>
        <w:t>would be</w:t>
      </w:r>
      <w:r w:rsidRPr="00B93205">
        <w:rPr>
          <w:lang w:val="en-GB"/>
        </w:rPr>
        <w:t xml:space="preserve"> Nestlé’s core</w:t>
      </w:r>
      <w:r w:rsidR="00B51E7C" w:rsidRPr="00B93205">
        <w:rPr>
          <w:lang w:val="en-GB"/>
        </w:rPr>
        <w:t xml:space="preserve"> focus for the future</w:t>
      </w:r>
      <w:r w:rsidRPr="00B93205">
        <w:rPr>
          <w:lang w:val="en-GB"/>
        </w:rPr>
        <w:t>, with a 27 per</w:t>
      </w:r>
      <w:r w:rsidR="00B51E7C" w:rsidRPr="00B93205">
        <w:rPr>
          <w:lang w:val="en-GB"/>
        </w:rPr>
        <w:t xml:space="preserve"> </w:t>
      </w:r>
      <w:r w:rsidRPr="00B93205">
        <w:rPr>
          <w:lang w:val="en-GB"/>
        </w:rPr>
        <w:t>cent global market share in coffee, a 27 per</w:t>
      </w:r>
      <w:r w:rsidR="00B51E7C" w:rsidRPr="00B93205">
        <w:rPr>
          <w:lang w:val="en-GB"/>
        </w:rPr>
        <w:t xml:space="preserve"> </w:t>
      </w:r>
      <w:r w:rsidRPr="00B93205">
        <w:rPr>
          <w:lang w:val="en-GB"/>
        </w:rPr>
        <w:t>cent global market share in infant nutrition, and a 10 per</w:t>
      </w:r>
      <w:r w:rsidR="00B51E7C" w:rsidRPr="00B93205">
        <w:rPr>
          <w:lang w:val="en-GB"/>
        </w:rPr>
        <w:t xml:space="preserve"> </w:t>
      </w:r>
      <w:r w:rsidRPr="00B93205">
        <w:rPr>
          <w:lang w:val="en-GB"/>
        </w:rPr>
        <w:t>cent global market share in bottled water (Nestlé Pure Life was the number one bottled</w:t>
      </w:r>
      <w:r w:rsidR="0092669A">
        <w:rPr>
          <w:lang w:val="en-GB"/>
        </w:rPr>
        <w:t>-</w:t>
      </w:r>
      <w:r w:rsidRPr="00B93205">
        <w:rPr>
          <w:lang w:val="en-GB"/>
        </w:rPr>
        <w:t>water brand worldwide)</w:t>
      </w:r>
      <w:r w:rsidR="00B51E7C" w:rsidRPr="00B93205">
        <w:rPr>
          <w:lang w:val="en-GB"/>
        </w:rPr>
        <w:t xml:space="preserve">. The </w:t>
      </w:r>
      <w:r w:rsidRPr="00B93205">
        <w:rPr>
          <w:lang w:val="en-GB"/>
        </w:rPr>
        <w:t>consumer health</w:t>
      </w:r>
      <w:r w:rsidR="0092669A">
        <w:rPr>
          <w:lang w:val="en-GB"/>
        </w:rPr>
        <w:t>-</w:t>
      </w:r>
      <w:r w:rsidRPr="00B93205">
        <w:rPr>
          <w:lang w:val="en-GB"/>
        </w:rPr>
        <w:t xml:space="preserve">care </w:t>
      </w:r>
      <w:r w:rsidR="00B51E7C" w:rsidRPr="00B93205">
        <w:rPr>
          <w:lang w:val="en-GB"/>
        </w:rPr>
        <w:t xml:space="preserve">segment </w:t>
      </w:r>
      <w:r w:rsidRPr="00B93205">
        <w:rPr>
          <w:lang w:val="en-GB"/>
        </w:rPr>
        <w:t xml:space="preserve">was </w:t>
      </w:r>
      <w:r w:rsidR="00B51E7C" w:rsidRPr="00B93205">
        <w:rPr>
          <w:lang w:val="en-GB"/>
        </w:rPr>
        <w:t>also Nestlé’s</w:t>
      </w:r>
      <w:r w:rsidRPr="00B93205">
        <w:rPr>
          <w:lang w:val="en-GB"/>
        </w:rPr>
        <w:t xml:space="preserve"> growth platform </w:t>
      </w:r>
      <w:r w:rsidR="00B51E7C" w:rsidRPr="00B93205">
        <w:rPr>
          <w:lang w:val="en-GB"/>
        </w:rPr>
        <w:t xml:space="preserve">(see </w:t>
      </w:r>
      <w:r w:rsidRPr="00B93205">
        <w:rPr>
          <w:lang w:val="en-GB"/>
        </w:rPr>
        <w:t>Exhibit 1</w:t>
      </w:r>
      <w:r w:rsidR="00B51E7C" w:rsidRPr="00B93205">
        <w:rPr>
          <w:lang w:val="en-GB"/>
        </w:rPr>
        <w:t>)</w:t>
      </w:r>
      <w:r w:rsidRPr="00B93205">
        <w:rPr>
          <w:lang w:val="en-GB"/>
        </w:rPr>
        <w:t>.</w:t>
      </w:r>
      <w:r w:rsidRPr="00B93205">
        <w:rPr>
          <w:rStyle w:val="EndnoteReference"/>
          <w:lang w:val="en-GB"/>
        </w:rPr>
        <w:endnoteReference w:id="12"/>
      </w:r>
      <w:r w:rsidRPr="00B93205">
        <w:rPr>
          <w:lang w:val="en-GB"/>
        </w:rPr>
        <w:t xml:space="preserve"> </w:t>
      </w:r>
    </w:p>
    <w:p w14:paraId="4F15ABDE" w14:textId="77777777" w:rsidR="00DD5762" w:rsidRPr="00B93205" w:rsidRDefault="00DD5762" w:rsidP="00DD5762">
      <w:pPr>
        <w:pStyle w:val="BodyTextMain"/>
        <w:rPr>
          <w:lang w:val="en-GB"/>
        </w:rPr>
      </w:pPr>
    </w:p>
    <w:p w14:paraId="0F2BDE20" w14:textId="67FB85B0" w:rsidR="00DD5762" w:rsidRPr="00B93205" w:rsidRDefault="00DD5762" w:rsidP="00DD5762">
      <w:pPr>
        <w:pStyle w:val="BodyTextMain"/>
        <w:rPr>
          <w:lang w:val="en-GB"/>
        </w:rPr>
      </w:pPr>
      <w:r w:rsidRPr="00B93205">
        <w:rPr>
          <w:lang w:val="en-GB"/>
        </w:rPr>
        <w:t>Given its broad portfolio of products, Nestlé competed globa</w:t>
      </w:r>
      <w:r w:rsidR="00EB033A" w:rsidRPr="00B93205">
        <w:rPr>
          <w:lang w:val="en-GB"/>
        </w:rPr>
        <w:t xml:space="preserve">lly with a variety of </w:t>
      </w:r>
      <w:r w:rsidR="0038587D" w:rsidRPr="00B93205">
        <w:rPr>
          <w:lang w:val="en-GB"/>
        </w:rPr>
        <w:t>major companies</w:t>
      </w:r>
      <w:r w:rsidR="00EB033A" w:rsidRPr="00B93205">
        <w:rPr>
          <w:lang w:val="en-GB"/>
        </w:rPr>
        <w:t xml:space="preserve">. </w:t>
      </w:r>
      <w:r w:rsidR="0038587D" w:rsidRPr="00B93205">
        <w:rPr>
          <w:lang w:val="en-GB"/>
        </w:rPr>
        <w:t xml:space="preserve">The </w:t>
      </w:r>
      <w:r w:rsidRPr="00B93205">
        <w:rPr>
          <w:lang w:val="en-GB"/>
        </w:rPr>
        <w:t>Hoover’s</w:t>
      </w:r>
      <w:r w:rsidR="0038587D" w:rsidRPr="00B93205">
        <w:rPr>
          <w:lang w:val="en-GB"/>
        </w:rPr>
        <w:t xml:space="preserve"> Company Records market research service</w:t>
      </w:r>
      <w:r w:rsidRPr="00B93205">
        <w:rPr>
          <w:rStyle w:val="EndnoteReference"/>
          <w:lang w:val="en-GB"/>
        </w:rPr>
        <w:endnoteReference w:id="13"/>
      </w:r>
      <w:r w:rsidRPr="00B93205">
        <w:rPr>
          <w:lang w:val="en-GB"/>
        </w:rPr>
        <w:t xml:space="preserve"> identified 43 </w:t>
      </w:r>
      <w:r w:rsidR="0038587D" w:rsidRPr="00B93205">
        <w:rPr>
          <w:lang w:val="en-GB"/>
        </w:rPr>
        <w:t xml:space="preserve">Nestlé </w:t>
      </w:r>
      <w:r w:rsidRPr="00B93205">
        <w:rPr>
          <w:lang w:val="en-GB"/>
        </w:rPr>
        <w:t>competitors, ranging from Abbott Lab</w:t>
      </w:r>
      <w:r w:rsidR="00882B7F" w:rsidRPr="00B93205">
        <w:rPr>
          <w:lang w:val="en-GB"/>
        </w:rPr>
        <w:t>oratorie</w:t>
      </w:r>
      <w:r w:rsidRPr="00B93205">
        <w:rPr>
          <w:lang w:val="en-GB"/>
        </w:rPr>
        <w:t xml:space="preserve">s and Procter </w:t>
      </w:r>
      <w:r w:rsidR="00882B7F" w:rsidRPr="00B93205">
        <w:rPr>
          <w:lang w:val="en-GB"/>
        </w:rPr>
        <w:t>&amp;</w:t>
      </w:r>
      <w:r w:rsidRPr="00B93205">
        <w:rPr>
          <w:lang w:val="en-GB"/>
        </w:rPr>
        <w:t xml:space="preserve"> Gamble </w:t>
      </w:r>
      <w:r w:rsidR="00882B7F" w:rsidRPr="00B93205">
        <w:rPr>
          <w:lang w:val="en-GB"/>
        </w:rPr>
        <w:t xml:space="preserve">Company </w:t>
      </w:r>
      <w:r w:rsidRPr="00B93205">
        <w:rPr>
          <w:lang w:val="en-GB"/>
        </w:rPr>
        <w:t>in the health category</w:t>
      </w:r>
      <w:r w:rsidR="0038587D" w:rsidRPr="00B93205">
        <w:rPr>
          <w:lang w:val="en-GB"/>
        </w:rPr>
        <w:t xml:space="preserve"> to </w:t>
      </w:r>
      <w:r w:rsidRPr="00B93205">
        <w:rPr>
          <w:lang w:val="en-GB"/>
        </w:rPr>
        <w:t>Danone</w:t>
      </w:r>
      <w:r w:rsidR="00882B7F" w:rsidRPr="00B93205">
        <w:rPr>
          <w:lang w:val="en-GB"/>
        </w:rPr>
        <w:t xml:space="preserve"> S.A.</w:t>
      </w:r>
      <w:r w:rsidR="0092669A">
        <w:rPr>
          <w:lang w:val="en-GB"/>
        </w:rPr>
        <w:t>;</w:t>
      </w:r>
      <w:r w:rsidRPr="00B93205">
        <w:rPr>
          <w:lang w:val="en-GB"/>
        </w:rPr>
        <w:t xml:space="preserve"> </w:t>
      </w:r>
      <w:r w:rsidR="00882B7F" w:rsidRPr="00B93205">
        <w:rPr>
          <w:lang w:val="en-GB"/>
        </w:rPr>
        <w:t xml:space="preserve">The </w:t>
      </w:r>
      <w:r w:rsidRPr="00B93205">
        <w:rPr>
          <w:lang w:val="en-GB"/>
        </w:rPr>
        <w:t>Coca-Cola</w:t>
      </w:r>
      <w:r w:rsidR="00882B7F" w:rsidRPr="00B93205">
        <w:rPr>
          <w:lang w:val="en-GB"/>
        </w:rPr>
        <w:t xml:space="preserve"> Company</w:t>
      </w:r>
      <w:r w:rsidR="0092669A">
        <w:rPr>
          <w:lang w:val="en-GB"/>
        </w:rPr>
        <w:t>;</w:t>
      </w:r>
      <w:r w:rsidRPr="00B93205">
        <w:rPr>
          <w:lang w:val="en-GB"/>
        </w:rPr>
        <w:t xml:space="preserve"> Mondel</w:t>
      </w:r>
      <w:r w:rsidR="00882B7F" w:rsidRPr="00B93205">
        <w:rPr>
          <w:lang w:val="en-GB"/>
        </w:rPr>
        <w:t>ē</w:t>
      </w:r>
      <w:r w:rsidRPr="00B93205">
        <w:rPr>
          <w:lang w:val="en-GB"/>
        </w:rPr>
        <w:t>z</w:t>
      </w:r>
      <w:r w:rsidR="00882B7F" w:rsidRPr="00B93205">
        <w:rPr>
          <w:lang w:val="en-GB"/>
        </w:rPr>
        <w:t xml:space="preserve"> International, Inc.</w:t>
      </w:r>
      <w:r w:rsidR="0092669A">
        <w:rPr>
          <w:lang w:val="en-GB"/>
        </w:rPr>
        <w:t>;</w:t>
      </w:r>
      <w:r w:rsidRPr="00B93205">
        <w:rPr>
          <w:lang w:val="en-GB"/>
        </w:rPr>
        <w:t xml:space="preserve"> General Mills, </w:t>
      </w:r>
      <w:r w:rsidR="00882B7F" w:rsidRPr="00B93205">
        <w:rPr>
          <w:lang w:val="en-GB"/>
        </w:rPr>
        <w:t>Inc.</w:t>
      </w:r>
      <w:r w:rsidR="0092669A">
        <w:rPr>
          <w:lang w:val="en-GB"/>
        </w:rPr>
        <w:t>;</w:t>
      </w:r>
      <w:r w:rsidR="00882B7F" w:rsidRPr="00B93205">
        <w:rPr>
          <w:lang w:val="en-GB"/>
        </w:rPr>
        <w:t xml:space="preserve"> </w:t>
      </w:r>
      <w:r w:rsidRPr="00B93205">
        <w:rPr>
          <w:lang w:val="en-GB"/>
        </w:rPr>
        <w:t xml:space="preserve">and </w:t>
      </w:r>
      <w:r w:rsidR="00EB033A" w:rsidRPr="00B93205">
        <w:rPr>
          <w:lang w:val="en-GB"/>
        </w:rPr>
        <w:t>Kraft Heinz</w:t>
      </w:r>
      <w:r w:rsidR="00882B7F" w:rsidRPr="00B93205">
        <w:rPr>
          <w:lang w:val="en-GB"/>
        </w:rPr>
        <w:t xml:space="preserve"> Company</w:t>
      </w:r>
      <w:r w:rsidR="00EB033A" w:rsidRPr="00B93205">
        <w:rPr>
          <w:lang w:val="en-GB"/>
        </w:rPr>
        <w:t xml:space="preserve"> in </w:t>
      </w:r>
      <w:r w:rsidR="0038587D" w:rsidRPr="00B93205">
        <w:rPr>
          <w:lang w:val="en-GB"/>
        </w:rPr>
        <w:t xml:space="preserve">the </w:t>
      </w:r>
      <w:r w:rsidR="00EB033A" w:rsidRPr="00B93205">
        <w:rPr>
          <w:lang w:val="en-GB"/>
        </w:rPr>
        <w:t>packaged foods</w:t>
      </w:r>
      <w:r w:rsidR="0038587D" w:rsidRPr="00B93205">
        <w:rPr>
          <w:lang w:val="en-GB"/>
        </w:rPr>
        <w:t xml:space="preserve"> market</w:t>
      </w:r>
      <w:r w:rsidR="00EB033A" w:rsidRPr="00B93205">
        <w:rPr>
          <w:lang w:val="en-GB"/>
        </w:rPr>
        <w:t xml:space="preserve">. </w:t>
      </w:r>
      <w:r w:rsidRPr="00B93205">
        <w:rPr>
          <w:lang w:val="en-GB"/>
        </w:rPr>
        <w:t>Nestlé encountered competition in multiple markets</w:t>
      </w:r>
      <w:r w:rsidR="00E209E5" w:rsidRPr="00B93205">
        <w:rPr>
          <w:lang w:val="en-GB"/>
        </w:rPr>
        <w:t>, from major</w:t>
      </w:r>
      <w:r w:rsidRPr="00B93205">
        <w:rPr>
          <w:lang w:val="en-GB"/>
        </w:rPr>
        <w:t xml:space="preserve"> multinationals </w:t>
      </w:r>
      <w:r w:rsidR="00E209E5" w:rsidRPr="00B93205">
        <w:rPr>
          <w:lang w:val="en-GB"/>
        </w:rPr>
        <w:t>competitors to</w:t>
      </w:r>
      <w:r w:rsidRPr="00B93205">
        <w:rPr>
          <w:lang w:val="en-GB"/>
        </w:rPr>
        <w:t xml:space="preserve"> local </w:t>
      </w:r>
      <w:r w:rsidR="00E209E5" w:rsidRPr="00B93205">
        <w:rPr>
          <w:lang w:val="en-GB"/>
        </w:rPr>
        <w:t>companies</w:t>
      </w:r>
      <w:r w:rsidR="002A108D" w:rsidRPr="00B93205">
        <w:rPr>
          <w:lang w:val="en-GB"/>
        </w:rPr>
        <w:t>,</w:t>
      </w:r>
      <w:r w:rsidRPr="00B93205">
        <w:rPr>
          <w:lang w:val="en-GB"/>
        </w:rPr>
        <w:t xml:space="preserve"> in each product category</w:t>
      </w:r>
      <w:r w:rsidR="00E209E5" w:rsidRPr="00B93205">
        <w:rPr>
          <w:lang w:val="en-GB"/>
        </w:rPr>
        <w:t xml:space="preserve"> where Nestlé was active</w:t>
      </w:r>
      <w:r w:rsidRPr="00B93205">
        <w:rPr>
          <w:lang w:val="en-GB"/>
        </w:rPr>
        <w:t>. Nestlé’s largest market</w:t>
      </w:r>
      <w:r w:rsidR="00E209E5" w:rsidRPr="00B93205">
        <w:rPr>
          <w:lang w:val="en-GB"/>
        </w:rPr>
        <w:t xml:space="preserve"> was North and South America</w:t>
      </w:r>
      <w:r w:rsidRPr="00B93205">
        <w:rPr>
          <w:lang w:val="en-GB"/>
        </w:rPr>
        <w:t>, accounting for over 30 per</w:t>
      </w:r>
      <w:r w:rsidR="002A108D" w:rsidRPr="00B93205">
        <w:rPr>
          <w:lang w:val="en-GB"/>
        </w:rPr>
        <w:t xml:space="preserve"> </w:t>
      </w:r>
      <w:r w:rsidRPr="00B93205">
        <w:rPr>
          <w:lang w:val="en-GB"/>
        </w:rPr>
        <w:t xml:space="preserve">cent of 2017 revenues. Coffee accounted for </w:t>
      </w:r>
      <w:r w:rsidR="00E209E5" w:rsidRPr="00B93205">
        <w:rPr>
          <w:lang w:val="en-GB"/>
        </w:rPr>
        <w:t>CHF</w:t>
      </w:r>
      <w:r w:rsidRPr="00B93205">
        <w:rPr>
          <w:lang w:val="en-GB"/>
        </w:rPr>
        <w:t>17 billion</w:t>
      </w:r>
      <w:r w:rsidR="00E209E5" w:rsidRPr="00B93205">
        <w:rPr>
          <w:rStyle w:val="EndnoteReference"/>
          <w:lang w:val="en-GB"/>
        </w:rPr>
        <w:endnoteReference w:id="14"/>
      </w:r>
      <w:r w:rsidRPr="00B93205">
        <w:rPr>
          <w:lang w:val="en-GB"/>
        </w:rPr>
        <w:t xml:space="preserve"> in 2017 revenues</w:t>
      </w:r>
      <w:r w:rsidR="00D3487B" w:rsidRPr="00B93205">
        <w:rPr>
          <w:lang w:val="en-GB"/>
        </w:rPr>
        <w:t>,</w:t>
      </w:r>
      <w:r w:rsidRPr="00B93205">
        <w:rPr>
          <w:lang w:val="en-GB"/>
        </w:rPr>
        <w:t xml:space="preserve"> with Nescaf</w:t>
      </w:r>
      <w:r w:rsidR="002A108D" w:rsidRPr="00B93205">
        <w:rPr>
          <w:lang w:val="en-GB"/>
        </w:rPr>
        <w:t>é</w:t>
      </w:r>
      <w:r w:rsidRPr="00B93205">
        <w:rPr>
          <w:lang w:val="en-GB"/>
        </w:rPr>
        <w:t xml:space="preserve"> and Nespresso </w:t>
      </w:r>
      <w:r w:rsidR="00D3487B" w:rsidRPr="00B93205">
        <w:rPr>
          <w:lang w:val="en-GB"/>
        </w:rPr>
        <w:t>as its</w:t>
      </w:r>
      <w:r w:rsidRPr="00B93205">
        <w:rPr>
          <w:lang w:val="en-GB"/>
        </w:rPr>
        <w:t xml:space="preserve"> two leading brands</w:t>
      </w:r>
      <w:r w:rsidR="002752DF">
        <w:rPr>
          <w:lang w:val="en-GB"/>
        </w:rPr>
        <w:t>.</w:t>
      </w:r>
      <w:r w:rsidRPr="00B93205">
        <w:rPr>
          <w:rStyle w:val="EndnoteReference"/>
          <w:lang w:val="en-GB"/>
        </w:rPr>
        <w:endnoteReference w:id="15"/>
      </w:r>
      <w:r w:rsidRPr="00B93205">
        <w:rPr>
          <w:lang w:val="en-GB"/>
        </w:rPr>
        <w:t xml:space="preserve"> </w:t>
      </w:r>
    </w:p>
    <w:p w14:paraId="525E3AEC" w14:textId="77777777" w:rsidR="00DD5762" w:rsidRPr="00B93205" w:rsidRDefault="00DD5762" w:rsidP="00DD5762">
      <w:pPr>
        <w:pStyle w:val="BodyTextMain"/>
        <w:rPr>
          <w:lang w:val="en-GB"/>
        </w:rPr>
      </w:pPr>
    </w:p>
    <w:p w14:paraId="20F53896" w14:textId="400451AF" w:rsidR="00DD5762" w:rsidRPr="00B93205" w:rsidRDefault="00DD5762" w:rsidP="00DD5762">
      <w:pPr>
        <w:pStyle w:val="BodyTextMain"/>
        <w:rPr>
          <w:lang w:val="en-GB"/>
        </w:rPr>
      </w:pPr>
      <w:r w:rsidRPr="00B93205">
        <w:rPr>
          <w:lang w:val="en-GB"/>
        </w:rPr>
        <w:t xml:space="preserve">In its financial statements, Nestlé classified its </w:t>
      </w:r>
      <w:r w:rsidR="002A108D" w:rsidRPr="00B93205">
        <w:rPr>
          <w:lang w:val="en-GB"/>
        </w:rPr>
        <w:t xml:space="preserve">stake in </w:t>
      </w:r>
      <w:r w:rsidRPr="00B93205">
        <w:rPr>
          <w:lang w:val="en-GB"/>
        </w:rPr>
        <w:t>L’Oréal as an investment in “A</w:t>
      </w:r>
      <w:r w:rsidR="00EB033A" w:rsidRPr="00B93205">
        <w:rPr>
          <w:lang w:val="en-GB"/>
        </w:rPr>
        <w:t xml:space="preserve">ssociates and Joint Ventures.” </w:t>
      </w:r>
      <w:r w:rsidRPr="00B93205">
        <w:rPr>
          <w:lang w:val="en-GB"/>
        </w:rPr>
        <w:t>Because of its 23.2 per</w:t>
      </w:r>
      <w:r w:rsidR="00D3487B" w:rsidRPr="00B93205">
        <w:rPr>
          <w:lang w:val="en-GB"/>
        </w:rPr>
        <w:t xml:space="preserve"> </w:t>
      </w:r>
      <w:r w:rsidRPr="00B93205">
        <w:rPr>
          <w:lang w:val="en-GB"/>
        </w:rPr>
        <w:t xml:space="preserve">cent stake, the L’Oréal investment was accounted for </w:t>
      </w:r>
      <w:r w:rsidR="00B131F5" w:rsidRPr="00B93205">
        <w:rPr>
          <w:lang w:val="en-GB"/>
        </w:rPr>
        <w:t>using</w:t>
      </w:r>
      <w:r w:rsidRPr="00B93205">
        <w:rPr>
          <w:lang w:val="en-GB"/>
        </w:rPr>
        <w:t xml:space="preserve"> the equity m</w:t>
      </w:r>
      <w:r w:rsidR="00EB033A" w:rsidRPr="00B93205">
        <w:rPr>
          <w:lang w:val="en-GB"/>
        </w:rPr>
        <w:t xml:space="preserve">ethod. </w:t>
      </w:r>
      <w:r w:rsidR="00B131F5" w:rsidRPr="00B93205">
        <w:rPr>
          <w:lang w:val="en-GB"/>
        </w:rPr>
        <w:t>With</w:t>
      </w:r>
      <w:r w:rsidRPr="00B93205">
        <w:rPr>
          <w:lang w:val="en-GB"/>
        </w:rPr>
        <w:t xml:space="preserve"> this method, Nestlé initially recorded its investment at cost</w:t>
      </w:r>
      <w:r w:rsidR="00D3487B" w:rsidRPr="00B93205">
        <w:rPr>
          <w:lang w:val="en-GB"/>
        </w:rPr>
        <w:t>. E</w:t>
      </w:r>
      <w:r w:rsidRPr="00B93205">
        <w:rPr>
          <w:lang w:val="en-GB"/>
        </w:rPr>
        <w:t>ach year</w:t>
      </w:r>
      <w:r w:rsidR="00D3487B" w:rsidRPr="00B93205">
        <w:rPr>
          <w:lang w:val="en-GB"/>
        </w:rPr>
        <w:t>, it</w:t>
      </w:r>
      <w:r w:rsidRPr="00B93205">
        <w:rPr>
          <w:lang w:val="en-GB"/>
        </w:rPr>
        <w:t xml:space="preserve"> adjusted for its share of L’Oréal’s total profits and </w:t>
      </w:r>
      <w:r w:rsidR="00D3487B" w:rsidRPr="00B93205">
        <w:rPr>
          <w:lang w:val="en-GB"/>
        </w:rPr>
        <w:t xml:space="preserve">then </w:t>
      </w:r>
      <w:r w:rsidRPr="00B93205">
        <w:rPr>
          <w:lang w:val="en-GB"/>
        </w:rPr>
        <w:t>de</w:t>
      </w:r>
      <w:r w:rsidR="00EB033A" w:rsidRPr="00B93205">
        <w:rPr>
          <w:lang w:val="en-GB"/>
        </w:rPr>
        <w:t xml:space="preserve">ducted the dividends received. </w:t>
      </w:r>
      <w:r w:rsidRPr="00B93205">
        <w:rPr>
          <w:lang w:val="en-GB"/>
        </w:rPr>
        <w:t xml:space="preserve">At the beginning of fiscal </w:t>
      </w:r>
      <w:r w:rsidR="0000763F">
        <w:rPr>
          <w:lang w:val="en-GB"/>
        </w:rPr>
        <w:t xml:space="preserve">year (FY) </w:t>
      </w:r>
      <w:r w:rsidRPr="00B93205">
        <w:rPr>
          <w:lang w:val="en-GB"/>
        </w:rPr>
        <w:t>2017, the L’Oréal stake was valued at $7.493 billion</w:t>
      </w:r>
      <w:r w:rsidR="000A7247" w:rsidRPr="00B93205">
        <w:rPr>
          <w:lang w:val="en-GB"/>
        </w:rPr>
        <w:t>; at the end of</w:t>
      </w:r>
      <w:r w:rsidRPr="00B93205">
        <w:rPr>
          <w:lang w:val="en-GB"/>
        </w:rPr>
        <w:t xml:space="preserve"> </w:t>
      </w:r>
      <w:r w:rsidR="0000763F">
        <w:rPr>
          <w:lang w:val="en-GB"/>
        </w:rPr>
        <w:t>FY</w:t>
      </w:r>
      <w:r w:rsidR="0000763F" w:rsidRPr="00B93205">
        <w:rPr>
          <w:lang w:val="en-GB"/>
        </w:rPr>
        <w:t xml:space="preserve"> </w:t>
      </w:r>
      <w:r w:rsidRPr="00B93205">
        <w:rPr>
          <w:lang w:val="en-GB"/>
        </w:rPr>
        <w:t>2017</w:t>
      </w:r>
      <w:r w:rsidR="000A7247" w:rsidRPr="00B93205">
        <w:rPr>
          <w:lang w:val="en-GB"/>
        </w:rPr>
        <w:t>, the</w:t>
      </w:r>
      <w:r w:rsidRPr="00B93205">
        <w:rPr>
          <w:lang w:val="en-GB"/>
        </w:rPr>
        <w:t xml:space="preserve"> value </w:t>
      </w:r>
      <w:r w:rsidR="000A7247" w:rsidRPr="00B93205">
        <w:rPr>
          <w:lang w:val="en-GB"/>
        </w:rPr>
        <w:t>was</w:t>
      </w:r>
      <w:r w:rsidRPr="00B93205">
        <w:rPr>
          <w:lang w:val="en-GB"/>
        </w:rPr>
        <w:t xml:space="preserve"> $8.228 billion </w:t>
      </w:r>
      <w:r w:rsidR="00757D77" w:rsidRPr="00B93205">
        <w:rPr>
          <w:lang w:val="en-GB"/>
        </w:rPr>
        <w:t>(see Exhibit 2)</w:t>
      </w:r>
      <w:r w:rsidR="00757D77">
        <w:rPr>
          <w:lang w:val="en-GB"/>
        </w:rPr>
        <w:t>.</w:t>
      </w:r>
      <w:r w:rsidR="002752DF" w:rsidRPr="002752DF">
        <w:rPr>
          <w:rStyle w:val="EndnoteReference"/>
          <w:lang w:val="en-GB"/>
        </w:rPr>
        <w:t xml:space="preserve"> </w:t>
      </w:r>
      <w:r w:rsidR="002752DF" w:rsidRPr="00B93205">
        <w:rPr>
          <w:rStyle w:val="EndnoteReference"/>
          <w:lang w:val="en-GB"/>
        </w:rPr>
        <w:endnoteReference w:id="16"/>
      </w:r>
    </w:p>
    <w:p w14:paraId="02A3E5EB" w14:textId="77777777" w:rsidR="00DD5762" w:rsidRPr="00B93205" w:rsidRDefault="00DD5762" w:rsidP="00DD5762">
      <w:pPr>
        <w:pStyle w:val="BodyTextMain"/>
        <w:rPr>
          <w:lang w:val="en-GB"/>
        </w:rPr>
      </w:pPr>
    </w:p>
    <w:p w14:paraId="7A88867D" w14:textId="2C153B72" w:rsidR="00DD5762" w:rsidRPr="00B93205" w:rsidRDefault="00DD5762" w:rsidP="00DD5762">
      <w:pPr>
        <w:pStyle w:val="BodyTextMain"/>
        <w:rPr>
          <w:lang w:val="en-GB"/>
        </w:rPr>
      </w:pPr>
      <w:r w:rsidRPr="00B93205">
        <w:rPr>
          <w:lang w:val="en-GB"/>
        </w:rPr>
        <w:t xml:space="preserve">In a statement to analysts, Schneider pointed out that Nestlé’s stake in L’Oréal had a 42-year </w:t>
      </w:r>
      <w:r w:rsidR="00607D80" w:rsidRPr="00B93205">
        <w:rPr>
          <w:lang w:val="en-GB"/>
        </w:rPr>
        <w:t xml:space="preserve">annual </w:t>
      </w:r>
      <w:r w:rsidRPr="00B93205">
        <w:rPr>
          <w:lang w:val="en-GB"/>
        </w:rPr>
        <w:t>return on investment of 12 per</w:t>
      </w:r>
      <w:r w:rsidR="000A7247" w:rsidRPr="00B93205">
        <w:rPr>
          <w:lang w:val="en-GB"/>
        </w:rPr>
        <w:t xml:space="preserve"> </w:t>
      </w:r>
      <w:r w:rsidRPr="00B93205">
        <w:rPr>
          <w:lang w:val="en-GB"/>
        </w:rPr>
        <w:t>cent</w:t>
      </w:r>
      <w:r w:rsidR="00607D80" w:rsidRPr="00B93205">
        <w:rPr>
          <w:lang w:val="en-GB"/>
        </w:rPr>
        <w:t>. For the period</w:t>
      </w:r>
      <w:r w:rsidRPr="00B93205">
        <w:rPr>
          <w:lang w:val="en-GB"/>
        </w:rPr>
        <w:t xml:space="preserve"> 2007</w:t>
      </w:r>
      <w:r w:rsidR="000A7247" w:rsidRPr="00B93205">
        <w:rPr>
          <w:lang w:val="en-GB"/>
        </w:rPr>
        <w:t>–</w:t>
      </w:r>
      <w:r w:rsidRPr="00B93205">
        <w:rPr>
          <w:lang w:val="en-GB"/>
        </w:rPr>
        <w:t>2017</w:t>
      </w:r>
      <w:r w:rsidR="00607D80" w:rsidRPr="00B93205">
        <w:rPr>
          <w:lang w:val="en-GB"/>
        </w:rPr>
        <w:t>, the</w:t>
      </w:r>
      <w:r w:rsidRPr="00B93205">
        <w:rPr>
          <w:lang w:val="en-GB"/>
        </w:rPr>
        <w:t xml:space="preserve"> annual retur</w:t>
      </w:r>
      <w:r w:rsidR="00EB033A" w:rsidRPr="00B93205">
        <w:rPr>
          <w:lang w:val="en-GB"/>
        </w:rPr>
        <w:t xml:space="preserve">n on investment </w:t>
      </w:r>
      <w:r w:rsidR="00607D80" w:rsidRPr="00B93205">
        <w:rPr>
          <w:lang w:val="en-GB"/>
        </w:rPr>
        <w:t>was</w:t>
      </w:r>
      <w:r w:rsidR="00EB033A" w:rsidRPr="00B93205">
        <w:rPr>
          <w:lang w:val="en-GB"/>
        </w:rPr>
        <w:t xml:space="preserve"> 14 per</w:t>
      </w:r>
      <w:r w:rsidR="000A7247" w:rsidRPr="00B93205">
        <w:rPr>
          <w:lang w:val="en-GB"/>
        </w:rPr>
        <w:t xml:space="preserve"> </w:t>
      </w:r>
      <w:r w:rsidR="00EB033A" w:rsidRPr="00B93205">
        <w:rPr>
          <w:lang w:val="en-GB"/>
        </w:rPr>
        <w:t xml:space="preserve">cent. </w:t>
      </w:r>
      <w:r w:rsidRPr="00B93205">
        <w:rPr>
          <w:lang w:val="en-GB"/>
        </w:rPr>
        <w:t>In addition, Schneider indicated that L’Oréal dividends had accounted for 9 per</w:t>
      </w:r>
      <w:r w:rsidR="000A7247" w:rsidRPr="00B93205">
        <w:rPr>
          <w:lang w:val="en-GB"/>
        </w:rPr>
        <w:t xml:space="preserve"> </w:t>
      </w:r>
      <w:r w:rsidRPr="00B93205">
        <w:rPr>
          <w:lang w:val="en-GB"/>
        </w:rPr>
        <w:t>cent of Nestlé’s earnings per share between 2007</w:t>
      </w:r>
      <w:r w:rsidR="000A7247" w:rsidRPr="00B93205">
        <w:rPr>
          <w:lang w:val="en-GB"/>
        </w:rPr>
        <w:t xml:space="preserve"> and </w:t>
      </w:r>
      <w:r w:rsidRPr="00B93205">
        <w:rPr>
          <w:lang w:val="en-GB"/>
        </w:rPr>
        <w:t>2017.</w:t>
      </w:r>
      <w:r w:rsidRPr="00B93205">
        <w:rPr>
          <w:rStyle w:val="EndnoteReference"/>
          <w:lang w:val="en-GB"/>
        </w:rPr>
        <w:endnoteReference w:id="17"/>
      </w:r>
      <w:r w:rsidRPr="00B93205">
        <w:rPr>
          <w:lang w:val="en-GB"/>
        </w:rPr>
        <w:t xml:space="preserve"> </w:t>
      </w:r>
    </w:p>
    <w:p w14:paraId="27CC4D0E" w14:textId="1C01E5FB" w:rsidR="00DD5762" w:rsidRPr="00B93205" w:rsidRDefault="00DD5762" w:rsidP="00DD5762">
      <w:pPr>
        <w:pStyle w:val="BodyTextMain"/>
        <w:rPr>
          <w:lang w:val="en-GB"/>
        </w:rPr>
      </w:pPr>
    </w:p>
    <w:p w14:paraId="0FE09BAA" w14:textId="09883DC0" w:rsidR="00DD5762" w:rsidRPr="00B93205" w:rsidRDefault="00DD5762" w:rsidP="00DD5762">
      <w:pPr>
        <w:pStyle w:val="BodyTextMain"/>
        <w:rPr>
          <w:lang w:val="en-GB"/>
        </w:rPr>
      </w:pPr>
    </w:p>
    <w:p w14:paraId="629C6BDC" w14:textId="77777777" w:rsidR="00DD5762" w:rsidRPr="00B93205" w:rsidRDefault="00DD5762" w:rsidP="00DD5762">
      <w:pPr>
        <w:pStyle w:val="Casehead1"/>
        <w:rPr>
          <w:lang w:val="en-GB"/>
        </w:rPr>
      </w:pPr>
      <w:r w:rsidRPr="00B93205">
        <w:rPr>
          <w:lang w:val="en-GB"/>
        </w:rPr>
        <w:t>BRIEF HISTORY OF NESTLÉ’S INVESTMENT IN L’ORÉAL</w:t>
      </w:r>
    </w:p>
    <w:p w14:paraId="27127FEC" w14:textId="77777777" w:rsidR="00DD5762" w:rsidRPr="00B93205" w:rsidRDefault="00DD5762" w:rsidP="00DD5762">
      <w:pPr>
        <w:pStyle w:val="BodyTextMain"/>
        <w:rPr>
          <w:lang w:val="en-GB"/>
        </w:rPr>
      </w:pPr>
    </w:p>
    <w:p w14:paraId="22E82F3E" w14:textId="25F52B5C" w:rsidR="00D12C82" w:rsidRPr="005F6155" w:rsidRDefault="00D12C82" w:rsidP="00DD5762">
      <w:pPr>
        <w:pStyle w:val="BodyTextMain"/>
        <w:rPr>
          <w:spacing w:val="-4"/>
          <w:lang w:val="en-GB"/>
        </w:rPr>
      </w:pPr>
      <w:r w:rsidRPr="005F6155">
        <w:rPr>
          <w:spacing w:val="-4"/>
          <w:lang w:val="en-GB"/>
        </w:rPr>
        <w:t>On April 2, 1974,</w:t>
      </w:r>
      <w:r w:rsidR="00DD5762" w:rsidRPr="005F6155">
        <w:rPr>
          <w:spacing w:val="-4"/>
          <w:lang w:val="en-GB"/>
        </w:rPr>
        <w:t xml:space="preserve"> </w:t>
      </w:r>
      <w:r w:rsidRPr="005F6155">
        <w:rPr>
          <w:spacing w:val="-4"/>
          <w:lang w:val="en-GB"/>
        </w:rPr>
        <w:t>France’s p</w:t>
      </w:r>
      <w:r w:rsidR="00DD5762" w:rsidRPr="005F6155">
        <w:rPr>
          <w:spacing w:val="-4"/>
          <w:lang w:val="en-GB"/>
        </w:rPr>
        <w:t>resident</w:t>
      </w:r>
      <w:r w:rsidR="00225AD9" w:rsidRPr="005F6155">
        <w:rPr>
          <w:spacing w:val="-4"/>
          <w:lang w:val="en-GB"/>
        </w:rPr>
        <w:t>,</w:t>
      </w:r>
      <w:r w:rsidR="00DD5762" w:rsidRPr="005F6155">
        <w:rPr>
          <w:spacing w:val="-4"/>
          <w:lang w:val="en-GB"/>
        </w:rPr>
        <w:t xml:space="preserve"> Georges Pompidou</w:t>
      </w:r>
      <w:r w:rsidR="00225AD9" w:rsidRPr="005F6155">
        <w:rPr>
          <w:spacing w:val="-4"/>
          <w:lang w:val="en-GB"/>
        </w:rPr>
        <w:t>,</w:t>
      </w:r>
      <w:r w:rsidR="00DD5762" w:rsidRPr="005F6155">
        <w:rPr>
          <w:spacing w:val="-4"/>
          <w:lang w:val="en-GB"/>
        </w:rPr>
        <w:t xml:space="preserve"> died in office</w:t>
      </w:r>
      <w:r w:rsidRPr="005F6155">
        <w:rPr>
          <w:spacing w:val="-4"/>
          <w:lang w:val="en-GB"/>
        </w:rPr>
        <w:t>.</w:t>
      </w:r>
      <w:r w:rsidR="00DD5762" w:rsidRPr="005F6155">
        <w:rPr>
          <w:spacing w:val="-4"/>
          <w:lang w:val="en-GB"/>
        </w:rPr>
        <w:t xml:space="preserve"> French voters were </w:t>
      </w:r>
      <w:r w:rsidRPr="005F6155">
        <w:rPr>
          <w:spacing w:val="-4"/>
          <w:lang w:val="en-GB"/>
        </w:rPr>
        <w:t xml:space="preserve">thus </w:t>
      </w:r>
      <w:r w:rsidR="00DD5762" w:rsidRPr="005F6155">
        <w:rPr>
          <w:spacing w:val="-4"/>
          <w:lang w:val="en-GB"/>
        </w:rPr>
        <w:t>calle</w:t>
      </w:r>
      <w:r w:rsidR="00661C0F" w:rsidRPr="005F6155">
        <w:rPr>
          <w:spacing w:val="-4"/>
          <w:lang w:val="en-GB"/>
        </w:rPr>
        <w:t xml:space="preserve">d upon to elect his successor. </w:t>
      </w:r>
      <w:r w:rsidR="00DD5762" w:rsidRPr="005F6155">
        <w:rPr>
          <w:spacing w:val="-4"/>
          <w:lang w:val="en-GB"/>
        </w:rPr>
        <w:t>A coalition of left</w:t>
      </w:r>
      <w:r w:rsidR="002A108D" w:rsidRPr="005F6155">
        <w:rPr>
          <w:spacing w:val="-4"/>
          <w:lang w:val="en-GB"/>
        </w:rPr>
        <w:t>-wing</w:t>
      </w:r>
      <w:r w:rsidR="00DD5762" w:rsidRPr="005F6155">
        <w:rPr>
          <w:spacing w:val="-4"/>
          <w:lang w:val="en-GB"/>
        </w:rPr>
        <w:t xml:space="preserve"> and left-leaning parties led by François Mitterand appeared </w:t>
      </w:r>
      <w:r w:rsidR="002A108D" w:rsidRPr="005F6155">
        <w:rPr>
          <w:spacing w:val="-4"/>
          <w:lang w:val="en-GB"/>
        </w:rPr>
        <w:t>to be in position</w:t>
      </w:r>
      <w:r w:rsidR="00DD5762" w:rsidRPr="005F6155">
        <w:rPr>
          <w:spacing w:val="-4"/>
          <w:lang w:val="en-GB"/>
        </w:rPr>
        <w:t xml:space="preserve"> to come into power over the right-leaning group led by Valéry Giscard d’Estaing</w:t>
      </w:r>
      <w:r w:rsidRPr="005F6155">
        <w:rPr>
          <w:spacing w:val="-4"/>
          <w:lang w:val="en-GB"/>
        </w:rPr>
        <w:t>.</w:t>
      </w:r>
      <w:r w:rsidR="00DD5762" w:rsidRPr="005F6155">
        <w:rPr>
          <w:rStyle w:val="EndnoteReference"/>
          <w:spacing w:val="-4"/>
          <w:lang w:val="en-GB"/>
        </w:rPr>
        <w:endnoteReference w:id="18"/>
      </w:r>
      <w:r w:rsidR="00DD5762" w:rsidRPr="005F6155">
        <w:rPr>
          <w:spacing w:val="-4"/>
          <w:lang w:val="en-GB"/>
        </w:rPr>
        <w:t xml:space="preserve"> </w:t>
      </w:r>
    </w:p>
    <w:p w14:paraId="1E1F0C3D" w14:textId="77777777" w:rsidR="00D12C82" w:rsidRPr="00B93205" w:rsidRDefault="00D12C82" w:rsidP="00DD5762">
      <w:pPr>
        <w:pStyle w:val="BodyTextMain"/>
        <w:rPr>
          <w:lang w:val="en-GB"/>
        </w:rPr>
      </w:pPr>
    </w:p>
    <w:p w14:paraId="2DC610B1" w14:textId="61589DAC" w:rsidR="002A108D" w:rsidRPr="00B93205" w:rsidRDefault="002A108D" w:rsidP="00DD5762">
      <w:pPr>
        <w:pStyle w:val="BodyTextMain"/>
        <w:rPr>
          <w:lang w:val="en-GB"/>
        </w:rPr>
      </w:pPr>
      <w:r w:rsidRPr="00B93205">
        <w:rPr>
          <w:lang w:val="en-GB"/>
        </w:rPr>
        <w:t>Over a decade earlier, i</w:t>
      </w:r>
      <w:r w:rsidR="00D12C82" w:rsidRPr="00B93205">
        <w:rPr>
          <w:lang w:val="en-GB"/>
        </w:rPr>
        <w:t xml:space="preserve">n 1963, </w:t>
      </w:r>
      <w:r w:rsidR="00DD5762" w:rsidRPr="00B93205">
        <w:rPr>
          <w:lang w:val="en-GB"/>
        </w:rPr>
        <w:t xml:space="preserve">L’Oréal </w:t>
      </w:r>
      <w:r w:rsidRPr="00B93205">
        <w:rPr>
          <w:lang w:val="en-GB"/>
        </w:rPr>
        <w:t>had gone</w:t>
      </w:r>
      <w:r w:rsidR="00DD5762" w:rsidRPr="00B93205">
        <w:rPr>
          <w:lang w:val="en-GB"/>
        </w:rPr>
        <w:t xml:space="preserve"> public</w:t>
      </w:r>
      <w:r w:rsidR="00225AD9">
        <w:rPr>
          <w:lang w:val="en-GB"/>
        </w:rPr>
        <w:t>,</w:t>
      </w:r>
      <w:r w:rsidR="00D12C82" w:rsidRPr="00B93205">
        <w:rPr>
          <w:lang w:val="en-GB"/>
        </w:rPr>
        <w:t xml:space="preserve"> and</w:t>
      </w:r>
      <w:r w:rsidR="00DD5762" w:rsidRPr="00B93205">
        <w:rPr>
          <w:lang w:val="en-GB"/>
        </w:rPr>
        <w:t xml:space="preserve"> </w:t>
      </w:r>
      <w:r w:rsidR="00D12C82" w:rsidRPr="00B93205">
        <w:rPr>
          <w:lang w:val="en-GB"/>
        </w:rPr>
        <w:t>Bettencourt</w:t>
      </w:r>
      <w:r w:rsidR="00DD5762" w:rsidRPr="00B93205">
        <w:rPr>
          <w:lang w:val="en-GB"/>
        </w:rPr>
        <w:t>, the founder’s daughter</w:t>
      </w:r>
      <w:r w:rsidRPr="00B93205">
        <w:rPr>
          <w:lang w:val="en-GB"/>
        </w:rPr>
        <w:t>, had</w:t>
      </w:r>
      <w:r w:rsidR="00D4370C" w:rsidRPr="00B93205">
        <w:rPr>
          <w:lang w:val="en-GB"/>
        </w:rPr>
        <w:t xml:space="preserve"> retained a majority share of the company.</w:t>
      </w:r>
      <w:r w:rsidR="00DD5762" w:rsidRPr="00B93205">
        <w:rPr>
          <w:lang w:val="en-GB"/>
        </w:rPr>
        <w:t xml:space="preserve"> Bettencourt had inherited the company upon her father’s death in 1957</w:t>
      </w:r>
      <w:r w:rsidR="00225AD9">
        <w:rPr>
          <w:lang w:val="en-GB"/>
        </w:rPr>
        <w:t>.</w:t>
      </w:r>
      <w:r w:rsidR="002A0E80" w:rsidRPr="00B93205">
        <w:rPr>
          <w:rStyle w:val="EndnoteReference"/>
          <w:lang w:val="en-GB"/>
        </w:rPr>
        <w:endnoteReference w:id="19"/>
      </w:r>
      <w:r w:rsidR="00DD5762" w:rsidRPr="00B93205">
        <w:rPr>
          <w:lang w:val="en-GB"/>
        </w:rPr>
        <w:t xml:space="preserve"> Both </w:t>
      </w:r>
      <w:r w:rsidR="00D4370C" w:rsidRPr="00B93205">
        <w:rPr>
          <w:lang w:val="en-GB"/>
        </w:rPr>
        <w:t>Bettencourt’s</w:t>
      </w:r>
      <w:r w:rsidR="00DD5762" w:rsidRPr="00B93205">
        <w:rPr>
          <w:lang w:val="en-GB"/>
        </w:rPr>
        <w:t xml:space="preserve"> father and her husband </w:t>
      </w:r>
      <w:r w:rsidR="00D4370C" w:rsidRPr="00B93205">
        <w:rPr>
          <w:lang w:val="en-GB"/>
        </w:rPr>
        <w:t>had been</w:t>
      </w:r>
      <w:r w:rsidR="00DD5762" w:rsidRPr="00B93205">
        <w:rPr>
          <w:lang w:val="en-GB"/>
        </w:rPr>
        <w:t xml:space="preserve"> strong supporters of the </w:t>
      </w:r>
      <w:r w:rsidR="00D4370C" w:rsidRPr="00B93205">
        <w:rPr>
          <w:lang w:val="en-GB"/>
        </w:rPr>
        <w:t xml:space="preserve">French </w:t>
      </w:r>
      <w:r w:rsidR="00DD5762" w:rsidRPr="00B93205">
        <w:rPr>
          <w:lang w:val="en-GB"/>
        </w:rPr>
        <w:t>far right</w:t>
      </w:r>
      <w:r w:rsidR="00AA06C3" w:rsidRPr="00B93205">
        <w:rPr>
          <w:lang w:val="en-GB"/>
        </w:rPr>
        <w:t>.</w:t>
      </w:r>
      <w:r w:rsidR="00DB74EF" w:rsidRPr="00B93205">
        <w:rPr>
          <w:rStyle w:val="EndnoteReference"/>
          <w:lang w:val="en-GB"/>
        </w:rPr>
        <w:endnoteReference w:id="20"/>
      </w:r>
      <w:r w:rsidR="00D4370C" w:rsidRPr="00B93205">
        <w:rPr>
          <w:lang w:val="en-GB"/>
        </w:rPr>
        <w:t xml:space="preserve"> </w:t>
      </w:r>
    </w:p>
    <w:p w14:paraId="6993F687" w14:textId="77777777" w:rsidR="002A108D" w:rsidRPr="00B93205" w:rsidRDefault="002A108D" w:rsidP="00DD5762">
      <w:pPr>
        <w:pStyle w:val="BodyTextMain"/>
        <w:rPr>
          <w:lang w:val="en-GB"/>
        </w:rPr>
      </w:pPr>
    </w:p>
    <w:p w14:paraId="03DB0287" w14:textId="0DBA7A53" w:rsidR="00D4370C" w:rsidRPr="00B93205" w:rsidRDefault="00D4370C" w:rsidP="00DD5762">
      <w:pPr>
        <w:pStyle w:val="BodyTextMain"/>
        <w:rPr>
          <w:lang w:val="en-GB"/>
        </w:rPr>
      </w:pPr>
      <w:r w:rsidRPr="00B93205">
        <w:rPr>
          <w:lang w:val="en-GB"/>
        </w:rPr>
        <w:t>Therefore</w:t>
      </w:r>
      <w:r w:rsidR="00DD5762" w:rsidRPr="00B93205">
        <w:rPr>
          <w:lang w:val="en-GB"/>
        </w:rPr>
        <w:t xml:space="preserve">, </w:t>
      </w:r>
      <w:r w:rsidR="002A108D" w:rsidRPr="00B93205">
        <w:rPr>
          <w:lang w:val="en-GB"/>
        </w:rPr>
        <w:t xml:space="preserve">in 1974, </w:t>
      </w:r>
      <w:r w:rsidR="00DD5762" w:rsidRPr="00B93205">
        <w:rPr>
          <w:lang w:val="en-GB"/>
        </w:rPr>
        <w:t xml:space="preserve">Bettencourt feared that if </w:t>
      </w:r>
      <w:r w:rsidRPr="00B93205">
        <w:rPr>
          <w:lang w:val="en-GB"/>
        </w:rPr>
        <w:t xml:space="preserve">left-leaning </w:t>
      </w:r>
      <w:r w:rsidR="00DD5762" w:rsidRPr="00B93205">
        <w:rPr>
          <w:lang w:val="en-GB"/>
        </w:rPr>
        <w:t xml:space="preserve">Mitterand came into power, her company (along with </w:t>
      </w:r>
      <w:r w:rsidR="00661C0F" w:rsidRPr="00B93205">
        <w:rPr>
          <w:lang w:val="en-GB"/>
        </w:rPr>
        <w:t xml:space="preserve">others) would be nationalized. </w:t>
      </w:r>
      <w:r w:rsidR="00DD5762" w:rsidRPr="00B93205">
        <w:rPr>
          <w:lang w:val="en-GB"/>
        </w:rPr>
        <w:t>As a pre</w:t>
      </w:r>
      <w:r w:rsidR="002A108D" w:rsidRPr="00B93205">
        <w:rPr>
          <w:lang w:val="en-GB"/>
        </w:rPr>
        <w:t>-</w:t>
      </w:r>
      <w:r w:rsidR="00DD5762" w:rsidRPr="00B93205">
        <w:rPr>
          <w:lang w:val="en-GB"/>
        </w:rPr>
        <w:t xml:space="preserve">emptive move, Bettencourt </w:t>
      </w:r>
      <w:r w:rsidRPr="00B93205">
        <w:rPr>
          <w:lang w:val="en-GB"/>
        </w:rPr>
        <w:t xml:space="preserve">decided to </w:t>
      </w:r>
      <w:r w:rsidR="00DD5762" w:rsidRPr="00B93205">
        <w:rPr>
          <w:lang w:val="en-GB"/>
        </w:rPr>
        <w:t>s</w:t>
      </w:r>
      <w:r w:rsidRPr="00B93205">
        <w:rPr>
          <w:lang w:val="en-GB"/>
        </w:rPr>
        <w:t>ell</w:t>
      </w:r>
      <w:r w:rsidR="00DD5762" w:rsidRPr="00B93205">
        <w:rPr>
          <w:lang w:val="en-GB"/>
        </w:rPr>
        <w:t xml:space="preserve"> 30 per</w:t>
      </w:r>
      <w:r w:rsidR="00D12C82" w:rsidRPr="00B93205">
        <w:rPr>
          <w:lang w:val="en-GB"/>
        </w:rPr>
        <w:t xml:space="preserve"> </w:t>
      </w:r>
      <w:r w:rsidR="00DD5762" w:rsidRPr="00B93205">
        <w:rPr>
          <w:lang w:val="en-GB"/>
        </w:rPr>
        <w:t xml:space="preserve">cent of L’Oréal to </w:t>
      </w:r>
      <w:r w:rsidRPr="00B93205">
        <w:rPr>
          <w:lang w:val="en-GB"/>
        </w:rPr>
        <w:t xml:space="preserve">the Swiss multinational corporation </w:t>
      </w:r>
      <w:r w:rsidR="00DD5762" w:rsidRPr="00B93205">
        <w:rPr>
          <w:lang w:val="en-GB"/>
        </w:rPr>
        <w:t>Nestlé in return for a small sta</w:t>
      </w:r>
      <w:r w:rsidR="00661C0F" w:rsidRPr="00B93205">
        <w:rPr>
          <w:lang w:val="en-GB"/>
        </w:rPr>
        <w:t>ke in th</w:t>
      </w:r>
      <w:r w:rsidR="002A108D" w:rsidRPr="00B93205">
        <w:rPr>
          <w:lang w:val="en-GB"/>
        </w:rPr>
        <w:t>at</w:t>
      </w:r>
      <w:r w:rsidR="00661C0F" w:rsidRPr="00B93205">
        <w:rPr>
          <w:lang w:val="en-GB"/>
        </w:rPr>
        <w:t xml:space="preserve"> </w:t>
      </w:r>
      <w:r w:rsidRPr="00B93205">
        <w:rPr>
          <w:lang w:val="en-GB"/>
        </w:rPr>
        <w:t>company</w:t>
      </w:r>
      <w:r w:rsidR="00AA06C3" w:rsidRPr="00B93205">
        <w:rPr>
          <w:lang w:val="en-GB"/>
        </w:rPr>
        <w:t>.</w:t>
      </w:r>
      <w:r w:rsidR="00DB74EF" w:rsidRPr="00B93205">
        <w:rPr>
          <w:rStyle w:val="EndnoteReference"/>
          <w:lang w:val="en-GB"/>
        </w:rPr>
        <w:endnoteReference w:id="21"/>
      </w:r>
      <w:r w:rsidR="00661C0F" w:rsidRPr="00B93205">
        <w:rPr>
          <w:lang w:val="en-GB"/>
        </w:rPr>
        <w:t xml:space="preserve"> </w:t>
      </w:r>
      <w:r w:rsidR="00DD5762" w:rsidRPr="00B93205">
        <w:rPr>
          <w:lang w:val="en-GB"/>
        </w:rPr>
        <w:lastRenderedPageBreak/>
        <w:t xml:space="preserve">Bettencourt’s rationale was that Mitterand’s government would be less likely to nationalize L’Oréal </w:t>
      </w:r>
      <w:r w:rsidR="00D12C82" w:rsidRPr="00B93205">
        <w:rPr>
          <w:lang w:val="en-GB"/>
        </w:rPr>
        <w:t>if</w:t>
      </w:r>
      <w:r w:rsidR="00DD5762" w:rsidRPr="00B93205">
        <w:rPr>
          <w:lang w:val="en-GB"/>
        </w:rPr>
        <w:t xml:space="preserve"> it was partly owned by a Swiss company</w:t>
      </w:r>
      <w:r w:rsidR="00D12C82" w:rsidRPr="00B93205">
        <w:rPr>
          <w:lang w:val="en-GB"/>
        </w:rPr>
        <w:t>.</w:t>
      </w:r>
      <w:r w:rsidR="00DD5762" w:rsidRPr="00B93205">
        <w:rPr>
          <w:rStyle w:val="EndnoteReference"/>
          <w:lang w:val="en-GB"/>
        </w:rPr>
        <w:endnoteReference w:id="22"/>
      </w:r>
      <w:r w:rsidR="00DD5762" w:rsidRPr="00B93205">
        <w:rPr>
          <w:lang w:val="en-GB"/>
        </w:rPr>
        <w:t xml:space="preserve"> </w:t>
      </w:r>
      <w:r w:rsidR="00D12C82" w:rsidRPr="00B93205">
        <w:rPr>
          <w:lang w:val="en-GB"/>
        </w:rPr>
        <w:t>However,</w:t>
      </w:r>
      <w:r w:rsidR="00DD5762" w:rsidRPr="00B93205">
        <w:rPr>
          <w:lang w:val="en-GB"/>
        </w:rPr>
        <w:t xml:space="preserve"> </w:t>
      </w:r>
      <w:r w:rsidRPr="00B93205">
        <w:rPr>
          <w:lang w:val="en-GB"/>
        </w:rPr>
        <w:t xml:space="preserve">in the 1974 elections prompted by Pompidou’s death, </w:t>
      </w:r>
      <w:r w:rsidR="00DD5762" w:rsidRPr="00B93205">
        <w:rPr>
          <w:lang w:val="en-GB"/>
        </w:rPr>
        <w:t xml:space="preserve">French voters elected </w:t>
      </w:r>
      <w:r w:rsidRPr="00B93205">
        <w:rPr>
          <w:lang w:val="en-GB"/>
        </w:rPr>
        <w:t xml:space="preserve">right-leaning </w:t>
      </w:r>
      <w:r w:rsidR="00DD5762" w:rsidRPr="00B93205">
        <w:rPr>
          <w:lang w:val="en-GB"/>
        </w:rPr>
        <w:t>d’Estaing</w:t>
      </w:r>
      <w:r w:rsidR="00D12C82" w:rsidRPr="00B93205">
        <w:rPr>
          <w:lang w:val="en-GB"/>
        </w:rPr>
        <w:t>—not Mitterand</w:t>
      </w:r>
      <w:r w:rsidR="00225AD9">
        <w:rPr>
          <w:lang w:val="en-GB"/>
        </w:rPr>
        <w:t>.</w:t>
      </w:r>
      <w:r w:rsidR="00DB74EF" w:rsidRPr="00B93205">
        <w:rPr>
          <w:rStyle w:val="EndnoteReference"/>
          <w:lang w:val="en-GB"/>
        </w:rPr>
        <w:endnoteReference w:id="23"/>
      </w:r>
      <w:r w:rsidR="00D12C82" w:rsidRPr="00B93205">
        <w:rPr>
          <w:lang w:val="en-GB"/>
        </w:rPr>
        <w:t xml:space="preserve"> Nevertheless</w:t>
      </w:r>
      <w:r w:rsidR="00DD5762" w:rsidRPr="00B93205">
        <w:rPr>
          <w:lang w:val="en-GB"/>
        </w:rPr>
        <w:t>,</w:t>
      </w:r>
      <w:r w:rsidR="00D12C82" w:rsidRPr="00B93205">
        <w:rPr>
          <w:lang w:val="en-GB"/>
        </w:rPr>
        <w:t xml:space="preserve"> </w:t>
      </w:r>
      <w:r w:rsidR="00DD5762" w:rsidRPr="00B93205">
        <w:rPr>
          <w:lang w:val="en-GB"/>
        </w:rPr>
        <w:t>Nestlé contin</w:t>
      </w:r>
      <w:r w:rsidR="00661C0F" w:rsidRPr="00B93205">
        <w:rPr>
          <w:lang w:val="en-GB"/>
        </w:rPr>
        <w:t xml:space="preserve">ued </w:t>
      </w:r>
      <w:r w:rsidR="00D12C82" w:rsidRPr="00B93205">
        <w:rPr>
          <w:lang w:val="en-GB"/>
        </w:rPr>
        <w:t>to own</w:t>
      </w:r>
      <w:r w:rsidR="00661C0F" w:rsidRPr="00B93205">
        <w:rPr>
          <w:lang w:val="en-GB"/>
        </w:rPr>
        <w:t xml:space="preserve"> its stake in L’Oréal. </w:t>
      </w:r>
      <w:r w:rsidR="00DD5762" w:rsidRPr="00B93205">
        <w:rPr>
          <w:lang w:val="en-GB"/>
        </w:rPr>
        <w:t xml:space="preserve">Peter Brabeck-Letmathe, who was Nestlé’s CEO </w:t>
      </w:r>
      <w:r w:rsidR="00D12C82" w:rsidRPr="00B93205">
        <w:rPr>
          <w:lang w:val="en-GB"/>
        </w:rPr>
        <w:t>un</w:t>
      </w:r>
      <w:r w:rsidR="00DD5762" w:rsidRPr="00B93205">
        <w:rPr>
          <w:lang w:val="en-GB"/>
        </w:rPr>
        <w:t xml:space="preserve">til 2008 and </w:t>
      </w:r>
      <w:r w:rsidR="00D12C82" w:rsidRPr="00B93205">
        <w:rPr>
          <w:lang w:val="en-GB"/>
        </w:rPr>
        <w:t>c</w:t>
      </w:r>
      <w:r w:rsidR="00DD5762" w:rsidRPr="00B93205">
        <w:rPr>
          <w:lang w:val="en-GB"/>
        </w:rPr>
        <w:t xml:space="preserve">hairman of the </w:t>
      </w:r>
      <w:r w:rsidR="00D12C82" w:rsidRPr="00B93205">
        <w:rPr>
          <w:lang w:val="en-GB"/>
        </w:rPr>
        <w:t>b</w:t>
      </w:r>
      <w:r w:rsidR="00DD5762" w:rsidRPr="00B93205">
        <w:rPr>
          <w:lang w:val="en-GB"/>
        </w:rPr>
        <w:t xml:space="preserve">oard </w:t>
      </w:r>
      <w:r w:rsidR="00D12C82" w:rsidRPr="00B93205">
        <w:rPr>
          <w:lang w:val="en-GB"/>
        </w:rPr>
        <w:t>un</w:t>
      </w:r>
      <w:r w:rsidR="00DD5762" w:rsidRPr="00B93205">
        <w:rPr>
          <w:lang w:val="en-GB"/>
        </w:rPr>
        <w:t xml:space="preserve">til 2017, suggested that Nestlé was </w:t>
      </w:r>
      <w:r w:rsidR="00D12C82" w:rsidRPr="00B93205">
        <w:rPr>
          <w:lang w:val="en-GB"/>
        </w:rPr>
        <w:t xml:space="preserve">in fact </w:t>
      </w:r>
      <w:r w:rsidR="00DD5762" w:rsidRPr="00B93205">
        <w:rPr>
          <w:lang w:val="en-GB"/>
        </w:rPr>
        <w:t>seeking to increas</w:t>
      </w:r>
      <w:r w:rsidR="00D12C82" w:rsidRPr="00B93205">
        <w:rPr>
          <w:lang w:val="en-GB"/>
        </w:rPr>
        <w:t>e</w:t>
      </w:r>
      <w:r w:rsidR="00DD5762" w:rsidRPr="00B93205">
        <w:rPr>
          <w:lang w:val="en-GB"/>
        </w:rPr>
        <w:t xml:space="preserve"> its stake in L’Oréal.</w:t>
      </w:r>
      <w:r w:rsidR="00DB74EF" w:rsidRPr="00B93205">
        <w:rPr>
          <w:rStyle w:val="EndnoteReference"/>
          <w:lang w:val="en-GB"/>
        </w:rPr>
        <w:endnoteReference w:id="24"/>
      </w:r>
    </w:p>
    <w:p w14:paraId="0E9D6AB5" w14:textId="77777777" w:rsidR="00D4370C" w:rsidRPr="004B0031" w:rsidRDefault="00D4370C" w:rsidP="00DD5762">
      <w:pPr>
        <w:pStyle w:val="BodyTextMain"/>
        <w:rPr>
          <w:sz w:val="20"/>
          <w:lang w:val="en-GB"/>
        </w:rPr>
      </w:pPr>
    </w:p>
    <w:p w14:paraId="25E2B9E7" w14:textId="45F3782D" w:rsidR="00DD5762" w:rsidRPr="00B93205" w:rsidRDefault="00D4370C" w:rsidP="00DD5762">
      <w:pPr>
        <w:pStyle w:val="BodyTextMain"/>
        <w:rPr>
          <w:lang w:val="en-GB"/>
        </w:rPr>
      </w:pPr>
      <w:r w:rsidRPr="00B93205">
        <w:rPr>
          <w:lang w:val="en-GB"/>
        </w:rPr>
        <w:t>In 2014, b</w:t>
      </w:r>
      <w:r w:rsidR="00DD5762" w:rsidRPr="00B93205">
        <w:rPr>
          <w:lang w:val="en-GB"/>
        </w:rPr>
        <w:t>uoyed by support from the French government</w:t>
      </w:r>
      <w:r w:rsidR="00D12C82" w:rsidRPr="00B93205">
        <w:rPr>
          <w:lang w:val="en-GB"/>
        </w:rPr>
        <w:t>,</w:t>
      </w:r>
      <w:r w:rsidR="00DD5762" w:rsidRPr="00B93205">
        <w:rPr>
          <w:lang w:val="en-GB"/>
        </w:rPr>
        <w:t xml:space="preserve"> which regarded leading French companies such as L’Oréal as national treasures, the L’Oréal </w:t>
      </w:r>
      <w:r w:rsidR="00D12C82" w:rsidRPr="00B93205">
        <w:rPr>
          <w:lang w:val="en-GB"/>
        </w:rPr>
        <w:t>b</w:t>
      </w:r>
      <w:r w:rsidR="00DD5762" w:rsidRPr="00B93205">
        <w:rPr>
          <w:lang w:val="en-GB"/>
        </w:rPr>
        <w:t>oard</w:t>
      </w:r>
      <w:r w:rsidR="00D12C82" w:rsidRPr="00B93205">
        <w:rPr>
          <w:lang w:val="en-GB"/>
        </w:rPr>
        <w:t xml:space="preserve"> of directors</w:t>
      </w:r>
      <w:r w:rsidR="00DD5762" w:rsidRPr="00B93205">
        <w:rPr>
          <w:lang w:val="en-GB"/>
        </w:rPr>
        <w:t xml:space="preserve"> sought and obtained an agreement with Nestlé that forbade </w:t>
      </w:r>
      <w:r w:rsidRPr="00B93205">
        <w:rPr>
          <w:lang w:val="en-GB"/>
        </w:rPr>
        <w:t>it</w:t>
      </w:r>
      <w:r w:rsidR="00DD5762" w:rsidRPr="00B93205">
        <w:rPr>
          <w:lang w:val="en-GB"/>
        </w:rPr>
        <w:t xml:space="preserve"> from attempting to increase its stake </w:t>
      </w:r>
      <w:r w:rsidRPr="00B93205">
        <w:rPr>
          <w:lang w:val="en-GB"/>
        </w:rPr>
        <w:t xml:space="preserve">in L’Oréal </w:t>
      </w:r>
      <w:r w:rsidR="00D12C82" w:rsidRPr="00B93205">
        <w:rPr>
          <w:lang w:val="en-GB"/>
        </w:rPr>
        <w:t>un</w:t>
      </w:r>
      <w:r w:rsidR="00DD5762" w:rsidRPr="00B93205">
        <w:rPr>
          <w:lang w:val="en-GB"/>
        </w:rPr>
        <w:t xml:space="preserve">til </w:t>
      </w:r>
      <w:r w:rsidR="002A108D" w:rsidRPr="00B93205">
        <w:rPr>
          <w:lang w:val="en-GB"/>
        </w:rPr>
        <w:t xml:space="preserve">at least </w:t>
      </w:r>
      <w:r w:rsidR="00DD5762" w:rsidRPr="00B93205">
        <w:rPr>
          <w:lang w:val="en-GB"/>
        </w:rPr>
        <w:t>six months after the death of Bettencourt. In addition, as part of the agreement, L’Oréal bought back a part of Nestlé stake</w:t>
      </w:r>
      <w:r w:rsidRPr="00B93205">
        <w:rPr>
          <w:lang w:val="en-GB"/>
        </w:rPr>
        <w:t xml:space="preserve">, which dropped </w:t>
      </w:r>
      <w:r w:rsidR="00DD5762" w:rsidRPr="00B93205">
        <w:rPr>
          <w:lang w:val="en-GB"/>
        </w:rPr>
        <w:t>Nestlé</w:t>
      </w:r>
      <w:r w:rsidRPr="00B93205">
        <w:rPr>
          <w:lang w:val="en-GB"/>
        </w:rPr>
        <w:t>’s ownership in L’Oréal to</w:t>
      </w:r>
      <w:r w:rsidR="00DD5762" w:rsidRPr="00B93205">
        <w:rPr>
          <w:lang w:val="en-GB"/>
        </w:rPr>
        <w:t xml:space="preserve"> 23.29 per</w:t>
      </w:r>
      <w:r w:rsidR="00D12C82" w:rsidRPr="00B93205">
        <w:rPr>
          <w:lang w:val="en-GB"/>
        </w:rPr>
        <w:t xml:space="preserve"> </w:t>
      </w:r>
      <w:r w:rsidR="00DD5762" w:rsidRPr="00B93205">
        <w:rPr>
          <w:lang w:val="en-GB"/>
        </w:rPr>
        <w:t>cent</w:t>
      </w:r>
      <w:r w:rsidR="00D12C82" w:rsidRPr="00B93205">
        <w:rPr>
          <w:lang w:val="en-GB"/>
        </w:rPr>
        <w:t>.</w:t>
      </w:r>
      <w:r w:rsidR="00DD5762" w:rsidRPr="00B93205">
        <w:rPr>
          <w:rStyle w:val="EndnoteReference"/>
          <w:lang w:val="en-GB"/>
        </w:rPr>
        <w:endnoteReference w:id="25"/>
      </w:r>
      <w:r w:rsidR="00D12C82" w:rsidRPr="00B93205">
        <w:rPr>
          <w:lang w:val="en-GB"/>
        </w:rPr>
        <w:t xml:space="preserve"> O</w:t>
      </w:r>
      <w:r w:rsidR="00DD5762" w:rsidRPr="00B93205">
        <w:rPr>
          <w:lang w:val="en-GB"/>
        </w:rPr>
        <w:t>n September 21, 2017</w:t>
      </w:r>
      <w:r w:rsidR="00D12C82" w:rsidRPr="00B93205">
        <w:rPr>
          <w:lang w:val="en-GB"/>
        </w:rPr>
        <w:t>, Bettencourt died, which prompted the start of Nestlé six-month moratorium on L’Oréal shares</w:t>
      </w:r>
      <w:r w:rsidR="00225AD9">
        <w:rPr>
          <w:lang w:val="en-GB"/>
        </w:rPr>
        <w:t>.</w:t>
      </w:r>
      <w:r w:rsidR="004C7C7B" w:rsidRPr="00B93205">
        <w:rPr>
          <w:rStyle w:val="EndnoteReference"/>
          <w:lang w:val="en-GB"/>
        </w:rPr>
        <w:endnoteReference w:id="26"/>
      </w:r>
      <w:r w:rsidR="00DD5762" w:rsidRPr="00B93205">
        <w:rPr>
          <w:lang w:val="en-GB"/>
        </w:rPr>
        <w:t xml:space="preserve"> </w:t>
      </w:r>
    </w:p>
    <w:p w14:paraId="2EC35CBC" w14:textId="532B2868" w:rsidR="00DD5762" w:rsidRPr="004B0031" w:rsidRDefault="00DD5762" w:rsidP="00DD5762">
      <w:pPr>
        <w:pStyle w:val="BodyTextMain"/>
        <w:rPr>
          <w:sz w:val="20"/>
          <w:lang w:val="en-GB"/>
        </w:rPr>
      </w:pPr>
    </w:p>
    <w:p w14:paraId="39B9F6DF" w14:textId="77777777" w:rsidR="00DD5762" w:rsidRPr="004B0031" w:rsidRDefault="00DD5762" w:rsidP="00DD5762">
      <w:pPr>
        <w:pStyle w:val="BodyTextMain"/>
        <w:rPr>
          <w:sz w:val="20"/>
          <w:lang w:val="en-GB"/>
        </w:rPr>
      </w:pPr>
    </w:p>
    <w:p w14:paraId="0602AABD" w14:textId="77777777" w:rsidR="00DD5762" w:rsidRPr="00B93205" w:rsidRDefault="00DD5762" w:rsidP="00DD5762">
      <w:pPr>
        <w:pStyle w:val="Casehead1"/>
        <w:rPr>
          <w:lang w:val="en-GB"/>
        </w:rPr>
      </w:pPr>
      <w:r w:rsidRPr="00B93205">
        <w:rPr>
          <w:lang w:val="en-GB"/>
        </w:rPr>
        <w:t>THIRD POINT</w:t>
      </w:r>
    </w:p>
    <w:p w14:paraId="7CF28DC8" w14:textId="77777777" w:rsidR="00DD5762" w:rsidRPr="004B0031" w:rsidRDefault="00DD5762" w:rsidP="00DD5762">
      <w:pPr>
        <w:pStyle w:val="BodyTextMain"/>
        <w:rPr>
          <w:sz w:val="20"/>
          <w:lang w:val="en-GB"/>
        </w:rPr>
      </w:pPr>
    </w:p>
    <w:p w14:paraId="2F5CC3A4" w14:textId="3A751EAE" w:rsidR="00DD5762" w:rsidRPr="00B93205" w:rsidRDefault="00DD5762" w:rsidP="00DD5762">
      <w:pPr>
        <w:pStyle w:val="BodyTextMain"/>
        <w:rPr>
          <w:lang w:val="en-GB"/>
        </w:rPr>
      </w:pPr>
      <w:r w:rsidRPr="00B93205">
        <w:rPr>
          <w:lang w:val="en-GB"/>
        </w:rPr>
        <w:t>Founded by Daniel S. Loeb in 1995, Third Point was a</w:t>
      </w:r>
      <w:r w:rsidR="00797E74" w:rsidRPr="00B93205">
        <w:rPr>
          <w:lang w:val="en-GB"/>
        </w:rPr>
        <w:t>n</w:t>
      </w:r>
      <w:r w:rsidRPr="00B93205">
        <w:rPr>
          <w:lang w:val="en-GB"/>
        </w:rPr>
        <w:t xml:space="preserve"> “event-driven, value-oriented</w:t>
      </w:r>
      <w:r w:rsidR="00797E74" w:rsidRPr="00B93205">
        <w:rPr>
          <w:lang w:val="en-GB"/>
        </w:rPr>
        <w:t>”</w:t>
      </w:r>
      <w:r w:rsidRPr="00B93205">
        <w:rPr>
          <w:lang w:val="en-GB"/>
        </w:rPr>
        <w:t xml:space="preserve"> hedge fund </w:t>
      </w:r>
      <w:r w:rsidR="00797E74" w:rsidRPr="00B93205">
        <w:rPr>
          <w:lang w:val="en-GB"/>
        </w:rPr>
        <w:t xml:space="preserve">from New York City </w:t>
      </w:r>
      <w:r w:rsidRPr="00B93205">
        <w:rPr>
          <w:lang w:val="en-GB"/>
        </w:rPr>
        <w:t>that had approximately $17 billion in assets under management at the end of 2016.</w:t>
      </w:r>
      <w:r w:rsidR="002752DF" w:rsidRPr="002752DF">
        <w:rPr>
          <w:rStyle w:val="EndnoteReference"/>
          <w:lang w:val="en-GB"/>
        </w:rPr>
        <w:t xml:space="preserve"> </w:t>
      </w:r>
      <w:r w:rsidR="002752DF" w:rsidRPr="00B93205">
        <w:rPr>
          <w:rStyle w:val="EndnoteReference"/>
          <w:lang w:val="en-GB"/>
        </w:rPr>
        <w:endnoteReference w:id="27"/>
      </w:r>
      <w:r w:rsidRPr="00B93205">
        <w:rPr>
          <w:lang w:val="en-GB"/>
        </w:rPr>
        <w:t xml:space="preserve"> In the past, Third Point had mounted activist campaigns against companies such as Yahoo</w:t>
      </w:r>
      <w:r w:rsidR="002A108D" w:rsidRPr="00B93205">
        <w:rPr>
          <w:lang w:val="en-GB"/>
        </w:rPr>
        <w:t>!</w:t>
      </w:r>
      <w:r w:rsidRPr="00B93205">
        <w:rPr>
          <w:lang w:val="en-GB"/>
        </w:rPr>
        <w:t xml:space="preserve"> </w:t>
      </w:r>
      <w:r w:rsidR="0095342C" w:rsidRPr="00B93205">
        <w:rPr>
          <w:lang w:val="en-GB"/>
        </w:rPr>
        <w:t xml:space="preserve">in </w:t>
      </w:r>
      <w:r w:rsidRPr="00B93205">
        <w:rPr>
          <w:lang w:val="en-GB"/>
        </w:rPr>
        <w:t xml:space="preserve">2012 </w:t>
      </w:r>
      <w:r w:rsidR="0095342C" w:rsidRPr="00B93205">
        <w:rPr>
          <w:lang w:val="en-GB"/>
        </w:rPr>
        <w:t>(</w:t>
      </w:r>
      <w:r w:rsidRPr="00B93205">
        <w:rPr>
          <w:lang w:val="en-GB"/>
        </w:rPr>
        <w:t>whe</w:t>
      </w:r>
      <w:r w:rsidR="0095342C" w:rsidRPr="00B93205">
        <w:rPr>
          <w:lang w:val="en-GB"/>
        </w:rPr>
        <w:t>n</w:t>
      </w:r>
      <w:r w:rsidRPr="00B93205">
        <w:rPr>
          <w:lang w:val="en-GB"/>
        </w:rPr>
        <w:t xml:space="preserve"> Loeb was instrumental in hiring Marissa Mayer as CEO</w:t>
      </w:r>
      <w:r w:rsidR="0095342C" w:rsidRPr="00B93205">
        <w:rPr>
          <w:lang w:val="en-GB"/>
        </w:rPr>
        <w:t>)</w:t>
      </w:r>
      <w:r w:rsidR="002752DF" w:rsidRPr="00B93205">
        <w:rPr>
          <w:rStyle w:val="EndnoteReference"/>
          <w:lang w:val="en-GB"/>
        </w:rPr>
        <w:endnoteReference w:id="28"/>
      </w:r>
      <w:r w:rsidRPr="00B93205">
        <w:rPr>
          <w:lang w:val="en-GB"/>
        </w:rPr>
        <w:t>,</w:t>
      </w:r>
      <w:r w:rsidR="002752DF" w:rsidRPr="002752DF">
        <w:rPr>
          <w:rStyle w:val="EndnoteReference"/>
          <w:lang w:val="en-GB"/>
        </w:rPr>
        <w:t xml:space="preserve"> </w:t>
      </w:r>
      <w:r w:rsidRPr="00B93205">
        <w:rPr>
          <w:lang w:val="en-GB"/>
        </w:rPr>
        <w:t>Sony</w:t>
      </w:r>
      <w:r w:rsidR="002A108D" w:rsidRPr="00B93205">
        <w:rPr>
          <w:lang w:val="en-GB"/>
        </w:rPr>
        <w:t xml:space="preserve"> Corporation</w:t>
      </w:r>
      <w:r w:rsidRPr="00B93205">
        <w:rPr>
          <w:lang w:val="en-GB"/>
        </w:rPr>
        <w:t xml:space="preserve"> </w:t>
      </w:r>
      <w:r w:rsidR="0095342C" w:rsidRPr="00B93205">
        <w:rPr>
          <w:lang w:val="en-GB"/>
        </w:rPr>
        <w:t xml:space="preserve">in </w:t>
      </w:r>
      <w:r w:rsidRPr="00B93205">
        <w:rPr>
          <w:lang w:val="en-GB"/>
        </w:rPr>
        <w:t>2013</w:t>
      </w:r>
      <w:r w:rsidR="0095342C" w:rsidRPr="00B93205">
        <w:rPr>
          <w:lang w:val="en-GB"/>
        </w:rPr>
        <w:t>,</w:t>
      </w:r>
      <w:r w:rsidRPr="00B93205">
        <w:rPr>
          <w:rStyle w:val="EndnoteReference"/>
          <w:lang w:val="en-GB"/>
        </w:rPr>
        <w:endnoteReference w:id="29"/>
      </w:r>
      <w:r w:rsidRPr="00B93205">
        <w:rPr>
          <w:lang w:val="en-GB"/>
        </w:rPr>
        <w:t xml:space="preserve"> and Sotheby’s </w:t>
      </w:r>
      <w:r w:rsidR="0095342C" w:rsidRPr="00B93205">
        <w:rPr>
          <w:lang w:val="en-GB"/>
        </w:rPr>
        <w:t xml:space="preserve">in </w:t>
      </w:r>
      <w:r w:rsidRPr="00B93205">
        <w:rPr>
          <w:lang w:val="en-GB"/>
        </w:rPr>
        <w:t xml:space="preserve">2013 </w:t>
      </w:r>
      <w:r w:rsidR="0095342C" w:rsidRPr="00B93205">
        <w:rPr>
          <w:lang w:val="en-GB"/>
        </w:rPr>
        <w:t>(</w:t>
      </w:r>
      <w:r w:rsidRPr="00B93205">
        <w:rPr>
          <w:lang w:val="en-GB"/>
        </w:rPr>
        <w:t>whe</w:t>
      </w:r>
      <w:r w:rsidR="0095342C" w:rsidRPr="00B93205">
        <w:rPr>
          <w:lang w:val="en-GB"/>
        </w:rPr>
        <w:t>n</w:t>
      </w:r>
      <w:r w:rsidRPr="00B93205">
        <w:rPr>
          <w:lang w:val="en-GB"/>
        </w:rPr>
        <w:t xml:space="preserve"> Third Point succeeded in getting three </w:t>
      </w:r>
      <w:r w:rsidR="0095342C" w:rsidRPr="00B93205">
        <w:rPr>
          <w:lang w:val="en-GB"/>
        </w:rPr>
        <w:t>b</w:t>
      </w:r>
      <w:r w:rsidRPr="00B93205">
        <w:rPr>
          <w:lang w:val="en-GB"/>
        </w:rPr>
        <w:t>oard appointees</w:t>
      </w:r>
      <w:r w:rsidR="0095342C" w:rsidRPr="00B93205">
        <w:rPr>
          <w:lang w:val="en-GB"/>
        </w:rPr>
        <w:t>).</w:t>
      </w:r>
      <w:r w:rsidRPr="00B93205">
        <w:rPr>
          <w:rStyle w:val="EndnoteReference"/>
          <w:lang w:val="en-GB"/>
        </w:rPr>
        <w:endnoteReference w:id="30"/>
      </w:r>
      <w:r w:rsidRPr="00B93205">
        <w:rPr>
          <w:lang w:val="en-GB"/>
        </w:rPr>
        <w:t xml:space="preserve"> </w:t>
      </w:r>
    </w:p>
    <w:p w14:paraId="1C885D41" w14:textId="77777777" w:rsidR="00661C0F" w:rsidRPr="004B0031" w:rsidRDefault="00661C0F" w:rsidP="00DD5762">
      <w:pPr>
        <w:pStyle w:val="BodyTextMain"/>
        <w:rPr>
          <w:sz w:val="20"/>
          <w:lang w:val="en-GB"/>
        </w:rPr>
      </w:pPr>
    </w:p>
    <w:p w14:paraId="14CA4026" w14:textId="383E1F14" w:rsidR="00DD5762" w:rsidRPr="00B93205" w:rsidRDefault="00DD5762" w:rsidP="00DD5762">
      <w:pPr>
        <w:pStyle w:val="BodyTextMain"/>
        <w:rPr>
          <w:lang w:val="en-GB"/>
        </w:rPr>
      </w:pPr>
      <w:r w:rsidRPr="00B93205">
        <w:rPr>
          <w:lang w:val="en-GB"/>
        </w:rPr>
        <w:t xml:space="preserve">On June 25, 2017, Third Point </w:t>
      </w:r>
      <w:r w:rsidR="002F2724" w:rsidRPr="00B93205">
        <w:rPr>
          <w:lang w:val="en-GB"/>
        </w:rPr>
        <w:t>communicated</w:t>
      </w:r>
      <w:r w:rsidRPr="00B93205">
        <w:rPr>
          <w:lang w:val="en-GB"/>
        </w:rPr>
        <w:t xml:space="preserve"> public</w:t>
      </w:r>
      <w:r w:rsidR="002F2724" w:rsidRPr="00B93205">
        <w:rPr>
          <w:lang w:val="en-GB"/>
        </w:rPr>
        <w:t>ly about</w:t>
      </w:r>
      <w:r w:rsidRPr="00B93205">
        <w:rPr>
          <w:lang w:val="en-GB"/>
        </w:rPr>
        <w:t xml:space="preserve"> its $3.5</w:t>
      </w:r>
      <w:r w:rsidR="00661C0F" w:rsidRPr="00B93205">
        <w:rPr>
          <w:lang w:val="en-GB"/>
        </w:rPr>
        <w:t xml:space="preserve"> billion investment in Nestlé. </w:t>
      </w:r>
      <w:r w:rsidRPr="00B93205">
        <w:rPr>
          <w:lang w:val="en-GB"/>
        </w:rPr>
        <w:t xml:space="preserve">In an eight-page letter to Nestlé’s investors, Loeb called for </w:t>
      </w:r>
      <w:r w:rsidR="0095342C" w:rsidRPr="00B93205">
        <w:rPr>
          <w:lang w:val="en-GB"/>
        </w:rPr>
        <w:t>various</w:t>
      </w:r>
      <w:r w:rsidRPr="00B93205">
        <w:rPr>
          <w:lang w:val="en-GB"/>
        </w:rPr>
        <w:t xml:space="preserve"> changes at the Swiss company. In putting forth the rationale for the changes that he sought, Loeb </w:t>
      </w:r>
      <w:r w:rsidR="0095342C" w:rsidRPr="00B93205">
        <w:rPr>
          <w:lang w:val="en-GB"/>
        </w:rPr>
        <w:t xml:space="preserve">made the following </w:t>
      </w:r>
      <w:r w:rsidRPr="00B93205">
        <w:rPr>
          <w:lang w:val="en-GB"/>
        </w:rPr>
        <w:t>argu</w:t>
      </w:r>
      <w:r w:rsidR="0095342C" w:rsidRPr="00B93205">
        <w:rPr>
          <w:lang w:val="en-GB"/>
        </w:rPr>
        <w:t>ments</w:t>
      </w:r>
      <w:r w:rsidRPr="00B93205">
        <w:rPr>
          <w:lang w:val="en-GB"/>
        </w:rPr>
        <w:t>:</w:t>
      </w:r>
    </w:p>
    <w:p w14:paraId="69A6103F" w14:textId="77777777" w:rsidR="00DD5762" w:rsidRPr="004B0031" w:rsidRDefault="00DD5762" w:rsidP="00DD5762">
      <w:pPr>
        <w:pStyle w:val="BodyTextMain"/>
        <w:rPr>
          <w:i/>
          <w:sz w:val="20"/>
          <w:lang w:val="en-GB"/>
        </w:rPr>
      </w:pPr>
    </w:p>
    <w:p w14:paraId="33D0FA8C" w14:textId="57A9F6A3" w:rsidR="00DD5762" w:rsidRPr="00B93205" w:rsidRDefault="002F2724" w:rsidP="00DD5762">
      <w:pPr>
        <w:pStyle w:val="BodyTextMain"/>
        <w:ind w:left="720"/>
        <w:rPr>
          <w:lang w:val="en-GB"/>
        </w:rPr>
      </w:pPr>
      <w:r w:rsidRPr="00B93205">
        <w:rPr>
          <w:spacing w:val="-4"/>
          <w:lang w:val="en-GB"/>
        </w:rPr>
        <w:t>D</w:t>
      </w:r>
      <w:r w:rsidR="00DD5762" w:rsidRPr="00B93205">
        <w:rPr>
          <w:spacing w:val="-4"/>
          <w:lang w:val="en-GB"/>
        </w:rPr>
        <w:t>espite having arguably the best positioned portfolio in the consumer packaged goods industry, Nestlé shares have significantly underperformed most of their US and European consumer staples peers on a three</w:t>
      </w:r>
      <w:r w:rsidR="00893D3C" w:rsidRPr="00B93205">
        <w:rPr>
          <w:spacing w:val="-4"/>
          <w:lang w:val="en-GB"/>
        </w:rPr>
        <w:t xml:space="preserve"> </w:t>
      </w:r>
      <w:r w:rsidR="00DD5762" w:rsidRPr="00B93205">
        <w:rPr>
          <w:spacing w:val="-4"/>
          <w:lang w:val="en-GB"/>
        </w:rPr>
        <w:t>year, five year, and ten</w:t>
      </w:r>
      <w:r w:rsidR="00893D3C" w:rsidRPr="00B93205">
        <w:rPr>
          <w:spacing w:val="-4"/>
          <w:lang w:val="en-GB"/>
        </w:rPr>
        <w:t xml:space="preserve"> </w:t>
      </w:r>
      <w:r w:rsidR="00DD5762" w:rsidRPr="00B93205">
        <w:rPr>
          <w:spacing w:val="-4"/>
          <w:lang w:val="en-GB"/>
        </w:rPr>
        <w:t>year total shareholder return basis. One</w:t>
      </w:r>
      <w:r w:rsidR="007975E9">
        <w:rPr>
          <w:spacing w:val="-4"/>
          <w:lang w:val="en-GB"/>
        </w:rPr>
        <w:t xml:space="preserve"> </w:t>
      </w:r>
      <w:r w:rsidR="00DD5762" w:rsidRPr="00B93205">
        <w:rPr>
          <w:spacing w:val="-4"/>
          <w:lang w:val="en-GB"/>
        </w:rPr>
        <w:t>year returns have been driven largely by the market’s anticipation that with a newly appointed CEO, Nestlé will improve</w:t>
      </w:r>
      <w:r w:rsidR="00DD5762" w:rsidRPr="00B93205">
        <w:rPr>
          <w:i/>
          <w:lang w:val="en-GB"/>
        </w:rPr>
        <w:t>.</w:t>
      </w:r>
      <w:r w:rsidR="00DD5762" w:rsidRPr="00B93205">
        <w:rPr>
          <w:rStyle w:val="EndnoteReference"/>
          <w:lang w:val="en-GB"/>
        </w:rPr>
        <w:endnoteReference w:id="31"/>
      </w:r>
    </w:p>
    <w:p w14:paraId="2AD5A4BD" w14:textId="77777777" w:rsidR="00DD5762" w:rsidRPr="004B0031" w:rsidRDefault="00DD5762" w:rsidP="00DD5762">
      <w:pPr>
        <w:pStyle w:val="BodyTextMain"/>
        <w:rPr>
          <w:sz w:val="20"/>
          <w:lang w:val="en-GB"/>
        </w:rPr>
      </w:pPr>
    </w:p>
    <w:p w14:paraId="78342258" w14:textId="5C24F9DF" w:rsidR="00DD5762" w:rsidRPr="00B93205" w:rsidRDefault="00DD5762" w:rsidP="00DD5762">
      <w:pPr>
        <w:pStyle w:val="BodyTextMain"/>
        <w:rPr>
          <w:i/>
          <w:lang w:val="en-GB"/>
        </w:rPr>
      </w:pPr>
      <w:r w:rsidRPr="00B93205">
        <w:rPr>
          <w:lang w:val="en-GB"/>
        </w:rPr>
        <w:t xml:space="preserve">In addition to urging Nestlé to publicly set a more ambitious productivity goal, the Third Point letter talked specifically about both reshaping the portfolio and monetizing the L’Oréal stake. Third Point pointed out that Nestlé owned over 2,000 brands in the food and beverage and </w:t>
      </w:r>
      <w:r w:rsidR="002F2724" w:rsidRPr="00B93205">
        <w:rPr>
          <w:lang w:val="en-GB"/>
        </w:rPr>
        <w:t xml:space="preserve">in the </w:t>
      </w:r>
      <w:r w:rsidRPr="00B93205">
        <w:rPr>
          <w:lang w:val="en-GB"/>
        </w:rPr>
        <w:t>health sciences categories</w:t>
      </w:r>
      <w:r w:rsidR="0095342C" w:rsidRPr="00B93205">
        <w:rPr>
          <w:lang w:val="en-GB"/>
        </w:rPr>
        <w:t>,</w:t>
      </w:r>
      <w:r w:rsidRPr="00B93205">
        <w:rPr>
          <w:lang w:val="en-GB"/>
        </w:rPr>
        <w:t xml:space="preserve"> and that managing a large number of brands </w:t>
      </w:r>
      <w:r w:rsidR="0095342C" w:rsidRPr="00B93205">
        <w:rPr>
          <w:lang w:val="en-GB"/>
        </w:rPr>
        <w:t>could</w:t>
      </w:r>
      <w:r w:rsidRPr="00B93205">
        <w:rPr>
          <w:lang w:val="en-GB"/>
        </w:rPr>
        <w:t xml:space="preserve"> le</w:t>
      </w:r>
      <w:r w:rsidR="0095342C" w:rsidRPr="00B93205">
        <w:rPr>
          <w:lang w:val="en-GB"/>
        </w:rPr>
        <w:t>a</w:t>
      </w:r>
      <w:r w:rsidRPr="00B93205">
        <w:rPr>
          <w:lang w:val="en-GB"/>
        </w:rPr>
        <w:t>d to s</w:t>
      </w:r>
      <w:r w:rsidR="00661C0F" w:rsidRPr="00B93205">
        <w:rPr>
          <w:lang w:val="en-GB"/>
        </w:rPr>
        <w:t xml:space="preserve">uboptimal capital allocation. </w:t>
      </w:r>
      <w:r w:rsidRPr="00B93205">
        <w:rPr>
          <w:lang w:val="en-GB"/>
        </w:rPr>
        <w:t>The letter called for a review and eventual sale of underperforming brands and a simultaneous augmentation of the portfolio via “accretive, bolt-on acquisitions in high growth and advantaged categories.”</w:t>
      </w:r>
      <w:r w:rsidRPr="00B93205">
        <w:rPr>
          <w:vertAlign w:val="superscript"/>
          <w:lang w:val="en-GB"/>
        </w:rPr>
        <w:endnoteReference w:id="32"/>
      </w:r>
      <w:r w:rsidRPr="00B93205">
        <w:rPr>
          <w:i/>
          <w:lang w:val="en-GB"/>
        </w:rPr>
        <w:t xml:space="preserve"> </w:t>
      </w:r>
    </w:p>
    <w:p w14:paraId="499642C4" w14:textId="77777777" w:rsidR="00DD5762" w:rsidRPr="004B0031" w:rsidRDefault="00DD5762" w:rsidP="00DD5762">
      <w:pPr>
        <w:pStyle w:val="BodyTextMain"/>
        <w:rPr>
          <w:sz w:val="20"/>
          <w:lang w:val="en-GB"/>
        </w:rPr>
      </w:pPr>
    </w:p>
    <w:p w14:paraId="11CC8CE9" w14:textId="534A8C84" w:rsidR="00DD5762" w:rsidRPr="00B93205" w:rsidRDefault="00DD5762" w:rsidP="00DD5762">
      <w:pPr>
        <w:pStyle w:val="BodyTextMain"/>
        <w:rPr>
          <w:i/>
          <w:lang w:val="en-GB"/>
        </w:rPr>
      </w:pPr>
      <w:r w:rsidRPr="00B93205">
        <w:rPr>
          <w:lang w:val="en-GB"/>
        </w:rPr>
        <w:t xml:space="preserve">While </w:t>
      </w:r>
      <w:r w:rsidR="002F2724" w:rsidRPr="00B93205">
        <w:rPr>
          <w:lang w:val="en-GB"/>
        </w:rPr>
        <w:t>acknowledging</w:t>
      </w:r>
      <w:r w:rsidRPr="00B93205">
        <w:rPr>
          <w:lang w:val="en-GB"/>
        </w:rPr>
        <w:t xml:space="preserve"> the contribution of the L’Oréal stake over the years, Third Point was emphatic in demandi</w:t>
      </w:r>
      <w:r w:rsidR="00661C0F" w:rsidRPr="00B93205">
        <w:rPr>
          <w:lang w:val="en-GB"/>
        </w:rPr>
        <w:t xml:space="preserve">ng that Nestlé sell its stake. </w:t>
      </w:r>
      <w:r w:rsidRPr="00B93205">
        <w:rPr>
          <w:lang w:val="en-GB"/>
        </w:rPr>
        <w:t>The</w:t>
      </w:r>
      <w:r w:rsidR="0095342C" w:rsidRPr="00B93205">
        <w:rPr>
          <w:lang w:val="en-GB"/>
        </w:rPr>
        <w:t xml:space="preserve"> firm’s</w:t>
      </w:r>
      <w:r w:rsidRPr="00B93205">
        <w:rPr>
          <w:lang w:val="en-GB"/>
        </w:rPr>
        <w:t xml:space="preserve"> rationale was that “having L’Oréal in the portfolio is not strategic and shareholders should be free to choose whether they want to invest in Nestlé or some combination of Nestlé and L’Oréal.</w:t>
      </w:r>
      <w:r w:rsidR="0095342C" w:rsidRPr="00B93205">
        <w:rPr>
          <w:lang w:val="en-GB"/>
        </w:rPr>
        <w:t>”</w:t>
      </w:r>
      <w:r w:rsidRPr="00B93205">
        <w:rPr>
          <w:rStyle w:val="EndnoteReference"/>
          <w:lang w:val="en-GB"/>
        </w:rPr>
        <w:endnoteReference w:id="33"/>
      </w:r>
      <w:r w:rsidRPr="00B93205">
        <w:rPr>
          <w:lang w:val="en-GB"/>
        </w:rPr>
        <w:t xml:space="preserve"> Th</w:t>
      </w:r>
      <w:r w:rsidR="0095342C" w:rsidRPr="00B93205">
        <w:rPr>
          <w:lang w:val="en-GB"/>
        </w:rPr>
        <w:t>ird Point</w:t>
      </w:r>
      <w:r w:rsidRPr="00B93205">
        <w:rPr>
          <w:lang w:val="en-GB"/>
        </w:rPr>
        <w:t xml:space="preserve"> reiterated this </w:t>
      </w:r>
      <w:r w:rsidR="0095342C" w:rsidRPr="00B93205">
        <w:rPr>
          <w:lang w:val="en-GB"/>
        </w:rPr>
        <w:t>stand</w:t>
      </w:r>
      <w:r w:rsidRPr="00B93205">
        <w:rPr>
          <w:lang w:val="en-GB"/>
        </w:rPr>
        <w:t xml:space="preserve"> in </w:t>
      </w:r>
      <w:r w:rsidR="0095342C" w:rsidRPr="00B93205">
        <w:rPr>
          <w:lang w:val="en-GB"/>
        </w:rPr>
        <w:t>i</w:t>
      </w:r>
      <w:r w:rsidRPr="00B93205">
        <w:rPr>
          <w:lang w:val="en-GB"/>
        </w:rPr>
        <w:t>t</w:t>
      </w:r>
      <w:r w:rsidR="0095342C" w:rsidRPr="00B93205">
        <w:rPr>
          <w:lang w:val="en-GB"/>
        </w:rPr>
        <w:t>s</w:t>
      </w:r>
      <w:r w:rsidRPr="00B93205">
        <w:rPr>
          <w:lang w:val="en-GB"/>
        </w:rPr>
        <w:t xml:space="preserve"> July 2018 letter</w:t>
      </w:r>
      <w:r w:rsidR="0095342C" w:rsidRPr="00B93205">
        <w:rPr>
          <w:lang w:val="en-GB"/>
        </w:rPr>
        <w:t>:</w:t>
      </w:r>
      <w:r w:rsidRPr="00B93205">
        <w:rPr>
          <w:lang w:val="en-GB"/>
        </w:rPr>
        <w:t xml:space="preserve"> </w:t>
      </w:r>
    </w:p>
    <w:p w14:paraId="5B75F10F" w14:textId="77777777" w:rsidR="00DD5762" w:rsidRPr="004B0031" w:rsidRDefault="00DD5762" w:rsidP="00DD5762">
      <w:pPr>
        <w:pStyle w:val="BodyTextMain"/>
        <w:rPr>
          <w:sz w:val="20"/>
          <w:lang w:val="en-GB"/>
        </w:rPr>
      </w:pPr>
    </w:p>
    <w:p w14:paraId="386FC049" w14:textId="5236F453" w:rsidR="00DD5762" w:rsidRDefault="0095342C" w:rsidP="00DD5762">
      <w:pPr>
        <w:pStyle w:val="BodyTextMain"/>
        <w:ind w:left="720"/>
        <w:rPr>
          <w:vertAlign w:val="superscript"/>
          <w:lang w:val="en-GB"/>
        </w:rPr>
      </w:pPr>
      <w:r w:rsidRPr="00B93205">
        <w:rPr>
          <w:lang w:val="en-GB"/>
        </w:rPr>
        <w:t>I</w:t>
      </w:r>
      <w:r w:rsidR="00DD5762" w:rsidRPr="00B93205">
        <w:rPr>
          <w:lang w:val="en-GB"/>
        </w:rPr>
        <w:t>t is clear that the Company’s non-core financial stake in L’Oréal should be sold since the Board remains unable to articulate a compelling long-term strategic rational</w:t>
      </w:r>
      <w:r w:rsidR="00661C0F" w:rsidRPr="00B93205">
        <w:rPr>
          <w:lang w:val="en-GB"/>
        </w:rPr>
        <w:t xml:space="preserve">e for its continued ownership. </w:t>
      </w:r>
      <w:r w:rsidR="00DD5762" w:rsidRPr="00B93205">
        <w:rPr>
          <w:lang w:val="en-GB"/>
        </w:rPr>
        <w:t xml:space="preserve">Nestlé should use the proceeds from these </w:t>
      </w:r>
      <w:r w:rsidR="000844BE" w:rsidRPr="00B93205">
        <w:rPr>
          <w:lang w:val="en-GB"/>
        </w:rPr>
        <w:t>[</w:t>
      </w:r>
      <w:r w:rsidR="00DD5762" w:rsidRPr="00B93205">
        <w:rPr>
          <w:lang w:val="en-GB"/>
        </w:rPr>
        <w:t>L’Oréal and other suggested divestments</w:t>
      </w:r>
      <w:r w:rsidR="000844BE" w:rsidRPr="00B93205">
        <w:rPr>
          <w:lang w:val="en-GB"/>
        </w:rPr>
        <w:t>]</w:t>
      </w:r>
      <w:r w:rsidR="00DD5762" w:rsidRPr="00B93205">
        <w:rPr>
          <w:lang w:val="en-GB"/>
        </w:rPr>
        <w:t xml:space="preserve"> sales to do more M&amp;A </w:t>
      </w:r>
      <w:r w:rsidRPr="00B93205">
        <w:rPr>
          <w:lang w:val="en-GB"/>
        </w:rPr>
        <w:t xml:space="preserve">[mergers and acquisitions] </w:t>
      </w:r>
      <w:r w:rsidR="00DD5762" w:rsidRPr="00B93205">
        <w:rPr>
          <w:lang w:val="en-GB"/>
        </w:rPr>
        <w:t>in key areas or engage in expedited share buybacks.</w:t>
      </w:r>
      <w:r w:rsidR="00DD5762" w:rsidRPr="00B93205">
        <w:rPr>
          <w:rStyle w:val="FootnoteReference"/>
          <w:lang w:val="en-GB"/>
        </w:rPr>
        <w:endnoteReference w:id="34"/>
      </w:r>
      <w:r w:rsidR="00DD5762" w:rsidRPr="00B93205">
        <w:rPr>
          <w:vertAlign w:val="superscript"/>
          <w:lang w:val="en-GB"/>
        </w:rPr>
        <w:t xml:space="preserve"> </w:t>
      </w:r>
    </w:p>
    <w:p w14:paraId="2147E5AD" w14:textId="77777777" w:rsidR="005F6155" w:rsidRPr="00B93205" w:rsidRDefault="005F6155" w:rsidP="005F6155">
      <w:pPr>
        <w:pStyle w:val="BodyTextMain"/>
        <w:rPr>
          <w:lang w:val="en-GB"/>
        </w:rPr>
      </w:pPr>
    </w:p>
    <w:p w14:paraId="75C3DB73" w14:textId="1ECC6CBF" w:rsidR="00456CFE" w:rsidRPr="00B93205" w:rsidRDefault="00DD5762" w:rsidP="00456CFE">
      <w:pPr>
        <w:pStyle w:val="BodyTextMain"/>
        <w:rPr>
          <w:lang w:val="en-GB"/>
        </w:rPr>
      </w:pPr>
      <w:r w:rsidRPr="00B93205">
        <w:rPr>
          <w:lang w:val="en-GB"/>
        </w:rPr>
        <w:t>Third Point</w:t>
      </w:r>
      <w:r w:rsidR="006C1C68" w:rsidRPr="00B93205">
        <w:rPr>
          <w:lang w:val="en-GB"/>
        </w:rPr>
        <w:t xml:space="preserve"> also provided a</w:t>
      </w:r>
      <w:r w:rsidRPr="00B93205">
        <w:rPr>
          <w:lang w:val="en-GB"/>
        </w:rPr>
        <w:t xml:space="preserve"> comparison of Nestlé with its peers</w:t>
      </w:r>
      <w:r w:rsidR="006C1C68" w:rsidRPr="00B93205">
        <w:rPr>
          <w:lang w:val="en-GB"/>
        </w:rPr>
        <w:t xml:space="preserve"> (see Exhibit 3)</w:t>
      </w:r>
      <w:r w:rsidRPr="00B93205">
        <w:rPr>
          <w:lang w:val="en-GB"/>
        </w:rPr>
        <w:t>.</w:t>
      </w:r>
    </w:p>
    <w:p w14:paraId="0B49FC52" w14:textId="681453CF" w:rsidR="00DD5762" w:rsidRPr="00B93205" w:rsidRDefault="00DD5762" w:rsidP="00456CFE">
      <w:pPr>
        <w:pStyle w:val="Casehead1"/>
        <w:keepNext/>
        <w:rPr>
          <w:lang w:val="en-GB"/>
        </w:rPr>
      </w:pPr>
      <w:r w:rsidRPr="00B93205">
        <w:rPr>
          <w:lang w:val="en-GB"/>
        </w:rPr>
        <w:lastRenderedPageBreak/>
        <w:t>THE “ELEPHANT IN THE ROOM”</w:t>
      </w:r>
    </w:p>
    <w:p w14:paraId="566A1A98" w14:textId="77777777" w:rsidR="00DD5762" w:rsidRPr="00B93205" w:rsidRDefault="00DD5762" w:rsidP="00456CFE">
      <w:pPr>
        <w:pStyle w:val="BodyTextMain"/>
        <w:keepNext/>
        <w:rPr>
          <w:lang w:val="en-GB"/>
        </w:rPr>
      </w:pPr>
    </w:p>
    <w:p w14:paraId="513F3008" w14:textId="5E9BE45C" w:rsidR="006C1C68" w:rsidRPr="00B93205" w:rsidRDefault="006C1C68" w:rsidP="00456CFE">
      <w:pPr>
        <w:pStyle w:val="BodyTextMain"/>
        <w:keepNext/>
        <w:rPr>
          <w:lang w:val="en-GB"/>
        </w:rPr>
      </w:pPr>
      <w:r w:rsidRPr="00B93205">
        <w:rPr>
          <w:lang w:val="en-GB"/>
        </w:rPr>
        <w:t>In September 2017, s</w:t>
      </w:r>
      <w:r w:rsidR="00DD5762" w:rsidRPr="00B93205">
        <w:rPr>
          <w:lang w:val="en-GB"/>
        </w:rPr>
        <w:t>hortly after being appointed as the company’s CEO, Schneider laid out Nestlé’s strategy in an investor conferenc</w:t>
      </w:r>
      <w:r w:rsidR="00661C0F" w:rsidRPr="00B93205">
        <w:rPr>
          <w:lang w:val="en-GB"/>
        </w:rPr>
        <w:t xml:space="preserve">e in London. </w:t>
      </w:r>
      <w:r w:rsidR="00DD5762" w:rsidRPr="00B93205">
        <w:rPr>
          <w:lang w:val="en-GB"/>
        </w:rPr>
        <w:t>In his presentation</w:t>
      </w:r>
      <w:r w:rsidRPr="00B93205">
        <w:rPr>
          <w:lang w:val="en-GB"/>
        </w:rPr>
        <w:t>,</w:t>
      </w:r>
      <w:r w:rsidR="00DD5762" w:rsidRPr="00B93205">
        <w:rPr>
          <w:lang w:val="en-GB"/>
        </w:rPr>
        <w:t xml:space="preserve"> Schneider stressed Nestlé’s identity as a global NHW </w:t>
      </w:r>
      <w:r w:rsidRPr="00B93205">
        <w:rPr>
          <w:lang w:val="en-GB"/>
        </w:rPr>
        <w:t>company</w:t>
      </w:r>
      <w:r w:rsidR="00DD5762" w:rsidRPr="00B93205">
        <w:rPr>
          <w:lang w:val="en-GB"/>
        </w:rPr>
        <w:t xml:space="preserve"> and indicated that portfolio management and capital allocation would be among his key priorities </w:t>
      </w:r>
      <w:r w:rsidRPr="00B93205">
        <w:rPr>
          <w:lang w:val="en-GB"/>
        </w:rPr>
        <w:t>for the future</w:t>
      </w:r>
      <w:r w:rsidR="00DD5762" w:rsidRPr="00B93205">
        <w:rPr>
          <w:lang w:val="en-GB"/>
        </w:rPr>
        <w:t>.</w:t>
      </w:r>
      <w:r w:rsidR="002752DF" w:rsidRPr="00B93205">
        <w:rPr>
          <w:rStyle w:val="EndnoteReference"/>
          <w:lang w:val="en-GB"/>
        </w:rPr>
        <w:endnoteReference w:id="35"/>
      </w:r>
      <w:r w:rsidR="00DD5762" w:rsidRPr="00B93205">
        <w:rPr>
          <w:lang w:val="en-GB"/>
        </w:rPr>
        <w:t xml:space="preserve"> He indicated that his team would use four criteria for future acquisitions and divestments: fit with NHW strategy, attractive categories in terms of growth and margin, ability to win, and resource intensity (required capital and human resource investment)</w:t>
      </w:r>
      <w:r w:rsidRPr="00B93205">
        <w:rPr>
          <w:lang w:val="en-GB"/>
        </w:rPr>
        <w:t>.</w:t>
      </w:r>
      <w:r w:rsidR="00DD5762" w:rsidRPr="00B93205">
        <w:rPr>
          <w:rStyle w:val="EndnoteReference"/>
          <w:lang w:val="en-GB"/>
        </w:rPr>
        <w:endnoteReference w:id="36"/>
      </w:r>
      <w:r w:rsidR="00DD5762" w:rsidRPr="00B93205">
        <w:rPr>
          <w:lang w:val="en-GB"/>
        </w:rPr>
        <w:t xml:space="preserve"> </w:t>
      </w:r>
    </w:p>
    <w:p w14:paraId="44FBE9DD" w14:textId="77777777" w:rsidR="006C1C68" w:rsidRPr="00B93205" w:rsidRDefault="006C1C68" w:rsidP="00DD5762">
      <w:pPr>
        <w:pStyle w:val="BodyTextMain"/>
        <w:rPr>
          <w:lang w:val="en-GB"/>
        </w:rPr>
      </w:pPr>
    </w:p>
    <w:p w14:paraId="30619674" w14:textId="46B28474" w:rsidR="00DD5762" w:rsidRPr="00B93205" w:rsidRDefault="006C1C68" w:rsidP="00DD5762">
      <w:pPr>
        <w:pStyle w:val="BodyTextMain"/>
        <w:rPr>
          <w:lang w:val="en-GB"/>
        </w:rPr>
      </w:pPr>
      <w:r w:rsidRPr="00B93205">
        <w:rPr>
          <w:lang w:val="en-GB"/>
        </w:rPr>
        <w:t>Schneider</w:t>
      </w:r>
      <w:r w:rsidR="00DD5762" w:rsidRPr="00B93205">
        <w:rPr>
          <w:lang w:val="en-GB"/>
        </w:rPr>
        <w:t xml:space="preserve"> </w:t>
      </w:r>
      <w:r w:rsidRPr="00B93205">
        <w:rPr>
          <w:lang w:val="en-GB"/>
        </w:rPr>
        <w:t xml:space="preserve">had already </w:t>
      </w:r>
      <w:r w:rsidR="00DD5762" w:rsidRPr="00B93205">
        <w:rPr>
          <w:lang w:val="en-GB"/>
        </w:rPr>
        <w:t xml:space="preserve">spearheaded </w:t>
      </w:r>
      <w:r w:rsidRPr="00B93205">
        <w:rPr>
          <w:lang w:val="en-GB"/>
        </w:rPr>
        <w:t>two major portfolio moves</w:t>
      </w:r>
      <w:r w:rsidR="007F6AFA" w:rsidRPr="00B93205">
        <w:rPr>
          <w:lang w:val="en-GB"/>
        </w:rPr>
        <w:t>. In</w:t>
      </w:r>
      <w:r w:rsidR="00DD5762" w:rsidRPr="00B93205">
        <w:rPr>
          <w:lang w:val="en-GB"/>
        </w:rPr>
        <w:t xml:space="preserve"> </w:t>
      </w:r>
      <w:r w:rsidRPr="00B93205">
        <w:rPr>
          <w:lang w:val="en-GB"/>
        </w:rPr>
        <w:t>December 2017</w:t>
      </w:r>
      <w:r w:rsidR="007F6AFA" w:rsidRPr="00B93205">
        <w:rPr>
          <w:lang w:val="en-GB"/>
        </w:rPr>
        <w:t>,</w:t>
      </w:r>
      <w:r w:rsidRPr="00B93205">
        <w:rPr>
          <w:lang w:val="en-GB"/>
        </w:rPr>
        <w:t xml:space="preserve"> </w:t>
      </w:r>
      <w:r w:rsidR="007F6AFA" w:rsidRPr="00B93205">
        <w:rPr>
          <w:lang w:val="en-GB"/>
        </w:rPr>
        <w:t xml:space="preserve">he had led the </w:t>
      </w:r>
      <w:r w:rsidR="00DD5762" w:rsidRPr="00B93205">
        <w:rPr>
          <w:lang w:val="en-GB"/>
        </w:rPr>
        <w:t>acquisition of Atrium Innovations</w:t>
      </w:r>
      <w:r w:rsidR="00893D3C" w:rsidRPr="00B93205">
        <w:rPr>
          <w:lang w:val="en-GB"/>
        </w:rPr>
        <w:t xml:space="preserve"> Inc.</w:t>
      </w:r>
      <w:r w:rsidR="00DD5762" w:rsidRPr="00B93205">
        <w:rPr>
          <w:lang w:val="en-GB"/>
        </w:rPr>
        <w:t>, a global leader in nutritional health products</w:t>
      </w:r>
      <w:r w:rsidRPr="00B93205">
        <w:rPr>
          <w:lang w:val="en-GB"/>
        </w:rPr>
        <w:t>,</w:t>
      </w:r>
      <w:r w:rsidR="00DD5762" w:rsidRPr="00B93205">
        <w:rPr>
          <w:lang w:val="en-GB"/>
        </w:rPr>
        <w:t xml:space="preserve"> for $2.3 billion</w:t>
      </w:r>
      <w:r w:rsidR="007F6AFA" w:rsidRPr="00B93205">
        <w:rPr>
          <w:lang w:val="en-GB"/>
        </w:rPr>
        <w:t xml:space="preserve"> in cash. The company had</w:t>
      </w:r>
      <w:r w:rsidR="00DD5762" w:rsidRPr="00B93205">
        <w:rPr>
          <w:lang w:val="en-GB"/>
        </w:rPr>
        <w:t xml:space="preserve"> sales of around $700 million</w:t>
      </w:r>
      <w:r w:rsidR="007F6AFA" w:rsidRPr="00B93205">
        <w:rPr>
          <w:lang w:val="en-GB"/>
        </w:rPr>
        <w:t xml:space="preserve"> and</w:t>
      </w:r>
      <w:r w:rsidR="00DD5762" w:rsidRPr="00B93205">
        <w:rPr>
          <w:lang w:val="en-GB"/>
        </w:rPr>
        <w:t xml:space="preserve"> </w:t>
      </w:r>
      <w:r w:rsidR="007F6AFA" w:rsidRPr="00B93205">
        <w:rPr>
          <w:lang w:val="en-GB"/>
        </w:rPr>
        <w:t xml:space="preserve">boasted </w:t>
      </w:r>
      <w:r w:rsidR="00DD5762" w:rsidRPr="00B93205">
        <w:rPr>
          <w:lang w:val="en-GB"/>
        </w:rPr>
        <w:t xml:space="preserve">double-digit cumulative annual sales growth in </w:t>
      </w:r>
      <w:r w:rsidR="007F6AFA" w:rsidRPr="00B93205">
        <w:rPr>
          <w:lang w:val="en-GB"/>
        </w:rPr>
        <w:t xml:space="preserve">the period </w:t>
      </w:r>
      <w:r w:rsidR="00DD5762" w:rsidRPr="00B93205">
        <w:rPr>
          <w:lang w:val="en-GB"/>
        </w:rPr>
        <w:t>2015</w:t>
      </w:r>
      <w:r w:rsidR="007975E9">
        <w:rPr>
          <w:lang w:val="en-GB"/>
        </w:rPr>
        <w:t>–</w:t>
      </w:r>
      <w:r w:rsidR="00DD5762" w:rsidRPr="00B93205">
        <w:rPr>
          <w:lang w:val="en-GB"/>
        </w:rPr>
        <w:t>2017</w:t>
      </w:r>
      <w:r w:rsidR="007F6AFA" w:rsidRPr="00B93205">
        <w:rPr>
          <w:lang w:val="en-GB"/>
        </w:rPr>
        <w:t>.</w:t>
      </w:r>
      <w:r w:rsidR="00DD5762" w:rsidRPr="00B93205">
        <w:rPr>
          <w:lang w:val="en-GB"/>
        </w:rPr>
        <w:t xml:space="preserve"> </w:t>
      </w:r>
      <w:r w:rsidR="007F6AFA" w:rsidRPr="00B93205">
        <w:rPr>
          <w:lang w:val="en-GB"/>
        </w:rPr>
        <w:t xml:space="preserve">The second move was </w:t>
      </w:r>
      <w:r w:rsidR="00DD5762" w:rsidRPr="00B93205">
        <w:rPr>
          <w:lang w:val="en-GB"/>
        </w:rPr>
        <w:t xml:space="preserve">the </w:t>
      </w:r>
      <w:r w:rsidR="007F6AFA" w:rsidRPr="00B93205">
        <w:rPr>
          <w:lang w:val="en-GB"/>
        </w:rPr>
        <w:t xml:space="preserve">January 2018 </w:t>
      </w:r>
      <w:r w:rsidR="00DD5762" w:rsidRPr="00B93205">
        <w:rPr>
          <w:lang w:val="en-GB"/>
        </w:rPr>
        <w:t>divestment of Nestlé’s US confectionery business for $2.8 billion</w:t>
      </w:r>
      <w:r w:rsidR="007F6AFA" w:rsidRPr="00B93205">
        <w:rPr>
          <w:lang w:val="en-GB"/>
        </w:rPr>
        <w:t xml:space="preserve"> in cash.</w:t>
      </w:r>
      <w:r w:rsidR="00DD5762" w:rsidRPr="00B93205">
        <w:rPr>
          <w:lang w:val="en-GB"/>
        </w:rPr>
        <w:t xml:space="preserve"> </w:t>
      </w:r>
      <w:r w:rsidR="007F6AFA" w:rsidRPr="00B93205">
        <w:rPr>
          <w:lang w:val="en-GB"/>
        </w:rPr>
        <w:t xml:space="preserve">The business had </w:t>
      </w:r>
      <w:r w:rsidR="00DD5762" w:rsidRPr="00B93205">
        <w:rPr>
          <w:lang w:val="en-GB"/>
        </w:rPr>
        <w:t>sales of a</w:t>
      </w:r>
      <w:r w:rsidR="007F6AFA" w:rsidRPr="00B93205">
        <w:rPr>
          <w:lang w:val="en-GB"/>
        </w:rPr>
        <w:t>pproximately</w:t>
      </w:r>
      <w:r w:rsidR="00DD5762" w:rsidRPr="00B93205">
        <w:rPr>
          <w:lang w:val="en-GB"/>
        </w:rPr>
        <w:t xml:space="preserve"> $900 million</w:t>
      </w:r>
      <w:r w:rsidR="007F6AFA" w:rsidRPr="00B93205">
        <w:rPr>
          <w:lang w:val="en-GB"/>
        </w:rPr>
        <w:t xml:space="preserve"> and</w:t>
      </w:r>
      <w:r w:rsidR="00DD5762" w:rsidRPr="00B93205">
        <w:rPr>
          <w:lang w:val="en-GB"/>
        </w:rPr>
        <w:t xml:space="preserve"> </w:t>
      </w:r>
      <w:r w:rsidR="007F6AFA" w:rsidRPr="00B93205">
        <w:rPr>
          <w:lang w:val="en-GB"/>
        </w:rPr>
        <w:t xml:space="preserve">had suffered </w:t>
      </w:r>
      <w:r w:rsidR="00DD5762" w:rsidRPr="00B93205">
        <w:rPr>
          <w:lang w:val="en-GB"/>
        </w:rPr>
        <w:t xml:space="preserve">negative cumulative annual growth </w:t>
      </w:r>
      <w:r w:rsidR="007F6AFA" w:rsidRPr="00B93205">
        <w:rPr>
          <w:lang w:val="en-GB"/>
        </w:rPr>
        <w:t xml:space="preserve">for the period </w:t>
      </w:r>
      <w:r w:rsidR="00DD5762" w:rsidRPr="00B93205">
        <w:rPr>
          <w:lang w:val="en-GB"/>
        </w:rPr>
        <w:t>2015</w:t>
      </w:r>
      <w:r w:rsidR="00893D3C" w:rsidRPr="00B93205">
        <w:rPr>
          <w:lang w:val="en-GB"/>
        </w:rPr>
        <w:t>–</w:t>
      </w:r>
      <w:r w:rsidR="00DD5762" w:rsidRPr="00B93205">
        <w:rPr>
          <w:lang w:val="en-GB"/>
        </w:rPr>
        <w:t>2017.</w:t>
      </w:r>
      <w:r w:rsidR="00DD5762" w:rsidRPr="00B93205">
        <w:rPr>
          <w:rStyle w:val="EndnoteReference"/>
          <w:lang w:val="en-GB"/>
        </w:rPr>
        <w:endnoteReference w:id="37"/>
      </w:r>
    </w:p>
    <w:p w14:paraId="488871AB" w14:textId="77777777" w:rsidR="00DD5762" w:rsidRPr="00B93205" w:rsidRDefault="00DD5762" w:rsidP="00DD5762">
      <w:pPr>
        <w:pStyle w:val="BodyTextMain"/>
        <w:rPr>
          <w:lang w:val="en-GB"/>
        </w:rPr>
      </w:pPr>
    </w:p>
    <w:p w14:paraId="2AD5B09D" w14:textId="3B6B0368" w:rsidR="00DD5762" w:rsidRPr="00B93205" w:rsidRDefault="00DD5762" w:rsidP="00DD5762">
      <w:pPr>
        <w:pStyle w:val="BodyTextMain"/>
        <w:rPr>
          <w:lang w:val="en-GB"/>
        </w:rPr>
      </w:pPr>
      <w:r w:rsidRPr="00B93205">
        <w:rPr>
          <w:lang w:val="en-GB"/>
        </w:rPr>
        <w:t xml:space="preserve">In 2007, Nestlé acquired Gerber </w:t>
      </w:r>
      <w:r w:rsidR="00852AE9" w:rsidRPr="00B93205">
        <w:rPr>
          <w:lang w:val="en-GB"/>
        </w:rPr>
        <w:t>Products Company</w:t>
      </w:r>
      <w:r w:rsidRPr="00B93205">
        <w:rPr>
          <w:lang w:val="en-GB"/>
        </w:rPr>
        <w:t xml:space="preserve"> </w:t>
      </w:r>
      <w:r w:rsidR="00852AE9" w:rsidRPr="00B93205">
        <w:rPr>
          <w:lang w:val="en-GB"/>
        </w:rPr>
        <w:t xml:space="preserve">(Gerber) </w:t>
      </w:r>
      <w:r w:rsidRPr="00B93205">
        <w:rPr>
          <w:lang w:val="en-GB"/>
        </w:rPr>
        <w:t>from Novartis</w:t>
      </w:r>
      <w:r w:rsidR="00E43714" w:rsidRPr="00B93205">
        <w:rPr>
          <w:lang w:val="en-GB"/>
        </w:rPr>
        <w:t xml:space="preserve"> International AG</w:t>
      </w:r>
      <w:r w:rsidRPr="00B93205">
        <w:rPr>
          <w:lang w:val="en-GB"/>
        </w:rPr>
        <w:t xml:space="preserve"> for $5.5 billion in cash</w:t>
      </w:r>
      <w:r w:rsidRPr="00B93205">
        <w:rPr>
          <w:rStyle w:val="EndnoteReference"/>
          <w:lang w:val="en-GB"/>
        </w:rPr>
        <w:endnoteReference w:id="38"/>
      </w:r>
      <w:r w:rsidRPr="00B93205">
        <w:rPr>
          <w:lang w:val="en-GB"/>
        </w:rPr>
        <w:t xml:space="preserve"> and folded it in </w:t>
      </w:r>
      <w:r w:rsidR="00661C0F" w:rsidRPr="00B93205">
        <w:rPr>
          <w:lang w:val="en-GB"/>
        </w:rPr>
        <w:t xml:space="preserve">its infant nutrition business. </w:t>
      </w:r>
      <w:r w:rsidRPr="00B93205">
        <w:rPr>
          <w:lang w:val="en-GB"/>
        </w:rPr>
        <w:t xml:space="preserve">As part of the acquisition, Nestlé </w:t>
      </w:r>
      <w:r w:rsidR="007975E9">
        <w:rPr>
          <w:lang w:val="en-GB"/>
        </w:rPr>
        <w:t>acquired</w:t>
      </w:r>
      <w:r w:rsidR="007975E9" w:rsidRPr="00B93205">
        <w:rPr>
          <w:lang w:val="en-GB"/>
        </w:rPr>
        <w:t xml:space="preserve"> </w:t>
      </w:r>
      <w:r w:rsidRPr="00B93205">
        <w:rPr>
          <w:lang w:val="en-GB"/>
        </w:rPr>
        <w:t>the G</w:t>
      </w:r>
      <w:r w:rsidR="00661C0F" w:rsidRPr="00B93205">
        <w:rPr>
          <w:lang w:val="en-GB"/>
        </w:rPr>
        <w:t xml:space="preserve">erber Life Insurance </w:t>
      </w:r>
      <w:r w:rsidR="00852AE9" w:rsidRPr="00B93205">
        <w:rPr>
          <w:lang w:val="en-GB"/>
        </w:rPr>
        <w:t xml:space="preserve">Company (Gerber Life) </w:t>
      </w:r>
      <w:r w:rsidR="00661C0F" w:rsidRPr="00B93205">
        <w:rPr>
          <w:lang w:val="en-GB"/>
        </w:rPr>
        <w:t xml:space="preserve">business. </w:t>
      </w:r>
      <w:r w:rsidRPr="00B93205">
        <w:rPr>
          <w:lang w:val="en-GB"/>
        </w:rPr>
        <w:t xml:space="preserve">Gerber Life sought to parlay the Gerber brand name among young parents to sell both term and </w:t>
      </w:r>
      <w:r w:rsidR="00661C0F" w:rsidRPr="00B93205">
        <w:rPr>
          <w:lang w:val="en-GB"/>
        </w:rPr>
        <w:t xml:space="preserve">whole life insurance policies. </w:t>
      </w:r>
      <w:r w:rsidRPr="00B93205">
        <w:rPr>
          <w:lang w:val="en-GB"/>
        </w:rPr>
        <w:t xml:space="preserve">In </w:t>
      </w:r>
      <w:r w:rsidR="00B808E0">
        <w:rPr>
          <w:lang w:val="en-GB"/>
        </w:rPr>
        <w:t>FY</w:t>
      </w:r>
      <w:r w:rsidR="007975E9">
        <w:rPr>
          <w:lang w:val="en-GB"/>
        </w:rPr>
        <w:t xml:space="preserve"> </w:t>
      </w:r>
      <w:r w:rsidRPr="00B93205">
        <w:rPr>
          <w:lang w:val="en-GB"/>
        </w:rPr>
        <w:t>2017, Gerber Life accounted fo</w:t>
      </w:r>
      <w:r w:rsidR="00661C0F" w:rsidRPr="00B93205">
        <w:rPr>
          <w:lang w:val="en-GB"/>
        </w:rPr>
        <w:t xml:space="preserve">r </w:t>
      </w:r>
      <w:r w:rsidR="00852AE9" w:rsidRPr="00B93205">
        <w:rPr>
          <w:lang w:val="en-GB"/>
        </w:rPr>
        <w:t>CHF</w:t>
      </w:r>
      <w:r w:rsidR="00661C0F" w:rsidRPr="00B93205">
        <w:rPr>
          <w:lang w:val="en-GB"/>
        </w:rPr>
        <w:t xml:space="preserve">850 million in revenues. </w:t>
      </w:r>
      <w:r w:rsidRPr="00B93205">
        <w:rPr>
          <w:lang w:val="en-GB"/>
        </w:rPr>
        <w:t xml:space="preserve">In an effort to stem declining sales growth, Nestlé repositioned the Gerber </w:t>
      </w:r>
      <w:r w:rsidR="00852AE9" w:rsidRPr="00B93205">
        <w:rPr>
          <w:lang w:val="en-GB"/>
        </w:rPr>
        <w:t>b</w:t>
      </w:r>
      <w:r w:rsidRPr="00B93205">
        <w:rPr>
          <w:lang w:val="en-GB"/>
        </w:rPr>
        <w:t xml:space="preserve">aby </w:t>
      </w:r>
      <w:r w:rsidR="00852AE9" w:rsidRPr="00B93205">
        <w:rPr>
          <w:lang w:val="en-GB"/>
        </w:rPr>
        <w:t>f</w:t>
      </w:r>
      <w:r w:rsidRPr="00B93205">
        <w:rPr>
          <w:lang w:val="en-GB"/>
        </w:rPr>
        <w:t>oods brand as an organic option and supported the relaunch wi</w:t>
      </w:r>
      <w:r w:rsidR="00661C0F" w:rsidRPr="00B93205">
        <w:rPr>
          <w:lang w:val="en-GB"/>
        </w:rPr>
        <w:t xml:space="preserve">th a major marketing campaign. </w:t>
      </w:r>
      <w:r w:rsidRPr="00B93205">
        <w:rPr>
          <w:lang w:val="en-GB"/>
        </w:rPr>
        <w:t>As part of the review of the Gerber acquisition, Schneider’s team decided that Gerber Life was a non-strategic business for Nestlé and indicated in mid-2018 that it was looking at all possible alternatives</w:t>
      </w:r>
      <w:r w:rsidR="00852AE9" w:rsidRPr="00B93205">
        <w:rPr>
          <w:lang w:val="en-GB"/>
        </w:rPr>
        <w:t>,</w:t>
      </w:r>
      <w:r w:rsidRPr="00B93205">
        <w:rPr>
          <w:lang w:val="en-GB"/>
        </w:rPr>
        <w:t xml:space="preserve"> including an outright sale</w:t>
      </w:r>
      <w:r w:rsidR="00852AE9" w:rsidRPr="00B93205">
        <w:rPr>
          <w:lang w:val="en-GB"/>
        </w:rPr>
        <w:t>.</w:t>
      </w:r>
      <w:r w:rsidRPr="00B93205">
        <w:rPr>
          <w:rStyle w:val="EndnoteReference"/>
          <w:lang w:val="en-GB"/>
        </w:rPr>
        <w:endnoteReference w:id="39"/>
      </w:r>
    </w:p>
    <w:p w14:paraId="2C869755" w14:textId="77777777" w:rsidR="00DD5762" w:rsidRPr="00B93205" w:rsidRDefault="00DD5762" w:rsidP="00DD5762">
      <w:pPr>
        <w:pStyle w:val="BodyTextMain"/>
        <w:rPr>
          <w:lang w:val="en-GB"/>
        </w:rPr>
      </w:pPr>
    </w:p>
    <w:p w14:paraId="62E55405" w14:textId="0E113505" w:rsidR="00DD5762" w:rsidRPr="00B93205" w:rsidRDefault="00DD5762" w:rsidP="00DD5762">
      <w:pPr>
        <w:pStyle w:val="BodyTextMain"/>
        <w:rPr>
          <w:lang w:val="en-GB"/>
        </w:rPr>
      </w:pPr>
      <w:r w:rsidRPr="00B93205">
        <w:rPr>
          <w:lang w:val="en-GB"/>
        </w:rPr>
        <w:t>In an interview following the release of the financial results for the first half of 2018, Schneider defended the company’s strategic direction:</w:t>
      </w:r>
    </w:p>
    <w:p w14:paraId="452BAF32" w14:textId="77777777" w:rsidR="00DD5762" w:rsidRPr="00B93205" w:rsidRDefault="00DD5762" w:rsidP="00DD5762">
      <w:pPr>
        <w:pStyle w:val="BodyTextMain"/>
        <w:rPr>
          <w:lang w:val="en-GB"/>
        </w:rPr>
      </w:pPr>
    </w:p>
    <w:p w14:paraId="0C134E74" w14:textId="2D8B1999" w:rsidR="00DD5762" w:rsidRPr="00B93205" w:rsidRDefault="00DD5762" w:rsidP="00DD5762">
      <w:pPr>
        <w:pStyle w:val="BodyTextMain"/>
        <w:ind w:left="720"/>
        <w:rPr>
          <w:i/>
          <w:lang w:val="en-GB"/>
        </w:rPr>
      </w:pPr>
      <w:r w:rsidRPr="00B93205">
        <w:rPr>
          <w:lang w:val="en-GB"/>
        </w:rPr>
        <w:t xml:space="preserve">Let me underscore my strong working relationship with our chairman. </w:t>
      </w:r>
      <w:r w:rsidR="00893D3C" w:rsidRPr="00B93205">
        <w:rPr>
          <w:lang w:val="en-GB"/>
        </w:rPr>
        <w:t>[</w:t>
      </w:r>
      <w:r w:rsidRPr="00B93205">
        <w:rPr>
          <w:lang w:val="en-GB"/>
        </w:rPr>
        <w:t>The two of us are in</w:t>
      </w:r>
      <w:r w:rsidR="00893D3C" w:rsidRPr="00B93205">
        <w:rPr>
          <w:lang w:val="en-GB"/>
        </w:rPr>
        <w:t>]</w:t>
      </w:r>
      <w:r w:rsidRPr="00B93205">
        <w:rPr>
          <w:lang w:val="en-GB"/>
        </w:rPr>
        <w:t xml:space="preserve"> full agreement </w:t>
      </w:r>
      <w:r w:rsidR="00893D3C" w:rsidRPr="00B93205">
        <w:rPr>
          <w:lang w:val="en-GB"/>
        </w:rPr>
        <w:t>[</w:t>
      </w:r>
      <w:r w:rsidRPr="00B93205">
        <w:rPr>
          <w:lang w:val="en-GB"/>
        </w:rPr>
        <w:t>on Nestlé’s current direction and are</w:t>
      </w:r>
      <w:r w:rsidR="00893D3C" w:rsidRPr="00B93205">
        <w:rPr>
          <w:lang w:val="en-GB"/>
        </w:rPr>
        <w:t>]</w:t>
      </w:r>
      <w:r w:rsidRPr="00B93205">
        <w:rPr>
          <w:lang w:val="en-GB"/>
        </w:rPr>
        <w:t xml:space="preserve"> unanimous in our commitment to analyze all aspects of our strategy.</w:t>
      </w:r>
      <w:r w:rsidR="00893D3C" w:rsidRPr="00B93205">
        <w:rPr>
          <w:lang w:val="en-GB"/>
        </w:rPr>
        <w:t xml:space="preserve"> . . .</w:t>
      </w:r>
      <w:r w:rsidRPr="00B93205">
        <w:rPr>
          <w:lang w:val="en-GB"/>
        </w:rPr>
        <w:t xml:space="preserve"> As CEO, I have full authority to undertake this </w:t>
      </w:r>
      <w:r w:rsidR="00893D3C" w:rsidRPr="00B93205">
        <w:rPr>
          <w:lang w:val="en-GB"/>
        </w:rPr>
        <w:t>[</w:t>
      </w:r>
      <w:r w:rsidRPr="00B93205">
        <w:rPr>
          <w:lang w:val="en-GB"/>
        </w:rPr>
        <w:t>strategic</w:t>
      </w:r>
      <w:r w:rsidR="00893D3C" w:rsidRPr="00B93205">
        <w:rPr>
          <w:lang w:val="en-GB"/>
        </w:rPr>
        <w:t>]</w:t>
      </w:r>
      <w:r w:rsidRPr="00B93205">
        <w:rPr>
          <w:lang w:val="en-GB"/>
        </w:rPr>
        <w:t xml:space="preserve"> analysis and implement the right actions to meet our objectives.</w:t>
      </w:r>
      <w:r w:rsidRPr="00B93205">
        <w:rPr>
          <w:rStyle w:val="EndnoteReference"/>
          <w:lang w:val="en-GB"/>
        </w:rPr>
        <w:endnoteReference w:id="40"/>
      </w:r>
    </w:p>
    <w:p w14:paraId="55D7CCFB" w14:textId="77777777" w:rsidR="00DD5762" w:rsidRPr="00B93205" w:rsidRDefault="00DD5762" w:rsidP="00DD5762">
      <w:pPr>
        <w:pStyle w:val="BodyTextMain"/>
        <w:rPr>
          <w:lang w:val="en-GB"/>
        </w:rPr>
      </w:pPr>
    </w:p>
    <w:p w14:paraId="6580D0B0" w14:textId="71DEB6D4" w:rsidR="00852AE9" w:rsidRPr="00B93205" w:rsidRDefault="00DD5762" w:rsidP="00852AE9">
      <w:pPr>
        <w:pStyle w:val="BodyTextMain"/>
        <w:jc w:val="left"/>
        <w:rPr>
          <w:lang w:val="en-GB"/>
        </w:rPr>
      </w:pPr>
      <w:r w:rsidRPr="00B93205">
        <w:rPr>
          <w:lang w:val="en-GB"/>
        </w:rPr>
        <w:t xml:space="preserve">However, Schneider and his team had </w:t>
      </w:r>
      <w:r w:rsidR="00852AE9" w:rsidRPr="00B93205">
        <w:rPr>
          <w:lang w:val="en-GB"/>
        </w:rPr>
        <w:t>yet to</w:t>
      </w:r>
      <w:r w:rsidRPr="00B93205">
        <w:rPr>
          <w:lang w:val="en-GB"/>
        </w:rPr>
        <w:t xml:space="preserve"> address</w:t>
      </w:r>
      <w:r w:rsidR="000E1536" w:rsidRPr="00B93205">
        <w:rPr>
          <w:lang w:val="en-GB"/>
        </w:rPr>
        <w:t xml:space="preserve"> Nestlé’s 23.2 per cent stake in L’Oréal</w:t>
      </w:r>
      <w:r w:rsidR="00852AE9" w:rsidRPr="00B93205">
        <w:rPr>
          <w:lang w:val="en-GB"/>
        </w:rPr>
        <w:t>,</w:t>
      </w:r>
      <w:r w:rsidRPr="00B93205">
        <w:rPr>
          <w:lang w:val="en-GB"/>
        </w:rPr>
        <w:t xml:space="preserve"> wh</w:t>
      </w:r>
      <w:r w:rsidR="000E1536" w:rsidRPr="00B93205">
        <w:rPr>
          <w:lang w:val="en-GB"/>
        </w:rPr>
        <w:t>ich an</w:t>
      </w:r>
      <w:r w:rsidRPr="00B93205">
        <w:rPr>
          <w:lang w:val="en-GB"/>
        </w:rPr>
        <w:t xml:space="preserve"> analyst referred to as the “elephant in the room</w:t>
      </w:r>
      <w:r w:rsidR="000E1536" w:rsidRPr="00B93205">
        <w:rPr>
          <w:lang w:val="en-GB"/>
        </w:rPr>
        <w:t>.”</w:t>
      </w:r>
      <w:r w:rsidRPr="00B93205">
        <w:rPr>
          <w:rStyle w:val="EndnoteReference"/>
          <w:lang w:val="en-GB"/>
        </w:rPr>
        <w:endnoteReference w:id="41"/>
      </w:r>
    </w:p>
    <w:p w14:paraId="4745765A" w14:textId="3B542CFC" w:rsidR="00A3173F" w:rsidRPr="00B93205" w:rsidRDefault="00DD5762">
      <w:pPr>
        <w:pStyle w:val="BodyTextMain"/>
        <w:jc w:val="center"/>
        <w:rPr>
          <w:lang w:val="en-GB"/>
        </w:rPr>
      </w:pPr>
      <w:r w:rsidRPr="00B93205">
        <w:rPr>
          <w:lang w:val="en-GB"/>
        </w:rPr>
        <w:br w:type="page"/>
      </w:r>
      <w:r w:rsidR="00A3173F" w:rsidRPr="00B93205">
        <w:rPr>
          <w:rStyle w:val="ExhibitHeadingChar"/>
          <w:lang w:val="en-GB"/>
        </w:rPr>
        <w:lastRenderedPageBreak/>
        <w:t>Exhibit 1: Nestl</w:t>
      </w:r>
      <w:r w:rsidR="00CF3F16" w:rsidRPr="00B93205">
        <w:rPr>
          <w:rStyle w:val="ExhibitHeadingChar"/>
          <w:lang w:val="en-GB"/>
        </w:rPr>
        <w:t>é</w:t>
      </w:r>
      <w:r w:rsidR="00694D46" w:rsidRPr="00B93205">
        <w:rPr>
          <w:rStyle w:val="ExhibitHeadingChar"/>
          <w:lang w:val="en-GB"/>
        </w:rPr>
        <w:t xml:space="preserve"> S.A.</w:t>
      </w:r>
      <w:r w:rsidR="00A3173F" w:rsidRPr="00B93205">
        <w:rPr>
          <w:rStyle w:val="ExhibitHeadingChar"/>
          <w:lang w:val="en-GB"/>
        </w:rPr>
        <w:t xml:space="preserve"> Product Portfolio (selected)</w:t>
      </w:r>
      <w:r w:rsidR="00CE4822">
        <w:rPr>
          <w:rStyle w:val="ExhibitHeadingChar"/>
          <w:lang w:val="en-GB"/>
        </w:rPr>
        <w:t xml:space="preserve"> and revenues by product category, 2017</w:t>
      </w:r>
    </w:p>
    <w:p w14:paraId="18A59D5D" w14:textId="77777777" w:rsidR="00A3173F" w:rsidRPr="004B0031" w:rsidRDefault="00A3173F" w:rsidP="00A3173F">
      <w:pPr>
        <w:pStyle w:val="ExhibitText"/>
        <w:rPr>
          <w:sz w:val="16"/>
          <w:szCs w:val="18"/>
          <w:lang w:val="en-GB"/>
        </w:rPr>
      </w:pPr>
    </w:p>
    <w:tbl>
      <w:tblPr>
        <w:tblStyle w:val="TableGrid"/>
        <w:tblW w:w="9380" w:type="dxa"/>
        <w:jc w:val="center"/>
        <w:tblLook w:val="04A0" w:firstRow="1" w:lastRow="0" w:firstColumn="1" w:lastColumn="0" w:noHBand="0" w:noVBand="1"/>
      </w:tblPr>
      <w:tblGrid>
        <w:gridCol w:w="3769"/>
        <w:gridCol w:w="1887"/>
        <w:gridCol w:w="3724"/>
      </w:tblGrid>
      <w:tr w:rsidR="00A3173F" w:rsidRPr="00B93205" w14:paraId="23AF4BDD" w14:textId="77777777" w:rsidTr="0045637D">
        <w:trPr>
          <w:trHeight w:val="452"/>
          <w:jc w:val="center"/>
        </w:trPr>
        <w:tc>
          <w:tcPr>
            <w:tcW w:w="3769" w:type="dxa"/>
          </w:tcPr>
          <w:p w14:paraId="4EDA294B" w14:textId="77777777" w:rsidR="00A3173F" w:rsidRPr="00B93205" w:rsidRDefault="00A3173F" w:rsidP="00757D77">
            <w:pPr>
              <w:pStyle w:val="ExhibitText"/>
              <w:jc w:val="center"/>
              <w:rPr>
                <w:b/>
                <w:lang w:val="en-GB"/>
              </w:rPr>
            </w:pPr>
            <w:r w:rsidRPr="00B93205">
              <w:rPr>
                <w:b/>
                <w:lang w:val="en-GB"/>
              </w:rPr>
              <w:t>Product Category</w:t>
            </w:r>
          </w:p>
        </w:tc>
        <w:tc>
          <w:tcPr>
            <w:tcW w:w="1887" w:type="dxa"/>
          </w:tcPr>
          <w:p w14:paraId="226F10D8" w14:textId="136E9143" w:rsidR="00A3173F" w:rsidRPr="00B93205" w:rsidRDefault="00A3173F" w:rsidP="00CE4822">
            <w:pPr>
              <w:pStyle w:val="ExhibitText"/>
              <w:jc w:val="center"/>
              <w:rPr>
                <w:b/>
                <w:lang w:val="en-GB"/>
              </w:rPr>
            </w:pPr>
            <w:r w:rsidRPr="00B93205">
              <w:rPr>
                <w:b/>
                <w:lang w:val="en-GB"/>
              </w:rPr>
              <w:t xml:space="preserve">2017 Revenues (in € </w:t>
            </w:r>
            <w:r w:rsidR="00CE4822">
              <w:rPr>
                <w:b/>
                <w:lang w:val="en-GB"/>
              </w:rPr>
              <w:t>b</w:t>
            </w:r>
            <w:r w:rsidRPr="00B93205">
              <w:rPr>
                <w:b/>
                <w:lang w:val="en-GB"/>
              </w:rPr>
              <w:t>illions)</w:t>
            </w:r>
          </w:p>
        </w:tc>
        <w:tc>
          <w:tcPr>
            <w:tcW w:w="3724" w:type="dxa"/>
          </w:tcPr>
          <w:p w14:paraId="19E5E5D8" w14:textId="77777777" w:rsidR="00A3173F" w:rsidRPr="00B93205" w:rsidRDefault="00A3173F" w:rsidP="00757D77">
            <w:pPr>
              <w:pStyle w:val="ExhibitText"/>
              <w:jc w:val="center"/>
              <w:rPr>
                <w:b/>
                <w:lang w:val="en-GB"/>
              </w:rPr>
            </w:pPr>
            <w:r w:rsidRPr="00B93205">
              <w:rPr>
                <w:b/>
                <w:lang w:val="en-GB"/>
              </w:rPr>
              <w:t>Example Brands</w:t>
            </w:r>
          </w:p>
        </w:tc>
      </w:tr>
      <w:tr w:rsidR="00A3173F" w:rsidRPr="00B93205" w14:paraId="625D712D" w14:textId="77777777" w:rsidTr="0045637D">
        <w:trPr>
          <w:trHeight w:val="231"/>
          <w:jc w:val="center"/>
        </w:trPr>
        <w:tc>
          <w:tcPr>
            <w:tcW w:w="3769" w:type="dxa"/>
          </w:tcPr>
          <w:p w14:paraId="16FE2033" w14:textId="4B0B0740" w:rsidR="00A3173F" w:rsidRPr="00B93205" w:rsidRDefault="00A3173F" w:rsidP="00A3173F">
            <w:pPr>
              <w:pStyle w:val="ExhibitText"/>
              <w:rPr>
                <w:lang w:val="en-GB"/>
              </w:rPr>
            </w:pPr>
            <w:r w:rsidRPr="00B93205">
              <w:rPr>
                <w:lang w:val="en-GB"/>
              </w:rPr>
              <w:t xml:space="preserve">Powdered </w:t>
            </w:r>
            <w:r w:rsidR="00A3482E" w:rsidRPr="00B93205">
              <w:rPr>
                <w:lang w:val="en-GB"/>
              </w:rPr>
              <w:t>and</w:t>
            </w:r>
            <w:r w:rsidRPr="00B93205">
              <w:rPr>
                <w:lang w:val="en-GB"/>
              </w:rPr>
              <w:t xml:space="preserve"> Liquid Beverages</w:t>
            </w:r>
          </w:p>
        </w:tc>
        <w:tc>
          <w:tcPr>
            <w:tcW w:w="1887" w:type="dxa"/>
          </w:tcPr>
          <w:p w14:paraId="2E25FFDF" w14:textId="77777777" w:rsidR="00A3173F" w:rsidRPr="00B93205" w:rsidRDefault="00A3173F" w:rsidP="00757D77">
            <w:pPr>
              <w:pStyle w:val="ExhibitText"/>
              <w:tabs>
                <w:tab w:val="decimal" w:pos="800"/>
              </w:tabs>
              <w:rPr>
                <w:lang w:val="en-GB"/>
              </w:rPr>
            </w:pPr>
            <w:r w:rsidRPr="00B93205">
              <w:rPr>
                <w:lang w:val="en-GB"/>
              </w:rPr>
              <w:t>17.63</w:t>
            </w:r>
          </w:p>
        </w:tc>
        <w:tc>
          <w:tcPr>
            <w:tcW w:w="3724" w:type="dxa"/>
          </w:tcPr>
          <w:p w14:paraId="02D5E276" w14:textId="13C78113" w:rsidR="00A3173F" w:rsidRPr="00B93205" w:rsidRDefault="00A3173F" w:rsidP="00A3173F">
            <w:pPr>
              <w:pStyle w:val="ExhibitText"/>
              <w:rPr>
                <w:lang w:val="en-GB"/>
              </w:rPr>
            </w:pPr>
            <w:r w:rsidRPr="00B93205">
              <w:rPr>
                <w:lang w:val="en-GB"/>
              </w:rPr>
              <w:t>Nescaf</w:t>
            </w:r>
            <w:r w:rsidR="00CE4822">
              <w:rPr>
                <w:lang w:val="en-GB"/>
              </w:rPr>
              <w:t>é</w:t>
            </w:r>
            <w:r w:rsidRPr="00B93205">
              <w:rPr>
                <w:lang w:val="en-GB"/>
              </w:rPr>
              <w:t>, Nespresso, Nestea</w:t>
            </w:r>
          </w:p>
        </w:tc>
      </w:tr>
      <w:tr w:rsidR="00A3173F" w:rsidRPr="00B93205" w14:paraId="6581DCFE" w14:textId="77777777" w:rsidTr="0045637D">
        <w:trPr>
          <w:trHeight w:val="231"/>
          <w:jc w:val="center"/>
        </w:trPr>
        <w:tc>
          <w:tcPr>
            <w:tcW w:w="3769" w:type="dxa"/>
          </w:tcPr>
          <w:p w14:paraId="35CBC0EA" w14:textId="4D6A1E73" w:rsidR="00A3173F" w:rsidRPr="00B93205" w:rsidRDefault="00A3173F" w:rsidP="00A3173F">
            <w:pPr>
              <w:pStyle w:val="ExhibitText"/>
              <w:rPr>
                <w:lang w:val="en-GB"/>
              </w:rPr>
            </w:pPr>
            <w:r w:rsidRPr="00B93205">
              <w:rPr>
                <w:lang w:val="en-GB"/>
              </w:rPr>
              <w:t xml:space="preserve">Nutrition </w:t>
            </w:r>
            <w:r w:rsidR="00A3482E" w:rsidRPr="00B93205">
              <w:rPr>
                <w:lang w:val="en-GB"/>
              </w:rPr>
              <w:t>and</w:t>
            </w:r>
            <w:r w:rsidRPr="00B93205">
              <w:rPr>
                <w:lang w:val="en-GB"/>
              </w:rPr>
              <w:t xml:space="preserve"> Health Sciences</w:t>
            </w:r>
          </w:p>
        </w:tc>
        <w:tc>
          <w:tcPr>
            <w:tcW w:w="1887" w:type="dxa"/>
          </w:tcPr>
          <w:p w14:paraId="64B49B43" w14:textId="77777777" w:rsidR="00A3173F" w:rsidRPr="00B93205" w:rsidRDefault="00A3173F" w:rsidP="00757D77">
            <w:pPr>
              <w:pStyle w:val="ExhibitText"/>
              <w:tabs>
                <w:tab w:val="decimal" w:pos="800"/>
              </w:tabs>
              <w:rPr>
                <w:lang w:val="en-GB"/>
              </w:rPr>
            </w:pPr>
            <w:r w:rsidRPr="00B93205">
              <w:rPr>
                <w:lang w:val="en-GB"/>
              </w:rPr>
              <w:t>13.22</w:t>
            </w:r>
          </w:p>
        </w:tc>
        <w:tc>
          <w:tcPr>
            <w:tcW w:w="3724" w:type="dxa"/>
          </w:tcPr>
          <w:p w14:paraId="7FB53366" w14:textId="77777777" w:rsidR="00A3173F" w:rsidRPr="00B93205" w:rsidRDefault="00A3173F" w:rsidP="00A3173F">
            <w:pPr>
              <w:pStyle w:val="ExhibitText"/>
              <w:rPr>
                <w:lang w:val="en-GB"/>
              </w:rPr>
            </w:pPr>
            <w:r w:rsidRPr="00B93205">
              <w:rPr>
                <w:lang w:val="en-GB"/>
              </w:rPr>
              <w:t>Gerber, Boost</w:t>
            </w:r>
          </w:p>
        </w:tc>
      </w:tr>
      <w:tr w:rsidR="00A3173F" w:rsidRPr="00B93205" w14:paraId="7D753782" w14:textId="77777777" w:rsidTr="0045637D">
        <w:trPr>
          <w:trHeight w:val="221"/>
          <w:jc w:val="center"/>
        </w:trPr>
        <w:tc>
          <w:tcPr>
            <w:tcW w:w="3769" w:type="dxa"/>
          </w:tcPr>
          <w:p w14:paraId="4207EFBD" w14:textId="64016B36" w:rsidR="00A3173F" w:rsidRPr="00B93205" w:rsidRDefault="00A3173F" w:rsidP="00A3173F">
            <w:pPr>
              <w:pStyle w:val="ExhibitText"/>
              <w:rPr>
                <w:lang w:val="en-GB"/>
              </w:rPr>
            </w:pPr>
            <w:r w:rsidRPr="00B93205">
              <w:rPr>
                <w:lang w:val="en-GB"/>
              </w:rPr>
              <w:t xml:space="preserve">Milk Products </w:t>
            </w:r>
            <w:r w:rsidR="00A3482E" w:rsidRPr="00B93205">
              <w:rPr>
                <w:lang w:val="en-GB"/>
              </w:rPr>
              <w:t>and</w:t>
            </w:r>
            <w:r w:rsidRPr="00B93205">
              <w:rPr>
                <w:lang w:val="en-GB"/>
              </w:rPr>
              <w:t xml:space="preserve"> Ice Cream</w:t>
            </w:r>
          </w:p>
        </w:tc>
        <w:tc>
          <w:tcPr>
            <w:tcW w:w="1887" w:type="dxa"/>
          </w:tcPr>
          <w:p w14:paraId="4584FBFA" w14:textId="77777777" w:rsidR="00A3173F" w:rsidRPr="00B93205" w:rsidRDefault="00A3173F" w:rsidP="00757D77">
            <w:pPr>
              <w:pStyle w:val="ExhibitText"/>
              <w:tabs>
                <w:tab w:val="decimal" w:pos="800"/>
              </w:tabs>
              <w:rPr>
                <w:lang w:val="en-GB"/>
              </w:rPr>
            </w:pPr>
            <w:r w:rsidRPr="00B93205">
              <w:rPr>
                <w:lang w:val="en-GB"/>
              </w:rPr>
              <w:t>11.58</w:t>
            </w:r>
          </w:p>
        </w:tc>
        <w:tc>
          <w:tcPr>
            <w:tcW w:w="3724" w:type="dxa"/>
          </w:tcPr>
          <w:p w14:paraId="19C38941" w14:textId="3B071AD7" w:rsidR="00A3173F" w:rsidRPr="00B93205" w:rsidRDefault="00A3173F" w:rsidP="00A3173F">
            <w:pPr>
              <w:pStyle w:val="ExhibitText"/>
              <w:rPr>
                <w:lang w:val="en-GB"/>
              </w:rPr>
            </w:pPr>
            <w:r w:rsidRPr="00B93205">
              <w:rPr>
                <w:lang w:val="en-GB"/>
              </w:rPr>
              <w:t>H</w:t>
            </w:r>
            <w:r w:rsidR="00C15CEF" w:rsidRPr="00B93205">
              <w:rPr>
                <w:lang w:val="en-GB"/>
              </w:rPr>
              <w:t>ä</w:t>
            </w:r>
            <w:r w:rsidRPr="00B93205">
              <w:rPr>
                <w:lang w:val="en-GB"/>
              </w:rPr>
              <w:t>agen-Dazs, Dreyer, M</w:t>
            </w:r>
            <w:r w:rsidR="00C15CEF" w:rsidRPr="00B93205">
              <w:rPr>
                <w:lang w:val="en-GB"/>
              </w:rPr>
              <w:t>ö</w:t>
            </w:r>
            <w:r w:rsidRPr="00B93205">
              <w:rPr>
                <w:lang w:val="en-GB"/>
              </w:rPr>
              <w:t>venpick</w:t>
            </w:r>
          </w:p>
        </w:tc>
      </w:tr>
      <w:tr w:rsidR="00A3173F" w:rsidRPr="00B93205" w14:paraId="185F1E61" w14:textId="77777777" w:rsidTr="0045637D">
        <w:trPr>
          <w:trHeight w:val="231"/>
          <w:jc w:val="center"/>
        </w:trPr>
        <w:tc>
          <w:tcPr>
            <w:tcW w:w="3769" w:type="dxa"/>
          </w:tcPr>
          <w:p w14:paraId="14DF7F93" w14:textId="77777777" w:rsidR="00A3173F" w:rsidRPr="00B93205" w:rsidRDefault="00A3173F" w:rsidP="00A3173F">
            <w:pPr>
              <w:pStyle w:val="ExhibitText"/>
              <w:rPr>
                <w:lang w:val="en-GB"/>
              </w:rPr>
            </w:pPr>
            <w:r w:rsidRPr="00B93205">
              <w:rPr>
                <w:lang w:val="en-GB"/>
              </w:rPr>
              <w:t>Pet Care</w:t>
            </w:r>
          </w:p>
        </w:tc>
        <w:tc>
          <w:tcPr>
            <w:tcW w:w="1887" w:type="dxa"/>
          </w:tcPr>
          <w:p w14:paraId="5D2DDBEE" w14:textId="77777777" w:rsidR="00A3173F" w:rsidRPr="00B93205" w:rsidRDefault="00A3173F" w:rsidP="00757D77">
            <w:pPr>
              <w:pStyle w:val="ExhibitText"/>
              <w:tabs>
                <w:tab w:val="decimal" w:pos="800"/>
              </w:tabs>
              <w:rPr>
                <w:lang w:val="en-GB"/>
              </w:rPr>
            </w:pPr>
            <w:r w:rsidRPr="00B93205">
              <w:rPr>
                <w:lang w:val="en-GB"/>
              </w:rPr>
              <w:t>10.80</w:t>
            </w:r>
          </w:p>
        </w:tc>
        <w:tc>
          <w:tcPr>
            <w:tcW w:w="3724" w:type="dxa"/>
          </w:tcPr>
          <w:p w14:paraId="435B15C6" w14:textId="77777777" w:rsidR="00A3173F" w:rsidRPr="00B93205" w:rsidRDefault="00A3173F" w:rsidP="00A3173F">
            <w:pPr>
              <w:pStyle w:val="ExhibitText"/>
              <w:rPr>
                <w:lang w:val="en-GB"/>
              </w:rPr>
            </w:pPr>
            <w:r w:rsidRPr="00B93205">
              <w:rPr>
                <w:lang w:val="en-GB"/>
              </w:rPr>
              <w:t>Purina</w:t>
            </w:r>
          </w:p>
        </w:tc>
      </w:tr>
      <w:tr w:rsidR="00A3173F" w:rsidRPr="00B93205" w14:paraId="1B5DFF34" w14:textId="77777777" w:rsidTr="0045637D">
        <w:trPr>
          <w:trHeight w:val="231"/>
          <w:jc w:val="center"/>
        </w:trPr>
        <w:tc>
          <w:tcPr>
            <w:tcW w:w="3769" w:type="dxa"/>
          </w:tcPr>
          <w:p w14:paraId="141D33BA" w14:textId="3EBCE8E9" w:rsidR="00A3173F" w:rsidRPr="00B93205" w:rsidRDefault="00A3173F" w:rsidP="00A3173F">
            <w:pPr>
              <w:pStyle w:val="ExhibitText"/>
              <w:rPr>
                <w:lang w:val="en-GB"/>
              </w:rPr>
            </w:pPr>
            <w:r w:rsidRPr="00B93205">
              <w:rPr>
                <w:lang w:val="en-GB"/>
              </w:rPr>
              <w:t xml:space="preserve">Prepared Dishes </w:t>
            </w:r>
            <w:r w:rsidR="00A3482E" w:rsidRPr="00B93205">
              <w:rPr>
                <w:lang w:val="en-GB"/>
              </w:rPr>
              <w:t>and</w:t>
            </w:r>
            <w:r w:rsidRPr="00B93205">
              <w:rPr>
                <w:lang w:val="en-GB"/>
              </w:rPr>
              <w:t xml:space="preserve"> Cooking Aids</w:t>
            </w:r>
          </w:p>
        </w:tc>
        <w:tc>
          <w:tcPr>
            <w:tcW w:w="1887" w:type="dxa"/>
          </w:tcPr>
          <w:p w14:paraId="3F561ACC" w14:textId="77777777" w:rsidR="00A3173F" w:rsidRPr="00B93205" w:rsidRDefault="00A3173F" w:rsidP="00757D77">
            <w:pPr>
              <w:pStyle w:val="ExhibitText"/>
              <w:tabs>
                <w:tab w:val="decimal" w:pos="800"/>
              </w:tabs>
              <w:rPr>
                <w:lang w:val="en-GB"/>
              </w:rPr>
            </w:pPr>
            <w:r w:rsidRPr="00B93205">
              <w:rPr>
                <w:lang w:val="en-GB"/>
              </w:rPr>
              <w:t>10.37</w:t>
            </w:r>
          </w:p>
        </w:tc>
        <w:tc>
          <w:tcPr>
            <w:tcW w:w="3724" w:type="dxa"/>
          </w:tcPr>
          <w:p w14:paraId="654ECEBC" w14:textId="77777777" w:rsidR="00A3173F" w:rsidRPr="00B93205" w:rsidRDefault="00A3173F" w:rsidP="00A3173F">
            <w:pPr>
              <w:pStyle w:val="ExhibitText"/>
              <w:rPr>
                <w:lang w:val="en-GB"/>
              </w:rPr>
            </w:pPr>
            <w:r w:rsidRPr="00B93205">
              <w:rPr>
                <w:lang w:val="en-GB"/>
              </w:rPr>
              <w:t>Maggi, Buitoni, DiGiorno</w:t>
            </w:r>
          </w:p>
        </w:tc>
      </w:tr>
      <w:tr w:rsidR="00A3173F" w:rsidRPr="00B93205" w14:paraId="3770E29A" w14:textId="77777777" w:rsidTr="0045637D">
        <w:trPr>
          <w:trHeight w:val="221"/>
          <w:jc w:val="center"/>
        </w:trPr>
        <w:tc>
          <w:tcPr>
            <w:tcW w:w="3769" w:type="dxa"/>
          </w:tcPr>
          <w:p w14:paraId="00143FDE" w14:textId="4DE3917F" w:rsidR="00A3173F" w:rsidRPr="00B93205" w:rsidRDefault="00A3173F" w:rsidP="00A3173F">
            <w:pPr>
              <w:pStyle w:val="ExhibitText"/>
              <w:rPr>
                <w:lang w:val="en-GB"/>
              </w:rPr>
            </w:pPr>
            <w:r w:rsidRPr="00B93205">
              <w:rPr>
                <w:lang w:val="en-GB"/>
              </w:rPr>
              <w:t>Confectionery (non-US)</w:t>
            </w:r>
          </w:p>
        </w:tc>
        <w:tc>
          <w:tcPr>
            <w:tcW w:w="1887" w:type="dxa"/>
          </w:tcPr>
          <w:p w14:paraId="23E2D030" w14:textId="77777777" w:rsidR="00A3173F" w:rsidRPr="00B93205" w:rsidRDefault="00A3173F" w:rsidP="00757D77">
            <w:pPr>
              <w:pStyle w:val="ExhibitText"/>
              <w:tabs>
                <w:tab w:val="decimal" w:pos="800"/>
              </w:tabs>
              <w:rPr>
                <w:lang w:val="en-GB"/>
              </w:rPr>
            </w:pPr>
            <w:r w:rsidRPr="00B93205">
              <w:rPr>
                <w:lang w:val="en-GB"/>
              </w:rPr>
              <w:t>7.61</w:t>
            </w:r>
          </w:p>
        </w:tc>
        <w:tc>
          <w:tcPr>
            <w:tcW w:w="3724" w:type="dxa"/>
          </w:tcPr>
          <w:p w14:paraId="4F597F2E" w14:textId="77777777" w:rsidR="00A3173F" w:rsidRPr="00B93205" w:rsidRDefault="00A3173F" w:rsidP="00A3173F">
            <w:pPr>
              <w:pStyle w:val="ExhibitText"/>
              <w:rPr>
                <w:lang w:val="en-GB"/>
              </w:rPr>
            </w:pPr>
            <w:r w:rsidRPr="00B93205">
              <w:rPr>
                <w:lang w:val="en-GB"/>
              </w:rPr>
              <w:t>KitKat</w:t>
            </w:r>
          </w:p>
        </w:tc>
      </w:tr>
      <w:tr w:rsidR="00A3173F" w:rsidRPr="00B93205" w14:paraId="5B280071" w14:textId="77777777" w:rsidTr="002752DF">
        <w:trPr>
          <w:trHeight w:val="233"/>
          <w:jc w:val="center"/>
        </w:trPr>
        <w:tc>
          <w:tcPr>
            <w:tcW w:w="3769" w:type="dxa"/>
          </w:tcPr>
          <w:p w14:paraId="00B1EE17" w14:textId="77777777" w:rsidR="00A3173F" w:rsidRPr="00B93205" w:rsidRDefault="00A3173F" w:rsidP="00A3173F">
            <w:pPr>
              <w:pStyle w:val="ExhibitText"/>
              <w:rPr>
                <w:lang w:val="en-GB"/>
              </w:rPr>
            </w:pPr>
            <w:r w:rsidRPr="00B93205">
              <w:rPr>
                <w:lang w:val="en-GB"/>
              </w:rPr>
              <w:t>Bottled Water</w:t>
            </w:r>
          </w:p>
        </w:tc>
        <w:tc>
          <w:tcPr>
            <w:tcW w:w="1887" w:type="dxa"/>
          </w:tcPr>
          <w:p w14:paraId="4507880D" w14:textId="77777777" w:rsidR="00A3173F" w:rsidRPr="00B93205" w:rsidRDefault="00A3173F" w:rsidP="00757D77">
            <w:pPr>
              <w:pStyle w:val="ExhibitText"/>
              <w:tabs>
                <w:tab w:val="decimal" w:pos="800"/>
              </w:tabs>
              <w:rPr>
                <w:lang w:val="en-GB"/>
              </w:rPr>
            </w:pPr>
            <w:r w:rsidRPr="00B93205">
              <w:rPr>
                <w:lang w:val="en-GB"/>
              </w:rPr>
              <w:t>6.48</w:t>
            </w:r>
          </w:p>
        </w:tc>
        <w:tc>
          <w:tcPr>
            <w:tcW w:w="3724" w:type="dxa"/>
          </w:tcPr>
          <w:p w14:paraId="4CFB2E32" w14:textId="77777777" w:rsidR="00A3173F" w:rsidRPr="00B93205" w:rsidRDefault="00A3173F" w:rsidP="00A3173F">
            <w:pPr>
              <w:pStyle w:val="ExhibitText"/>
              <w:rPr>
                <w:lang w:val="en-GB"/>
              </w:rPr>
            </w:pPr>
            <w:r w:rsidRPr="00B93205">
              <w:rPr>
                <w:lang w:val="en-GB"/>
              </w:rPr>
              <w:t>S. Pellegrino, Perrier, Nestle Pure Life</w:t>
            </w:r>
          </w:p>
        </w:tc>
      </w:tr>
    </w:tbl>
    <w:p w14:paraId="22952332" w14:textId="77777777" w:rsidR="00A3173F" w:rsidRPr="004B0031" w:rsidRDefault="00A3173F" w:rsidP="00A3173F">
      <w:pPr>
        <w:pStyle w:val="ExhibitText"/>
        <w:rPr>
          <w:sz w:val="16"/>
          <w:szCs w:val="18"/>
          <w:lang w:val="en-GB"/>
        </w:rPr>
      </w:pPr>
    </w:p>
    <w:p w14:paraId="5796DC21" w14:textId="62552AF8" w:rsidR="00CE4822" w:rsidRDefault="00CE4822" w:rsidP="00A3173F">
      <w:pPr>
        <w:pStyle w:val="ExhibitText"/>
        <w:rPr>
          <w:rStyle w:val="FootnoteChar"/>
          <w:lang w:val="en-GB"/>
        </w:rPr>
      </w:pPr>
      <w:r>
        <w:rPr>
          <w:rStyle w:val="FootnoteChar"/>
          <w:lang w:val="en-GB"/>
        </w:rPr>
        <w:t xml:space="preserve">Note: € = </w:t>
      </w:r>
      <w:r w:rsidR="00CC763D">
        <w:rPr>
          <w:rStyle w:val="FootnoteChar"/>
          <w:lang w:val="en-GB"/>
        </w:rPr>
        <w:t xml:space="preserve">European </w:t>
      </w:r>
      <w:r>
        <w:rPr>
          <w:rStyle w:val="FootnoteChar"/>
          <w:lang w:val="en-GB"/>
        </w:rPr>
        <w:t>euro; €1 = US$1.13 on average in 2017.</w:t>
      </w:r>
    </w:p>
    <w:p w14:paraId="28A5C572" w14:textId="58FEB1FF" w:rsidR="00A3173F" w:rsidRPr="00B93205" w:rsidRDefault="002752DF" w:rsidP="00A3173F">
      <w:pPr>
        <w:pStyle w:val="ExhibitText"/>
        <w:rPr>
          <w:sz w:val="16"/>
          <w:szCs w:val="16"/>
          <w:lang w:val="en-GB"/>
        </w:rPr>
      </w:pPr>
      <w:r>
        <w:rPr>
          <w:rStyle w:val="FootnoteChar"/>
          <w:lang w:val="en-GB"/>
        </w:rPr>
        <w:t>Source: </w:t>
      </w:r>
      <w:r w:rsidR="00A3173F" w:rsidRPr="00B93205">
        <w:rPr>
          <w:rStyle w:val="FootnoteChar"/>
          <w:lang w:val="en-GB"/>
        </w:rPr>
        <w:t>Nestl</w:t>
      </w:r>
      <w:r w:rsidR="00CF3F16" w:rsidRPr="00B93205">
        <w:rPr>
          <w:rStyle w:val="FootnoteChar"/>
          <w:lang w:val="en-GB"/>
        </w:rPr>
        <w:t>é</w:t>
      </w:r>
      <w:r>
        <w:rPr>
          <w:rStyle w:val="FootnoteChar"/>
          <w:lang w:val="en-GB"/>
        </w:rPr>
        <w:t> </w:t>
      </w:r>
      <w:r w:rsidR="00A3173F" w:rsidRPr="00B93205">
        <w:rPr>
          <w:rStyle w:val="FootnoteChar"/>
          <w:lang w:val="en-GB"/>
        </w:rPr>
        <w:t>S</w:t>
      </w:r>
      <w:r w:rsidR="00732583" w:rsidRPr="00B93205">
        <w:rPr>
          <w:rStyle w:val="FootnoteChar"/>
          <w:lang w:val="en-GB"/>
        </w:rPr>
        <w:t>.</w:t>
      </w:r>
      <w:r w:rsidR="00A3173F" w:rsidRPr="00B93205">
        <w:rPr>
          <w:rStyle w:val="FootnoteChar"/>
          <w:lang w:val="en-GB"/>
        </w:rPr>
        <w:t>A</w:t>
      </w:r>
      <w:r w:rsidR="00732583" w:rsidRPr="00B93205">
        <w:rPr>
          <w:rStyle w:val="FootnoteChar"/>
          <w:lang w:val="en-GB"/>
        </w:rPr>
        <w:t>.</w:t>
      </w:r>
      <w:r>
        <w:rPr>
          <w:rStyle w:val="FootnoteChar"/>
          <w:lang w:val="en-GB"/>
        </w:rPr>
        <w:t>, </w:t>
      </w:r>
      <w:r>
        <w:rPr>
          <w:rStyle w:val="FootnoteChar"/>
          <w:i/>
          <w:lang w:val="en-GB"/>
        </w:rPr>
        <w:t>2017 </w:t>
      </w:r>
      <w:r w:rsidR="00A3173F" w:rsidRPr="00B93205">
        <w:rPr>
          <w:rStyle w:val="FootnoteChar"/>
          <w:i/>
          <w:lang w:val="en-GB"/>
        </w:rPr>
        <w:t>Annual</w:t>
      </w:r>
      <w:r>
        <w:rPr>
          <w:rStyle w:val="FootnoteChar"/>
          <w:i/>
          <w:lang w:val="en-GB"/>
        </w:rPr>
        <w:t> </w:t>
      </w:r>
      <w:r w:rsidR="00A3173F" w:rsidRPr="00B93205">
        <w:rPr>
          <w:rStyle w:val="FootnoteChar"/>
          <w:i/>
          <w:lang w:val="en-GB"/>
        </w:rPr>
        <w:t>Review</w:t>
      </w:r>
      <w:r w:rsidR="00A3173F" w:rsidRPr="00B93205">
        <w:rPr>
          <w:rStyle w:val="FootnoteChar"/>
          <w:lang w:val="en-GB"/>
        </w:rPr>
        <w:t>,</w:t>
      </w:r>
      <w:r>
        <w:rPr>
          <w:rStyle w:val="FootnoteChar"/>
          <w:lang w:val="en-GB"/>
        </w:rPr>
        <w:t> </w:t>
      </w:r>
      <w:r w:rsidR="00732583" w:rsidRPr="00B93205">
        <w:rPr>
          <w:rStyle w:val="FootnoteChar"/>
          <w:lang w:val="en-GB"/>
        </w:rPr>
        <w:t>accessed</w:t>
      </w:r>
      <w:r>
        <w:rPr>
          <w:rStyle w:val="FootnoteChar"/>
          <w:lang w:val="en-GB"/>
        </w:rPr>
        <w:t> July 30, </w:t>
      </w:r>
      <w:r w:rsidR="00732583" w:rsidRPr="00B93205">
        <w:rPr>
          <w:rStyle w:val="FootnoteChar"/>
          <w:lang w:val="en-GB"/>
        </w:rPr>
        <w:t>2018,</w:t>
      </w:r>
      <w:r>
        <w:rPr>
          <w:rStyle w:val="FootnoteChar"/>
          <w:lang w:val="en-GB"/>
        </w:rPr>
        <w:t> </w:t>
      </w:r>
      <w:r w:rsidRPr="002752DF">
        <w:rPr>
          <w:rStyle w:val="FootnoteChar"/>
          <w:lang w:val="en-GB"/>
        </w:rPr>
        <w:t>www.nestle.com/asset-library/</w:t>
      </w:r>
      <w:r>
        <w:rPr>
          <w:rStyle w:val="FootnoteChar"/>
          <w:lang w:val="en-GB"/>
        </w:rPr>
        <w:t> </w:t>
      </w:r>
      <w:r w:rsidRPr="002752DF">
        <w:rPr>
          <w:rStyle w:val="FootnoteChar"/>
          <w:lang w:val="en-GB"/>
        </w:rPr>
        <w:t>documents/</w:t>
      </w:r>
      <w:r>
        <w:rPr>
          <w:rStyle w:val="FootnoteChar"/>
          <w:lang w:val="en-GB"/>
        </w:rPr>
        <w:t> </w:t>
      </w:r>
      <w:r w:rsidR="00A3173F" w:rsidRPr="00B93205">
        <w:rPr>
          <w:rStyle w:val="FootnoteChar"/>
          <w:lang w:val="en-GB"/>
        </w:rPr>
        <w:t>library/</w:t>
      </w:r>
      <w:r>
        <w:rPr>
          <w:rStyle w:val="FootnoteChar"/>
          <w:lang w:val="en-GB"/>
        </w:rPr>
        <w:t xml:space="preserve"> </w:t>
      </w:r>
      <w:r w:rsidR="00A3173F" w:rsidRPr="00B93205">
        <w:rPr>
          <w:rStyle w:val="FootnoteChar"/>
          <w:lang w:val="en-GB"/>
        </w:rPr>
        <w:t>documents/</w:t>
      </w:r>
      <w:r>
        <w:rPr>
          <w:rStyle w:val="FootnoteChar"/>
          <w:lang w:val="en-GB"/>
        </w:rPr>
        <w:t xml:space="preserve"> </w:t>
      </w:r>
      <w:r w:rsidR="00A3173F" w:rsidRPr="00B93205">
        <w:rPr>
          <w:rStyle w:val="FootnoteChar"/>
          <w:lang w:val="en-GB"/>
        </w:rPr>
        <w:t>annual_</w:t>
      </w:r>
      <w:r>
        <w:rPr>
          <w:rStyle w:val="FootnoteChar"/>
          <w:lang w:val="en-GB"/>
        </w:rPr>
        <w:t xml:space="preserve"> </w:t>
      </w:r>
      <w:r w:rsidR="00A3173F" w:rsidRPr="00B93205">
        <w:rPr>
          <w:rStyle w:val="FootnoteChar"/>
          <w:lang w:val="en-GB"/>
        </w:rPr>
        <w:t>reports/</w:t>
      </w:r>
      <w:r>
        <w:rPr>
          <w:rStyle w:val="FootnoteChar"/>
          <w:lang w:val="en-GB"/>
        </w:rPr>
        <w:t xml:space="preserve"> </w:t>
      </w:r>
      <w:r w:rsidR="00A3173F" w:rsidRPr="00B93205">
        <w:rPr>
          <w:rStyle w:val="FootnoteChar"/>
          <w:lang w:val="en-GB"/>
        </w:rPr>
        <w:t>2017-</w:t>
      </w:r>
      <w:r>
        <w:rPr>
          <w:rStyle w:val="FootnoteChar"/>
          <w:lang w:val="en-GB"/>
        </w:rPr>
        <w:t xml:space="preserve"> </w:t>
      </w:r>
      <w:r w:rsidR="00A3173F" w:rsidRPr="00B93205">
        <w:rPr>
          <w:rStyle w:val="FootnoteChar"/>
          <w:lang w:val="en-GB"/>
        </w:rPr>
        <w:t>annual-</w:t>
      </w:r>
      <w:r>
        <w:rPr>
          <w:rStyle w:val="FootnoteChar"/>
          <w:lang w:val="en-GB"/>
        </w:rPr>
        <w:t xml:space="preserve"> </w:t>
      </w:r>
      <w:r w:rsidR="00A3173F" w:rsidRPr="00B93205">
        <w:rPr>
          <w:rStyle w:val="FootnoteChar"/>
          <w:lang w:val="en-GB"/>
        </w:rPr>
        <w:t>review-en.pdf</w:t>
      </w:r>
      <w:r w:rsidR="00A3173F" w:rsidRPr="00B93205">
        <w:rPr>
          <w:sz w:val="16"/>
          <w:szCs w:val="16"/>
          <w:lang w:val="en-GB"/>
        </w:rPr>
        <w:t>.</w:t>
      </w:r>
    </w:p>
    <w:p w14:paraId="119DED43" w14:textId="2BBFC499" w:rsidR="00A3173F" w:rsidRPr="004B0031" w:rsidRDefault="00A3173F" w:rsidP="00A3173F">
      <w:pPr>
        <w:pStyle w:val="ExhibitText"/>
        <w:rPr>
          <w:sz w:val="16"/>
          <w:szCs w:val="18"/>
          <w:lang w:val="en-GB"/>
        </w:rPr>
      </w:pPr>
    </w:p>
    <w:p w14:paraId="76E5E77D" w14:textId="77777777" w:rsidR="00A3173F" w:rsidRPr="004B0031" w:rsidRDefault="00A3173F" w:rsidP="00A3173F">
      <w:pPr>
        <w:pStyle w:val="ExhibitText"/>
        <w:rPr>
          <w:sz w:val="16"/>
          <w:szCs w:val="18"/>
          <w:lang w:val="en-GB"/>
        </w:rPr>
      </w:pPr>
    </w:p>
    <w:p w14:paraId="2AC494EC" w14:textId="7103B5B6" w:rsidR="00A3173F" w:rsidRPr="00B93205" w:rsidRDefault="00A3173F" w:rsidP="00A3173F">
      <w:pPr>
        <w:pStyle w:val="ExhibitHeading"/>
        <w:rPr>
          <w:lang w:val="en-GB"/>
        </w:rPr>
      </w:pPr>
      <w:r w:rsidRPr="00B93205">
        <w:rPr>
          <w:lang w:val="en-GB"/>
        </w:rPr>
        <w:t>Exhibit 2: Nestl</w:t>
      </w:r>
      <w:r w:rsidR="00694D46" w:rsidRPr="00B93205">
        <w:rPr>
          <w:lang w:val="en-GB"/>
        </w:rPr>
        <w:t>é S.A.</w:t>
      </w:r>
      <w:r w:rsidRPr="00B93205">
        <w:rPr>
          <w:lang w:val="en-GB"/>
        </w:rPr>
        <w:t xml:space="preserve"> Summary Financials</w:t>
      </w:r>
      <w:r w:rsidR="00CE4822">
        <w:rPr>
          <w:lang w:val="en-GB"/>
        </w:rPr>
        <w:t>, 2016–2017</w:t>
      </w:r>
    </w:p>
    <w:p w14:paraId="29ED195F" w14:textId="77777777" w:rsidR="00A3173F" w:rsidRPr="004B0031" w:rsidRDefault="00A3173F" w:rsidP="00A3173F">
      <w:pPr>
        <w:pStyle w:val="ExhibitText"/>
        <w:rPr>
          <w:sz w:val="16"/>
          <w:szCs w:val="18"/>
          <w:lang w:val="en-GB"/>
        </w:rPr>
      </w:pPr>
    </w:p>
    <w:tbl>
      <w:tblPr>
        <w:tblStyle w:val="TableGrid"/>
        <w:tblW w:w="9397" w:type="dxa"/>
        <w:jc w:val="center"/>
        <w:tblLook w:val="04A0" w:firstRow="1" w:lastRow="0" w:firstColumn="1" w:lastColumn="0" w:noHBand="0" w:noVBand="1"/>
      </w:tblPr>
      <w:tblGrid>
        <w:gridCol w:w="2830"/>
        <w:gridCol w:w="3432"/>
        <w:gridCol w:w="3135"/>
      </w:tblGrid>
      <w:tr w:rsidR="00EC2C6A" w:rsidRPr="00B93205" w14:paraId="40831D00" w14:textId="77777777" w:rsidTr="0045637D">
        <w:trPr>
          <w:trHeight w:val="277"/>
          <w:jc w:val="center"/>
        </w:trPr>
        <w:tc>
          <w:tcPr>
            <w:tcW w:w="2830" w:type="dxa"/>
          </w:tcPr>
          <w:p w14:paraId="566CA845" w14:textId="77777777" w:rsidR="00EC2C6A" w:rsidRPr="00B93205" w:rsidRDefault="00EC2C6A" w:rsidP="00EC2C6A">
            <w:pPr>
              <w:pStyle w:val="ExhibitText"/>
              <w:rPr>
                <w:b/>
                <w:lang w:val="en-GB"/>
              </w:rPr>
            </w:pPr>
          </w:p>
        </w:tc>
        <w:tc>
          <w:tcPr>
            <w:tcW w:w="3432" w:type="dxa"/>
          </w:tcPr>
          <w:p w14:paraId="21803AB5" w14:textId="507CB20E" w:rsidR="00EC2C6A" w:rsidRPr="00B93205" w:rsidRDefault="00EC2C6A" w:rsidP="00CF3F16">
            <w:pPr>
              <w:pStyle w:val="ExhibitText"/>
              <w:jc w:val="center"/>
              <w:rPr>
                <w:b/>
                <w:lang w:val="en-GB"/>
              </w:rPr>
            </w:pPr>
            <w:r w:rsidRPr="00B93205">
              <w:rPr>
                <w:b/>
                <w:lang w:val="en-GB"/>
              </w:rPr>
              <w:t>2017</w:t>
            </w:r>
          </w:p>
        </w:tc>
        <w:tc>
          <w:tcPr>
            <w:tcW w:w="3135" w:type="dxa"/>
          </w:tcPr>
          <w:p w14:paraId="21367068" w14:textId="03E41BF5" w:rsidR="00EC2C6A" w:rsidRPr="00B93205" w:rsidRDefault="00EC2C6A" w:rsidP="00CF3F16">
            <w:pPr>
              <w:pStyle w:val="ExhibitText"/>
              <w:jc w:val="center"/>
              <w:rPr>
                <w:b/>
                <w:lang w:val="en-GB"/>
              </w:rPr>
            </w:pPr>
            <w:r w:rsidRPr="00B93205">
              <w:rPr>
                <w:b/>
                <w:lang w:val="en-GB"/>
              </w:rPr>
              <w:t>2016</w:t>
            </w:r>
          </w:p>
        </w:tc>
      </w:tr>
      <w:tr w:rsidR="00EC2C6A" w:rsidRPr="00B93205" w14:paraId="447BDA1D" w14:textId="77777777" w:rsidTr="0045637D">
        <w:trPr>
          <w:trHeight w:val="277"/>
          <w:jc w:val="center"/>
        </w:trPr>
        <w:tc>
          <w:tcPr>
            <w:tcW w:w="2830" w:type="dxa"/>
          </w:tcPr>
          <w:p w14:paraId="330B2443" w14:textId="30801927" w:rsidR="00EC2C6A" w:rsidRPr="00B93205" w:rsidRDefault="00EC2C6A" w:rsidP="00EC2C6A">
            <w:pPr>
              <w:pStyle w:val="ExhibitText"/>
              <w:rPr>
                <w:lang w:val="en-GB"/>
              </w:rPr>
            </w:pPr>
            <w:r w:rsidRPr="00B93205">
              <w:rPr>
                <w:lang w:val="en-GB"/>
              </w:rPr>
              <w:t xml:space="preserve">Revenues </w:t>
            </w:r>
          </w:p>
        </w:tc>
        <w:tc>
          <w:tcPr>
            <w:tcW w:w="3432" w:type="dxa"/>
          </w:tcPr>
          <w:p w14:paraId="4D7ADB5E" w14:textId="27CAB775" w:rsidR="00EC2C6A" w:rsidRPr="00B93205" w:rsidRDefault="00CF3F16" w:rsidP="00757D77">
            <w:pPr>
              <w:pStyle w:val="ExhibitText"/>
              <w:tabs>
                <w:tab w:val="decimal" w:pos="1556"/>
              </w:tabs>
              <w:rPr>
                <w:lang w:val="en-GB"/>
              </w:rPr>
            </w:pPr>
            <w:r w:rsidRPr="00B93205">
              <w:rPr>
                <w:lang w:val="en-GB"/>
              </w:rPr>
              <w:t>€</w:t>
            </w:r>
            <w:r w:rsidR="00EC2C6A" w:rsidRPr="00B93205">
              <w:rPr>
                <w:lang w:val="en-GB"/>
              </w:rPr>
              <w:t>77.60 billion</w:t>
            </w:r>
          </w:p>
        </w:tc>
        <w:tc>
          <w:tcPr>
            <w:tcW w:w="3135" w:type="dxa"/>
          </w:tcPr>
          <w:p w14:paraId="7D3E901B" w14:textId="59F61B56" w:rsidR="00EC2C6A" w:rsidRPr="00B93205" w:rsidRDefault="00CF3F16" w:rsidP="00757D77">
            <w:pPr>
              <w:pStyle w:val="ExhibitText"/>
              <w:tabs>
                <w:tab w:val="decimal" w:pos="1364"/>
              </w:tabs>
              <w:rPr>
                <w:lang w:val="en-GB"/>
              </w:rPr>
            </w:pPr>
            <w:r w:rsidRPr="00B93205">
              <w:rPr>
                <w:lang w:val="en-GB"/>
              </w:rPr>
              <w:t>€</w:t>
            </w:r>
            <w:r w:rsidR="00EC2C6A" w:rsidRPr="00B93205">
              <w:rPr>
                <w:lang w:val="en-GB"/>
              </w:rPr>
              <w:t>77.32 billion</w:t>
            </w:r>
          </w:p>
        </w:tc>
      </w:tr>
      <w:tr w:rsidR="00EC2C6A" w:rsidRPr="00B93205" w14:paraId="037A7127" w14:textId="77777777" w:rsidTr="0045637D">
        <w:trPr>
          <w:trHeight w:val="283"/>
          <w:jc w:val="center"/>
        </w:trPr>
        <w:tc>
          <w:tcPr>
            <w:tcW w:w="2830" w:type="dxa"/>
          </w:tcPr>
          <w:p w14:paraId="5E6B5D68" w14:textId="00114857" w:rsidR="00EC2C6A" w:rsidRPr="00B93205" w:rsidRDefault="00EC2C6A" w:rsidP="00EC2C6A">
            <w:pPr>
              <w:pStyle w:val="ExhibitText"/>
              <w:rPr>
                <w:lang w:val="en-GB"/>
              </w:rPr>
            </w:pPr>
            <w:r w:rsidRPr="00B93205">
              <w:rPr>
                <w:lang w:val="en-GB"/>
              </w:rPr>
              <w:t xml:space="preserve">Net Profit </w:t>
            </w:r>
          </w:p>
        </w:tc>
        <w:tc>
          <w:tcPr>
            <w:tcW w:w="3432" w:type="dxa"/>
          </w:tcPr>
          <w:p w14:paraId="57EB3493" w14:textId="5B22314D" w:rsidR="00EC2C6A" w:rsidRPr="00B93205" w:rsidRDefault="00CF3F16" w:rsidP="00757D77">
            <w:pPr>
              <w:pStyle w:val="ExhibitText"/>
              <w:tabs>
                <w:tab w:val="decimal" w:pos="1556"/>
              </w:tabs>
              <w:rPr>
                <w:lang w:val="en-GB"/>
              </w:rPr>
            </w:pPr>
            <w:r w:rsidRPr="00B93205">
              <w:rPr>
                <w:lang w:val="en-GB"/>
              </w:rPr>
              <w:t>€</w:t>
            </w:r>
            <w:r w:rsidR="00EC2C6A" w:rsidRPr="00B93205">
              <w:rPr>
                <w:lang w:val="en-GB"/>
              </w:rPr>
              <w:t>6.21 billion</w:t>
            </w:r>
          </w:p>
        </w:tc>
        <w:tc>
          <w:tcPr>
            <w:tcW w:w="3135" w:type="dxa"/>
          </w:tcPr>
          <w:p w14:paraId="754CC46A" w14:textId="5183A781" w:rsidR="00EC2C6A" w:rsidRPr="00B93205" w:rsidRDefault="00CF3F16" w:rsidP="00757D77">
            <w:pPr>
              <w:pStyle w:val="ExhibitText"/>
              <w:tabs>
                <w:tab w:val="decimal" w:pos="1364"/>
              </w:tabs>
              <w:rPr>
                <w:lang w:val="en-GB"/>
              </w:rPr>
            </w:pPr>
            <w:r w:rsidRPr="00B93205">
              <w:rPr>
                <w:lang w:val="en-GB"/>
              </w:rPr>
              <w:t>€</w:t>
            </w:r>
            <w:r w:rsidR="00EC2C6A" w:rsidRPr="00B93205">
              <w:rPr>
                <w:lang w:val="en-GB"/>
              </w:rPr>
              <w:t>7.37 billion</w:t>
            </w:r>
          </w:p>
        </w:tc>
      </w:tr>
      <w:tr w:rsidR="00EC2C6A" w:rsidRPr="00B93205" w14:paraId="546A68F4" w14:textId="77777777" w:rsidTr="0045637D">
        <w:trPr>
          <w:trHeight w:val="277"/>
          <w:jc w:val="center"/>
        </w:trPr>
        <w:tc>
          <w:tcPr>
            <w:tcW w:w="2830" w:type="dxa"/>
          </w:tcPr>
          <w:p w14:paraId="0B5387B7" w14:textId="3238F6A1" w:rsidR="00EC2C6A" w:rsidRPr="00B93205" w:rsidRDefault="00EC2C6A" w:rsidP="00EC2C6A">
            <w:pPr>
              <w:pStyle w:val="ExhibitText"/>
              <w:rPr>
                <w:lang w:val="en-GB"/>
              </w:rPr>
            </w:pPr>
            <w:r w:rsidRPr="00B93205">
              <w:rPr>
                <w:lang w:val="en-GB"/>
              </w:rPr>
              <w:t xml:space="preserve">Earnings per Share </w:t>
            </w:r>
          </w:p>
        </w:tc>
        <w:tc>
          <w:tcPr>
            <w:tcW w:w="3432" w:type="dxa"/>
          </w:tcPr>
          <w:p w14:paraId="1E8A20D8" w14:textId="733A3DF9" w:rsidR="00EC2C6A" w:rsidRPr="00B93205" w:rsidRDefault="00CE4822" w:rsidP="00757D77">
            <w:pPr>
              <w:pStyle w:val="ExhibitText"/>
              <w:tabs>
                <w:tab w:val="decimal" w:pos="1556"/>
              </w:tabs>
              <w:rPr>
                <w:lang w:val="en-GB"/>
              </w:rPr>
            </w:pPr>
            <w:r w:rsidRPr="00B93205">
              <w:rPr>
                <w:lang w:val="en-GB"/>
              </w:rPr>
              <w:t>€</w:t>
            </w:r>
            <w:r w:rsidR="00EC2C6A" w:rsidRPr="00B93205">
              <w:rPr>
                <w:lang w:val="en-GB"/>
              </w:rPr>
              <w:t>2.00</w:t>
            </w:r>
          </w:p>
        </w:tc>
        <w:tc>
          <w:tcPr>
            <w:tcW w:w="3135" w:type="dxa"/>
          </w:tcPr>
          <w:p w14:paraId="341ABC23" w14:textId="01673E89" w:rsidR="00EC2C6A" w:rsidRPr="00B93205" w:rsidRDefault="00CE4822" w:rsidP="00757D77">
            <w:pPr>
              <w:pStyle w:val="ExhibitText"/>
              <w:tabs>
                <w:tab w:val="decimal" w:pos="1364"/>
              </w:tabs>
              <w:rPr>
                <w:lang w:val="en-GB"/>
              </w:rPr>
            </w:pPr>
            <w:r w:rsidRPr="00B93205">
              <w:rPr>
                <w:lang w:val="en-GB"/>
              </w:rPr>
              <w:t>€</w:t>
            </w:r>
            <w:r w:rsidR="00EC2C6A" w:rsidRPr="00B93205">
              <w:rPr>
                <w:lang w:val="en-GB"/>
              </w:rPr>
              <w:t>2.39</w:t>
            </w:r>
          </w:p>
        </w:tc>
      </w:tr>
      <w:tr w:rsidR="00EC2C6A" w:rsidRPr="00B93205" w14:paraId="4DEAE48E" w14:textId="77777777" w:rsidTr="0045637D">
        <w:trPr>
          <w:trHeight w:val="277"/>
          <w:jc w:val="center"/>
        </w:trPr>
        <w:tc>
          <w:tcPr>
            <w:tcW w:w="2830" w:type="dxa"/>
          </w:tcPr>
          <w:p w14:paraId="11493195" w14:textId="490F1FBC" w:rsidR="00EC2C6A" w:rsidRPr="00B93205" w:rsidRDefault="00EC2C6A" w:rsidP="00EC2C6A">
            <w:pPr>
              <w:pStyle w:val="ExhibitText"/>
              <w:rPr>
                <w:lang w:val="en-GB"/>
              </w:rPr>
            </w:pPr>
            <w:r w:rsidRPr="00B93205">
              <w:rPr>
                <w:lang w:val="en-GB"/>
              </w:rPr>
              <w:t xml:space="preserve">Dividend per Share </w:t>
            </w:r>
          </w:p>
        </w:tc>
        <w:tc>
          <w:tcPr>
            <w:tcW w:w="3432" w:type="dxa"/>
          </w:tcPr>
          <w:p w14:paraId="3FFFEBE8" w14:textId="55DB744D" w:rsidR="00EC2C6A" w:rsidRPr="00B93205" w:rsidRDefault="00CE4822" w:rsidP="00757D77">
            <w:pPr>
              <w:pStyle w:val="ExhibitText"/>
              <w:tabs>
                <w:tab w:val="decimal" w:pos="1556"/>
              </w:tabs>
              <w:rPr>
                <w:lang w:val="en-GB"/>
              </w:rPr>
            </w:pPr>
            <w:r w:rsidRPr="00B93205">
              <w:rPr>
                <w:lang w:val="en-GB"/>
              </w:rPr>
              <w:t>€</w:t>
            </w:r>
            <w:r w:rsidR="00EC2C6A" w:rsidRPr="00B93205">
              <w:rPr>
                <w:lang w:val="en-GB"/>
              </w:rPr>
              <w:t>2.03</w:t>
            </w:r>
          </w:p>
        </w:tc>
        <w:tc>
          <w:tcPr>
            <w:tcW w:w="3135" w:type="dxa"/>
          </w:tcPr>
          <w:p w14:paraId="580A07C2" w14:textId="2483EF0F" w:rsidR="00EC2C6A" w:rsidRPr="00B93205" w:rsidRDefault="00CE4822" w:rsidP="00757D77">
            <w:pPr>
              <w:pStyle w:val="ExhibitText"/>
              <w:tabs>
                <w:tab w:val="decimal" w:pos="1364"/>
              </w:tabs>
              <w:rPr>
                <w:lang w:val="en-GB"/>
              </w:rPr>
            </w:pPr>
            <w:r w:rsidRPr="00B93205">
              <w:rPr>
                <w:lang w:val="en-GB"/>
              </w:rPr>
              <w:t>€</w:t>
            </w:r>
            <w:r w:rsidR="00EC2C6A" w:rsidRPr="00B93205">
              <w:rPr>
                <w:lang w:val="en-GB"/>
              </w:rPr>
              <w:t>1.99</w:t>
            </w:r>
          </w:p>
        </w:tc>
      </w:tr>
      <w:tr w:rsidR="00EC2C6A" w:rsidRPr="00B93205" w14:paraId="4977BABB" w14:textId="77777777" w:rsidTr="0045637D">
        <w:trPr>
          <w:trHeight w:val="249"/>
          <w:jc w:val="center"/>
        </w:trPr>
        <w:tc>
          <w:tcPr>
            <w:tcW w:w="2830" w:type="dxa"/>
          </w:tcPr>
          <w:p w14:paraId="474EEB29" w14:textId="29FA34B2" w:rsidR="00EC2C6A" w:rsidRPr="00B93205" w:rsidRDefault="00EC2C6A" w:rsidP="00EC2C6A">
            <w:pPr>
              <w:pStyle w:val="ExhibitText"/>
              <w:rPr>
                <w:lang w:val="en-GB"/>
              </w:rPr>
            </w:pPr>
            <w:r w:rsidRPr="00B93205">
              <w:rPr>
                <w:lang w:val="en-GB"/>
              </w:rPr>
              <w:t xml:space="preserve">Operating Cash Flow </w:t>
            </w:r>
          </w:p>
        </w:tc>
        <w:tc>
          <w:tcPr>
            <w:tcW w:w="3432" w:type="dxa"/>
          </w:tcPr>
          <w:p w14:paraId="39A059FD" w14:textId="03947152" w:rsidR="00EC2C6A" w:rsidRPr="00B93205" w:rsidRDefault="00CF3F16" w:rsidP="00757D77">
            <w:pPr>
              <w:pStyle w:val="ExhibitText"/>
              <w:tabs>
                <w:tab w:val="decimal" w:pos="1556"/>
              </w:tabs>
              <w:rPr>
                <w:lang w:val="en-GB"/>
              </w:rPr>
            </w:pPr>
            <w:r w:rsidRPr="00B93205">
              <w:rPr>
                <w:lang w:val="en-GB"/>
              </w:rPr>
              <w:t>€</w:t>
            </w:r>
            <w:r w:rsidR="00EC2C6A" w:rsidRPr="00B93205">
              <w:rPr>
                <w:lang w:val="en-GB"/>
              </w:rPr>
              <w:t>11.67 billion</w:t>
            </w:r>
          </w:p>
        </w:tc>
        <w:tc>
          <w:tcPr>
            <w:tcW w:w="3135" w:type="dxa"/>
          </w:tcPr>
          <w:p w14:paraId="57A90D6F" w14:textId="42BDE3F8" w:rsidR="00EC2C6A" w:rsidRPr="00B93205" w:rsidRDefault="00CF3F16" w:rsidP="00757D77">
            <w:pPr>
              <w:pStyle w:val="ExhibitText"/>
              <w:tabs>
                <w:tab w:val="decimal" w:pos="1364"/>
              </w:tabs>
              <w:rPr>
                <w:lang w:val="en-GB"/>
              </w:rPr>
            </w:pPr>
            <w:r w:rsidRPr="00B93205">
              <w:rPr>
                <w:lang w:val="en-GB"/>
              </w:rPr>
              <w:t>€</w:t>
            </w:r>
            <w:r w:rsidR="00EC2C6A" w:rsidRPr="00B93205">
              <w:rPr>
                <w:lang w:val="en-GB"/>
              </w:rPr>
              <w:t>13.48 billion</w:t>
            </w:r>
          </w:p>
        </w:tc>
      </w:tr>
      <w:tr w:rsidR="00EC2C6A" w:rsidRPr="00B93205" w14:paraId="1504F032" w14:textId="77777777" w:rsidTr="0045637D">
        <w:trPr>
          <w:trHeight w:val="277"/>
          <w:jc w:val="center"/>
        </w:trPr>
        <w:tc>
          <w:tcPr>
            <w:tcW w:w="2830" w:type="dxa"/>
          </w:tcPr>
          <w:p w14:paraId="114367E3" w14:textId="50948B28" w:rsidR="00EC2C6A" w:rsidRPr="00B93205" w:rsidRDefault="00EC2C6A" w:rsidP="00EC2C6A">
            <w:pPr>
              <w:pStyle w:val="ExhibitText"/>
              <w:rPr>
                <w:lang w:val="en-GB"/>
              </w:rPr>
            </w:pPr>
            <w:r w:rsidRPr="00B93205">
              <w:rPr>
                <w:lang w:val="en-GB"/>
              </w:rPr>
              <w:t xml:space="preserve">Net Financial Debt </w:t>
            </w:r>
          </w:p>
        </w:tc>
        <w:tc>
          <w:tcPr>
            <w:tcW w:w="3432" w:type="dxa"/>
          </w:tcPr>
          <w:p w14:paraId="61F51BAC" w14:textId="3E990304" w:rsidR="00EC2C6A" w:rsidRPr="00B93205" w:rsidRDefault="00CF3F16" w:rsidP="00757D77">
            <w:pPr>
              <w:pStyle w:val="ExhibitText"/>
              <w:tabs>
                <w:tab w:val="decimal" w:pos="1556"/>
              </w:tabs>
              <w:rPr>
                <w:lang w:val="en-GB"/>
              </w:rPr>
            </w:pPr>
            <w:r w:rsidRPr="00B93205">
              <w:rPr>
                <w:lang w:val="en-GB"/>
              </w:rPr>
              <w:t>€</w:t>
            </w:r>
            <w:r w:rsidR="00EC2C6A" w:rsidRPr="00B93205">
              <w:rPr>
                <w:lang w:val="en-GB"/>
              </w:rPr>
              <w:t>15.45 billion</w:t>
            </w:r>
          </w:p>
        </w:tc>
        <w:tc>
          <w:tcPr>
            <w:tcW w:w="3135" w:type="dxa"/>
          </w:tcPr>
          <w:p w14:paraId="133375C5" w14:textId="09DF6E59" w:rsidR="00EC2C6A" w:rsidRPr="00B93205" w:rsidRDefault="00CF3F16" w:rsidP="00757D77">
            <w:pPr>
              <w:pStyle w:val="ExhibitText"/>
              <w:tabs>
                <w:tab w:val="decimal" w:pos="1364"/>
              </w:tabs>
              <w:rPr>
                <w:lang w:val="en-GB"/>
              </w:rPr>
            </w:pPr>
            <w:r w:rsidRPr="00B93205">
              <w:rPr>
                <w:lang w:val="en-GB"/>
              </w:rPr>
              <w:t>€</w:t>
            </w:r>
            <w:r w:rsidR="00EC2C6A" w:rsidRPr="00B93205">
              <w:rPr>
                <w:lang w:val="en-GB"/>
              </w:rPr>
              <w:t>12.02 billion</w:t>
            </w:r>
          </w:p>
        </w:tc>
      </w:tr>
      <w:tr w:rsidR="00EC2C6A" w:rsidRPr="00B93205" w14:paraId="6F8A5FC8" w14:textId="77777777" w:rsidTr="0045637D">
        <w:trPr>
          <w:trHeight w:val="277"/>
          <w:jc w:val="center"/>
        </w:trPr>
        <w:tc>
          <w:tcPr>
            <w:tcW w:w="2830" w:type="dxa"/>
          </w:tcPr>
          <w:p w14:paraId="797F72CC" w14:textId="034C2B79" w:rsidR="00EC2C6A" w:rsidRPr="00B93205" w:rsidRDefault="00EC2C6A" w:rsidP="00EC2C6A">
            <w:pPr>
              <w:pStyle w:val="ExhibitText"/>
              <w:rPr>
                <w:lang w:val="en-GB"/>
              </w:rPr>
            </w:pPr>
            <w:r w:rsidRPr="00B93205">
              <w:rPr>
                <w:lang w:val="en-GB"/>
              </w:rPr>
              <w:t xml:space="preserve">Capital Expenditure </w:t>
            </w:r>
          </w:p>
        </w:tc>
        <w:tc>
          <w:tcPr>
            <w:tcW w:w="3432" w:type="dxa"/>
          </w:tcPr>
          <w:p w14:paraId="2963E4A3" w14:textId="09DACEDE" w:rsidR="00EC2C6A" w:rsidRPr="00B93205" w:rsidRDefault="00CF3F16" w:rsidP="00757D77">
            <w:pPr>
              <w:pStyle w:val="ExhibitText"/>
              <w:tabs>
                <w:tab w:val="decimal" w:pos="1556"/>
              </w:tabs>
              <w:rPr>
                <w:lang w:val="en-GB"/>
              </w:rPr>
            </w:pPr>
            <w:r w:rsidRPr="00B93205">
              <w:rPr>
                <w:lang w:val="en-GB"/>
              </w:rPr>
              <w:t>€</w:t>
            </w:r>
            <w:r w:rsidR="00EC2C6A" w:rsidRPr="00B93205">
              <w:rPr>
                <w:lang w:val="en-GB"/>
              </w:rPr>
              <w:t>3.40 billion</w:t>
            </w:r>
          </w:p>
        </w:tc>
        <w:tc>
          <w:tcPr>
            <w:tcW w:w="3135" w:type="dxa"/>
          </w:tcPr>
          <w:p w14:paraId="784703AC" w14:textId="5B990A39" w:rsidR="00EC2C6A" w:rsidRPr="00B93205" w:rsidRDefault="00CF3F16" w:rsidP="00757D77">
            <w:pPr>
              <w:pStyle w:val="ExhibitText"/>
              <w:tabs>
                <w:tab w:val="decimal" w:pos="1364"/>
              </w:tabs>
              <w:rPr>
                <w:lang w:val="en-GB"/>
              </w:rPr>
            </w:pPr>
            <w:r w:rsidRPr="00B93205">
              <w:rPr>
                <w:lang w:val="en-GB"/>
              </w:rPr>
              <w:t>€</w:t>
            </w:r>
            <w:r w:rsidR="00EC2C6A" w:rsidRPr="00B93205">
              <w:rPr>
                <w:lang w:val="en-GB"/>
              </w:rPr>
              <w:t>3.47 billion</w:t>
            </w:r>
          </w:p>
        </w:tc>
      </w:tr>
      <w:tr w:rsidR="00EC2C6A" w:rsidRPr="00B93205" w14:paraId="3B1BC47C" w14:textId="77777777" w:rsidTr="0045637D">
        <w:trPr>
          <w:trHeight w:val="283"/>
          <w:jc w:val="center"/>
        </w:trPr>
        <w:tc>
          <w:tcPr>
            <w:tcW w:w="2830" w:type="dxa"/>
          </w:tcPr>
          <w:p w14:paraId="2A895E90" w14:textId="0D5676EC" w:rsidR="00EC2C6A" w:rsidRPr="00B93205" w:rsidRDefault="00EC2C6A" w:rsidP="00EC2C6A">
            <w:pPr>
              <w:pStyle w:val="ExhibitText"/>
              <w:rPr>
                <w:lang w:val="en-GB"/>
              </w:rPr>
            </w:pPr>
            <w:r w:rsidRPr="00B93205">
              <w:rPr>
                <w:lang w:val="en-GB"/>
              </w:rPr>
              <w:t>Debt</w:t>
            </w:r>
            <w:r w:rsidR="00CE4822">
              <w:rPr>
                <w:lang w:val="en-GB"/>
              </w:rPr>
              <w:t>-</w:t>
            </w:r>
            <w:r w:rsidRPr="00B93205">
              <w:rPr>
                <w:lang w:val="en-GB"/>
              </w:rPr>
              <w:t>to</w:t>
            </w:r>
            <w:r w:rsidR="00CE4822">
              <w:rPr>
                <w:lang w:val="en-GB"/>
              </w:rPr>
              <w:t>-</w:t>
            </w:r>
            <w:r w:rsidRPr="00B93205">
              <w:rPr>
                <w:lang w:val="en-GB"/>
              </w:rPr>
              <w:t xml:space="preserve">Equity </w:t>
            </w:r>
            <w:r w:rsidR="00CE4822">
              <w:rPr>
                <w:lang w:val="en-GB"/>
              </w:rPr>
              <w:t>R</w:t>
            </w:r>
            <w:r w:rsidR="00CE4822">
              <w:t>atio</w:t>
            </w:r>
          </w:p>
        </w:tc>
        <w:tc>
          <w:tcPr>
            <w:tcW w:w="3432" w:type="dxa"/>
          </w:tcPr>
          <w:p w14:paraId="72FD8B28" w14:textId="75710858" w:rsidR="00EC2C6A" w:rsidRPr="00B93205" w:rsidRDefault="00EC2C6A" w:rsidP="00757D77">
            <w:pPr>
              <w:pStyle w:val="ExhibitText"/>
              <w:tabs>
                <w:tab w:val="decimal" w:pos="1556"/>
              </w:tabs>
              <w:rPr>
                <w:lang w:val="en-GB"/>
              </w:rPr>
            </w:pPr>
            <w:r w:rsidRPr="00B93205">
              <w:rPr>
                <w:lang w:val="en-GB"/>
              </w:rPr>
              <w:t>29.1%</w:t>
            </w:r>
          </w:p>
        </w:tc>
        <w:tc>
          <w:tcPr>
            <w:tcW w:w="3135" w:type="dxa"/>
          </w:tcPr>
          <w:p w14:paraId="03D07D5D" w14:textId="297B6321" w:rsidR="00EC2C6A" w:rsidRPr="00B93205" w:rsidRDefault="00EC2C6A" w:rsidP="00757D77">
            <w:pPr>
              <w:pStyle w:val="ExhibitText"/>
              <w:tabs>
                <w:tab w:val="decimal" w:pos="1364"/>
              </w:tabs>
              <w:rPr>
                <w:lang w:val="en-GB"/>
              </w:rPr>
            </w:pPr>
            <w:r w:rsidRPr="00B93205">
              <w:rPr>
                <w:lang w:val="en-GB"/>
              </w:rPr>
              <w:t>21.5%</w:t>
            </w:r>
          </w:p>
        </w:tc>
      </w:tr>
      <w:tr w:rsidR="00EC2C6A" w:rsidRPr="00B93205" w14:paraId="1CB23039" w14:textId="77777777" w:rsidTr="0045637D">
        <w:trPr>
          <w:trHeight w:val="194"/>
          <w:jc w:val="center"/>
        </w:trPr>
        <w:tc>
          <w:tcPr>
            <w:tcW w:w="9397" w:type="dxa"/>
            <w:gridSpan w:val="3"/>
          </w:tcPr>
          <w:p w14:paraId="1C0F941F" w14:textId="77777777" w:rsidR="00EC2C6A" w:rsidRPr="00B93205" w:rsidRDefault="00EC2C6A" w:rsidP="00EC2C6A">
            <w:pPr>
              <w:pStyle w:val="ExhibitText"/>
              <w:rPr>
                <w:lang w:val="en-GB"/>
              </w:rPr>
            </w:pPr>
          </w:p>
        </w:tc>
      </w:tr>
      <w:tr w:rsidR="00694D46" w:rsidRPr="00B93205" w14:paraId="019ADA8C" w14:textId="77777777" w:rsidTr="002752DF">
        <w:tblPrEx>
          <w:jc w:val="left"/>
        </w:tblPrEx>
        <w:trPr>
          <w:trHeight w:val="395"/>
        </w:trPr>
        <w:tc>
          <w:tcPr>
            <w:tcW w:w="9397" w:type="dxa"/>
            <w:gridSpan w:val="3"/>
          </w:tcPr>
          <w:p w14:paraId="06F45043" w14:textId="491CF3B5" w:rsidR="00694D46" w:rsidRPr="00B93205" w:rsidRDefault="00694D46" w:rsidP="00EC2C6A">
            <w:pPr>
              <w:pStyle w:val="ExhibitText"/>
              <w:rPr>
                <w:lang w:val="en-GB"/>
              </w:rPr>
            </w:pPr>
            <w:r w:rsidRPr="00B93205">
              <w:rPr>
                <w:lang w:val="en-GB"/>
              </w:rPr>
              <w:t xml:space="preserve">Nestlé S.A.’s price-to-earnings ratio (on July 20, 2018) was 29.29, compared </w:t>
            </w:r>
            <w:r w:rsidR="00CE4822">
              <w:rPr>
                <w:lang w:val="en-GB"/>
              </w:rPr>
              <w:t>w</w:t>
            </w:r>
            <w:r w:rsidR="00CE4822">
              <w:t>ith</w:t>
            </w:r>
            <w:r w:rsidR="00CE4822" w:rsidRPr="00B93205">
              <w:rPr>
                <w:lang w:val="en-GB"/>
              </w:rPr>
              <w:t xml:space="preserve"> </w:t>
            </w:r>
            <w:r w:rsidRPr="00B93205">
              <w:rPr>
                <w:lang w:val="en-GB"/>
              </w:rPr>
              <w:t>Danone S.A. at 19.01, Unilever at 21.79, Reckitt Benckiser Group plc at 14.45, and L’Oréal S.A. at 28.82.</w:t>
            </w:r>
          </w:p>
        </w:tc>
      </w:tr>
    </w:tbl>
    <w:p w14:paraId="1E96F8C8" w14:textId="77777777" w:rsidR="004B0031" w:rsidRPr="004B0031" w:rsidRDefault="004B0031" w:rsidP="00CE4822">
      <w:pPr>
        <w:pStyle w:val="ExhibitText"/>
        <w:rPr>
          <w:rStyle w:val="FootnoteChar"/>
          <w:sz w:val="16"/>
          <w:szCs w:val="18"/>
          <w:lang w:val="en-GB"/>
        </w:rPr>
      </w:pPr>
    </w:p>
    <w:p w14:paraId="57291E90" w14:textId="5E91E8A5" w:rsidR="00CE4822" w:rsidRDefault="00187B8D" w:rsidP="00CE4822">
      <w:pPr>
        <w:pStyle w:val="ExhibitText"/>
        <w:rPr>
          <w:rStyle w:val="FootnoteChar"/>
          <w:lang w:val="en-GB"/>
        </w:rPr>
      </w:pPr>
      <w:r>
        <w:rPr>
          <w:rStyle w:val="FootnoteChar"/>
          <w:lang w:val="en-GB"/>
        </w:rPr>
        <w:t>N</w:t>
      </w:r>
      <w:r w:rsidR="00CE4822">
        <w:rPr>
          <w:rStyle w:val="FootnoteChar"/>
          <w:lang w:val="en-GB"/>
        </w:rPr>
        <w:t xml:space="preserve">ote: € = </w:t>
      </w:r>
      <w:r w:rsidR="00CC763D">
        <w:rPr>
          <w:rStyle w:val="FootnoteChar"/>
          <w:lang w:val="en-GB"/>
        </w:rPr>
        <w:t xml:space="preserve">European </w:t>
      </w:r>
      <w:r w:rsidR="00CE4822">
        <w:rPr>
          <w:rStyle w:val="FootnoteChar"/>
          <w:lang w:val="en-GB"/>
        </w:rPr>
        <w:t>euro; €1 = US$1.11 on average in 2016; €1 = US$1.13 on average in 2017.</w:t>
      </w:r>
    </w:p>
    <w:p w14:paraId="1BA3BCE6" w14:textId="0D796717" w:rsidR="00A3173F" w:rsidRPr="00B93205" w:rsidRDefault="002752DF" w:rsidP="00A3173F">
      <w:pPr>
        <w:pStyle w:val="Footnote"/>
        <w:rPr>
          <w:lang w:val="en-GB"/>
        </w:rPr>
      </w:pPr>
      <w:r>
        <w:rPr>
          <w:lang w:val="en-GB"/>
        </w:rPr>
        <w:t>Source: </w:t>
      </w:r>
      <w:r w:rsidR="00A3173F" w:rsidRPr="00B93205">
        <w:rPr>
          <w:lang w:val="en-GB"/>
        </w:rPr>
        <w:t>Nestl</w:t>
      </w:r>
      <w:r w:rsidR="00CF3F16" w:rsidRPr="00B93205">
        <w:rPr>
          <w:lang w:val="en-GB"/>
        </w:rPr>
        <w:t>é</w:t>
      </w:r>
      <w:r>
        <w:rPr>
          <w:lang w:val="en-GB"/>
        </w:rPr>
        <w:t> </w:t>
      </w:r>
      <w:r w:rsidR="00A3173F" w:rsidRPr="00B93205">
        <w:rPr>
          <w:lang w:val="en-GB"/>
        </w:rPr>
        <w:t>S</w:t>
      </w:r>
      <w:r w:rsidR="00EC2C6A" w:rsidRPr="00B93205">
        <w:rPr>
          <w:lang w:val="en-GB"/>
        </w:rPr>
        <w:t>.</w:t>
      </w:r>
      <w:r w:rsidR="00A3173F" w:rsidRPr="00B93205">
        <w:rPr>
          <w:lang w:val="en-GB"/>
        </w:rPr>
        <w:t>A</w:t>
      </w:r>
      <w:r w:rsidR="00EC2C6A" w:rsidRPr="00B93205">
        <w:rPr>
          <w:lang w:val="en-GB"/>
        </w:rPr>
        <w:t>.</w:t>
      </w:r>
      <w:r w:rsidR="00A3173F" w:rsidRPr="00B93205">
        <w:rPr>
          <w:lang w:val="en-GB"/>
        </w:rPr>
        <w:t>,</w:t>
      </w:r>
      <w:r>
        <w:rPr>
          <w:lang w:val="en-GB"/>
        </w:rPr>
        <w:t> </w:t>
      </w:r>
      <w:r w:rsidR="00A3173F" w:rsidRPr="00B93205">
        <w:rPr>
          <w:i/>
          <w:lang w:val="en-GB"/>
        </w:rPr>
        <w:t>2017</w:t>
      </w:r>
      <w:r>
        <w:rPr>
          <w:i/>
          <w:lang w:val="en-GB"/>
        </w:rPr>
        <w:t> </w:t>
      </w:r>
      <w:r w:rsidR="00A3173F" w:rsidRPr="00B93205">
        <w:rPr>
          <w:i/>
          <w:lang w:val="en-GB"/>
        </w:rPr>
        <w:t>Annual</w:t>
      </w:r>
      <w:r>
        <w:rPr>
          <w:i/>
          <w:lang w:val="en-GB"/>
        </w:rPr>
        <w:t> </w:t>
      </w:r>
      <w:r w:rsidR="00A3173F" w:rsidRPr="00B93205">
        <w:rPr>
          <w:i/>
          <w:lang w:val="en-GB"/>
        </w:rPr>
        <w:t>Review</w:t>
      </w:r>
      <w:r w:rsidR="00A3173F" w:rsidRPr="00B93205">
        <w:rPr>
          <w:lang w:val="en-GB"/>
        </w:rPr>
        <w:t>,</w:t>
      </w:r>
      <w:r>
        <w:rPr>
          <w:lang w:val="en-GB"/>
        </w:rPr>
        <w:t> </w:t>
      </w:r>
      <w:r w:rsidR="00EC2C6A" w:rsidRPr="00B93205">
        <w:rPr>
          <w:lang w:val="en-GB"/>
        </w:rPr>
        <w:t>accessed</w:t>
      </w:r>
      <w:r>
        <w:rPr>
          <w:lang w:val="en-GB"/>
        </w:rPr>
        <w:t> </w:t>
      </w:r>
      <w:r w:rsidR="00EC2C6A" w:rsidRPr="00B93205">
        <w:rPr>
          <w:lang w:val="en-GB"/>
        </w:rPr>
        <w:t>July</w:t>
      </w:r>
      <w:r>
        <w:rPr>
          <w:lang w:val="en-GB"/>
        </w:rPr>
        <w:t> </w:t>
      </w:r>
      <w:r w:rsidR="00EC2C6A" w:rsidRPr="00B93205">
        <w:rPr>
          <w:lang w:val="en-GB"/>
        </w:rPr>
        <w:t>30,</w:t>
      </w:r>
      <w:r>
        <w:rPr>
          <w:lang w:val="en-GB"/>
        </w:rPr>
        <w:t> </w:t>
      </w:r>
      <w:r w:rsidR="00EC2C6A" w:rsidRPr="00B93205">
        <w:rPr>
          <w:lang w:val="en-GB"/>
        </w:rPr>
        <w:t>2018,</w:t>
      </w:r>
      <w:r>
        <w:rPr>
          <w:lang w:val="en-GB"/>
        </w:rPr>
        <w:t> </w:t>
      </w:r>
      <w:r w:rsidRPr="002752DF">
        <w:rPr>
          <w:lang w:val="en-GB"/>
        </w:rPr>
        <w:t>www.nestle.com/asset-library/</w:t>
      </w:r>
      <w:r>
        <w:rPr>
          <w:lang w:val="en-GB"/>
        </w:rPr>
        <w:t> </w:t>
      </w:r>
      <w:r w:rsidR="00A3173F" w:rsidRPr="00B93205">
        <w:rPr>
          <w:lang w:val="en-GB"/>
        </w:rPr>
        <w:t>documents/</w:t>
      </w:r>
      <w:r>
        <w:rPr>
          <w:lang w:val="en-GB"/>
        </w:rPr>
        <w:t> </w:t>
      </w:r>
      <w:r w:rsidR="00A3173F" w:rsidRPr="00B93205">
        <w:rPr>
          <w:lang w:val="en-GB"/>
        </w:rPr>
        <w:t>library/</w:t>
      </w:r>
      <w:r>
        <w:rPr>
          <w:lang w:val="en-GB"/>
        </w:rPr>
        <w:t xml:space="preserve"> </w:t>
      </w:r>
      <w:r w:rsidR="00A3173F" w:rsidRPr="00B93205">
        <w:rPr>
          <w:lang w:val="en-GB"/>
        </w:rPr>
        <w:t>documents/</w:t>
      </w:r>
      <w:r>
        <w:rPr>
          <w:lang w:val="en-GB"/>
        </w:rPr>
        <w:t xml:space="preserve"> </w:t>
      </w:r>
      <w:r w:rsidR="00A3173F" w:rsidRPr="00B93205">
        <w:rPr>
          <w:lang w:val="en-GB"/>
        </w:rPr>
        <w:t xml:space="preserve">annual_reports/2017-annual-review-en.pdf; </w:t>
      </w:r>
      <w:r w:rsidR="00EC2C6A" w:rsidRPr="00B93205">
        <w:rPr>
          <w:lang w:val="en-GB"/>
        </w:rPr>
        <w:t xml:space="preserve">“Nestle S.A.,” </w:t>
      </w:r>
      <w:r w:rsidR="00A3173F" w:rsidRPr="00B93205">
        <w:rPr>
          <w:lang w:val="en-GB"/>
        </w:rPr>
        <w:t>Yahoo! Finance</w:t>
      </w:r>
      <w:r w:rsidR="00EC2C6A" w:rsidRPr="00B93205">
        <w:rPr>
          <w:lang w:val="en-GB"/>
        </w:rPr>
        <w:t>, accessed July 30, 2018</w:t>
      </w:r>
      <w:r w:rsidR="00A3173F" w:rsidRPr="00B93205">
        <w:rPr>
          <w:lang w:val="en-GB"/>
        </w:rPr>
        <w:t>.</w:t>
      </w:r>
    </w:p>
    <w:p w14:paraId="01995D03" w14:textId="77777777" w:rsidR="00A3173F" w:rsidRPr="004B0031" w:rsidRDefault="00A3173F" w:rsidP="00A3173F">
      <w:pPr>
        <w:pStyle w:val="ExhibitText"/>
        <w:rPr>
          <w:sz w:val="16"/>
          <w:szCs w:val="18"/>
          <w:lang w:val="en-GB"/>
        </w:rPr>
      </w:pPr>
    </w:p>
    <w:p w14:paraId="0AD25CB6" w14:textId="77777777" w:rsidR="00A3173F" w:rsidRPr="004B0031" w:rsidRDefault="00A3173F" w:rsidP="00A3173F">
      <w:pPr>
        <w:pStyle w:val="ExhibitText"/>
        <w:rPr>
          <w:sz w:val="16"/>
          <w:szCs w:val="18"/>
          <w:lang w:val="en-GB"/>
        </w:rPr>
      </w:pPr>
    </w:p>
    <w:p w14:paraId="2C6EAFF1" w14:textId="083CA5B3" w:rsidR="00A3173F" w:rsidRPr="00B93205" w:rsidRDefault="00A3173F" w:rsidP="00A3173F">
      <w:pPr>
        <w:pStyle w:val="ExhibitHeading"/>
        <w:rPr>
          <w:lang w:val="en-GB"/>
        </w:rPr>
      </w:pPr>
      <w:r w:rsidRPr="00B93205">
        <w:rPr>
          <w:lang w:val="en-GB"/>
        </w:rPr>
        <w:t>Exhibit 3: Third Point’s Comparison of Nestl</w:t>
      </w:r>
      <w:r w:rsidR="00CF3F16" w:rsidRPr="00B93205">
        <w:rPr>
          <w:lang w:val="en-GB"/>
        </w:rPr>
        <w:t>é</w:t>
      </w:r>
      <w:r w:rsidRPr="00B93205">
        <w:rPr>
          <w:lang w:val="en-GB"/>
        </w:rPr>
        <w:t xml:space="preserve"> With Its Peers</w:t>
      </w:r>
      <w:r w:rsidR="00CF3F16" w:rsidRPr="00B93205">
        <w:rPr>
          <w:lang w:val="en-GB"/>
        </w:rPr>
        <w:t xml:space="preserve"> </w:t>
      </w:r>
      <w:r w:rsidR="00CF3F16" w:rsidRPr="00B93205">
        <w:rPr>
          <w:lang w:val="en-GB"/>
        </w:rPr>
        <w:br/>
      </w:r>
      <w:r w:rsidRPr="00B93205">
        <w:rPr>
          <w:lang w:val="en-GB"/>
        </w:rPr>
        <w:t>(Total Stockholder Returns</w:t>
      </w:r>
      <w:r w:rsidR="00CF3F16" w:rsidRPr="00B93205">
        <w:rPr>
          <w:lang w:val="en-GB"/>
        </w:rPr>
        <w:t>,</w:t>
      </w:r>
      <w:r w:rsidRPr="00B93205">
        <w:rPr>
          <w:lang w:val="en-GB"/>
        </w:rPr>
        <w:t xml:space="preserve"> in %)</w:t>
      </w:r>
    </w:p>
    <w:p w14:paraId="299BCE33" w14:textId="77777777" w:rsidR="00A3173F" w:rsidRPr="004B0031" w:rsidRDefault="00A3173F" w:rsidP="00A3173F">
      <w:pPr>
        <w:pStyle w:val="ExhibitText"/>
        <w:rPr>
          <w:sz w:val="16"/>
          <w:szCs w:val="18"/>
          <w:lang w:val="en-GB"/>
        </w:rPr>
      </w:pPr>
    </w:p>
    <w:tbl>
      <w:tblPr>
        <w:tblStyle w:val="TableGrid"/>
        <w:tblW w:w="0" w:type="auto"/>
        <w:jc w:val="center"/>
        <w:tblLook w:val="04A0" w:firstRow="1" w:lastRow="0" w:firstColumn="1" w:lastColumn="0" w:noHBand="0" w:noVBand="1"/>
      </w:tblPr>
      <w:tblGrid>
        <w:gridCol w:w="1696"/>
        <w:gridCol w:w="870"/>
        <w:gridCol w:w="1299"/>
        <w:gridCol w:w="906"/>
        <w:gridCol w:w="1074"/>
        <w:gridCol w:w="950"/>
        <w:gridCol w:w="1030"/>
      </w:tblGrid>
      <w:tr w:rsidR="00A3173F" w:rsidRPr="00B93205" w14:paraId="1788C7CA" w14:textId="77777777" w:rsidTr="0045637D">
        <w:trPr>
          <w:trHeight w:val="365"/>
          <w:jc w:val="center"/>
        </w:trPr>
        <w:tc>
          <w:tcPr>
            <w:tcW w:w="1696" w:type="dxa"/>
          </w:tcPr>
          <w:p w14:paraId="2D60891E" w14:textId="77777777" w:rsidR="00A3173F" w:rsidRPr="00B93205" w:rsidRDefault="00A3173F" w:rsidP="00A3173F">
            <w:pPr>
              <w:pStyle w:val="ExhibitText"/>
              <w:rPr>
                <w:b/>
                <w:lang w:val="en-GB"/>
              </w:rPr>
            </w:pPr>
            <w:r w:rsidRPr="00B93205">
              <w:rPr>
                <w:b/>
                <w:lang w:val="en-GB"/>
              </w:rPr>
              <w:t>Metric</w:t>
            </w:r>
          </w:p>
        </w:tc>
        <w:tc>
          <w:tcPr>
            <w:tcW w:w="870" w:type="dxa"/>
          </w:tcPr>
          <w:p w14:paraId="6B791232" w14:textId="7D0D0C57" w:rsidR="00A3173F" w:rsidRPr="00B93205" w:rsidRDefault="00A3173F" w:rsidP="00CF3F16">
            <w:pPr>
              <w:pStyle w:val="ExhibitText"/>
              <w:jc w:val="center"/>
              <w:rPr>
                <w:b/>
                <w:lang w:val="en-GB"/>
              </w:rPr>
            </w:pPr>
            <w:r w:rsidRPr="00B93205">
              <w:rPr>
                <w:b/>
                <w:lang w:val="en-GB"/>
              </w:rPr>
              <w:t>Nestl</w:t>
            </w:r>
            <w:r w:rsidR="00CF3F16" w:rsidRPr="00B93205">
              <w:rPr>
                <w:b/>
                <w:lang w:val="en-GB"/>
              </w:rPr>
              <w:t>é</w:t>
            </w:r>
            <w:r w:rsidR="00694D46" w:rsidRPr="00B93205">
              <w:rPr>
                <w:b/>
                <w:lang w:val="en-GB"/>
              </w:rPr>
              <w:t xml:space="preserve"> S.A.</w:t>
            </w:r>
          </w:p>
        </w:tc>
        <w:tc>
          <w:tcPr>
            <w:tcW w:w="1299" w:type="dxa"/>
          </w:tcPr>
          <w:p w14:paraId="1EBC0140" w14:textId="44B020A3" w:rsidR="00A3173F" w:rsidRPr="00B93205" w:rsidRDefault="00A3173F" w:rsidP="00CF3F16">
            <w:pPr>
              <w:pStyle w:val="ExhibitText"/>
              <w:jc w:val="center"/>
              <w:rPr>
                <w:b/>
                <w:lang w:val="en-GB"/>
              </w:rPr>
            </w:pPr>
            <w:r w:rsidRPr="00B93205">
              <w:rPr>
                <w:b/>
                <w:lang w:val="en-GB"/>
              </w:rPr>
              <w:t>Reckitt Benckiser</w:t>
            </w:r>
            <w:r w:rsidR="00694D46" w:rsidRPr="00B93205">
              <w:rPr>
                <w:b/>
                <w:lang w:val="en-GB"/>
              </w:rPr>
              <w:t xml:space="preserve"> Group plc</w:t>
            </w:r>
          </w:p>
        </w:tc>
        <w:tc>
          <w:tcPr>
            <w:tcW w:w="906" w:type="dxa"/>
          </w:tcPr>
          <w:p w14:paraId="2D88BC1C" w14:textId="196A9041" w:rsidR="00A3173F" w:rsidRPr="00B93205" w:rsidRDefault="00A3173F" w:rsidP="00CF3F16">
            <w:pPr>
              <w:pStyle w:val="ExhibitText"/>
              <w:jc w:val="center"/>
              <w:rPr>
                <w:b/>
                <w:lang w:val="en-GB"/>
              </w:rPr>
            </w:pPr>
            <w:r w:rsidRPr="00B93205">
              <w:rPr>
                <w:b/>
                <w:lang w:val="en-GB"/>
              </w:rPr>
              <w:t>L’Oréal</w:t>
            </w:r>
            <w:r w:rsidR="00694D46" w:rsidRPr="00B93205">
              <w:rPr>
                <w:b/>
                <w:lang w:val="en-GB"/>
              </w:rPr>
              <w:t xml:space="preserve"> S.A.</w:t>
            </w:r>
          </w:p>
        </w:tc>
        <w:tc>
          <w:tcPr>
            <w:tcW w:w="1074" w:type="dxa"/>
          </w:tcPr>
          <w:p w14:paraId="71A53910" w14:textId="77777777" w:rsidR="00A3173F" w:rsidRPr="00B93205" w:rsidRDefault="00A3173F" w:rsidP="00CF3F16">
            <w:pPr>
              <w:pStyle w:val="ExhibitText"/>
              <w:jc w:val="center"/>
              <w:rPr>
                <w:b/>
                <w:lang w:val="en-GB"/>
              </w:rPr>
            </w:pPr>
            <w:r w:rsidRPr="00B93205">
              <w:rPr>
                <w:b/>
                <w:lang w:val="en-GB"/>
              </w:rPr>
              <w:t>Unilever</w:t>
            </w:r>
          </w:p>
        </w:tc>
        <w:tc>
          <w:tcPr>
            <w:tcW w:w="950" w:type="dxa"/>
          </w:tcPr>
          <w:p w14:paraId="6A8B122C" w14:textId="12FD0857" w:rsidR="00A3173F" w:rsidRPr="00B93205" w:rsidRDefault="00A3173F" w:rsidP="00CF3F16">
            <w:pPr>
              <w:pStyle w:val="ExhibitText"/>
              <w:jc w:val="center"/>
              <w:rPr>
                <w:b/>
                <w:lang w:val="en-GB"/>
              </w:rPr>
            </w:pPr>
            <w:r w:rsidRPr="00B93205">
              <w:rPr>
                <w:b/>
                <w:lang w:val="en-GB"/>
              </w:rPr>
              <w:t>Danone</w:t>
            </w:r>
            <w:r w:rsidR="00694D46" w:rsidRPr="00B93205">
              <w:rPr>
                <w:b/>
                <w:lang w:val="en-GB"/>
              </w:rPr>
              <w:t xml:space="preserve"> S.A.</w:t>
            </w:r>
          </w:p>
        </w:tc>
        <w:tc>
          <w:tcPr>
            <w:tcW w:w="1030" w:type="dxa"/>
          </w:tcPr>
          <w:p w14:paraId="74450975" w14:textId="5604E3E5" w:rsidR="00A3173F" w:rsidRPr="00B93205" w:rsidRDefault="00A3173F" w:rsidP="00CF3F16">
            <w:pPr>
              <w:pStyle w:val="ExhibitText"/>
              <w:jc w:val="center"/>
              <w:rPr>
                <w:b/>
                <w:lang w:val="en-GB"/>
              </w:rPr>
            </w:pPr>
            <w:r w:rsidRPr="00B93205">
              <w:rPr>
                <w:b/>
                <w:lang w:val="en-GB"/>
              </w:rPr>
              <w:t>US Staples</w:t>
            </w:r>
          </w:p>
        </w:tc>
      </w:tr>
      <w:tr w:rsidR="00A3173F" w:rsidRPr="00B93205" w14:paraId="23B3770B" w14:textId="77777777" w:rsidTr="0045637D">
        <w:trPr>
          <w:trHeight w:val="229"/>
          <w:jc w:val="center"/>
        </w:trPr>
        <w:tc>
          <w:tcPr>
            <w:tcW w:w="1696" w:type="dxa"/>
          </w:tcPr>
          <w:p w14:paraId="756554A4" w14:textId="77777777" w:rsidR="00A3173F" w:rsidRPr="00B93205" w:rsidRDefault="00A3173F" w:rsidP="00A3173F">
            <w:pPr>
              <w:pStyle w:val="ExhibitText"/>
              <w:rPr>
                <w:lang w:val="en-GB"/>
              </w:rPr>
            </w:pPr>
            <w:r w:rsidRPr="00B93205">
              <w:rPr>
                <w:lang w:val="en-GB"/>
              </w:rPr>
              <w:t>10-year TSR</w:t>
            </w:r>
          </w:p>
        </w:tc>
        <w:tc>
          <w:tcPr>
            <w:tcW w:w="870" w:type="dxa"/>
          </w:tcPr>
          <w:p w14:paraId="4B6D03A0" w14:textId="77777777" w:rsidR="00A3173F" w:rsidRPr="00B93205" w:rsidRDefault="00A3173F" w:rsidP="00757D77">
            <w:pPr>
              <w:pStyle w:val="ExhibitText"/>
              <w:tabs>
                <w:tab w:val="decimal" w:pos="442"/>
              </w:tabs>
              <w:jc w:val="center"/>
              <w:rPr>
                <w:lang w:val="en-GB"/>
              </w:rPr>
            </w:pPr>
            <w:r w:rsidRPr="00B93205">
              <w:rPr>
                <w:lang w:val="en-GB"/>
              </w:rPr>
              <w:t>149</w:t>
            </w:r>
          </w:p>
        </w:tc>
        <w:tc>
          <w:tcPr>
            <w:tcW w:w="1299" w:type="dxa"/>
          </w:tcPr>
          <w:p w14:paraId="3030E845" w14:textId="77777777" w:rsidR="00A3173F" w:rsidRPr="00B93205" w:rsidRDefault="00A3173F" w:rsidP="00757D77">
            <w:pPr>
              <w:pStyle w:val="ExhibitText"/>
              <w:tabs>
                <w:tab w:val="decimal" w:pos="740"/>
              </w:tabs>
              <w:rPr>
                <w:lang w:val="en-GB"/>
              </w:rPr>
            </w:pPr>
            <w:r w:rsidRPr="00B93205">
              <w:rPr>
                <w:lang w:val="en-GB"/>
              </w:rPr>
              <w:t>291</w:t>
            </w:r>
          </w:p>
        </w:tc>
        <w:tc>
          <w:tcPr>
            <w:tcW w:w="906" w:type="dxa"/>
          </w:tcPr>
          <w:p w14:paraId="5F4B5C0E" w14:textId="77777777" w:rsidR="00A3173F" w:rsidRPr="00B93205" w:rsidRDefault="00A3173F" w:rsidP="00757D77">
            <w:pPr>
              <w:pStyle w:val="ExhibitText"/>
              <w:tabs>
                <w:tab w:val="decimal" w:pos="434"/>
              </w:tabs>
              <w:jc w:val="center"/>
              <w:rPr>
                <w:lang w:val="en-GB"/>
              </w:rPr>
            </w:pPr>
            <w:r w:rsidRPr="00B93205">
              <w:rPr>
                <w:lang w:val="en-GB"/>
              </w:rPr>
              <w:t>165</w:t>
            </w:r>
          </w:p>
        </w:tc>
        <w:tc>
          <w:tcPr>
            <w:tcW w:w="1074" w:type="dxa"/>
          </w:tcPr>
          <w:p w14:paraId="69177FBE" w14:textId="77777777" w:rsidR="00A3173F" w:rsidRPr="00B93205" w:rsidRDefault="00A3173F" w:rsidP="00757D77">
            <w:pPr>
              <w:pStyle w:val="ExhibitText"/>
              <w:tabs>
                <w:tab w:val="decimal" w:pos="602"/>
              </w:tabs>
              <w:rPr>
                <w:lang w:val="en-GB"/>
              </w:rPr>
            </w:pPr>
            <w:r w:rsidRPr="00B93205">
              <w:rPr>
                <w:lang w:val="en-GB"/>
              </w:rPr>
              <w:t>215</w:t>
            </w:r>
          </w:p>
        </w:tc>
        <w:tc>
          <w:tcPr>
            <w:tcW w:w="950" w:type="dxa"/>
          </w:tcPr>
          <w:p w14:paraId="458C8320" w14:textId="77777777" w:rsidR="00A3173F" w:rsidRPr="00B93205" w:rsidRDefault="00A3173F" w:rsidP="00CF3F16">
            <w:pPr>
              <w:pStyle w:val="ExhibitText"/>
              <w:jc w:val="center"/>
              <w:rPr>
                <w:lang w:val="en-GB"/>
              </w:rPr>
            </w:pPr>
            <w:r w:rsidRPr="00B93205">
              <w:rPr>
                <w:lang w:val="en-GB"/>
              </w:rPr>
              <w:t>61</w:t>
            </w:r>
          </w:p>
        </w:tc>
        <w:tc>
          <w:tcPr>
            <w:tcW w:w="1030" w:type="dxa"/>
          </w:tcPr>
          <w:p w14:paraId="3A8F3A11" w14:textId="77777777" w:rsidR="00A3173F" w:rsidRPr="00B93205" w:rsidRDefault="00A3173F" w:rsidP="00757D77">
            <w:pPr>
              <w:pStyle w:val="ExhibitText"/>
              <w:tabs>
                <w:tab w:val="decimal" w:pos="558"/>
              </w:tabs>
              <w:rPr>
                <w:lang w:val="en-GB"/>
              </w:rPr>
            </w:pPr>
            <w:r w:rsidRPr="00B93205">
              <w:rPr>
                <w:lang w:val="en-GB"/>
              </w:rPr>
              <w:t>168</w:t>
            </w:r>
          </w:p>
        </w:tc>
      </w:tr>
      <w:tr w:rsidR="00A3173F" w:rsidRPr="00B93205" w14:paraId="47D8F391" w14:textId="77777777" w:rsidTr="0045637D">
        <w:trPr>
          <w:trHeight w:val="173"/>
          <w:jc w:val="center"/>
        </w:trPr>
        <w:tc>
          <w:tcPr>
            <w:tcW w:w="1696" w:type="dxa"/>
          </w:tcPr>
          <w:p w14:paraId="36EAA4CF" w14:textId="0D3D6868" w:rsidR="00A3173F" w:rsidRPr="00B93205" w:rsidRDefault="00694D46" w:rsidP="00A3173F">
            <w:pPr>
              <w:pStyle w:val="ExhibitText"/>
              <w:rPr>
                <w:lang w:val="en-GB"/>
              </w:rPr>
            </w:pPr>
            <w:r w:rsidRPr="00B93205">
              <w:rPr>
                <w:lang w:val="en-GB"/>
              </w:rPr>
              <w:t>Five</w:t>
            </w:r>
            <w:r w:rsidR="00CF3F16" w:rsidRPr="00B93205">
              <w:rPr>
                <w:lang w:val="en-GB"/>
              </w:rPr>
              <w:t>-</w:t>
            </w:r>
            <w:r w:rsidR="00A3173F" w:rsidRPr="00B93205">
              <w:rPr>
                <w:lang w:val="en-GB"/>
              </w:rPr>
              <w:t>Year TSR</w:t>
            </w:r>
          </w:p>
        </w:tc>
        <w:tc>
          <w:tcPr>
            <w:tcW w:w="870" w:type="dxa"/>
          </w:tcPr>
          <w:p w14:paraId="62C15B6F" w14:textId="77777777" w:rsidR="00A3173F" w:rsidRPr="00B93205" w:rsidRDefault="00A3173F" w:rsidP="00757D77">
            <w:pPr>
              <w:pStyle w:val="ExhibitText"/>
              <w:tabs>
                <w:tab w:val="decimal" w:pos="442"/>
              </w:tabs>
              <w:jc w:val="center"/>
              <w:rPr>
                <w:lang w:val="en-GB"/>
              </w:rPr>
            </w:pPr>
            <w:r w:rsidRPr="00B93205">
              <w:rPr>
                <w:lang w:val="en-GB"/>
              </w:rPr>
              <w:t>72</w:t>
            </w:r>
          </w:p>
        </w:tc>
        <w:tc>
          <w:tcPr>
            <w:tcW w:w="1299" w:type="dxa"/>
          </w:tcPr>
          <w:p w14:paraId="2EDDA10B" w14:textId="77777777" w:rsidR="00A3173F" w:rsidRPr="00B93205" w:rsidRDefault="00A3173F" w:rsidP="00757D77">
            <w:pPr>
              <w:pStyle w:val="ExhibitText"/>
              <w:tabs>
                <w:tab w:val="decimal" w:pos="740"/>
              </w:tabs>
              <w:rPr>
                <w:lang w:val="en-GB"/>
              </w:rPr>
            </w:pPr>
            <w:r w:rsidRPr="00B93205">
              <w:rPr>
                <w:lang w:val="en-GB"/>
              </w:rPr>
              <w:t>166</w:t>
            </w:r>
          </w:p>
        </w:tc>
        <w:tc>
          <w:tcPr>
            <w:tcW w:w="906" w:type="dxa"/>
          </w:tcPr>
          <w:p w14:paraId="0777F62C" w14:textId="77777777" w:rsidR="00A3173F" w:rsidRPr="00B93205" w:rsidRDefault="00A3173F" w:rsidP="00757D77">
            <w:pPr>
              <w:pStyle w:val="ExhibitText"/>
              <w:tabs>
                <w:tab w:val="decimal" w:pos="434"/>
              </w:tabs>
              <w:jc w:val="center"/>
              <w:rPr>
                <w:lang w:val="en-GB"/>
              </w:rPr>
            </w:pPr>
            <w:r w:rsidRPr="00B93205">
              <w:rPr>
                <w:lang w:val="en-GB"/>
              </w:rPr>
              <w:t>132</w:t>
            </w:r>
          </w:p>
        </w:tc>
        <w:tc>
          <w:tcPr>
            <w:tcW w:w="1074" w:type="dxa"/>
          </w:tcPr>
          <w:p w14:paraId="202B9AED" w14:textId="77777777" w:rsidR="00A3173F" w:rsidRPr="00B93205" w:rsidRDefault="00A3173F" w:rsidP="00757D77">
            <w:pPr>
              <w:pStyle w:val="ExhibitText"/>
              <w:tabs>
                <w:tab w:val="decimal" w:pos="602"/>
              </w:tabs>
              <w:rPr>
                <w:lang w:val="en-GB"/>
              </w:rPr>
            </w:pPr>
            <w:r w:rsidRPr="00B93205">
              <w:rPr>
                <w:lang w:val="en-GB"/>
              </w:rPr>
              <w:t>130</w:t>
            </w:r>
          </w:p>
        </w:tc>
        <w:tc>
          <w:tcPr>
            <w:tcW w:w="950" w:type="dxa"/>
          </w:tcPr>
          <w:p w14:paraId="43E33EA1" w14:textId="77777777" w:rsidR="00A3173F" w:rsidRPr="00B93205" w:rsidRDefault="00A3173F" w:rsidP="00CF3F16">
            <w:pPr>
              <w:pStyle w:val="ExhibitText"/>
              <w:jc w:val="center"/>
              <w:rPr>
                <w:lang w:val="en-GB"/>
              </w:rPr>
            </w:pPr>
            <w:r w:rsidRPr="00B93205">
              <w:rPr>
                <w:lang w:val="en-GB"/>
              </w:rPr>
              <w:t>61</w:t>
            </w:r>
          </w:p>
        </w:tc>
        <w:tc>
          <w:tcPr>
            <w:tcW w:w="1030" w:type="dxa"/>
          </w:tcPr>
          <w:p w14:paraId="7FE679BB" w14:textId="77777777" w:rsidR="00A3173F" w:rsidRPr="00B93205" w:rsidRDefault="00A3173F" w:rsidP="00757D77">
            <w:pPr>
              <w:pStyle w:val="ExhibitText"/>
              <w:tabs>
                <w:tab w:val="decimal" w:pos="558"/>
              </w:tabs>
              <w:rPr>
                <w:lang w:val="en-GB"/>
              </w:rPr>
            </w:pPr>
            <w:r w:rsidRPr="00B93205">
              <w:rPr>
                <w:lang w:val="en-GB"/>
              </w:rPr>
              <w:t>87</w:t>
            </w:r>
          </w:p>
        </w:tc>
      </w:tr>
      <w:tr w:rsidR="00A3173F" w:rsidRPr="00B93205" w14:paraId="40F71546" w14:textId="77777777" w:rsidTr="0045637D">
        <w:trPr>
          <w:trHeight w:val="182"/>
          <w:jc w:val="center"/>
        </w:trPr>
        <w:tc>
          <w:tcPr>
            <w:tcW w:w="1696" w:type="dxa"/>
          </w:tcPr>
          <w:p w14:paraId="6904EC99" w14:textId="7A87B315" w:rsidR="00A3173F" w:rsidRPr="00B93205" w:rsidRDefault="0026112D" w:rsidP="00A3173F">
            <w:pPr>
              <w:pStyle w:val="ExhibitText"/>
              <w:rPr>
                <w:lang w:val="en-GB"/>
              </w:rPr>
            </w:pPr>
            <w:r w:rsidRPr="00B93205">
              <w:rPr>
                <w:lang w:val="en-GB"/>
              </w:rPr>
              <w:t>Three</w:t>
            </w:r>
            <w:r w:rsidR="00CF3F16" w:rsidRPr="00B93205">
              <w:rPr>
                <w:lang w:val="en-GB"/>
              </w:rPr>
              <w:t>-</w:t>
            </w:r>
            <w:r w:rsidR="00A3173F" w:rsidRPr="00B93205">
              <w:rPr>
                <w:lang w:val="en-GB"/>
              </w:rPr>
              <w:t>Year TSR</w:t>
            </w:r>
          </w:p>
        </w:tc>
        <w:tc>
          <w:tcPr>
            <w:tcW w:w="870" w:type="dxa"/>
          </w:tcPr>
          <w:p w14:paraId="7CF58B23" w14:textId="77777777" w:rsidR="00A3173F" w:rsidRPr="00B93205" w:rsidRDefault="00A3173F" w:rsidP="00757D77">
            <w:pPr>
              <w:pStyle w:val="ExhibitText"/>
              <w:tabs>
                <w:tab w:val="decimal" w:pos="442"/>
              </w:tabs>
              <w:jc w:val="center"/>
              <w:rPr>
                <w:lang w:val="en-GB"/>
              </w:rPr>
            </w:pPr>
            <w:r w:rsidRPr="00B93205">
              <w:rPr>
                <w:lang w:val="en-GB"/>
              </w:rPr>
              <w:t>28</w:t>
            </w:r>
          </w:p>
        </w:tc>
        <w:tc>
          <w:tcPr>
            <w:tcW w:w="1299" w:type="dxa"/>
          </w:tcPr>
          <w:p w14:paraId="72E7AA95" w14:textId="77777777" w:rsidR="00A3173F" w:rsidRPr="00B93205" w:rsidRDefault="00A3173F" w:rsidP="00757D77">
            <w:pPr>
              <w:pStyle w:val="ExhibitText"/>
              <w:tabs>
                <w:tab w:val="decimal" w:pos="740"/>
              </w:tabs>
              <w:rPr>
                <w:lang w:val="en-GB"/>
              </w:rPr>
            </w:pPr>
            <w:r w:rsidRPr="00B93205">
              <w:rPr>
                <w:lang w:val="en-GB"/>
              </w:rPr>
              <w:t>65</w:t>
            </w:r>
          </w:p>
        </w:tc>
        <w:tc>
          <w:tcPr>
            <w:tcW w:w="906" w:type="dxa"/>
          </w:tcPr>
          <w:p w14:paraId="3C88137C" w14:textId="77777777" w:rsidR="00A3173F" w:rsidRPr="00B93205" w:rsidRDefault="00A3173F" w:rsidP="00757D77">
            <w:pPr>
              <w:pStyle w:val="ExhibitText"/>
              <w:tabs>
                <w:tab w:val="decimal" w:pos="434"/>
              </w:tabs>
              <w:jc w:val="center"/>
              <w:rPr>
                <w:lang w:val="en-GB"/>
              </w:rPr>
            </w:pPr>
            <w:r w:rsidRPr="00B93205">
              <w:rPr>
                <w:lang w:val="en-GB"/>
              </w:rPr>
              <w:t>55</w:t>
            </w:r>
          </w:p>
        </w:tc>
        <w:tc>
          <w:tcPr>
            <w:tcW w:w="1074" w:type="dxa"/>
          </w:tcPr>
          <w:p w14:paraId="4B60518A" w14:textId="77777777" w:rsidR="00A3173F" w:rsidRPr="00B93205" w:rsidRDefault="00A3173F" w:rsidP="00757D77">
            <w:pPr>
              <w:pStyle w:val="ExhibitText"/>
              <w:tabs>
                <w:tab w:val="decimal" w:pos="602"/>
              </w:tabs>
              <w:rPr>
                <w:lang w:val="en-GB"/>
              </w:rPr>
            </w:pPr>
            <w:r w:rsidRPr="00B93205">
              <w:rPr>
                <w:lang w:val="en-GB"/>
              </w:rPr>
              <w:t>69</w:t>
            </w:r>
          </w:p>
        </w:tc>
        <w:tc>
          <w:tcPr>
            <w:tcW w:w="950" w:type="dxa"/>
          </w:tcPr>
          <w:p w14:paraId="4924FEA3" w14:textId="77777777" w:rsidR="00A3173F" w:rsidRPr="00B93205" w:rsidRDefault="00A3173F" w:rsidP="00CF3F16">
            <w:pPr>
              <w:pStyle w:val="ExhibitText"/>
              <w:jc w:val="center"/>
              <w:rPr>
                <w:lang w:val="en-GB"/>
              </w:rPr>
            </w:pPr>
            <w:r w:rsidRPr="00B93205">
              <w:rPr>
                <w:lang w:val="en-GB"/>
              </w:rPr>
              <w:t>34</w:t>
            </w:r>
          </w:p>
        </w:tc>
        <w:tc>
          <w:tcPr>
            <w:tcW w:w="1030" w:type="dxa"/>
          </w:tcPr>
          <w:p w14:paraId="2B499573" w14:textId="77777777" w:rsidR="00A3173F" w:rsidRPr="00B93205" w:rsidRDefault="00A3173F" w:rsidP="00757D77">
            <w:pPr>
              <w:pStyle w:val="ExhibitText"/>
              <w:tabs>
                <w:tab w:val="decimal" w:pos="558"/>
              </w:tabs>
              <w:rPr>
                <w:lang w:val="en-GB"/>
              </w:rPr>
            </w:pPr>
            <w:r w:rsidRPr="00B93205">
              <w:rPr>
                <w:lang w:val="en-GB"/>
              </w:rPr>
              <w:t>34</w:t>
            </w:r>
          </w:p>
        </w:tc>
      </w:tr>
      <w:tr w:rsidR="00A3173F" w:rsidRPr="00B93205" w14:paraId="20F9F8BA" w14:textId="77777777" w:rsidTr="0045637D">
        <w:trPr>
          <w:trHeight w:val="182"/>
          <w:jc w:val="center"/>
        </w:trPr>
        <w:tc>
          <w:tcPr>
            <w:tcW w:w="1696" w:type="dxa"/>
          </w:tcPr>
          <w:p w14:paraId="61F7F69E" w14:textId="63FB28B8" w:rsidR="00A3173F" w:rsidRPr="00B93205" w:rsidRDefault="0026112D" w:rsidP="00A3173F">
            <w:pPr>
              <w:pStyle w:val="ExhibitText"/>
              <w:rPr>
                <w:lang w:val="en-GB"/>
              </w:rPr>
            </w:pPr>
            <w:r w:rsidRPr="00B93205">
              <w:rPr>
                <w:lang w:val="en-GB"/>
              </w:rPr>
              <w:t>One</w:t>
            </w:r>
            <w:r w:rsidR="00CF3F16" w:rsidRPr="00B93205">
              <w:rPr>
                <w:lang w:val="en-GB"/>
              </w:rPr>
              <w:t>-</w:t>
            </w:r>
            <w:r w:rsidR="00A3173F" w:rsidRPr="00B93205">
              <w:rPr>
                <w:lang w:val="en-GB"/>
              </w:rPr>
              <w:t>Year TSR</w:t>
            </w:r>
          </w:p>
        </w:tc>
        <w:tc>
          <w:tcPr>
            <w:tcW w:w="870" w:type="dxa"/>
          </w:tcPr>
          <w:p w14:paraId="00BD0396" w14:textId="77777777" w:rsidR="00A3173F" w:rsidRPr="00B93205" w:rsidRDefault="00A3173F" w:rsidP="00757D77">
            <w:pPr>
              <w:pStyle w:val="ExhibitText"/>
              <w:tabs>
                <w:tab w:val="decimal" w:pos="442"/>
              </w:tabs>
              <w:jc w:val="center"/>
              <w:rPr>
                <w:lang w:val="en-GB"/>
              </w:rPr>
            </w:pPr>
            <w:r w:rsidRPr="00B93205">
              <w:rPr>
                <w:lang w:val="en-GB"/>
              </w:rPr>
              <w:t>18</w:t>
            </w:r>
          </w:p>
        </w:tc>
        <w:tc>
          <w:tcPr>
            <w:tcW w:w="1299" w:type="dxa"/>
          </w:tcPr>
          <w:p w14:paraId="6E3F5274" w14:textId="77777777" w:rsidR="00A3173F" w:rsidRPr="00B93205" w:rsidRDefault="00A3173F" w:rsidP="00757D77">
            <w:pPr>
              <w:pStyle w:val="ExhibitText"/>
              <w:tabs>
                <w:tab w:val="decimal" w:pos="740"/>
              </w:tabs>
              <w:rPr>
                <w:lang w:val="en-GB"/>
              </w:rPr>
            </w:pPr>
            <w:r w:rsidRPr="00B93205">
              <w:rPr>
                <w:lang w:val="en-GB"/>
              </w:rPr>
              <w:t>16</w:t>
            </w:r>
          </w:p>
        </w:tc>
        <w:tc>
          <w:tcPr>
            <w:tcW w:w="906" w:type="dxa"/>
          </w:tcPr>
          <w:p w14:paraId="0E4B187E" w14:textId="77777777" w:rsidR="00A3173F" w:rsidRPr="00B93205" w:rsidRDefault="00A3173F" w:rsidP="00757D77">
            <w:pPr>
              <w:pStyle w:val="ExhibitText"/>
              <w:tabs>
                <w:tab w:val="decimal" w:pos="434"/>
              </w:tabs>
              <w:jc w:val="center"/>
              <w:rPr>
                <w:lang w:val="en-GB"/>
              </w:rPr>
            </w:pPr>
            <w:r w:rsidRPr="00B93205">
              <w:rPr>
                <w:lang w:val="en-GB"/>
              </w:rPr>
              <w:t>17</w:t>
            </w:r>
          </w:p>
        </w:tc>
        <w:tc>
          <w:tcPr>
            <w:tcW w:w="1074" w:type="dxa"/>
          </w:tcPr>
          <w:p w14:paraId="71F74B73" w14:textId="77777777" w:rsidR="00A3173F" w:rsidRPr="00B93205" w:rsidRDefault="00A3173F" w:rsidP="00757D77">
            <w:pPr>
              <w:pStyle w:val="ExhibitText"/>
              <w:tabs>
                <w:tab w:val="decimal" w:pos="602"/>
              </w:tabs>
              <w:rPr>
                <w:lang w:val="en-GB"/>
              </w:rPr>
            </w:pPr>
            <w:r w:rsidRPr="00B93205">
              <w:rPr>
                <w:lang w:val="en-GB"/>
              </w:rPr>
              <w:t>31</w:t>
            </w:r>
          </w:p>
        </w:tc>
        <w:tc>
          <w:tcPr>
            <w:tcW w:w="950" w:type="dxa"/>
          </w:tcPr>
          <w:p w14:paraId="37166507" w14:textId="77777777" w:rsidR="00A3173F" w:rsidRPr="00B93205" w:rsidRDefault="00A3173F" w:rsidP="00CF3F16">
            <w:pPr>
              <w:pStyle w:val="ExhibitText"/>
              <w:jc w:val="center"/>
              <w:rPr>
                <w:lang w:val="en-GB"/>
              </w:rPr>
            </w:pPr>
            <w:r w:rsidRPr="00B93205">
              <w:rPr>
                <w:lang w:val="en-GB"/>
              </w:rPr>
              <w:t>14</w:t>
            </w:r>
          </w:p>
        </w:tc>
        <w:tc>
          <w:tcPr>
            <w:tcW w:w="1030" w:type="dxa"/>
          </w:tcPr>
          <w:p w14:paraId="712E86E5" w14:textId="77777777" w:rsidR="00A3173F" w:rsidRPr="00B93205" w:rsidRDefault="00A3173F" w:rsidP="00757D77">
            <w:pPr>
              <w:pStyle w:val="ExhibitText"/>
              <w:tabs>
                <w:tab w:val="decimal" w:pos="558"/>
              </w:tabs>
              <w:rPr>
                <w:lang w:val="en-GB"/>
              </w:rPr>
            </w:pPr>
            <w:r w:rsidRPr="00B93205">
              <w:rPr>
                <w:lang w:val="en-GB"/>
              </w:rPr>
              <w:t>7</w:t>
            </w:r>
          </w:p>
        </w:tc>
      </w:tr>
    </w:tbl>
    <w:p w14:paraId="03B8358E" w14:textId="77777777" w:rsidR="00A3173F" w:rsidRPr="004B0031" w:rsidRDefault="00A3173F" w:rsidP="00A3173F">
      <w:pPr>
        <w:pStyle w:val="ExhibitText"/>
        <w:rPr>
          <w:sz w:val="16"/>
          <w:szCs w:val="18"/>
          <w:lang w:val="en-GB"/>
        </w:rPr>
      </w:pPr>
    </w:p>
    <w:p w14:paraId="30C7C306" w14:textId="7FC60A24" w:rsidR="00A3173F" w:rsidRPr="00B93205" w:rsidRDefault="00A3173F" w:rsidP="00A3173F">
      <w:pPr>
        <w:pStyle w:val="Footnote"/>
        <w:rPr>
          <w:lang w:val="en-GB"/>
        </w:rPr>
      </w:pPr>
      <w:r w:rsidRPr="00B93205">
        <w:rPr>
          <w:lang w:val="en-GB"/>
        </w:rPr>
        <w:t xml:space="preserve">Note: </w:t>
      </w:r>
      <w:r w:rsidR="00187B8D">
        <w:rPr>
          <w:lang w:val="en-GB"/>
        </w:rPr>
        <w:t>”US Staples” refers to an i</w:t>
      </w:r>
      <w:r w:rsidRPr="00B93205">
        <w:rPr>
          <w:lang w:val="en-GB"/>
        </w:rPr>
        <w:t xml:space="preserve">ndex of </w:t>
      </w:r>
      <w:r w:rsidR="00187B8D">
        <w:rPr>
          <w:lang w:val="en-GB"/>
        </w:rPr>
        <w:t xml:space="preserve">a </w:t>
      </w:r>
      <w:r w:rsidRPr="00B93205">
        <w:rPr>
          <w:lang w:val="en-GB"/>
        </w:rPr>
        <w:t>basket of consumer staples companies</w:t>
      </w:r>
      <w:r w:rsidR="00CF3F16" w:rsidRPr="00B93205">
        <w:rPr>
          <w:lang w:val="en-GB"/>
        </w:rPr>
        <w:t>; TSR = total stockholder returns</w:t>
      </w:r>
    </w:p>
    <w:p w14:paraId="3DDA124F" w14:textId="10008E98" w:rsidR="00767004" w:rsidRDefault="00A3173F" w:rsidP="00CF3F16">
      <w:pPr>
        <w:pStyle w:val="Footnote"/>
        <w:rPr>
          <w:lang w:val="en-GB"/>
        </w:rPr>
      </w:pPr>
      <w:r w:rsidRPr="00B93205">
        <w:rPr>
          <w:lang w:val="en-GB"/>
        </w:rPr>
        <w:t xml:space="preserve">Source: Third Point </w:t>
      </w:r>
      <w:r w:rsidR="00CF3F16" w:rsidRPr="00B93205">
        <w:rPr>
          <w:lang w:val="en-GB"/>
        </w:rPr>
        <w:t>LLC, l</w:t>
      </w:r>
      <w:r w:rsidRPr="00B93205">
        <w:rPr>
          <w:lang w:val="en-GB"/>
        </w:rPr>
        <w:t>etter</w:t>
      </w:r>
      <w:r w:rsidR="00CF3F16" w:rsidRPr="00B93205">
        <w:rPr>
          <w:lang w:val="en-GB"/>
        </w:rPr>
        <w:t xml:space="preserve"> to investors</w:t>
      </w:r>
      <w:r w:rsidRPr="00B93205">
        <w:rPr>
          <w:lang w:val="en-GB"/>
        </w:rPr>
        <w:t>, June 25, 2017</w:t>
      </w:r>
      <w:r w:rsidR="00CF3F16" w:rsidRPr="00B93205">
        <w:rPr>
          <w:lang w:val="en-GB"/>
        </w:rPr>
        <w:t>, accessed July 30, 2018</w:t>
      </w:r>
      <w:r w:rsidRPr="00B93205">
        <w:rPr>
          <w:lang w:val="en-GB"/>
        </w:rPr>
        <w:t>, www.thirdpointpublic.com/wp-content/uploads/2017/06/Third-Point-Nestle-Letter.pdf</w:t>
      </w:r>
      <w:r w:rsidR="00CF3F16" w:rsidRPr="00B93205">
        <w:rPr>
          <w:lang w:val="en-GB"/>
        </w:rPr>
        <w:t>.</w:t>
      </w:r>
    </w:p>
    <w:p w14:paraId="006B07EF" w14:textId="77777777" w:rsidR="00767004" w:rsidRDefault="00767004">
      <w:pPr>
        <w:spacing w:after="200" w:line="276" w:lineRule="auto"/>
        <w:rPr>
          <w:rFonts w:ascii="Arial" w:hAnsi="Arial" w:cs="Arial"/>
          <w:sz w:val="17"/>
          <w:szCs w:val="17"/>
          <w:lang w:val="en-GB"/>
        </w:rPr>
      </w:pPr>
      <w:r>
        <w:rPr>
          <w:lang w:val="en-GB"/>
        </w:rPr>
        <w:br w:type="page"/>
      </w:r>
    </w:p>
    <w:p w14:paraId="4264AB08" w14:textId="2CD8DC7B" w:rsidR="00DD5762" w:rsidRPr="00B93205" w:rsidRDefault="00A3173F" w:rsidP="00A3173F">
      <w:pPr>
        <w:pStyle w:val="Casehead1"/>
        <w:rPr>
          <w:lang w:val="en-GB"/>
        </w:rPr>
      </w:pPr>
      <w:r w:rsidRPr="00B93205">
        <w:rPr>
          <w:lang w:val="en-GB"/>
        </w:rPr>
        <w:lastRenderedPageBreak/>
        <w:t>Endnotes</w:t>
      </w:r>
    </w:p>
    <w:sectPr w:rsidR="00DD5762" w:rsidRPr="00B93205"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1425E" w16cid:durableId="21503E32"/>
  <w16cid:commentId w16cid:paraId="573328E5" w16cid:durableId="2150610E"/>
  <w16cid:commentId w16cid:paraId="635C6FD0" w16cid:durableId="215065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5FBB2" w14:textId="77777777" w:rsidR="006C1442" w:rsidRDefault="006C1442" w:rsidP="00D75295">
      <w:r>
        <w:separator/>
      </w:r>
    </w:p>
  </w:endnote>
  <w:endnote w:type="continuationSeparator" w:id="0">
    <w:p w14:paraId="3983F2EB" w14:textId="77777777" w:rsidR="006C1442" w:rsidRDefault="006C1442" w:rsidP="00D75295">
      <w:r>
        <w:continuationSeparator/>
      </w:r>
    </w:p>
  </w:endnote>
  <w:endnote w:id="1">
    <w:p w14:paraId="33C673D7" w14:textId="33C57714" w:rsidR="007975E9" w:rsidRPr="00B93205" w:rsidRDefault="007975E9" w:rsidP="00757D77">
      <w:pPr>
        <w:pStyle w:val="EndnoteText"/>
        <w:jc w:val="both"/>
        <w:rPr>
          <w:rFonts w:ascii="Arial" w:hAnsi="Arial" w:cs="Arial"/>
          <w:sz w:val="17"/>
          <w:szCs w:val="17"/>
          <w:lang w:val="en-GB"/>
        </w:rPr>
      </w:pPr>
      <w:r w:rsidRPr="00B93205">
        <w:rPr>
          <w:rStyle w:val="EndnoteReference"/>
          <w:rFonts w:ascii="Arial" w:hAnsi="Arial" w:cs="Arial"/>
          <w:sz w:val="17"/>
          <w:szCs w:val="17"/>
          <w:lang w:val="en-GB"/>
        </w:rPr>
        <w:endnoteRef/>
      </w:r>
      <w:r w:rsidRPr="00B93205">
        <w:rPr>
          <w:rFonts w:ascii="Arial" w:hAnsi="Arial" w:cs="Arial"/>
          <w:sz w:val="17"/>
          <w:szCs w:val="17"/>
          <w:lang w:val="en-GB"/>
        </w:rPr>
        <w:t xml:space="preserve"> </w:t>
      </w:r>
      <w:r w:rsidRPr="00B93205">
        <w:rPr>
          <w:rStyle w:val="FootnoteChar"/>
          <w:rFonts w:eastAsia="Calibri"/>
          <w:lang w:val="en-GB"/>
        </w:rPr>
        <w:t xml:space="preserve">This case has been written on the basis of published sources only. Consequently, the interpretation and perspectives presented in this case are not necessarily those of </w:t>
      </w:r>
      <w:r w:rsidR="004B0031" w:rsidRPr="004B0031">
        <w:rPr>
          <w:rStyle w:val="FootnoteChar"/>
          <w:rFonts w:eastAsia="Calibri"/>
          <w:lang w:val="en-GB"/>
        </w:rPr>
        <w:t>Nestlé S.A</w:t>
      </w:r>
      <w:r w:rsidRPr="00B93205">
        <w:rPr>
          <w:rStyle w:val="FootnoteChar"/>
          <w:rFonts w:eastAsia="Calibri"/>
          <w:lang w:val="en-GB"/>
        </w:rPr>
        <w:t xml:space="preserve"> and/or </w:t>
      </w:r>
      <w:r w:rsidR="004B0031" w:rsidRPr="004B0031">
        <w:rPr>
          <w:rStyle w:val="FootnoteChar"/>
          <w:rFonts w:eastAsia="Calibri"/>
          <w:lang w:val="en-GB"/>
        </w:rPr>
        <w:t>L'Oréal S.A.</w:t>
      </w:r>
      <w:r w:rsidRPr="00B93205">
        <w:rPr>
          <w:rStyle w:val="FootnoteChar"/>
          <w:rFonts w:eastAsia="Calibri"/>
          <w:lang w:val="en-GB"/>
        </w:rPr>
        <w:t xml:space="preserve"> and</w:t>
      </w:r>
      <w:r w:rsidR="00187B8D">
        <w:rPr>
          <w:rStyle w:val="FootnoteChar"/>
          <w:rFonts w:eastAsia="Calibri"/>
          <w:lang w:val="en-GB"/>
        </w:rPr>
        <w:t>/or</w:t>
      </w:r>
      <w:r w:rsidRPr="00B93205">
        <w:rPr>
          <w:rStyle w:val="FootnoteChar"/>
          <w:rFonts w:eastAsia="Calibri"/>
          <w:lang w:val="en-GB"/>
        </w:rPr>
        <w:t xml:space="preserve"> any of its employees.</w:t>
      </w:r>
    </w:p>
  </w:endnote>
  <w:endnote w:id="2">
    <w:p w14:paraId="00EB89E1" w14:textId="7B9B0720"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w:t>
      </w:r>
      <w:r w:rsidRPr="00B93205">
        <w:rPr>
          <w:i/>
          <w:lang w:val="en-GB"/>
        </w:rPr>
        <w:t>Half-Year Results 2018</w:t>
      </w:r>
      <w:r w:rsidRPr="00B93205">
        <w:rPr>
          <w:spacing w:val="-4"/>
          <w:lang w:val="en-GB"/>
        </w:rPr>
        <w:t xml:space="preserve">, accessed July 26, 2018, July 26, 2018, </w:t>
      </w:r>
      <w:r w:rsidRPr="00B93205">
        <w:rPr>
          <w:rStyle w:val="Hyperlink"/>
          <w:color w:val="auto"/>
          <w:spacing w:val="-4"/>
          <w:u w:val="none"/>
          <w:lang w:val="en-GB"/>
        </w:rPr>
        <w:t>www.nestle.com/asset-library/Documents/Library/Presentations/Sales_and_Results/2018-hy-confcall.pdf</w:t>
      </w:r>
      <w:r w:rsidRPr="00B93205">
        <w:rPr>
          <w:spacing w:val="-4"/>
          <w:lang w:val="en-GB"/>
        </w:rPr>
        <w:t>.</w:t>
      </w:r>
    </w:p>
  </w:endnote>
  <w:endnote w:id="3">
    <w:p w14:paraId="23D55F27" w14:textId="77777777" w:rsidR="007975E9" w:rsidRPr="00B93205" w:rsidRDefault="007975E9" w:rsidP="00D3487B">
      <w:pPr>
        <w:pStyle w:val="EndnoteText"/>
        <w:rPr>
          <w:rFonts w:ascii="Arial" w:hAnsi="Arial" w:cs="Arial"/>
          <w:sz w:val="17"/>
          <w:szCs w:val="17"/>
          <w:lang w:val="en-GB"/>
        </w:rPr>
      </w:pPr>
      <w:r w:rsidRPr="00B93205">
        <w:rPr>
          <w:rStyle w:val="EndnoteReference"/>
          <w:rFonts w:ascii="Arial" w:hAnsi="Arial" w:cs="Arial"/>
          <w:sz w:val="17"/>
          <w:szCs w:val="17"/>
          <w:lang w:val="en-GB"/>
        </w:rPr>
        <w:endnoteRef/>
      </w:r>
      <w:r w:rsidRPr="00B93205">
        <w:rPr>
          <w:rFonts w:ascii="Arial" w:hAnsi="Arial" w:cs="Arial"/>
          <w:sz w:val="17"/>
          <w:szCs w:val="17"/>
          <w:lang w:val="en-GB"/>
        </w:rPr>
        <w:t xml:space="preserve"> All currency amounts are in US$ unless otherwise specified.</w:t>
      </w:r>
    </w:p>
  </w:endnote>
  <w:endnote w:id="4">
    <w:p w14:paraId="67152160" w14:textId="65FC0CDB"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Brian Blackstone and Anthony Shevlin, “Nestl</w:t>
      </w:r>
      <w:r>
        <w:rPr>
          <w:spacing w:val="-4"/>
          <w:lang w:val="en-GB"/>
        </w:rPr>
        <w:t>é</w:t>
      </w:r>
      <w:r w:rsidRPr="00B93205">
        <w:rPr>
          <w:spacing w:val="-4"/>
          <w:lang w:val="en-GB"/>
        </w:rPr>
        <w:t xml:space="preserve">’s Sales Rise, Granting Breathing Space for CEO,” </w:t>
      </w:r>
      <w:r w:rsidRPr="00B93205">
        <w:rPr>
          <w:i/>
          <w:spacing w:val="-4"/>
          <w:lang w:val="en-GB"/>
        </w:rPr>
        <w:t>Wall Street Journal</w:t>
      </w:r>
      <w:r w:rsidR="00767004">
        <w:rPr>
          <w:spacing w:val="-4"/>
          <w:lang w:val="en-GB"/>
        </w:rPr>
        <w:t>, July 26, 2018, </w:t>
      </w:r>
      <w:r w:rsidRPr="00B93205">
        <w:rPr>
          <w:spacing w:val="-4"/>
          <w:lang w:val="en-GB"/>
        </w:rPr>
        <w:t>accessed</w:t>
      </w:r>
      <w:r w:rsidR="00767004">
        <w:rPr>
          <w:spacing w:val="-4"/>
          <w:lang w:val="en-GB"/>
        </w:rPr>
        <w:t> </w:t>
      </w:r>
      <w:r w:rsidRPr="00B93205">
        <w:rPr>
          <w:spacing w:val="-4"/>
          <w:lang w:val="en-GB"/>
        </w:rPr>
        <w:t>July</w:t>
      </w:r>
      <w:r w:rsidR="00767004">
        <w:rPr>
          <w:spacing w:val="-4"/>
          <w:lang w:val="en-GB"/>
        </w:rPr>
        <w:t> 26, </w:t>
      </w:r>
      <w:r w:rsidRPr="00B93205">
        <w:rPr>
          <w:spacing w:val="-4"/>
          <w:lang w:val="en-GB"/>
        </w:rPr>
        <w:t>2018,</w:t>
      </w:r>
      <w:r w:rsidR="00767004">
        <w:rPr>
          <w:spacing w:val="-4"/>
          <w:lang w:val="en-GB"/>
        </w:rPr>
        <w:t> </w:t>
      </w:r>
      <w:r w:rsidR="00767004" w:rsidRPr="00767004">
        <w:rPr>
          <w:rStyle w:val="Hyperlink"/>
          <w:color w:val="auto"/>
          <w:spacing w:val="-4"/>
          <w:u w:val="none"/>
          <w:lang w:val="en-GB"/>
        </w:rPr>
        <w:t>www.wsj.com/articles/nestles-sales-rise-providing-breathing-space-for-ceo-1532592275?mod=hp_</w:t>
      </w:r>
      <w:r w:rsidR="00767004">
        <w:rPr>
          <w:rStyle w:val="Hyperlink"/>
          <w:color w:val="auto"/>
          <w:spacing w:val="-4"/>
          <w:u w:val="none"/>
          <w:lang w:val="en-GB"/>
        </w:rPr>
        <w:t xml:space="preserve"> </w:t>
      </w:r>
      <w:r w:rsidRPr="00B93205">
        <w:rPr>
          <w:rStyle w:val="Hyperlink"/>
          <w:color w:val="auto"/>
          <w:spacing w:val="-4"/>
          <w:u w:val="none"/>
          <w:lang w:val="en-GB"/>
        </w:rPr>
        <w:t>lead_pos13</w:t>
      </w:r>
      <w:r w:rsidRPr="00B93205">
        <w:rPr>
          <w:spacing w:val="-4"/>
          <w:lang w:val="en-GB"/>
        </w:rPr>
        <w:t>.</w:t>
      </w:r>
    </w:p>
  </w:endnote>
  <w:endnote w:id="5">
    <w:p w14:paraId="1AD01FFF" w14:textId="5E616B63" w:rsidR="007975E9" w:rsidRPr="00B93205" w:rsidRDefault="007975E9" w:rsidP="00757D77">
      <w:pPr>
        <w:pStyle w:val="EndnoteText"/>
        <w:jc w:val="both"/>
        <w:rPr>
          <w:lang w:val="en-GB"/>
        </w:rPr>
      </w:pPr>
      <w:r w:rsidRPr="00757D77">
        <w:rPr>
          <w:rStyle w:val="EndnoteReference"/>
          <w:rFonts w:ascii="Arial" w:hAnsi="Arial" w:cs="Arial"/>
          <w:sz w:val="17"/>
          <w:szCs w:val="17"/>
          <w:lang w:val="en-GB"/>
        </w:rPr>
        <w:endnoteRef/>
      </w:r>
      <w:r w:rsidRPr="00757D77">
        <w:rPr>
          <w:rStyle w:val="FootnoteChar"/>
          <w:rFonts w:eastAsia="Calibri"/>
        </w:rPr>
        <w:t xml:space="preserve"> </w:t>
      </w:r>
      <w:r>
        <w:rPr>
          <w:rStyle w:val="FootnoteChar"/>
          <w:rFonts w:eastAsia="Calibri"/>
          <w:lang w:val="en-CA"/>
        </w:rPr>
        <w:t xml:space="preserve">Starbucks, </w:t>
      </w:r>
      <w:r w:rsidRPr="00B93205">
        <w:rPr>
          <w:rStyle w:val="FootnoteChar"/>
          <w:rFonts w:eastAsia="Calibri"/>
          <w:lang w:val="en-GB"/>
        </w:rPr>
        <w:t>“Starbucks and Nestl</w:t>
      </w:r>
      <w:r>
        <w:rPr>
          <w:rStyle w:val="FootnoteChar"/>
          <w:rFonts w:eastAsia="Calibri"/>
          <w:lang w:val="en-GB"/>
        </w:rPr>
        <w:t>é</w:t>
      </w:r>
      <w:r w:rsidRPr="00B93205">
        <w:rPr>
          <w:rStyle w:val="FootnoteChar"/>
          <w:rFonts w:eastAsia="Calibri"/>
          <w:lang w:val="en-GB"/>
        </w:rPr>
        <w:t xml:space="preserve"> Form Global Coffee Alliance to Elevate and Expand Consumer Packaged Goods,</w:t>
      </w:r>
      <w:r>
        <w:rPr>
          <w:rStyle w:val="FootnoteChar"/>
          <w:rFonts w:eastAsia="Calibri"/>
          <w:lang w:val="en-GB"/>
        </w:rPr>
        <w:t>”</w:t>
      </w:r>
      <w:r w:rsidRPr="00B93205">
        <w:rPr>
          <w:rStyle w:val="FootnoteChar"/>
          <w:rFonts w:eastAsia="Calibri"/>
          <w:lang w:val="en-GB"/>
        </w:rPr>
        <w:t xml:space="preserve"> May 8, 2018, accessed August 11, 2019, https://stories.starbucks.com/press/2018/starbucks-and-nestle-form-global-coffee-alliance/.</w:t>
      </w:r>
    </w:p>
  </w:endnote>
  <w:endnote w:id="6">
    <w:p w14:paraId="30AE5943" w14:textId="3CED80D8"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“Nestlé Agrees to Sell U.S. Confectionery Business to Ferrero,” press release, January 16, 2018, accessed July 26, 2018,</w:t>
      </w:r>
      <w:r w:rsidRPr="00B93205">
        <w:rPr>
          <w:lang w:val="en-GB"/>
        </w:rPr>
        <w:t xml:space="preserve"> </w:t>
      </w:r>
      <w:r w:rsidRPr="00A10A1F">
        <w:rPr>
          <w:lang w:val="en-GB"/>
        </w:rPr>
        <w:t>www.nestle.com/media/pressreleases/allpressreleases/nestle-agrees-to-sell-us-confectionery-business-ferrero</w:t>
      </w:r>
      <w:r>
        <w:rPr>
          <w:lang w:val="en-GB"/>
        </w:rPr>
        <w:t>;</w:t>
      </w:r>
      <w:r w:rsidRPr="00A10A1F">
        <w:rPr>
          <w:lang w:val="en-GB"/>
        </w:rPr>
        <w:t xml:space="preserve"> </w:t>
      </w:r>
      <w:r w:rsidRPr="00B93205">
        <w:rPr>
          <w:spacing w:val="-4"/>
          <w:lang w:val="en-GB"/>
        </w:rPr>
        <w:t>Nestl</w:t>
      </w:r>
      <w:r w:rsidR="00187B8D">
        <w:rPr>
          <w:spacing w:val="-4"/>
          <w:lang w:val="en-GB"/>
        </w:rPr>
        <w:t>é</w:t>
      </w:r>
      <w:r w:rsidRPr="00B93205">
        <w:rPr>
          <w:spacing w:val="-4"/>
          <w:lang w:val="en-GB"/>
        </w:rPr>
        <w:t xml:space="preserve"> S.A., “Nestlé </w:t>
      </w:r>
      <w:r>
        <w:rPr>
          <w:spacing w:val="-4"/>
          <w:lang w:val="en-GB"/>
        </w:rPr>
        <w:t>E</w:t>
      </w:r>
      <w:r w:rsidRPr="00B93205">
        <w:rPr>
          <w:spacing w:val="-4"/>
          <w:lang w:val="en-GB"/>
        </w:rPr>
        <w:t xml:space="preserve">nters </w:t>
      </w:r>
      <w:r>
        <w:rPr>
          <w:spacing w:val="-4"/>
          <w:lang w:val="en-GB"/>
        </w:rPr>
        <w:t>A</w:t>
      </w:r>
      <w:r w:rsidRPr="00B93205">
        <w:rPr>
          <w:spacing w:val="-4"/>
          <w:lang w:val="en-GB"/>
        </w:rPr>
        <w:t xml:space="preserve">greement for the </w:t>
      </w:r>
      <w:r>
        <w:rPr>
          <w:spacing w:val="-4"/>
          <w:lang w:val="en-GB"/>
        </w:rPr>
        <w:t>P</w:t>
      </w:r>
      <w:r w:rsidRPr="00B93205">
        <w:rPr>
          <w:spacing w:val="-4"/>
          <w:lang w:val="en-GB"/>
        </w:rPr>
        <w:t xml:space="preserve">erpetual </w:t>
      </w:r>
      <w:r>
        <w:rPr>
          <w:spacing w:val="-4"/>
          <w:lang w:val="en-GB"/>
        </w:rPr>
        <w:t>G</w:t>
      </w:r>
      <w:r w:rsidRPr="00B93205">
        <w:rPr>
          <w:spacing w:val="-4"/>
          <w:lang w:val="en-GB"/>
        </w:rPr>
        <w:t xml:space="preserve">lobal </w:t>
      </w:r>
      <w:r>
        <w:rPr>
          <w:spacing w:val="-4"/>
          <w:lang w:val="en-GB"/>
        </w:rPr>
        <w:t>L</w:t>
      </w:r>
      <w:r w:rsidRPr="00B93205">
        <w:rPr>
          <w:spacing w:val="-4"/>
          <w:lang w:val="en-GB"/>
        </w:rPr>
        <w:t xml:space="preserve">icense of Starbucks </w:t>
      </w:r>
      <w:r>
        <w:rPr>
          <w:spacing w:val="-4"/>
          <w:lang w:val="en-GB"/>
        </w:rPr>
        <w:t>C</w:t>
      </w:r>
      <w:r w:rsidRPr="00B93205">
        <w:rPr>
          <w:spacing w:val="-4"/>
          <w:lang w:val="en-GB"/>
        </w:rPr>
        <w:t xml:space="preserve">onsumer and </w:t>
      </w:r>
      <w:r>
        <w:rPr>
          <w:spacing w:val="-4"/>
          <w:lang w:val="en-GB"/>
        </w:rPr>
        <w:t>F</w:t>
      </w:r>
      <w:r w:rsidRPr="00B93205">
        <w:rPr>
          <w:spacing w:val="-4"/>
          <w:lang w:val="en-GB"/>
        </w:rPr>
        <w:t xml:space="preserve">oodservice </w:t>
      </w:r>
      <w:r>
        <w:rPr>
          <w:spacing w:val="-4"/>
          <w:lang w:val="en-GB"/>
        </w:rPr>
        <w:t>P</w:t>
      </w:r>
      <w:r w:rsidRPr="00B93205">
        <w:rPr>
          <w:spacing w:val="-4"/>
          <w:lang w:val="en-GB"/>
        </w:rPr>
        <w:t>roducts,” press release, May 7</w:t>
      </w:r>
      <w:r>
        <w:rPr>
          <w:spacing w:val="-4"/>
          <w:lang w:val="en-GB"/>
        </w:rPr>
        <w:t>,</w:t>
      </w:r>
      <w:r w:rsidRPr="00B93205">
        <w:rPr>
          <w:spacing w:val="-4"/>
          <w:lang w:val="en-GB"/>
        </w:rPr>
        <w:t xml:space="preserve"> 2018, accessed July 25 2019, www.nestle.com/asset-library/documents/media/press-release/2018-may/press-release-en.pdf.</w:t>
      </w:r>
    </w:p>
  </w:endnote>
  <w:endnote w:id="7">
    <w:p w14:paraId="662B2C1A" w14:textId="77777777" w:rsidR="00426884" w:rsidRPr="00B93205" w:rsidRDefault="00426884" w:rsidP="00426884">
      <w:pPr>
        <w:pStyle w:val="Footnote"/>
        <w:rPr>
          <w:spacing w:val="-4"/>
          <w:lang w:val="en-GB"/>
        </w:rPr>
      </w:pPr>
      <w:r w:rsidRPr="00B93205">
        <w:rPr>
          <w:rStyle w:val="EndnoteReference"/>
          <w:spacing w:val="-4"/>
          <w:lang w:val="en-GB"/>
        </w:rPr>
        <w:endnoteRef/>
      </w:r>
      <w:r w:rsidRPr="00B93205">
        <w:rPr>
          <w:spacing w:val="-4"/>
          <w:lang w:val="en-GB"/>
        </w:rPr>
        <w:t xml:space="preserve"> This figure was calculated as 23.2 per cent of L’Or</w:t>
      </w:r>
      <w:r>
        <w:rPr>
          <w:spacing w:val="-4"/>
          <w:lang w:val="en-GB"/>
        </w:rPr>
        <w:t>é</w:t>
      </w:r>
      <w:r w:rsidRPr="00B93205">
        <w:rPr>
          <w:spacing w:val="-4"/>
          <w:lang w:val="en-GB"/>
        </w:rPr>
        <w:t>al’s July 26, 2018</w:t>
      </w:r>
      <w:r>
        <w:rPr>
          <w:spacing w:val="-4"/>
          <w:lang w:val="en-GB"/>
        </w:rPr>
        <w:t>,</w:t>
      </w:r>
      <w:r w:rsidRPr="00B93205">
        <w:rPr>
          <w:spacing w:val="-4"/>
          <w:lang w:val="en-GB"/>
        </w:rPr>
        <w:t xml:space="preserve"> market cap of US$137.25 billion; “Nestle SA,” Google Finance, accessed July 26, 2018.</w:t>
      </w:r>
    </w:p>
  </w:endnote>
  <w:endnote w:id="8">
    <w:p w14:paraId="6190D8B1" w14:textId="772FC725" w:rsidR="00426884" w:rsidRPr="00426884" w:rsidRDefault="00426884">
      <w:pPr>
        <w:pStyle w:val="EndnoteText"/>
        <w:rPr>
          <w:lang w:val="en-US"/>
        </w:rPr>
      </w:pPr>
      <w:r w:rsidRPr="00426884">
        <w:rPr>
          <w:rStyle w:val="FootnoteChar"/>
          <w:rFonts w:eastAsia="Calibri"/>
          <w:vertAlign w:val="superscript"/>
        </w:rPr>
        <w:endnoteRef/>
      </w:r>
      <w:r w:rsidRPr="00426884">
        <w:rPr>
          <w:rStyle w:val="FootnoteChar"/>
          <w:rFonts w:eastAsia="Calibri"/>
        </w:rPr>
        <w:t xml:space="preserve"> Saabira Chaudhuri and David Benoit,“Nestlé Unmoved by Demands from Activist Investor Third Point,” The Wall Street Journal, June 26, 2017, accessed October 28, 2019, </w:t>
      </w:r>
      <w:hyperlink r:id="rId1" w:history="1">
        <w:r w:rsidRPr="00426884">
          <w:rPr>
            <w:rStyle w:val="FootnoteChar"/>
            <w:rFonts w:eastAsia="Calibri"/>
          </w:rPr>
          <w:t>www.wsj.com/articles/nestle-unmoved-by-third-point-demands-1498480636</w:t>
        </w:r>
      </w:hyperlink>
      <w:r>
        <w:rPr>
          <w:lang w:val="en-US"/>
        </w:rPr>
        <w:t>.</w:t>
      </w:r>
    </w:p>
  </w:endnote>
  <w:endnote w:id="9">
    <w:p w14:paraId="0F69406E" w14:textId="5C937A1B"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Third Point LLC, letter to investors, June 25, 2017, accessed July 26, 2018</w:t>
      </w:r>
      <w:r>
        <w:rPr>
          <w:spacing w:val="-4"/>
          <w:lang w:val="en-GB"/>
        </w:rPr>
        <w:t xml:space="preserve">, </w:t>
      </w:r>
      <w:r w:rsidRPr="00B93205">
        <w:rPr>
          <w:rStyle w:val="Hyperlink"/>
          <w:color w:val="auto"/>
          <w:spacing w:val="-4"/>
          <w:u w:val="none"/>
          <w:lang w:val="en-GB"/>
        </w:rPr>
        <w:t>www.thirdpointpublic.com/wp-content/uploads/2017/06/Third-Point-Nestle-Letter.pdf</w:t>
      </w:r>
      <w:r w:rsidRPr="00B93205">
        <w:rPr>
          <w:spacing w:val="-4"/>
          <w:lang w:val="en-GB"/>
        </w:rPr>
        <w:t>.</w:t>
      </w:r>
    </w:p>
  </w:endnote>
  <w:endnote w:id="10">
    <w:p w14:paraId="6A2A71DA" w14:textId="1791BEF1"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w:t>
      </w:r>
      <w:r>
        <w:rPr>
          <w:spacing w:val="-4"/>
          <w:lang w:val="en-GB"/>
        </w:rPr>
        <w:t xml:space="preserve">Sarah White, </w:t>
      </w:r>
      <w:r w:rsidRPr="00B93205">
        <w:rPr>
          <w:spacing w:val="-4"/>
          <w:lang w:val="en-GB"/>
        </w:rPr>
        <w:t xml:space="preserve">“L’Oreal Ready to Buy Shareholder Nestle’s Stake in the Firm: CEO,” Reuters, February 9, 2019, accessed July 26, 2018, </w:t>
      </w:r>
      <w:r w:rsidRPr="00B93205">
        <w:rPr>
          <w:rStyle w:val="Hyperlink"/>
          <w:color w:val="auto"/>
          <w:spacing w:val="-4"/>
          <w:u w:val="none"/>
          <w:lang w:val="en-GB"/>
        </w:rPr>
        <w:t>www.reuters.com/article/us-loreal-nestle/loreal-ready-to-buy-shareholder-nestles-stake-in-the-firm-ceo-idUSKBN1FT17G</w:t>
      </w:r>
      <w:r w:rsidRPr="00B93205">
        <w:rPr>
          <w:spacing w:val="-4"/>
          <w:lang w:val="en-GB"/>
        </w:rPr>
        <w:t>.</w:t>
      </w:r>
    </w:p>
  </w:endnote>
  <w:endnote w:id="11">
    <w:p w14:paraId="11482B79" w14:textId="20C045BD"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“The Nestlé Company History,” accessed July 30, 2018, </w:t>
      </w:r>
      <w:r w:rsidRPr="00B93205">
        <w:rPr>
          <w:rStyle w:val="Hyperlink"/>
          <w:color w:val="auto"/>
          <w:spacing w:val="-4"/>
          <w:u w:val="none"/>
          <w:lang w:val="en-GB"/>
        </w:rPr>
        <w:t>www.nestle.com/aboutus/history/nestle-company-history</w:t>
      </w:r>
      <w:r w:rsidRPr="00B93205">
        <w:rPr>
          <w:spacing w:val="-4"/>
          <w:lang w:val="en-GB"/>
        </w:rPr>
        <w:t>.</w:t>
      </w:r>
    </w:p>
  </w:endnote>
  <w:endnote w:id="12">
    <w:p w14:paraId="7D344AE5" w14:textId="51B04601"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w:t>
      </w:r>
      <w:r w:rsidRPr="00B93205">
        <w:rPr>
          <w:i/>
          <w:spacing w:val="-4"/>
          <w:lang w:val="en-GB"/>
        </w:rPr>
        <w:t>Nestlé: Strong Foundation, Clear Path Forward, Bright Future</w:t>
      </w:r>
      <w:r w:rsidRPr="00B93205">
        <w:rPr>
          <w:spacing w:val="-4"/>
          <w:lang w:val="en-GB"/>
        </w:rPr>
        <w:t xml:space="preserve">, September 26, 2017, accessed July 30, 2018, </w:t>
      </w:r>
      <w:r w:rsidRPr="00B93205">
        <w:rPr>
          <w:rStyle w:val="Hyperlink"/>
          <w:color w:val="auto"/>
          <w:spacing w:val="-4"/>
          <w:u w:val="none"/>
          <w:lang w:val="en-GB"/>
        </w:rPr>
        <w:t>www.nestle.com/asset-library/Documents/Library/Presentations/Investors_Events/investor-seminar-2017/mark-schneider.pdf</w:t>
      </w:r>
      <w:r w:rsidRPr="00B93205">
        <w:rPr>
          <w:spacing w:val="-4"/>
          <w:lang w:val="en-GB"/>
        </w:rPr>
        <w:t>.</w:t>
      </w:r>
    </w:p>
  </w:endnote>
  <w:endnote w:id="13">
    <w:p w14:paraId="7A0C58D3" w14:textId="79382051"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“Nestlé,” Hoover’s Company Records, Proquest, accessed July 30, 2018.</w:t>
      </w:r>
    </w:p>
  </w:endnote>
  <w:endnote w:id="14">
    <w:p w14:paraId="664C97CF" w14:textId="34658FA8" w:rsidR="007975E9" w:rsidRPr="00B93205" w:rsidRDefault="007975E9">
      <w:pPr>
        <w:pStyle w:val="EndnoteText"/>
        <w:rPr>
          <w:rFonts w:ascii="Arial" w:hAnsi="Arial" w:cs="Arial"/>
          <w:sz w:val="17"/>
          <w:szCs w:val="17"/>
          <w:lang w:val="en-GB"/>
        </w:rPr>
      </w:pPr>
      <w:r w:rsidRPr="00B93205">
        <w:rPr>
          <w:rStyle w:val="EndnoteReference"/>
          <w:rFonts w:ascii="Arial" w:hAnsi="Arial" w:cs="Arial"/>
          <w:sz w:val="17"/>
          <w:szCs w:val="17"/>
          <w:lang w:val="en-GB"/>
        </w:rPr>
        <w:endnoteRef/>
      </w:r>
      <w:r w:rsidRPr="00B93205">
        <w:rPr>
          <w:rFonts w:ascii="Arial" w:hAnsi="Arial" w:cs="Arial"/>
          <w:sz w:val="17"/>
          <w:szCs w:val="17"/>
          <w:lang w:val="en-GB"/>
        </w:rPr>
        <w:t xml:space="preserve"> CHF = Swiss franc; </w:t>
      </w:r>
      <w:r>
        <w:rPr>
          <w:rFonts w:ascii="Arial" w:hAnsi="Arial" w:cs="Arial"/>
          <w:sz w:val="17"/>
          <w:szCs w:val="17"/>
          <w:lang w:val="en-GB"/>
        </w:rPr>
        <w:t>CHF</w:t>
      </w:r>
      <w:r w:rsidRPr="00B93205">
        <w:rPr>
          <w:rFonts w:ascii="Arial" w:hAnsi="Arial" w:cs="Arial"/>
          <w:sz w:val="17"/>
          <w:szCs w:val="17"/>
          <w:lang w:val="en-GB"/>
        </w:rPr>
        <w:t xml:space="preserve">1 = </w:t>
      </w:r>
      <w:r>
        <w:rPr>
          <w:rFonts w:ascii="Arial" w:hAnsi="Arial" w:cs="Arial"/>
          <w:sz w:val="17"/>
          <w:szCs w:val="17"/>
          <w:lang w:val="en-GB"/>
        </w:rPr>
        <w:t xml:space="preserve">US$1.01 </w:t>
      </w:r>
      <w:r w:rsidRPr="00B93205">
        <w:rPr>
          <w:rFonts w:ascii="Arial" w:hAnsi="Arial" w:cs="Arial"/>
          <w:sz w:val="17"/>
          <w:szCs w:val="17"/>
          <w:lang w:val="en-GB"/>
        </w:rPr>
        <w:t>on July 26, 2018.</w:t>
      </w:r>
    </w:p>
  </w:endnote>
  <w:endnote w:id="15">
    <w:p w14:paraId="46B89AAD" w14:textId="6FE710C0"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w:t>
      </w:r>
      <w:r w:rsidRPr="00B93205">
        <w:rPr>
          <w:i/>
          <w:spacing w:val="-4"/>
          <w:lang w:val="en-GB"/>
        </w:rPr>
        <w:t>2017 Annual Review</w:t>
      </w:r>
      <w:r w:rsidRPr="00B93205">
        <w:rPr>
          <w:spacing w:val="-4"/>
          <w:lang w:val="en-GB"/>
        </w:rPr>
        <w:t xml:space="preserve">, </w:t>
      </w:r>
      <w:r w:rsidRPr="00B93205">
        <w:rPr>
          <w:rStyle w:val="Hyperlink"/>
          <w:color w:val="auto"/>
          <w:spacing w:val="-4"/>
          <w:u w:val="none"/>
          <w:lang w:val="en-GB"/>
        </w:rPr>
        <w:t>www.nestle.com/asset-library/documents/library/documents/annual_reports/2017-annual-review-en.pdf</w:t>
      </w:r>
      <w:r w:rsidRPr="00B93205">
        <w:rPr>
          <w:spacing w:val="-4"/>
          <w:lang w:val="en-GB"/>
        </w:rPr>
        <w:t>, accessed July 30, 2018.</w:t>
      </w:r>
    </w:p>
  </w:endnote>
  <w:endnote w:id="16">
    <w:p w14:paraId="58E7646B" w14:textId="77777777" w:rsidR="002752DF" w:rsidRPr="00B93205" w:rsidRDefault="002752DF" w:rsidP="002752DF">
      <w:pPr>
        <w:pStyle w:val="Footnote"/>
        <w:rPr>
          <w:spacing w:val="-4"/>
          <w:lang w:val="en-GB"/>
        </w:rPr>
      </w:pPr>
      <w:r w:rsidRPr="00B93205">
        <w:rPr>
          <w:rStyle w:val="EndnoteReference"/>
          <w:spacing w:val="-4"/>
          <w:lang w:val="en-GB"/>
        </w:rPr>
        <w:endnoteRef/>
      </w:r>
      <w:r w:rsidRPr="00B93205">
        <w:rPr>
          <w:spacing w:val="-4"/>
          <w:lang w:val="en-GB"/>
        </w:rPr>
        <w:t xml:space="preserve"> Ibid. </w:t>
      </w:r>
    </w:p>
  </w:endnote>
  <w:endnote w:id="17">
    <w:p w14:paraId="709485FC" w14:textId="4139EF8B"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Ibid. </w:t>
      </w:r>
    </w:p>
  </w:endnote>
  <w:endnote w:id="18">
    <w:p w14:paraId="4B3D1CCA" w14:textId="3290F70B" w:rsidR="007975E9" w:rsidRPr="00757D77" w:rsidRDefault="007975E9" w:rsidP="00A3173F">
      <w:pPr>
        <w:pStyle w:val="Footnote"/>
        <w:rPr>
          <w:b/>
          <w:spacing w:val="-4"/>
          <w:lang w:val="en-GB"/>
        </w:rPr>
      </w:pPr>
      <w:r w:rsidRPr="00B93205">
        <w:rPr>
          <w:rStyle w:val="EndnoteReference"/>
          <w:spacing w:val="-4"/>
          <w:lang w:val="en-GB"/>
        </w:rPr>
        <w:endnoteRef/>
      </w:r>
      <w:r w:rsidRPr="00B93205">
        <w:rPr>
          <w:spacing w:val="-4"/>
          <w:lang w:val="en-GB"/>
        </w:rPr>
        <w:t xml:space="preserve"> “French Presidential Elections, 1974,” Revolvy, accessed July 26, 2018, </w:t>
      </w:r>
      <w:r w:rsidRPr="00B93205">
        <w:rPr>
          <w:rStyle w:val="Hyperlink"/>
          <w:color w:val="auto"/>
          <w:spacing w:val="-4"/>
          <w:u w:val="none"/>
          <w:lang w:val="en-GB"/>
        </w:rPr>
        <w:t>www.revolvy.com/topic/French% 20presidential% 20election,% 201974&amp;item_type=topic</w:t>
      </w:r>
      <w:r w:rsidRPr="00B93205">
        <w:rPr>
          <w:spacing w:val="-4"/>
          <w:lang w:val="en-GB"/>
        </w:rPr>
        <w:t>.</w:t>
      </w:r>
    </w:p>
  </w:endnote>
  <w:endnote w:id="19">
    <w:p w14:paraId="17C6DDDD" w14:textId="6983B097" w:rsidR="007975E9" w:rsidRPr="00B93205" w:rsidRDefault="007975E9" w:rsidP="00757D77">
      <w:pPr>
        <w:pStyle w:val="EndnoteText"/>
        <w:jc w:val="both"/>
        <w:rPr>
          <w:lang w:val="en-GB"/>
        </w:rPr>
      </w:pPr>
      <w:r w:rsidRPr="00757D77">
        <w:rPr>
          <w:rStyle w:val="EndnoteReference"/>
          <w:rFonts w:ascii="Arial" w:eastAsia="Times New Roman" w:hAnsi="Arial" w:cs="Arial"/>
          <w:spacing w:val="-4"/>
          <w:sz w:val="17"/>
          <w:szCs w:val="17"/>
          <w:lang w:val="en-GB" w:eastAsia="en-US"/>
        </w:rPr>
        <w:endnoteRef/>
      </w:r>
      <w:r w:rsidRPr="00757D77">
        <w:rPr>
          <w:rStyle w:val="FootnoteChar"/>
          <w:rFonts w:eastAsia="Calibri"/>
        </w:rPr>
        <w:t xml:space="preserve"> </w:t>
      </w:r>
      <w:r w:rsidRPr="00B93205">
        <w:rPr>
          <w:rStyle w:val="FootnoteChar"/>
          <w:rFonts w:eastAsia="Calibri"/>
          <w:lang w:val="en-GB"/>
        </w:rPr>
        <w:t>“History of L’Oreal</w:t>
      </w:r>
      <w:r>
        <w:rPr>
          <w:rStyle w:val="FootnoteChar"/>
          <w:rFonts w:eastAsia="Calibri"/>
          <w:lang w:val="en-GB"/>
        </w:rPr>
        <w:t>,</w:t>
      </w:r>
      <w:r w:rsidRPr="00B93205">
        <w:rPr>
          <w:rStyle w:val="FootnoteChar"/>
          <w:rFonts w:eastAsia="Calibri"/>
          <w:lang w:val="en-GB"/>
        </w:rPr>
        <w:t xml:space="preserve">” </w:t>
      </w:r>
      <w:r w:rsidRPr="00225AD9">
        <w:rPr>
          <w:rStyle w:val="FootnoteChar"/>
          <w:rFonts w:eastAsia="Calibri"/>
          <w:i/>
          <w:lang w:val="en-GB"/>
        </w:rPr>
        <w:t>Telegraph</w:t>
      </w:r>
      <w:r>
        <w:rPr>
          <w:rStyle w:val="FootnoteChar"/>
          <w:rFonts w:eastAsia="Calibri"/>
          <w:lang w:val="en-GB"/>
        </w:rPr>
        <w:t xml:space="preserve">, </w:t>
      </w:r>
      <w:r w:rsidRPr="00225AD9">
        <w:rPr>
          <w:rStyle w:val="FootnoteChar"/>
          <w:rFonts w:eastAsia="Calibri"/>
          <w:lang w:val="en-GB"/>
        </w:rPr>
        <w:t>February</w:t>
      </w:r>
      <w:r>
        <w:rPr>
          <w:rStyle w:val="FootnoteChar"/>
          <w:rFonts w:eastAsia="Calibri"/>
          <w:lang w:val="en-GB"/>
        </w:rPr>
        <w:t xml:space="preserve"> 20, 2006, </w:t>
      </w:r>
      <w:r w:rsidRPr="00B93205">
        <w:rPr>
          <w:rStyle w:val="FootnoteChar"/>
          <w:rFonts w:eastAsia="Calibri"/>
          <w:lang w:val="en-GB"/>
        </w:rPr>
        <w:t xml:space="preserve">accessed August 11, 2019, </w:t>
      </w:r>
      <w:r w:rsidRPr="00B93205">
        <w:rPr>
          <w:rStyle w:val="FootnoteChar"/>
          <w:rFonts w:eastAsia="Calibri"/>
          <w:lang w:val="en-GB" w:eastAsia="en-US"/>
        </w:rPr>
        <w:t>www.telegraph.co.uk/finance/2932582/History-of-LOreal.html</w:t>
      </w:r>
      <w:r>
        <w:rPr>
          <w:rStyle w:val="FootnoteChar"/>
          <w:rFonts w:eastAsia="Calibri"/>
          <w:lang w:val="en-GB" w:eastAsia="en-US"/>
        </w:rPr>
        <w:t>.</w:t>
      </w:r>
    </w:p>
  </w:endnote>
  <w:endnote w:id="20">
    <w:p w14:paraId="3DD8ED90" w14:textId="0AAD5F5D" w:rsidR="007975E9" w:rsidRPr="00B93205" w:rsidRDefault="007975E9" w:rsidP="00757D77">
      <w:pPr>
        <w:pStyle w:val="EndnoteText"/>
        <w:jc w:val="both"/>
        <w:rPr>
          <w:rFonts w:ascii="Arial" w:hAnsi="Arial" w:cs="Arial"/>
          <w:sz w:val="17"/>
          <w:szCs w:val="17"/>
          <w:lang w:val="en-GB"/>
        </w:rPr>
      </w:pPr>
      <w:r w:rsidRPr="00757D77">
        <w:rPr>
          <w:rStyle w:val="EndnoteReference"/>
          <w:rFonts w:ascii="Arial" w:eastAsia="Times New Roman" w:hAnsi="Arial" w:cs="Arial"/>
          <w:spacing w:val="-4"/>
          <w:sz w:val="17"/>
          <w:szCs w:val="17"/>
          <w:lang w:val="en-GB" w:eastAsia="en-US"/>
        </w:rPr>
        <w:endnoteRef/>
      </w:r>
      <w:r w:rsidRPr="00757D77">
        <w:rPr>
          <w:rStyle w:val="EndnoteReference"/>
          <w:rFonts w:ascii="Arial" w:eastAsia="Times New Roman" w:hAnsi="Arial" w:cs="Arial"/>
          <w:spacing w:val="-4"/>
          <w:sz w:val="17"/>
          <w:szCs w:val="17"/>
          <w:vertAlign w:val="baseline"/>
          <w:lang w:eastAsia="en-US"/>
        </w:rPr>
        <w:t xml:space="preserve"> </w:t>
      </w:r>
      <w:r>
        <w:rPr>
          <w:rFonts w:ascii="Arial" w:eastAsia="Times New Roman" w:hAnsi="Arial" w:cs="Arial"/>
          <w:spacing w:val="-4"/>
          <w:sz w:val="17"/>
          <w:szCs w:val="17"/>
          <w:lang w:val="en-CA" w:eastAsia="en-US"/>
        </w:rPr>
        <w:t>“</w:t>
      </w:r>
      <w:r w:rsidRPr="00B93205">
        <w:rPr>
          <w:rStyle w:val="FootnoteChar"/>
          <w:rFonts w:eastAsia="Calibri"/>
          <w:lang w:val="en-GB"/>
        </w:rPr>
        <w:t xml:space="preserve">In </w:t>
      </w:r>
      <w:r>
        <w:rPr>
          <w:rStyle w:val="FootnoteChar"/>
          <w:rFonts w:eastAsia="Calibri"/>
          <w:lang w:val="en-GB"/>
        </w:rPr>
        <w:t>P</w:t>
      </w:r>
      <w:r w:rsidRPr="00B93205">
        <w:rPr>
          <w:rStyle w:val="FootnoteChar"/>
          <w:rFonts w:eastAsia="Calibri"/>
          <w:lang w:val="en-GB"/>
        </w:rPr>
        <w:t xml:space="preserve">ursuit of </w:t>
      </w:r>
      <w:r>
        <w:rPr>
          <w:rStyle w:val="FootnoteChar"/>
          <w:rFonts w:eastAsia="Calibri"/>
          <w:lang w:val="en-GB"/>
        </w:rPr>
        <w:t>B</w:t>
      </w:r>
      <w:r w:rsidRPr="00B93205">
        <w:rPr>
          <w:rStyle w:val="FootnoteChar"/>
          <w:rFonts w:eastAsia="Calibri"/>
          <w:lang w:val="en-GB"/>
        </w:rPr>
        <w:t>eauty; L</w:t>
      </w:r>
      <w:r>
        <w:rPr>
          <w:rStyle w:val="FootnoteChar"/>
          <w:rFonts w:eastAsia="Calibri"/>
          <w:lang w:val="en-GB"/>
        </w:rPr>
        <w:t>’</w:t>
      </w:r>
      <w:r w:rsidRPr="00B93205">
        <w:rPr>
          <w:rStyle w:val="FootnoteChar"/>
          <w:rFonts w:eastAsia="Calibri"/>
          <w:lang w:val="en-GB"/>
        </w:rPr>
        <w:t>Oreal and Nestle</w:t>
      </w:r>
      <w:r>
        <w:rPr>
          <w:rStyle w:val="FootnoteChar"/>
          <w:rFonts w:eastAsia="Calibri"/>
          <w:lang w:val="en-GB"/>
        </w:rPr>
        <w:t>,”</w:t>
      </w:r>
      <w:r w:rsidRPr="00B93205">
        <w:rPr>
          <w:rStyle w:val="FootnoteChar"/>
          <w:rFonts w:eastAsia="Calibri"/>
          <w:lang w:val="en-GB"/>
        </w:rPr>
        <w:t xml:space="preserve"> </w:t>
      </w:r>
      <w:r w:rsidRPr="00B93205">
        <w:rPr>
          <w:rStyle w:val="FootnoteChar"/>
          <w:rFonts w:eastAsia="Calibri"/>
          <w:i/>
          <w:lang w:val="en-GB"/>
        </w:rPr>
        <w:t>Economist</w:t>
      </w:r>
      <w:r w:rsidRPr="00B93205">
        <w:rPr>
          <w:rStyle w:val="FootnoteChar"/>
          <w:rFonts w:eastAsia="Calibri"/>
          <w:lang w:val="en-GB"/>
        </w:rPr>
        <w:t xml:space="preserve"> 390, no. 8615 (January 24, 2009): 68, accessed August 13, 2019, http://link.galegroup.com/apps/doc/A192448897/CPI?u=lond95336&amp;sid=CPI&amp;xid=25a07b11.</w:t>
      </w:r>
    </w:p>
  </w:endnote>
  <w:endnote w:id="21">
    <w:p w14:paraId="36ED5566" w14:textId="7B07A86B" w:rsidR="007975E9" w:rsidRPr="00B93205" w:rsidRDefault="007975E9">
      <w:pPr>
        <w:pStyle w:val="EndnoteText"/>
        <w:rPr>
          <w:lang w:val="en-GB"/>
        </w:rPr>
      </w:pPr>
      <w:r w:rsidRPr="00757D77">
        <w:rPr>
          <w:rStyle w:val="EndnoteReference"/>
          <w:rFonts w:ascii="Arial" w:eastAsia="Times New Roman" w:hAnsi="Arial" w:cs="Arial"/>
          <w:spacing w:val="-4"/>
          <w:sz w:val="17"/>
          <w:szCs w:val="17"/>
          <w:lang w:val="en-GB" w:eastAsia="en-US"/>
        </w:rPr>
        <w:endnoteRef/>
      </w:r>
      <w:r w:rsidRPr="00757D77">
        <w:rPr>
          <w:rStyle w:val="FootnoteChar"/>
          <w:rFonts w:eastAsia="Calibri"/>
        </w:rPr>
        <w:t xml:space="preserve"> </w:t>
      </w:r>
      <w:r w:rsidRPr="00B93205">
        <w:rPr>
          <w:rStyle w:val="FootnoteChar"/>
          <w:rFonts w:eastAsia="Calibri"/>
          <w:lang w:val="en-GB"/>
        </w:rPr>
        <w:t>Ibid.</w:t>
      </w:r>
    </w:p>
  </w:endnote>
  <w:endnote w:id="22">
    <w:p w14:paraId="02865498" w14:textId="38301BD9"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David Jolly, “L’Oreal Begins to Untangle Its Bonds with Nestle,” </w:t>
      </w:r>
      <w:r w:rsidRPr="00B93205">
        <w:rPr>
          <w:i/>
          <w:spacing w:val="-4"/>
          <w:lang w:val="en-GB"/>
        </w:rPr>
        <w:t>New York Times</w:t>
      </w:r>
      <w:r w:rsidRPr="00B93205">
        <w:rPr>
          <w:spacing w:val="-4"/>
          <w:lang w:val="en-GB"/>
        </w:rPr>
        <w:t xml:space="preserve">, February 11, 2014, accessed July 26, 2018, </w:t>
      </w:r>
      <w:r w:rsidRPr="00B93205">
        <w:rPr>
          <w:rStyle w:val="Hyperlink"/>
          <w:color w:val="auto"/>
          <w:spacing w:val="-4"/>
          <w:u w:val="none"/>
          <w:lang w:val="en-GB"/>
        </w:rPr>
        <w:t>www.nytimes.com/2014/02/12/business/international/loreal-says-it-will-buy-back-8-of-its-shares-from-nestle.html</w:t>
      </w:r>
      <w:r w:rsidRPr="00B93205">
        <w:rPr>
          <w:spacing w:val="-4"/>
          <w:lang w:val="en-GB"/>
        </w:rPr>
        <w:t xml:space="preserve">. </w:t>
      </w:r>
    </w:p>
  </w:endnote>
  <w:endnote w:id="23">
    <w:p w14:paraId="2AD48E1F" w14:textId="7AA38FAD" w:rsidR="007975E9" w:rsidRPr="00B93205" w:rsidRDefault="007975E9" w:rsidP="00CF600D">
      <w:pPr>
        <w:pStyle w:val="Footnote"/>
        <w:rPr>
          <w:lang w:val="en-GB"/>
        </w:rPr>
      </w:pPr>
      <w:r w:rsidRPr="00B93205">
        <w:rPr>
          <w:rStyle w:val="EndnoteReference"/>
          <w:lang w:val="en-GB"/>
        </w:rPr>
        <w:endnoteRef/>
      </w:r>
      <w:r w:rsidRPr="00B93205">
        <w:rPr>
          <w:lang w:val="en-GB"/>
        </w:rPr>
        <w:t xml:space="preserve"> Richard Eder, “Mitterand Beats Giscard; Socialist Victory Reverses Trend of 23 </w:t>
      </w:r>
      <w:r>
        <w:rPr>
          <w:lang w:val="en-GB"/>
        </w:rPr>
        <w:t>Y</w:t>
      </w:r>
      <w:r w:rsidRPr="00B93205">
        <w:rPr>
          <w:lang w:val="en-GB"/>
        </w:rPr>
        <w:t xml:space="preserve">ears in France,” </w:t>
      </w:r>
      <w:r w:rsidRPr="00B93205">
        <w:rPr>
          <w:i/>
          <w:lang w:val="en-GB"/>
        </w:rPr>
        <w:t>New York Times</w:t>
      </w:r>
      <w:r w:rsidRPr="00B93205">
        <w:rPr>
          <w:lang w:val="en-GB"/>
        </w:rPr>
        <w:t>, May, 11, 1981, accessed August 13, 2018, www.nytimes.com/1981/05/11/world/mitterrand-beats-giscard-socialist-victory-reverses-trend-of-23-years-in-france.html.</w:t>
      </w:r>
    </w:p>
  </w:endnote>
  <w:endnote w:id="24">
    <w:p w14:paraId="233B0F1C" w14:textId="7793902E" w:rsidR="007975E9" w:rsidRPr="00B93205" w:rsidRDefault="007975E9">
      <w:pPr>
        <w:pStyle w:val="EndnoteText"/>
        <w:rPr>
          <w:lang w:val="en-GB"/>
        </w:rPr>
      </w:pPr>
      <w:r w:rsidRPr="00757D77">
        <w:rPr>
          <w:rStyle w:val="EndnoteReference"/>
          <w:rFonts w:ascii="Arial" w:eastAsia="Times New Roman" w:hAnsi="Arial" w:cs="Arial"/>
          <w:sz w:val="17"/>
          <w:szCs w:val="17"/>
          <w:lang w:val="en-GB" w:eastAsia="en-US"/>
        </w:rPr>
        <w:endnoteRef/>
      </w:r>
      <w:r w:rsidRPr="00757D77">
        <w:rPr>
          <w:rStyle w:val="EndnoteReference"/>
          <w:rFonts w:ascii="Arial" w:eastAsia="Times New Roman" w:hAnsi="Arial" w:cs="Arial"/>
          <w:sz w:val="17"/>
          <w:szCs w:val="17"/>
          <w:vertAlign w:val="baseline"/>
          <w:lang w:eastAsia="en-US"/>
        </w:rPr>
        <w:t xml:space="preserve"> </w:t>
      </w:r>
      <w:r w:rsidRPr="00B93205">
        <w:rPr>
          <w:rStyle w:val="FootnoteChar"/>
          <w:rFonts w:eastAsia="Calibri"/>
          <w:lang w:val="en-GB"/>
        </w:rPr>
        <w:t>Jolly, op</w:t>
      </w:r>
      <w:r>
        <w:rPr>
          <w:rStyle w:val="FootnoteChar"/>
          <w:rFonts w:eastAsia="Calibri"/>
          <w:lang w:val="en-GB"/>
        </w:rPr>
        <w:t>.</w:t>
      </w:r>
      <w:r w:rsidRPr="00B93205">
        <w:rPr>
          <w:rStyle w:val="FootnoteChar"/>
          <w:rFonts w:eastAsia="Calibri"/>
          <w:lang w:val="en-GB"/>
        </w:rPr>
        <w:t xml:space="preserve"> cit.</w:t>
      </w:r>
    </w:p>
  </w:endnote>
  <w:endnote w:id="25">
    <w:p w14:paraId="7667EB36" w14:textId="5E44B3A1"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“Strategic Transaction Approved by Boards of Nestl</w:t>
      </w:r>
      <w:r>
        <w:rPr>
          <w:spacing w:val="-4"/>
          <w:lang w:val="en-GB"/>
        </w:rPr>
        <w:t>é</w:t>
      </w:r>
      <w:r w:rsidRPr="00B93205">
        <w:rPr>
          <w:spacing w:val="-4"/>
          <w:lang w:val="en-GB"/>
        </w:rPr>
        <w:t xml:space="preserve"> and L’Or</w:t>
      </w:r>
      <w:r>
        <w:rPr>
          <w:spacing w:val="-4"/>
          <w:lang w:val="en-GB"/>
        </w:rPr>
        <w:t>é</w:t>
      </w:r>
      <w:r w:rsidRPr="00B93205">
        <w:rPr>
          <w:spacing w:val="-4"/>
          <w:lang w:val="en-GB"/>
        </w:rPr>
        <w:t xml:space="preserve">al,” press release, February 11, 2014, accessed July 26, 2018, </w:t>
      </w:r>
      <w:r w:rsidRPr="00B93205">
        <w:rPr>
          <w:rStyle w:val="Hyperlink"/>
          <w:color w:val="auto"/>
          <w:spacing w:val="-4"/>
          <w:u w:val="none"/>
          <w:lang w:val="en-GB"/>
        </w:rPr>
        <w:t>www.nestle.com/media/pressreleases/allpressreleases/nestle-loreal-galderma</w:t>
      </w:r>
      <w:r w:rsidRPr="00B93205">
        <w:rPr>
          <w:spacing w:val="-4"/>
          <w:lang w:val="en-GB"/>
        </w:rPr>
        <w:t>.</w:t>
      </w:r>
    </w:p>
  </w:endnote>
  <w:endnote w:id="26">
    <w:p w14:paraId="7A09F4F1" w14:textId="0CAC0800" w:rsidR="007975E9" w:rsidRPr="00B93205" w:rsidRDefault="007975E9" w:rsidP="00AA06C3">
      <w:pPr>
        <w:pStyle w:val="Footnote"/>
        <w:rPr>
          <w:lang w:val="en-GB"/>
        </w:rPr>
      </w:pPr>
      <w:r w:rsidRPr="00B93205">
        <w:rPr>
          <w:rStyle w:val="EndnoteReference"/>
          <w:lang w:val="en-GB"/>
        </w:rPr>
        <w:endnoteRef/>
      </w:r>
      <w:r w:rsidRPr="00B93205">
        <w:rPr>
          <w:lang w:val="en-GB"/>
        </w:rPr>
        <w:t xml:space="preserve"> Sarah White and Sudip Kar-Gupta, “Bettencourt Death Stirs Speculation </w:t>
      </w:r>
      <w:r>
        <w:rPr>
          <w:lang w:val="en-GB"/>
        </w:rPr>
        <w:t>a</w:t>
      </w:r>
      <w:r w:rsidRPr="00B93205">
        <w:rPr>
          <w:lang w:val="en-GB"/>
        </w:rPr>
        <w:t>bout L’Oreal Ownership,” September 22, 2017, accessed August 12, 2019, www.reuters.com/article/us-l-oreal-bettencourt-stocks-idUSKCN1BX0O0</w:t>
      </w:r>
      <w:r>
        <w:rPr>
          <w:lang w:val="en-GB"/>
        </w:rPr>
        <w:t>.</w:t>
      </w:r>
    </w:p>
  </w:endnote>
  <w:endnote w:id="27">
    <w:p w14:paraId="122C46E5" w14:textId="77777777" w:rsidR="002752DF" w:rsidRPr="00B93205" w:rsidRDefault="002752DF" w:rsidP="002752DF">
      <w:pPr>
        <w:pStyle w:val="Footnote"/>
        <w:rPr>
          <w:spacing w:val="-4"/>
          <w:lang w:val="en-GB"/>
        </w:rPr>
      </w:pPr>
      <w:r w:rsidRPr="00B93205">
        <w:rPr>
          <w:rStyle w:val="EndnoteReference"/>
          <w:spacing w:val="-4"/>
          <w:lang w:val="en-GB"/>
        </w:rPr>
        <w:endnoteRef/>
      </w:r>
      <w:r w:rsidRPr="00B93205">
        <w:rPr>
          <w:spacing w:val="-4"/>
          <w:lang w:val="en-GB"/>
        </w:rPr>
        <w:t xml:space="preserve"> Third Point LLC, “Our Company,” accessed July 26, 2018, </w:t>
      </w:r>
      <w:r w:rsidRPr="00B93205">
        <w:rPr>
          <w:rStyle w:val="Hyperlink"/>
          <w:color w:val="auto"/>
          <w:spacing w:val="-4"/>
          <w:u w:val="none"/>
          <w:lang w:val="en-GB"/>
        </w:rPr>
        <w:t>www.thirdpoint.com/our-company</w:t>
      </w:r>
      <w:r w:rsidRPr="00B93205">
        <w:rPr>
          <w:spacing w:val="-4"/>
          <w:lang w:val="en-GB"/>
        </w:rPr>
        <w:t>.</w:t>
      </w:r>
    </w:p>
  </w:endnote>
  <w:endnote w:id="28">
    <w:p w14:paraId="5E95902F" w14:textId="77777777" w:rsidR="002752DF" w:rsidRPr="00B93205" w:rsidRDefault="002752DF" w:rsidP="002752DF">
      <w:pPr>
        <w:pStyle w:val="Footnote"/>
        <w:rPr>
          <w:spacing w:val="-4"/>
          <w:lang w:val="en-GB"/>
        </w:rPr>
      </w:pPr>
      <w:r w:rsidRPr="00B93205">
        <w:rPr>
          <w:rStyle w:val="EndnoteReference"/>
          <w:spacing w:val="-4"/>
          <w:lang w:val="en-GB"/>
        </w:rPr>
        <w:endnoteRef/>
      </w:r>
      <w:r w:rsidRPr="00B93205">
        <w:rPr>
          <w:spacing w:val="-4"/>
          <w:lang w:val="en-GB"/>
        </w:rPr>
        <w:t xml:space="preserve"> Diane Brady, “Why Dan Loeb Loves Yahoo’s Resume-Gate,” Bloomberg, May 8, 2012, accessed July 26, 2018, </w:t>
      </w:r>
      <w:r w:rsidRPr="00B93205">
        <w:rPr>
          <w:rStyle w:val="Hyperlink"/>
          <w:color w:val="auto"/>
          <w:spacing w:val="-4"/>
          <w:u w:val="none"/>
          <w:lang w:val="en-GB"/>
        </w:rPr>
        <w:t>www.bloomberg.com/news/articles/2012-05-08/why-dan-loeb-loves-yahoos-r-sum-gate</w:t>
      </w:r>
      <w:r w:rsidRPr="00B93205">
        <w:rPr>
          <w:spacing w:val="-4"/>
          <w:lang w:val="en-GB"/>
        </w:rPr>
        <w:t>.</w:t>
      </w:r>
    </w:p>
  </w:endnote>
  <w:endnote w:id="29">
    <w:p w14:paraId="53DA2886" w14:textId="2E2F8408"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Charles Riley, “Hedge Fund Targets Sony for Spin-off,” CNNMoney, May 14, 2013, accessed July 26, 2018, </w:t>
      </w:r>
      <w:r w:rsidRPr="00B93205">
        <w:rPr>
          <w:rStyle w:val="Hyperlink"/>
          <w:color w:val="auto"/>
          <w:spacing w:val="-4"/>
          <w:u w:val="none"/>
          <w:lang w:val="en-GB"/>
        </w:rPr>
        <w:t>https://money.cnn.com/2013/05/14/news/companies/sony-third-point/index.html</w:t>
      </w:r>
      <w:r w:rsidRPr="00B93205">
        <w:rPr>
          <w:spacing w:val="-4"/>
          <w:lang w:val="en-GB"/>
        </w:rPr>
        <w:t>.</w:t>
      </w:r>
    </w:p>
  </w:endnote>
  <w:endnote w:id="30">
    <w:p w14:paraId="73518667" w14:textId="3E036C19"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Michael J. De La Merced and Alexandra Stevenson, “Sotheby’s Yields to Hedge Fund Mogul and Allies,” </w:t>
      </w:r>
      <w:r w:rsidRPr="00B93205">
        <w:rPr>
          <w:i/>
          <w:spacing w:val="-4"/>
          <w:lang w:val="en-GB"/>
        </w:rPr>
        <w:t>New York Times</w:t>
      </w:r>
      <w:r w:rsidRPr="00B93205">
        <w:rPr>
          <w:spacing w:val="-4"/>
          <w:lang w:val="en-GB"/>
        </w:rPr>
        <w:t xml:space="preserve">, May 5, 2014, accessed July 26, 2018, </w:t>
      </w:r>
      <w:r w:rsidRPr="00B93205">
        <w:rPr>
          <w:rStyle w:val="Hyperlink"/>
          <w:color w:val="auto"/>
          <w:spacing w:val="-4"/>
          <w:u w:val="none"/>
          <w:lang w:val="en-GB"/>
        </w:rPr>
        <w:t>https://dealbook.nytimes.com/2014/05/05/sothebys-and-loeb-end-fight-over-board/?_php=true&amp;_type=blogs&amp;_r=0</w:t>
      </w:r>
      <w:r w:rsidRPr="00B93205">
        <w:rPr>
          <w:spacing w:val="-4"/>
          <w:lang w:val="en-GB"/>
        </w:rPr>
        <w:t>.</w:t>
      </w:r>
    </w:p>
  </w:endnote>
  <w:endnote w:id="31">
    <w:p w14:paraId="199E0293" w14:textId="2EF270D5"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Third Point LLC, letter to investors, op. cit. </w:t>
      </w:r>
    </w:p>
  </w:endnote>
  <w:endnote w:id="32">
    <w:p w14:paraId="3637EDE2" w14:textId="5EB97A2E"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Ibid. </w:t>
      </w:r>
    </w:p>
  </w:endnote>
  <w:endnote w:id="33">
    <w:p w14:paraId="62339EED" w14:textId="4AACD316"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Ibid.</w:t>
      </w:r>
    </w:p>
  </w:endnote>
  <w:endnote w:id="34">
    <w:p w14:paraId="7164C249" w14:textId="2456C44A"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Third Point LLC, “</w:t>
      </w:r>
      <w:r w:rsidRPr="00B93205">
        <w:rPr>
          <w:lang w:val="en-GB"/>
        </w:rPr>
        <w:t xml:space="preserve">Third Point Publishes Presentation on #Nestlénow,” </w:t>
      </w:r>
      <w:r w:rsidRPr="00B93205">
        <w:rPr>
          <w:spacing w:val="-4"/>
          <w:lang w:val="en-GB"/>
        </w:rPr>
        <w:t xml:space="preserve">press release, July 1, 2018, accessed July 30, 2018, </w:t>
      </w:r>
      <w:r w:rsidRPr="00B93205">
        <w:rPr>
          <w:rStyle w:val="Hyperlink"/>
          <w:color w:val="auto"/>
          <w:spacing w:val="-4"/>
          <w:u w:val="none"/>
          <w:lang w:val="en-GB"/>
        </w:rPr>
        <w:t>www.nestlenow.com/wp-content/uploads/2018/07/Nestle-Press-Release.pdf</w:t>
      </w:r>
      <w:r w:rsidRPr="00B93205">
        <w:rPr>
          <w:spacing w:val="-4"/>
          <w:lang w:val="en-GB"/>
        </w:rPr>
        <w:t>.</w:t>
      </w:r>
    </w:p>
  </w:endnote>
  <w:endnote w:id="35">
    <w:p w14:paraId="3C7A55B0" w14:textId="77777777" w:rsidR="002752DF" w:rsidRPr="00B93205" w:rsidRDefault="002752DF" w:rsidP="002752DF">
      <w:pPr>
        <w:pStyle w:val="Footnote"/>
        <w:rPr>
          <w:spacing w:val="-4"/>
          <w:lang w:val="en-GB"/>
        </w:rPr>
      </w:pPr>
      <w:r w:rsidRPr="00B93205">
        <w:rPr>
          <w:rStyle w:val="EndnoteReference"/>
          <w:spacing w:val="-4"/>
          <w:lang w:val="en-GB"/>
        </w:rPr>
        <w:endnoteRef/>
      </w:r>
      <w:r w:rsidRPr="00B93205">
        <w:rPr>
          <w:spacing w:val="-4"/>
          <w:lang w:val="en-GB"/>
        </w:rPr>
        <w:t xml:space="preserve"> Nestlé S.A., </w:t>
      </w:r>
      <w:r w:rsidRPr="00B93205">
        <w:rPr>
          <w:i/>
          <w:spacing w:val="-4"/>
          <w:lang w:val="en-GB"/>
        </w:rPr>
        <w:t>Nestlé: Strong Foundation, Clear Path Forward, Bright Future</w:t>
      </w:r>
      <w:r w:rsidRPr="00B93205">
        <w:rPr>
          <w:spacing w:val="-4"/>
          <w:lang w:val="en-GB"/>
        </w:rPr>
        <w:t>, op. cit.</w:t>
      </w:r>
    </w:p>
  </w:endnote>
  <w:endnote w:id="36">
    <w:p w14:paraId="289D7AB8" w14:textId="6CA58C11"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Ibid. </w:t>
      </w:r>
    </w:p>
  </w:endnote>
  <w:endnote w:id="37">
    <w:p w14:paraId="3C79AAD4" w14:textId="2FB5101E"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“Nestlé Reports Full-Year Results for 2017,” press release, February 15, 2018, accessed July 30, 2018, </w:t>
      </w:r>
      <w:r w:rsidRPr="00B93205">
        <w:rPr>
          <w:rStyle w:val="Hyperlink"/>
          <w:color w:val="auto"/>
          <w:spacing w:val="-4"/>
          <w:u w:val="none"/>
          <w:lang w:val="en-GB"/>
        </w:rPr>
        <w:t>www.nestle.com/media/pressreleases/allpressreleases/full-year-results-2017</w:t>
      </w:r>
      <w:r w:rsidRPr="00B93205">
        <w:rPr>
          <w:spacing w:val="-4"/>
          <w:lang w:val="en-GB"/>
        </w:rPr>
        <w:t>.</w:t>
      </w:r>
    </w:p>
  </w:endnote>
  <w:endnote w:id="38">
    <w:p w14:paraId="229B5385" w14:textId="50382271"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Hugo Miller and Eva von Schaper, “Nestle Buys Gerber for $5.5 Billion,” </w:t>
      </w:r>
      <w:r w:rsidRPr="00B93205">
        <w:rPr>
          <w:i/>
          <w:spacing w:val="-4"/>
          <w:lang w:val="en-GB"/>
        </w:rPr>
        <w:t>Washington Post</w:t>
      </w:r>
      <w:r w:rsidRPr="00B93205">
        <w:rPr>
          <w:spacing w:val="-4"/>
          <w:lang w:val="en-GB"/>
        </w:rPr>
        <w:t xml:space="preserve">, April 13, 2007, accessed July 30, 2018, </w:t>
      </w:r>
      <w:r w:rsidRPr="00B93205">
        <w:rPr>
          <w:rStyle w:val="Hyperlink"/>
          <w:color w:val="auto"/>
          <w:spacing w:val="-4"/>
          <w:u w:val="none"/>
          <w:lang w:val="en-GB"/>
        </w:rPr>
        <w:t>www.washingtonpost.com/wp-dyn/content/article/2007/04/12/AR2007041200372.html</w:t>
      </w:r>
      <w:r w:rsidRPr="00B93205">
        <w:rPr>
          <w:spacing w:val="-4"/>
          <w:lang w:val="en-GB"/>
        </w:rPr>
        <w:t>.</w:t>
      </w:r>
    </w:p>
  </w:endnote>
  <w:endnote w:id="39">
    <w:p w14:paraId="3BDFDA40" w14:textId="7A66AC3C"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Nestlé S.A., “Nestlé Reports Full-Year Results for 2017,” op. cit.</w:t>
      </w:r>
    </w:p>
  </w:endnote>
  <w:endnote w:id="40">
    <w:p w14:paraId="15C4A74A" w14:textId="7949BF77"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Corrine Gretler, “Nestle CEO Defends Chairman after Criticism from Activist Loeb,” Bloomberg, July 26, 2018, accessed July 30, 2018, </w:t>
      </w:r>
      <w:r w:rsidRPr="00B93205">
        <w:rPr>
          <w:rStyle w:val="Hyperlink"/>
          <w:color w:val="auto"/>
          <w:spacing w:val="-4"/>
          <w:u w:val="none"/>
          <w:lang w:val="en-GB"/>
        </w:rPr>
        <w:t>www.bloomberg.com/news/articles/2018-07-26/nestle-ceo-defends-chairman-after-criticism-from-activist-loeb</w:t>
      </w:r>
      <w:r w:rsidRPr="00B93205">
        <w:rPr>
          <w:spacing w:val="-4"/>
          <w:lang w:val="en-GB"/>
        </w:rPr>
        <w:t>.</w:t>
      </w:r>
    </w:p>
  </w:endnote>
  <w:endnote w:id="41">
    <w:p w14:paraId="345273C9" w14:textId="1CE0AAE0" w:rsidR="007975E9" w:rsidRPr="00B93205" w:rsidRDefault="007975E9" w:rsidP="00A3173F">
      <w:pPr>
        <w:pStyle w:val="Footnote"/>
        <w:rPr>
          <w:spacing w:val="-4"/>
          <w:lang w:val="en-GB"/>
        </w:rPr>
      </w:pPr>
      <w:r w:rsidRPr="00B93205">
        <w:rPr>
          <w:rStyle w:val="EndnoteReference"/>
          <w:spacing w:val="-4"/>
          <w:lang w:val="en-GB"/>
        </w:rPr>
        <w:endnoteRef/>
      </w:r>
      <w:r w:rsidRPr="00B93205">
        <w:rPr>
          <w:spacing w:val="-4"/>
          <w:lang w:val="en-GB"/>
        </w:rPr>
        <w:t xml:space="preserve"> Aleksey Razdolgin, “Nestle: Let’s Address the Elephant in the Room,” Seeking Alpha, July 27, 2018, accessed July 30, 2018, </w:t>
      </w:r>
      <w:r w:rsidRPr="00B93205">
        <w:rPr>
          <w:rStyle w:val="Hyperlink"/>
          <w:color w:val="auto"/>
          <w:spacing w:val="-4"/>
          <w:u w:val="none"/>
          <w:lang w:val="en-GB"/>
        </w:rPr>
        <w:t>https://seekingalpha.com/article/4191239-nestle-address-elephant-room</w:t>
      </w:r>
      <w:r w:rsidRPr="00B93205">
        <w:rPr>
          <w:spacing w:val="-4"/>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CECB0" w14:textId="77777777" w:rsidR="006C1442" w:rsidRDefault="006C1442" w:rsidP="00D75295">
      <w:r>
        <w:separator/>
      </w:r>
    </w:p>
  </w:footnote>
  <w:footnote w:type="continuationSeparator" w:id="0">
    <w:p w14:paraId="3B08FF34" w14:textId="77777777" w:rsidR="006C1442" w:rsidRDefault="006C144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8AD32DD" w:rsidR="007975E9" w:rsidRPr="00C92CC4" w:rsidRDefault="007975E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16B3A">
      <w:rPr>
        <w:rFonts w:ascii="Arial" w:hAnsi="Arial"/>
        <w:b/>
        <w:noProof/>
      </w:rPr>
      <w:t>2</w:t>
    </w:r>
    <w:r>
      <w:rPr>
        <w:rFonts w:ascii="Arial" w:hAnsi="Arial"/>
        <w:b/>
      </w:rPr>
      <w:fldChar w:fldCharType="end"/>
    </w:r>
    <w:r>
      <w:rPr>
        <w:rFonts w:ascii="Arial" w:hAnsi="Arial"/>
        <w:b/>
      </w:rPr>
      <w:tab/>
    </w:r>
    <w:r w:rsidR="007049F2">
      <w:rPr>
        <w:rFonts w:ascii="Arial" w:hAnsi="Arial"/>
        <w:b/>
      </w:rPr>
      <w:t>9B19M125</w:t>
    </w:r>
  </w:p>
  <w:p w14:paraId="2B53C0A0" w14:textId="77777777" w:rsidR="007975E9" w:rsidRDefault="007975E9" w:rsidP="00D13667">
    <w:pPr>
      <w:pStyle w:val="Header"/>
      <w:tabs>
        <w:tab w:val="clear" w:pos="4680"/>
      </w:tabs>
      <w:rPr>
        <w:sz w:val="18"/>
        <w:szCs w:val="18"/>
      </w:rPr>
    </w:pPr>
  </w:p>
  <w:p w14:paraId="47119730" w14:textId="77777777" w:rsidR="007975E9" w:rsidRPr="00C92CC4" w:rsidRDefault="007975E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B63657"/>
    <w:multiLevelType w:val="hybridMultilevel"/>
    <w:tmpl w:val="CBD8C9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E11DAB"/>
    <w:multiLevelType w:val="hybridMultilevel"/>
    <w:tmpl w:val="D0201974"/>
    <w:lvl w:ilvl="0" w:tplc="CC06BD46">
      <w:start w:val="1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0"/>
  </w:num>
  <w:num w:numId="5">
    <w:abstractNumId w:val="4"/>
  </w:num>
  <w:num w:numId="6">
    <w:abstractNumId w:val="8"/>
  </w:num>
  <w:num w:numId="7">
    <w:abstractNumId w:val="0"/>
  </w:num>
  <w:num w:numId="8">
    <w:abstractNumId w:val="13"/>
  </w:num>
  <w:num w:numId="9">
    <w:abstractNumId w:val="9"/>
  </w:num>
  <w:num w:numId="10">
    <w:abstractNumId w:val="2"/>
  </w:num>
  <w:num w:numId="11">
    <w:abstractNumId w:val="6"/>
  </w:num>
  <w:num w:numId="12">
    <w:abstractNumId w:val="7"/>
  </w:num>
  <w:num w:numId="13">
    <w:abstractNumId w:val="11"/>
  </w:num>
  <w:num w:numId="1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63F"/>
    <w:rsid w:val="00013360"/>
    <w:rsid w:val="00016759"/>
    <w:rsid w:val="0002017A"/>
    <w:rsid w:val="000216CE"/>
    <w:rsid w:val="00024ED4"/>
    <w:rsid w:val="00025DC7"/>
    <w:rsid w:val="00035F09"/>
    <w:rsid w:val="00044ECC"/>
    <w:rsid w:val="000531D3"/>
    <w:rsid w:val="0005646B"/>
    <w:rsid w:val="000615D1"/>
    <w:rsid w:val="0008102D"/>
    <w:rsid w:val="000844BE"/>
    <w:rsid w:val="00086B26"/>
    <w:rsid w:val="00094C0E"/>
    <w:rsid w:val="000A146D"/>
    <w:rsid w:val="000A7247"/>
    <w:rsid w:val="000D2A2F"/>
    <w:rsid w:val="000D2BBC"/>
    <w:rsid w:val="000D7091"/>
    <w:rsid w:val="000E1536"/>
    <w:rsid w:val="000F0C22"/>
    <w:rsid w:val="000F3663"/>
    <w:rsid w:val="000F6B09"/>
    <w:rsid w:val="000F6FDC"/>
    <w:rsid w:val="00104567"/>
    <w:rsid w:val="00104916"/>
    <w:rsid w:val="00104AA7"/>
    <w:rsid w:val="0012732D"/>
    <w:rsid w:val="00143F25"/>
    <w:rsid w:val="00143F99"/>
    <w:rsid w:val="00152682"/>
    <w:rsid w:val="00154FC9"/>
    <w:rsid w:val="00187B8D"/>
    <w:rsid w:val="001901C0"/>
    <w:rsid w:val="0019241A"/>
    <w:rsid w:val="00192A18"/>
    <w:rsid w:val="00193B4E"/>
    <w:rsid w:val="001A22D1"/>
    <w:rsid w:val="001A752D"/>
    <w:rsid w:val="001A757E"/>
    <w:rsid w:val="001B5032"/>
    <w:rsid w:val="001C7777"/>
    <w:rsid w:val="001D344B"/>
    <w:rsid w:val="001D4531"/>
    <w:rsid w:val="001E364F"/>
    <w:rsid w:val="001F4222"/>
    <w:rsid w:val="00203AA1"/>
    <w:rsid w:val="00213E98"/>
    <w:rsid w:val="00225AD9"/>
    <w:rsid w:val="00230150"/>
    <w:rsid w:val="0023081A"/>
    <w:rsid w:val="00233111"/>
    <w:rsid w:val="00240401"/>
    <w:rsid w:val="0026112D"/>
    <w:rsid w:val="00265FA8"/>
    <w:rsid w:val="00271DF7"/>
    <w:rsid w:val="002752DF"/>
    <w:rsid w:val="002A0E80"/>
    <w:rsid w:val="002A108D"/>
    <w:rsid w:val="002A7196"/>
    <w:rsid w:val="002B40FF"/>
    <w:rsid w:val="002C4E29"/>
    <w:rsid w:val="002F2724"/>
    <w:rsid w:val="002F460C"/>
    <w:rsid w:val="002F48D6"/>
    <w:rsid w:val="00317391"/>
    <w:rsid w:val="00326216"/>
    <w:rsid w:val="00336580"/>
    <w:rsid w:val="00354899"/>
    <w:rsid w:val="00355FD6"/>
    <w:rsid w:val="00364A5C"/>
    <w:rsid w:val="00373FB1"/>
    <w:rsid w:val="00375549"/>
    <w:rsid w:val="0038587D"/>
    <w:rsid w:val="00396C76"/>
    <w:rsid w:val="003B30D8"/>
    <w:rsid w:val="003B7EF2"/>
    <w:rsid w:val="003C3FA4"/>
    <w:rsid w:val="003D0BA1"/>
    <w:rsid w:val="003F2B0C"/>
    <w:rsid w:val="004105B2"/>
    <w:rsid w:val="0041145A"/>
    <w:rsid w:val="00411935"/>
    <w:rsid w:val="00412900"/>
    <w:rsid w:val="004221E4"/>
    <w:rsid w:val="00426884"/>
    <w:rsid w:val="004273F8"/>
    <w:rsid w:val="004355A3"/>
    <w:rsid w:val="004445E9"/>
    <w:rsid w:val="00446546"/>
    <w:rsid w:val="00450997"/>
    <w:rsid w:val="00452769"/>
    <w:rsid w:val="00454FA7"/>
    <w:rsid w:val="0045637D"/>
    <w:rsid w:val="00456CFE"/>
    <w:rsid w:val="00465348"/>
    <w:rsid w:val="00492FDE"/>
    <w:rsid w:val="004979A5"/>
    <w:rsid w:val="004A25E0"/>
    <w:rsid w:val="004B0031"/>
    <w:rsid w:val="004B1CCB"/>
    <w:rsid w:val="004B302F"/>
    <w:rsid w:val="004B632F"/>
    <w:rsid w:val="004C7C7B"/>
    <w:rsid w:val="004D3FB1"/>
    <w:rsid w:val="004D6F21"/>
    <w:rsid w:val="004D73A5"/>
    <w:rsid w:val="0050302F"/>
    <w:rsid w:val="005160F1"/>
    <w:rsid w:val="00516B3A"/>
    <w:rsid w:val="00524F2F"/>
    <w:rsid w:val="005265F4"/>
    <w:rsid w:val="00527E5C"/>
    <w:rsid w:val="00532CF5"/>
    <w:rsid w:val="005528CB"/>
    <w:rsid w:val="00566771"/>
    <w:rsid w:val="00581E2E"/>
    <w:rsid w:val="00584F15"/>
    <w:rsid w:val="005860F0"/>
    <w:rsid w:val="00593769"/>
    <w:rsid w:val="0059514B"/>
    <w:rsid w:val="005A1B0F"/>
    <w:rsid w:val="005A25AB"/>
    <w:rsid w:val="005B4CE6"/>
    <w:rsid w:val="005B5EFE"/>
    <w:rsid w:val="005C2E11"/>
    <w:rsid w:val="005C71B8"/>
    <w:rsid w:val="005F6155"/>
    <w:rsid w:val="00607D80"/>
    <w:rsid w:val="006163F7"/>
    <w:rsid w:val="00627C63"/>
    <w:rsid w:val="0063350B"/>
    <w:rsid w:val="00652606"/>
    <w:rsid w:val="00661C0F"/>
    <w:rsid w:val="006946EE"/>
    <w:rsid w:val="00694D46"/>
    <w:rsid w:val="006A58A9"/>
    <w:rsid w:val="006A606D"/>
    <w:rsid w:val="006A6783"/>
    <w:rsid w:val="006C0371"/>
    <w:rsid w:val="006C08B6"/>
    <w:rsid w:val="006C0B1A"/>
    <w:rsid w:val="006C1442"/>
    <w:rsid w:val="006C1C68"/>
    <w:rsid w:val="006C5488"/>
    <w:rsid w:val="006C6065"/>
    <w:rsid w:val="006C7F9F"/>
    <w:rsid w:val="006E2F6D"/>
    <w:rsid w:val="006E58F6"/>
    <w:rsid w:val="006E77E1"/>
    <w:rsid w:val="006F131D"/>
    <w:rsid w:val="007049F2"/>
    <w:rsid w:val="00711642"/>
    <w:rsid w:val="00713A18"/>
    <w:rsid w:val="00732583"/>
    <w:rsid w:val="007507C6"/>
    <w:rsid w:val="00751E0B"/>
    <w:rsid w:val="00752BCD"/>
    <w:rsid w:val="00757D77"/>
    <w:rsid w:val="00766DA1"/>
    <w:rsid w:val="00767004"/>
    <w:rsid w:val="00780D94"/>
    <w:rsid w:val="007866A6"/>
    <w:rsid w:val="007975E9"/>
    <w:rsid w:val="00797E74"/>
    <w:rsid w:val="007A130D"/>
    <w:rsid w:val="007D1A2D"/>
    <w:rsid w:val="007D32E6"/>
    <w:rsid w:val="007D4102"/>
    <w:rsid w:val="007D7D64"/>
    <w:rsid w:val="007E17AE"/>
    <w:rsid w:val="007E54A7"/>
    <w:rsid w:val="007F43B7"/>
    <w:rsid w:val="007F6AFA"/>
    <w:rsid w:val="00820C99"/>
    <w:rsid w:val="00821FFC"/>
    <w:rsid w:val="00824976"/>
    <w:rsid w:val="008271CA"/>
    <w:rsid w:val="008467D5"/>
    <w:rsid w:val="00852AE9"/>
    <w:rsid w:val="00857348"/>
    <w:rsid w:val="0087008E"/>
    <w:rsid w:val="00882B7F"/>
    <w:rsid w:val="00893D3C"/>
    <w:rsid w:val="008A4DC4"/>
    <w:rsid w:val="008B438C"/>
    <w:rsid w:val="008C02EC"/>
    <w:rsid w:val="008C6E86"/>
    <w:rsid w:val="008D06CA"/>
    <w:rsid w:val="008D3A46"/>
    <w:rsid w:val="008F2385"/>
    <w:rsid w:val="009067A4"/>
    <w:rsid w:val="009116DA"/>
    <w:rsid w:val="0092669A"/>
    <w:rsid w:val="00930885"/>
    <w:rsid w:val="00933D68"/>
    <w:rsid w:val="009340DB"/>
    <w:rsid w:val="0094618C"/>
    <w:rsid w:val="0095342C"/>
    <w:rsid w:val="0095684B"/>
    <w:rsid w:val="00972498"/>
    <w:rsid w:val="0097481F"/>
    <w:rsid w:val="00974CC6"/>
    <w:rsid w:val="00976AD4"/>
    <w:rsid w:val="00995547"/>
    <w:rsid w:val="009A312F"/>
    <w:rsid w:val="009A5348"/>
    <w:rsid w:val="009B0AB7"/>
    <w:rsid w:val="009C76D5"/>
    <w:rsid w:val="009F15EA"/>
    <w:rsid w:val="009F7AA4"/>
    <w:rsid w:val="00A10A1F"/>
    <w:rsid w:val="00A10AD7"/>
    <w:rsid w:val="00A10D3D"/>
    <w:rsid w:val="00A3173F"/>
    <w:rsid w:val="00A323B0"/>
    <w:rsid w:val="00A3482E"/>
    <w:rsid w:val="00A559DB"/>
    <w:rsid w:val="00A569EA"/>
    <w:rsid w:val="00A676A0"/>
    <w:rsid w:val="00AA0592"/>
    <w:rsid w:val="00AA06C3"/>
    <w:rsid w:val="00AC6AE6"/>
    <w:rsid w:val="00AD4632"/>
    <w:rsid w:val="00AE4AE9"/>
    <w:rsid w:val="00AF35FC"/>
    <w:rsid w:val="00AF5556"/>
    <w:rsid w:val="00B03639"/>
    <w:rsid w:val="00B04587"/>
    <w:rsid w:val="00B0652A"/>
    <w:rsid w:val="00B131F5"/>
    <w:rsid w:val="00B40937"/>
    <w:rsid w:val="00B423EF"/>
    <w:rsid w:val="00B453DE"/>
    <w:rsid w:val="00B51E7C"/>
    <w:rsid w:val="00B52BA3"/>
    <w:rsid w:val="00B62497"/>
    <w:rsid w:val="00B72597"/>
    <w:rsid w:val="00B808E0"/>
    <w:rsid w:val="00B87DC0"/>
    <w:rsid w:val="00B901F9"/>
    <w:rsid w:val="00B93205"/>
    <w:rsid w:val="00BC4D98"/>
    <w:rsid w:val="00BD6EFB"/>
    <w:rsid w:val="00BE3DF5"/>
    <w:rsid w:val="00BF5EAB"/>
    <w:rsid w:val="00C02410"/>
    <w:rsid w:val="00C1584D"/>
    <w:rsid w:val="00C15BE2"/>
    <w:rsid w:val="00C15CEF"/>
    <w:rsid w:val="00C3447F"/>
    <w:rsid w:val="00C37203"/>
    <w:rsid w:val="00C44714"/>
    <w:rsid w:val="00C55936"/>
    <w:rsid w:val="00C67102"/>
    <w:rsid w:val="00C81491"/>
    <w:rsid w:val="00C81676"/>
    <w:rsid w:val="00C85C5D"/>
    <w:rsid w:val="00C91A14"/>
    <w:rsid w:val="00C92CC4"/>
    <w:rsid w:val="00CA0AFB"/>
    <w:rsid w:val="00CA2CE1"/>
    <w:rsid w:val="00CA3976"/>
    <w:rsid w:val="00CA50E3"/>
    <w:rsid w:val="00CA757B"/>
    <w:rsid w:val="00CC1787"/>
    <w:rsid w:val="00CC182C"/>
    <w:rsid w:val="00CC763D"/>
    <w:rsid w:val="00CD0824"/>
    <w:rsid w:val="00CD2908"/>
    <w:rsid w:val="00CE4822"/>
    <w:rsid w:val="00CF3F16"/>
    <w:rsid w:val="00CF600D"/>
    <w:rsid w:val="00CF69AD"/>
    <w:rsid w:val="00D03A82"/>
    <w:rsid w:val="00D12C82"/>
    <w:rsid w:val="00D13667"/>
    <w:rsid w:val="00D15344"/>
    <w:rsid w:val="00D23F57"/>
    <w:rsid w:val="00D31BEC"/>
    <w:rsid w:val="00D3487B"/>
    <w:rsid w:val="00D4370C"/>
    <w:rsid w:val="00D62D7C"/>
    <w:rsid w:val="00D63150"/>
    <w:rsid w:val="00D636BA"/>
    <w:rsid w:val="00D64A32"/>
    <w:rsid w:val="00D64EFC"/>
    <w:rsid w:val="00D75295"/>
    <w:rsid w:val="00D76CE9"/>
    <w:rsid w:val="00D84C21"/>
    <w:rsid w:val="00D97F12"/>
    <w:rsid w:val="00DA6095"/>
    <w:rsid w:val="00DB42E7"/>
    <w:rsid w:val="00DB74EF"/>
    <w:rsid w:val="00DC09D8"/>
    <w:rsid w:val="00DD5762"/>
    <w:rsid w:val="00DD6AE3"/>
    <w:rsid w:val="00DE01A6"/>
    <w:rsid w:val="00DE7A98"/>
    <w:rsid w:val="00DF32C2"/>
    <w:rsid w:val="00E209E5"/>
    <w:rsid w:val="00E43714"/>
    <w:rsid w:val="00E471A7"/>
    <w:rsid w:val="00E635CF"/>
    <w:rsid w:val="00E77B62"/>
    <w:rsid w:val="00EB033A"/>
    <w:rsid w:val="00EB1E3B"/>
    <w:rsid w:val="00EC2C6A"/>
    <w:rsid w:val="00EC6E0A"/>
    <w:rsid w:val="00EC7B76"/>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wsj.com/articles/nestle-unmoved-by-third-point-demands-1498480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D34EA-0992-458B-BB42-E38EF1DB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7</cp:revision>
  <cp:lastPrinted>2019-08-13T16:02:00Z</cp:lastPrinted>
  <dcterms:created xsi:type="dcterms:W3CDTF">2019-10-18T15:32:00Z</dcterms:created>
  <dcterms:modified xsi:type="dcterms:W3CDTF">2019-10-29T18:52:00Z</dcterms:modified>
</cp:coreProperties>
</file>