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06C5A" w14:textId="7A7E9FAE" w:rsidR="000832D9" w:rsidRPr="00056725" w:rsidRDefault="002E7F31"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66C0E0E7" wp14:editId="1080E027">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5CDABA6" w:rsidR="00C02410" w:rsidRPr="00056725" w:rsidRDefault="004F5980" w:rsidP="00C02410">
      <w:pPr>
        <w:pStyle w:val="ProductNumber"/>
        <w:rPr>
          <w:lang w:val="en-GB"/>
        </w:rPr>
      </w:pPr>
      <w:r>
        <w:rPr>
          <w:lang w:val="en-GB"/>
        </w:rPr>
        <w:t>9B19M135</w:t>
      </w:r>
    </w:p>
    <w:p w14:paraId="4E057522" w14:textId="7A113CB1" w:rsidR="00D75295" w:rsidRPr="00056725" w:rsidRDefault="00D75295" w:rsidP="00D75295">
      <w:pPr>
        <w:jc w:val="right"/>
        <w:rPr>
          <w:rFonts w:ascii="Arial" w:hAnsi="Arial"/>
          <w:b/>
          <w:lang w:val="en-GB"/>
        </w:rPr>
      </w:pPr>
    </w:p>
    <w:p w14:paraId="02524312" w14:textId="77777777" w:rsidR="001901C0" w:rsidRPr="00056725" w:rsidRDefault="001901C0" w:rsidP="00D75295">
      <w:pPr>
        <w:jc w:val="right"/>
        <w:rPr>
          <w:rFonts w:ascii="Arial" w:hAnsi="Arial"/>
          <w:b/>
          <w:lang w:val="en-GB"/>
        </w:rPr>
      </w:pPr>
    </w:p>
    <w:p w14:paraId="2F03D26A" w14:textId="2EB9EC7D" w:rsidR="00013360" w:rsidRPr="00056725" w:rsidRDefault="000832D9" w:rsidP="00013360">
      <w:pPr>
        <w:pStyle w:val="CaseTitle"/>
        <w:spacing w:after="0" w:line="240" w:lineRule="auto"/>
        <w:rPr>
          <w:sz w:val="20"/>
          <w:szCs w:val="20"/>
          <w:lang w:val="en-GB"/>
        </w:rPr>
      </w:pPr>
      <w:r w:rsidRPr="00056725">
        <w:rPr>
          <w:lang w:val="en-GB"/>
        </w:rPr>
        <w:t xml:space="preserve">GREATWALL </w:t>
      </w:r>
      <w:r w:rsidR="00A879F6">
        <w:rPr>
          <w:lang w:val="en-GB"/>
        </w:rPr>
        <w:t>Enterprise Institute</w:t>
      </w:r>
      <w:r w:rsidRPr="00056725">
        <w:rPr>
          <w:lang w:val="en-GB"/>
        </w:rPr>
        <w:t>: EXPLORING NEW DIRECTIONS AFTER RAPID GROWTH</w:t>
      </w:r>
    </w:p>
    <w:p w14:paraId="40ABF6FD" w14:textId="77777777" w:rsidR="00CA3976" w:rsidRPr="00056725" w:rsidRDefault="00CA3976" w:rsidP="00013360">
      <w:pPr>
        <w:pStyle w:val="CaseTitle"/>
        <w:spacing w:after="0" w:line="240" w:lineRule="auto"/>
        <w:rPr>
          <w:sz w:val="20"/>
          <w:szCs w:val="20"/>
          <w:lang w:val="en-GB"/>
        </w:rPr>
      </w:pPr>
    </w:p>
    <w:p w14:paraId="202F1085" w14:textId="77777777" w:rsidR="00013360" w:rsidRPr="00056725" w:rsidRDefault="00013360" w:rsidP="00013360">
      <w:pPr>
        <w:pStyle w:val="CaseTitle"/>
        <w:spacing w:after="0" w:line="240" w:lineRule="auto"/>
        <w:rPr>
          <w:sz w:val="20"/>
          <w:szCs w:val="20"/>
          <w:lang w:val="en-GB"/>
        </w:rPr>
      </w:pPr>
    </w:p>
    <w:p w14:paraId="58B0C73F" w14:textId="164E655F" w:rsidR="00086B26" w:rsidRPr="00056725" w:rsidRDefault="000832D9" w:rsidP="00086B26">
      <w:pPr>
        <w:pStyle w:val="StyleCopyrightStatementAfter0ptBottomSinglesolidline1"/>
        <w:rPr>
          <w:lang w:val="en-GB"/>
        </w:rPr>
      </w:pPr>
      <w:r w:rsidRPr="00056725">
        <w:rPr>
          <w:lang w:val="en-GB"/>
        </w:rPr>
        <w:t xml:space="preserve">Shaomin Li </w:t>
      </w:r>
      <w:r w:rsidR="00086B26" w:rsidRPr="00056725">
        <w:rPr>
          <w:lang w:val="en-GB"/>
        </w:rPr>
        <w:t>wrote this case solely to provide material for class discussion. The author do</w:t>
      </w:r>
      <w:r w:rsidR="00257011">
        <w:rPr>
          <w:lang w:val="en-GB"/>
        </w:rPr>
        <w:t>es</w:t>
      </w:r>
      <w:r w:rsidR="00086B26" w:rsidRPr="00056725">
        <w:rPr>
          <w:lang w:val="en-GB"/>
        </w:rPr>
        <w:t xml:space="preserve"> not intend to illustrate either effective or ineffective handling of a m</w:t>
      </w:r>
      <w:r w:rsidR="00014650" w:rsidRPr="00056725">
        <w:rPr>
          <w:lang w:val="en-GB"/>
        </w:rPr>
        <w:t>anagerial situation. The author</w:t>
      </w:r>
      <w:r w:rsidR="00086B26" w:rsidRPr="00056725">
        <w:rPr>
          <w:lang w:val="en-GB"/>
        </w:rPr>
        <w:t xml:space="preserve"> may have disguised certain names and other identifying information to protect confidentiality.</w:t>
      </w:r>
    </w:p>
    <w:p w14:paraId="10D89D5F" w14:textId="77777777" w:rsidR="00086B26" w:rsidRPr="00056725" w:rsidRDefault="00086B26" w:rsidP="00086B26">
      <w:pPr>
        <w:pStyle w:val="StyleCopyrightStatementAfter0ptBottomSinglesolidline1"/>
        <w:rPr>
          <w:lang w:val="en-GB"/>
        </w:rPr>
      </w:pPr>
    </w:p>
    <w:p w14:paraId="46B495C0" w14:textId="77777777" w:rsidR="002E7F31" w:rsidRPr="00A323B0" w:rsidRDefault="002E7F31" w:rsidP="002E7F31">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DC6D068" w14:textId="77777777" w:rsidR="000832D9" w:rsidRPr="00056725" w:rsidRDefault="000832D9" w:rsidP="00A323B0">
      <w:pPr>
        <w:pStyle w:val="StyleStyleCopyrightStatementAfter0ptBottomSinglesolid"/>
        <w:rPr>
          <w:rFonts w:cs="Arial"/>
          <w:szCs w:val="16"/>
          <w:lang w:val="en-GB"/>
        </w:rPr>
      </w:pPr>
    </w:p>
    <w:p w14:paraId="3922E14F" w14:textId="17F6A75A" w:rsidR="00751E0B" w:rsidRPr="00056725" w:rsidRDefault="002E7F31"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56725">
        <w:rPr>
          <w:rFonts w:cs="Arial"/>
          <w:iCs w:val="0"/>
          <w:color w:val="auto"/>
          <w:szCs w:val="16"/>
          <w:lang w:val="en-GB"/>
        </w:rPr>
        <w:tab/>
        <w:t xml:space="preserve">Version: </w:t>
      </w:r>
      <w:r w:rsidR="000832D9" w:rsidRPr="00056725">
        <w:rPr>
          <w:rFonts w:cs="Arial"/>
          <w:iCs w:val="0"/>
          <w:color w:val="auto"/>
          <w:szCs w:val="16"/>
          <w:lang w:val="en-GB"/>
        </w:rPr>
        <w:t>2019-</w:t>
      </w:r>
      <w:r w:rsidR="009E43A8">
        <w:rPr>
          <w:rFonts w:cs="Arial"/>
          <w:iCs w:val="0"/>
          <w:color w:val="auto"/>
          <w:szCs w:val="16"/>
          <w:lang w:val="en-GB"/>
        </w:rPr>
        <w:t>11-</w:t>
      </w:r>
      <w:r w:rsidR="00A879F6">
        <w:rPr>
          <w:rFonts w:cs="Arial"/>
          <w:iCs w:val="0"/>
          <w:color w:val="auto"/>
          <w:szCs w:val="16"/>
          <w:lang w:val="en-GB"/>
        </w:rPr>
        <w:t>26</w:t>
      </w:r>
    </w:p>
    <w:p w14:paraId="0A2A54E4" w14:textId="77777777" w:rsidR="00751E0B" w:rsidRPr="00056725" w:rsidRDefault="00751E0B" w:rsidP="00751E0B">
      <w:pPr>
        <w:pStyle w:val="StyleCopyrightStatementAfter0ptBottomSinglesolidline1"/>
        <w:rPr>
          <w:rFonts w:ascii="Times New Roman" w:hAnsi="Times New Roman"/>
          <w:sz w:val="20"/>
          <w:lang w:val="en-GB"/>
        </w:rPr>
      </w:pPr>
    </w:p>
    <w:p w14:paraId="2C183161" w14:textId="420DE20E" w:rsidR="00B87DC0" w:rsidRPr="00056725" w:rsidRDefault="00B87DC0" w:rsidP="004A0A1E">
      <w:pPr>
        <w:pStyle w:val="BodyTextMain"/>
        <w:rPr>
          <w:i/>
          <w:sz w:val="20"/>
          <w:lang w:val="en-GB"/>
        </w:rPr>
      </w:pPr>
    </w:p>
    <w:p w14:paraId="70343D61" w14:textId="7D0AEC97" w:rsidR="004A0A1E" w:rsidRPr="00056725" w:rsidRDefault="009D0DA7" w:rsidP="004A0A1E">
      <w:pPr>
        <w:pStyle w:val="BodyTextMain"/>
        <w:rPr>
          <w:lang w:val="en-GB"/>
        </w:rPr>
      </w:pPr>
      <w:r>
        <w:rPr>
          <w:lang w:val="en-GB"/>
        </w:rPr>
        <w:t>On December 31, 201</w:t>
      </w:r>
      <w:r w:rsidR="00A879F6">
        <w:rPr>
          <w:lang w:val="en-GB"/>
        </w:rPr>
        <w:t>8</w:t>
      </w:r>
      <w:r>
        <w:rPr>
          <w:lang w:val="en-GB"/>
        </w:rPr>
        <w:t xml:space="preserve">, in </w:t>
      </w:r>
      <w:r w:rsidR="004A0A1E" w:rsidRPr="00056725">
        <w:rPr>
          <w:lang w:val="en-GB"/>
        </w:rPr>
        <w:t xml:space="preserve">Beijing, </w:t>
      </w:r>
      <w:r w:rsidRPr="00056725">
        <w:rPr>
          <w:lang w:val="en-GB"/>
        </w:rPr>
        <w:t>the chief executive officer (CEO) of Beijing Greatwall Enterprise Institute (GEI),</w:t>
      </w:r>
      <w:r>
        <w:rPr>
          <w:lang w:val="en-GB"/>
        </w:rPr>
        <w:t xml:space="preserve"> </w:t>
      </w:r>
      <w:r w:rsidRPr="00056725">
        <w:rPr>
          <w:lang w:val="en-GB"/>
        </w:rPr>
        <w:t>Wang Delu,</w:t>
      </w:r>
      <w:r>
        <w:rPr>
          <w:lang w:val="en-GB"/>
        </w:rPr>
        <w:t xml:space="preserve"> </w:t>
      </w:r>
      <w:r w:rsidR="004A0A1E" w:rsidRPr="00056725">
        <w:rPr>
          <w:lang w:val="en-GB"/>
        </w:rPr>
        <w:t xml:space="preserve">found himself </w:t>
      </w:r>
      <w:r w:rsidR="00E919BE" w:rsidRPr="00056725">
        <w:rPr>
          <w:lang w:val="en-GB"/>
        </w:rPr>
        <w:t>marvelling</w:t>
      </w:r>
      <w:r w:rsidR="004A0A1E" w:rsidRPr="00056725">
        <w:rPr>
          <w:lang w:val="en-GB"/>
        </w:rPr>
        <w:t xml:space="preserve"> at the rapid changes that had occurred </w:t>
      </w:r>
      <w:r w:rsidR="004B5025" w:rsidRPr="00056725">
        <w:rPr>
          <w:lang w:val="en-GB"/>
        </w:rPr>
        <w:t xml:space="preserve">in the landscape </w:t>
      </w:r>
      <w:r w:rsidR="004A0A1E" w:rsidRPr="00056725">
        <w:rPr>
          <w:lang w:val="en-GB"/>
        </w:rPr>
        <w:t xml:space="preserve">in front of </w:t>
      </w:r>
      <w:r w:rsidR="004B5025" w:rsidRPr="00056725">
        <w:rPr>
          <w:lang w:val="en-GB"/>
        </w:rPr>
        <w:t>him</w:t>
      </w:r>
      <w:r w:rsidR="004A0A1E" w:rsidRPr="00056725">
        <w:rPr>
          <w:lang w:val="en-GB"/>
        </w:rPr>
        <w:t xml:space="preserve">. The scene below </w:t>
      </w:r>
      <w:r>
        <w:rPr>
          <w:lang w:val="en-GB"/>
        </w:rPr>
        <w:t xml:space="preserve">his office window </w:t>
      </w:r>
      <w:r w:rsidR="004A0A1E" w:rsidRPr="00056725">
        <w:rPr>
          <w:lang w:val="en-GB"/>
        </w:rPr>
        <w:t>was a busy, multi</w:t>
      </w:r>
      <w:r w:rsidR="004B5025" w:rsidRPr="00056725">
        <w:rPr>
          <w:lang w:val="en-GB"/>
        </w:rPr>
        <w:t>-</w:t>
      </w:r>
      <w:r w:rsidR="004A0A1E" w:rsidRPr="00056725">
        <w:rPr>
          <w:lang w:val="en-GB"/>
        </w:rPr>
        <w:t>lane boulevard</w:t>
      </w:r>
      <w:r w:rsidR="004B5025" w:rsidRPr="00056725">
        <w:rPr>
          <w:lang w:val="en-GB"/>
        </w:rPr>
        <w:t>,</w:t>
      </w:r>
      <w:r w:rsidR="004A0A1E" w:rsidRPr="00056725">
        <w:rPr>
          <w:lang w:val="en-GB"/>
        </w:rPr>
        <w:t xml:space="preserve"> with highway overpasses and high</w:t>
      </w:r>
      <w:r w:rsidR="004B5025" w:rsidRPr="00056725">
        <w:rPr>
          <w:lang w:val="en-GB"/>
        </w:rPr>
        <w:t>-</w:t>
      </w:r>
      <w:r w:rsidR="004A0A1E" w:rsidRPr="00056725">
        <w:rPr>
          <w:lang w:val="en-GB"/>
        </w:rPr>
        <w:t>rises in the background, a vast cloud of smog</w:t>
      </w:r>
      <w:r w:rsidR="004B5025" w:rsidRPr="00056725">
        <w:rPr>
          <w:lang w:val="en-GB"/>
        </w:rPr>
        <w:t>, and</w:t>
      </w:r>
      <w:r w:rsidR="004A0A1E" w:rsidRPr="00056725">
        <w:rPr>
          <w:lang w:val="en-GB"/>
        </w:rPr>
        <w:t xml:space="preserve"> an endless stream of cars. But </w:t>
      </w:r>
      <w:r w:rsidR="004B5025" w:rsidRPr="00056725">
        <w:rPr>
          <w:lang w:val="en-GB"/>
        </w:rPr>
        <w:t>25</w:t>
      </w:r>
      <w:r w:rsidR="004A0A1E" w:rsidRPr="00056725">
        <w:rPr>
          <w:lang w:val="en-GB"/>
        </w:rPr>
        <w:t xml:space="preserve"> years ago, the view had been one of quiet farmland with occasional donkey-drawn carts.</w:t>
      </w:r>
      <w:r w:rsidR="00014650" w:rsidRPr="00056725">
        <w:rPr>
          <w:lang w:val="en-GB"/>
        </w:rPr>
        <w:t xml:space="preserve"> </w:t>
      </w:r>
    </w:p>
    <w:p w14:paraId="22F16169" w14:textId="77777777" w:rsidR="00014650" w:rsidRPr="00295CFF" w:rsidRDefault="00014650" w:rsidP="004A0A1E">
      <w:pPr>
        <w:pStyle w:val="BodyTextMain"/>
        <w:rPr>
          <w:sz w:val="18"/>
          <w:lang w:val="en-GB"/>
        </w:rPr>
      </w:pPr>
    </w:p>
    <w:p w14:paraId="1F23AB8D" w14:textId="63F2D2CD" w:rsidR="004A0A1E" w:rsidRPr="00056725" w:rsidRDefault="004A0A1E" w:rsidP="004A0A1E">
      <w:pPr>
        <w:pStyle w:val="BodyTextMain"/>
        <w:rPr>
          <w:lang w:val="en-GB"/>
        </w:rPr>
      </w:pPr>
      <w:r w:rsidRPr="00056725">
        <w:rPr>
          <w:lang w:val="en-GB"/>
        </w:rPr>
        <w:t xml:space="preserve">Back in 1993, Wang had just started </w:t>
      </w:r>
      <w:r w:rsidR="00A72CA5" w:rsidRPr="00056725">
        <w:rPr>
          <w:lang w:val="en-GB"/>
        </w:rPr>
        <w:t>GEI</w:t>
      </w:r>
      <w:r w:rsidRPr="00056725">
        <w:rPr>
          <w:lang w:val="en-GB"/>
        </w:rPr>
        <w:t xml:space="preserve"> with five associates and </w:t>
      </w:r>
      <w:r w:rsidR="004B5025" w:rsidRPr="00056725">
        <w:rPr>
          <w:lang w:val="en-GB"/>
        </w:rPr>
        <w:t xml:space="preserve">a </w:t>
      </w:r>
      <w:r w:rsidRPr="00056725">
        <w:rPr>
          <w:lang w:val="en-GB"/>
        </w:rPr>
        <w:t>first consulting contract</w:t>
      </w:r>
      <w:r w:rsidR="004B5025" w:rsidRPr="00056725">
        <w:rPr>
          <w:lang w:val="en-GB"/>
        </w:rPr>
        <w:t>, worth ¥</w:t>
      </w:r>
      <w:r w:rsidRPr="00056725">
        <w:rPr>
          <w:lang w:val="en-GB"/>
        </w:rPr>
        <w:t>10,000</w:t>
      </w:r>
      <w:r w:rsidR="004B5025" w:rsidRPr="00056725">
        <w:rPr>
          <w:rStyle w:val="FootnoteReference"/>
          <w:lang w:val="en-GB"/>
        </w:rPr>
        <w:footnoteReference w:id="1"/>
      </w:r>
      <w:r w:rsidRPr="00056725">
        <w:rPr>
          <w:lang w:val="en-GB"/>
        </w:rPr>
        <w:t xml:space="preserve"> (US$1,500). </w:t>
      </w:r>
      <w:r w:rsidR="00CB0831">
        <w:rPr>
          <w:lang w:val="en-GB"/>
        </w:rPr>
        <w:t>By 2019</w:t>
      </w:r>
      <w:r w:rsidRPr="00056725">
        <w:rPr>
          <w:lang w:val="en-GB"/>
        </w:rPr>
        <w:t>, the institute, which specialized in consulting services for the development of science and technology parks (STPs) in China, employed more than 350 professionals</w:t>
      </w:r>
      <w:r w:rsidR="004B5025" w:rsidRPr="00056725">
        <w:rPr>
          <w:lang w:val="en-GB"/>
        </w:rPr>
        <w:t xml:space="preserve"> and had</w:t>
      </w:r>
      <w:r w:rsidRPr="00056725">
        <w:rPr>
          <w:lang w:val="en-GB"/>
        </w:rPr>
        <w:t xml:space="preserve"> 12 regional offices in strategic locations throughout China </w:t>
      </w:r>
      <w:r w:rsidR="005427CA" w:rsidRPr="00056725">
        <w:rPr>
          <w:lang w:val="en-GB"/>
        </w:rPr>
        <w:t>(see Exhibits 1 and 2).</w:t>
      </w:r>
      <w:r w:rsidR="005427CA">
        <w:rPr>
          <w:lang w:val="en-GB"/>
        </w:rPr>
        <w:t>The institute had</w:t>
      </w:r>
      <w:r w:rsidRPr="00056725">
        <w:rPr>
          <w:lang w:val="en-GB"/>
        </w:rPr>
        <w:t xml:space="preserve"> an annual revenue of more than </w:t>
      </w:r>
      <w:r w:rsidR="004B5025" w:rsidRPr="00056725">
        <w:rPr>
          <w:lang w:val="en-GB"/>
        </w:rPr>
        <w:t>¥</w:t>
      </w:r>
      <w:r w:rsidRPr="00056725">
        <w:rPr>
          <w:lang w:val="en-GB"/>
        </w:rPr>
        <w:t>20</w:t>
      </w:r>
      <w:r w:rsidR="005427CA">
        <w:rPr>
          <w:lang w:val="en-GB"/>
        </w:rPr>
        <w:t>0 million (about US$30 million).</w:t>
      </w:r>
    </w:p>
    <w:p w14:paraId="70933954" w14:textId="77777777" w:rsidR="004A0A1E" w:rsidRPr="00295CFF" w:rsidRDefault="004A0A1E" w:rsidP="004A0A1E">
      <w:pPr>
        <w:pStyle w:val="BodyTextMain"/>
        <w:rPr>
          <w:sz w:val="18"/>
          <w:lang w:val="en-GB"/>
        </w:rPr>
      </w:pPr>
    </w:p>
    <w:p w14:paraId="599CE686" w14:textId="28A5AC36" w:rsidR="004A0A1E" w:rsidRPr="00056725" w:rsidRDefault="004B5025" w:rsidP="004A0A1E">
      <w:pPr>
        <w:pStyle w:val="BodyTextMain"/>
        <w:rPr>
          <w:lang w:val="en-GB"/>
        </w:rPr>
      </w:pPr>
      <w:r w:rsidRPr="00056725">
        <w:rPr>
          <w:lang w:val="en-GB"/>
        </w:rPr>
        <w:t>A</w:t>
      </w:r>
      <w:r w:rsidR="004A0A1E" w:rsidRPr="00056725">
        <w:rPr>
          <w:lang w:val="en-GB"/>
        </w:rPr>
        <w:t xml:space="preserve">fter </w:t>
      </w:r>
      <w:r w:rsidRPr="00056725">
        <w:rPr>
          <w:lang w:val="en-GB"/>
        </w:rPr>
        <w:t>25</w:t>
      </w:r>
      <w:r w:rsidR="004A0A1E" w:rsidRPr="00056725">
        <w:rPr>
          <w:lang w:val="en-GB"/>
        </w:rPr>
        <w:t xml:space="preserve"> </w:t>
      </w:r>
      <w:r w:rsidRPr="00056725">
        <w:rPr>
          <w:lang w:val="en-GB"/>
        </w:rPr>
        <w:t xml:space="preserve">years of </w:t>
      </w:r>
      <w:r w:rsidR="004A0A1E" w:rsidRPr="00056725">
        <w:rPr>
          <w:lang w:val="en-GB"/>
        </w:rPr>
        <w:t xml:space="preserve">rapid growth, </w:t>
      </w:r>
      <w:r w:rsidR="00A72CA5" w:rsidRPr="00056725">
        <w:rPr>
          <w:lang w:val="en-GB"/>
        </w:rPr>
        <w:t>GEI</w:t>
      </w:r>
      <w:r w:rsidR="004A0A1E" w:rsidRPr="00056725">
        <w:rPr>
          <w:lang w:val="en-GB"/>
        </w:rPr>
        <w:t xml:space="preserve"> was at a critical juncture with respect to its further development. </w:t>
      </w:r>
      <w:r w:rsidR="00DD2BE5" w:rsidRPr="00056725">
        <w:rPr>
          <w:lang w:val="en-GB"/>
        </w:rPr>
        <w:t>Its focus until now had been on providing services to both the government agencies that oversaw STP developments and the firms in the STPs, and this had been very successful for GEI. Now, s</w:t>
      </w:r>
      <w:r w:rsidR="004A0A1E" w:rsidRPr="00056725">
        <w:rPr>
          <w:lang w:val="en-GB"/>
        </w:rPr>
        <w:t xml:space="preserve">everal strategic questions needed to be addressed: </w:t>
      </w:r>
      <w:r w:rsidRPr="00056725">
        <w:rPr>
          <w:lang w:val="en-GB"/>
        </w:rPr>
        <w:t xml:space="preserve">Should the company </w:t>
      </w:r>
      <w:r w:rsidR="004A0A1E" w:rsidRPr="00056725">
        <w:rPr>
          <w:lang w:val="en-GB"/>
        </w:rPr>
        <w:t xml:space="preserve">continue to focus on services to </w:t>
      </w:r>
      <w:r w:rsidR="00DD2BE5" w:rsidRPr="00056725">
        <w:rPr>
          <w:lang w:val="en-GB"/>
        </w:rPr>
        <w:t xml:space="preserve">these </w:t>
      </w:r>
      <w:r w:rsidR="004A0A1E" w:rsidRPr="00056725">
        <w:rPr>
          <w:lang w:val="en-GB"/>
        </w:rPr>
        <w:t xml:space="preserve">government agencies </w:t>
      </w:r>
      <w:r w:rsidR="00DD2BE5" w:rsidRPr="00056725">
        <w:rPr>
          <w:lang w:val="en-GB"/>
        </w:rPr>
        <w:t xml:space="preserve">and </w:t>
      </w:r>
      <w:r w:rsidR="004A0A1E" w:rsidRPr="00056725">
        <w:rPr>
          <w:lang w:val="en-GB"/>
        </w:rPr>
        <w:t>STP firms</w:t>
      </w:r>
      <w:r w:rsidR="00DD2BE5" w:rsidRPr="00056725">
        <w:rPr>
          <w:lang w:val="en-GB"/>
        </w:rPr>
        <w:t>, or</w:t>
      </w:r>
      <w:r w:rsidR="004A0A1E" w:rsidRPr="00056725">
        <w:rPr>
          <w:lang w:val="en-GB"/>
        </w:rPr>
        <w:t xml:space="preserve"> should it explore new markets and new approaches for its work, </w:t>
      </w:r>
      <w:r w:rsidR="00DD2BE5" w:rsidRPr="00056725">
        <w:rPr>
          <w:lang w:val="en-GB"/>
        </w:rPr>
        <w:t>for example,</w:t>
      </w:r>
      <w:r w:rsidR="004A0A1E" w:rsidRPr="00056725">
        <w:rPr>
          <w:lang w:val="en-GB"/>
        </w:rPr>
        <w:t xml:space="preserve"> </w:t>
      </w:r>
      <w:r w:rsidR="00DD2BE5" w:rsidRPr="00056725">
        <w:rPr>
          <w:lang w:val="en-GB"/>
        </w:rPr>
        <w:t xml:space="preserve">by approaching </w:t>
      </w:r>
      <w:r w:rsidR="004A0A1E" w:rsidRPr="00056725">
        <w:rPr>
          <w:lang w:val="en-GB"/>
        </w:rPr>
        <w:t xml:space="preserve">business firms directly, going beyond STPs, </w:t>
      </w:r>
      <w:r w:rsidR="00DD2BE5" w:rsidRPr="00056725">
        <w:rPr>
          <w:lang w:val="en-GB"/>
        </w:rPr>
        <w:t xml:space="preserve">or </w:t>
      </w:r>
      <w:r w:rsidR="004A0A1E" w:rsidRPr="00056725">
        <w:rPr>
          <w:lang w:val="en-GB"/>
        </w:rPr>
        <w:t>even reaching international clients? If these new markets and new approaches were worth exploring, was GEI ready for them?</w:t>
      </w:r>
      <w:r w:rsidR="00014650" w:rsidRPr="00056725">
        <w:rPr>
          <w:lang w:val="en-GB"/>
        </w:rPr>
        <w:t xml:space="preserve"> </w:t>
      </w:r>
      <w:r w:rsidR="004A0A1E" w:rsidRPr="00056725">
        <w:rPr>
          <w:lang w:val="en-GB"/>
        </w:rPr>
        <w:t>“Ironically, this dilemma has stemmed from our own success,” Wang mused. He felt that it was time for GEI to discuss and decide on these strategic issues.</w:t>
      </w:r>
    </w:p>
    <w:p w14:paraId="300DE2C8" w14:textId="77777777" w:rsidR="004A0A1E" w:rsidRPr="00295CFF" w:rsidRDefault="004A0A1E" w:rsidP="004A0A1E">
      <w:pPr>
        <w:pStyle w:val="BodyTextMain"/>
        <w:rPr>
          <w:sz w:val="18"/>
          <w:lang w:val="en-GB"/>
        </w:rPr>
      </w:pPr>
    </w:p>
    <w:p w14:paraId="4495DE1C" w14:textId="77777777" w:rsidR="004A0A1E" w:rsidRPr="00295CFF" w:rsidRDefault="004A0A1E" w:rsidP="004A0A1E">
      <w:pPr>
        <w:pStyle w:val="BodyTextMain"/>
        <w:rPr>
          <w:sz w:val="18"/>
          <w:lang w:val="en-GB"/>
        </w:rPr>
      </w:pPr>
    </w:p>
    <w:p w14:paraId="7344970A" w14:textId="76CC698F" w:rsidR="004A0A1E" w:rsidRPr="00056725" w:rsidRDefault="00DD2BE5" w:rsidP="004A0A1E">
      <w:pPr>
        <w:pStyle w:val="Casehead1"/>
        <w:rPr>
          <w:lang w:val="en-GB"/>
        </w:rPr>
      </w:pPr>
      <w:r w:rsidRPr="00056725">
        <w:rPr>
          <w:lang w:val="en-GB"/>
        </w:rPr>
        <w:t>political and economic context</w:t>
      </w:r>
    </w:p>
    <w:p w14:paraId="3267465D" w14:textId="77777777" w:rsidR="004A0A1E" w:rsidRPr="00295CFF" w:rsidRDefault="004A0A1E" w:rsidP="004A0A1E">
      <w:pPr>
        <w:pStyle w:val="BodyTextMain"/>
        <w:rPr>
          <w:sz w:val="18"/>
          <w:lang w:val="en-GB"/>
        </w:rPr>
      </w:pPr>
    </w:p>
    <w:p w14:paraId="6421EF98" w14:textId="7D05A6F4" w:rsidR="004A0A1E" w:rsidRPr="00056725" w:rsidRDefault="004A0A1E" w:rsidP="004A0A1E">
      <w:pPr>
        <w:pStyle w:val="BodyTextMain"/>
        <w:rPr>
          <w:lang w:val="en-GB"/>
        </w:rPr>
      </w:pPr>
      <w:r w:rsidRPr="00056725">
        <w:rPr>
          <w:lang w:val="en-GB"/>
        </w:rPr>
        <w:t xml:space="preserve">In 1949, after decades of fighting a civil war with the Nationalists (Kuomintang), the Communists, led by Mao Zedong, defeated the Nationalists and established the People’s Republic of China, to be governed </w:t>
      </w:r>
      <w:r w:rsidR="00365F63" w:rsidRPr="00056725">
        <w:rPr>
          <w:lang w:val="en-GB"/>
        </w:rPr>
        <w:t xml:space="preserve">according to </w:t>
      </w:r>
      <w:r w:rsidRPr="00056725">
        <w:rPr>
          <w:lang w:val="en-GB"/>
        </w:rPr>
        <w:t xml:space="preserve">the principles of Marxism. </w:t>
      </w:r>
      <w:r w:rsidR="00365F63" w:rsidRPr="00056725">
        <w:rPr>
          <w:lang w:val="en-GB"/>
        </w:rPr>
        <w:t>L</w:t>
      </w:r>
      <w:r w:rsidRPr="00056725">
        <w:rPr>
          <w:lang w:val="en-GB"/>
        </w:rPr>
        <w:t xml:space="preserve">and </w:t>
      </w:r>
      <w:r w:rsidR="00365F63" w:rsidRPr="00056725">
        <w:rPr>
          <w:lang w:val="en-GB"/>
        </w:rPr>
        <w:t xml:space="preserve">was redistributed </w:t>
      </w:r>
      <w:r w:rsidRPr="00056725">
        <w:rPr>
          <w:lang w:val="en-GB"/>
        </w:rPr>
        <w:t>from landlords to tenants</w:t>
      </w:r>
      <w:r w:rsidR="00365F63" w:rsidRPr="00056725">
        <w:rPr>
          <w:lang w:val="en-GB"/>
        </w:rPr>
        <w:t>,</w:t>
      </w:r>
      <w:r w:rsidRPr="00056725">
        <w:rPr>
          <w:lang w:val="en-GB"/>
        </w:rPr>
        <w:t xml:space="preserve"> and </w:t>
      </w:r>
      <w:r w:rsidR="00365F63" w:rsidRPr="00056725">
        <w:rPr>
          <w:lang w:val="en-GB"/>
        </w:rPr>
        <w:t>factories were confiscated</w:t>
      </w:r>
      <w:r w:rsidRPr="00056725">
        <w:rPr>
          <w:lang w:val="en-GB"/>
        </w:rPr>
        <w:t xml:space="preserve"> from the business class</w:t>
      </w:r>
      <w:r w:rsidR="00365F63" w:rsidRPr="00056725">
        <w:rPr>
          <w:lang w:val="en-GB"/>
        </w:rPr>
        <w:t>, giving</w:t>
      </w:r>
      <w:r w:rsidRPr="00056725">
        <w:rPr>
          <w:lang w:val="en-GB"/>
        </w:rPr>
        <w:t xml:space="preserve"> the new communist country a brief period of excitement</w:t>
      </w:r>
      <w:r w:rsidR="004E4EDB" w:rsidRPr="00056725">
        <w:rPr>
          <w:lang w:val="en-GB"/>
        </w:rPr>
        <w:t>.</w:t>
      </w:r>
      <w:r w:rsidR="00AB50C6">
        <w:rPr>
          <w:rStyle w:val="FootnoteReference"/>
          <w:lang w:val="en-GB"/>
        </w:rPr>
        <w:footnoteReference w:id="2"/>
      </w:r>
      <w:r w:rsidR="004E4EDB" w:rsidRPr="00056725">
        <w:rPr>
          <w:lang w:val="en-GB"/>
        </w:rPr>
        <w:t xml:space="preserve"> </w:t>
      </w:r>
      <w:r w:rsidR="004E4EDB" w:rsidRPr="00056725">
        <w:rPr>
          <w:lang w:val="en-GB"/>
        </w:rPr>
        <w:lastRenderedPageBreak/>
        <w:t>However,</w:t>
      </w:r>
      <w:r w:rsidRPr="00056725">
        <w:rPr>
          <w:lang w:val="en-GB"/>
        </w:rPr>
        <w:t xml:space="preserve"> the ensuing policies</w:t>
      </w:r>
      <w:r w:rsidR="004E4EDB" w:rsidRPr="00056725">
        <w:rPr>
          <w:lang w:val="en-GB"/>
        </w:rPr>
        <w:t>—</w:t>
      </w:r>
      <w:r w:rsidRPr="00056725">
        <w:rPr>
          <w:lang w:val="en-GB"/>
        </w:rPr>
        <w:t>the elimination of private property rights through the collectivization of farms, the nationalization of industries, and the rigid central planning</w:t>
      </w:r>
      <w:r w:rsidR="004E4EDB" w:rsidRPr="00056725">
        <w:rPr>
          <w:lang w:val="en-GB"/>
        </w:rPr>
        <w:t>—</w:t>
      </w:r>
      <w:r w:rsidRPr="00056725">
        <w:rPr>
          <w:lang w:val="en-GB"/>
        </w:rPr>
        <w:t xml:space="preserve">essentially removed economic incentives for people to work, </w:t>
      </w:r>
      <w:r w:rsidR="004E4EDB" w:rsidRPr="00056725">
        <w:rPr>
          <w:lang w:val="en-GB"/>
        </w:rPr>
        <w:t xml:space="preserve">and this, along with </w:t>
      </w:r>
      <w:r w:rsidRPr="00056725">
        <w:rPr>
          <w:lang w:val="en-GB"/>
        </w:rPr>
        <w:t xml:space="preserve">several large policy errors, sent the country into starvation and stagnation. In 1966, </w:t>
      </w:r>
      <w:r w:rsidR="004E4EDB" w:rsidRPr="00056725">
        <w:rPr>
          <w:lang w:val="en-GB"/>
        </w:rPr>
        <w:t>fearful of</w:t>
      </w:r>
      <w:r w:rsidRPr="00056725">
        <w:rPr>
          <w:lang w:val="en-GB"/>
        </w:rPr>
        <w:t xml:space="preserve"> the prospect of losing power, Mao waged the Great Proletarian Cultural Revolution, which drove the country’s economy to the verge of total collapse. In 1976, Mao died, and China was presented </w:t>
      </w:r>
      <w:r w:rsidR="004E4EDB" w:rsidRPr="00056725">
        <w:rPr>
          <w:lang w:val="en-GB"/>
        </w:rPr>
        <w:t>with a</w:t>
      </w:r>
      <w:r w:rsidRPr="00056725">
        <w:rPr>
          <w:lang w:val="en-GB"/>
        </w:rPr>
        <w:t xml:space="preserve"> historic opportunity to diverge from his ultra-leftist course.</w:t>
      </w:r>
      <w:r w:rsidRPr="00056725">
        <w:rPr>
          <w:rStyle w:val="FootnoteReference"/>
          <w:lang w:val="en-GB"/>
        </w:rPr>
        <w:footnoteReference w:id="3"/>
      </w:r>
    </w:p>
    <w:p w14:paraId="5DDF5692" w14:textId="77777777" w:rsidR="004A0A1E" w:rsidRPr="00FB5B48" w:rsidRDefault="004A0A1E" w:rsidP="00FB5B48">
      <w:pPr>
        <w:pStyle w:val="BodyTextMain"/>
      </w:pPr>
    </w:p>
    <w:p w14:paraId="04F179FB" w14:textId="0D5E7A19" w:rsidR="004A0A1E" w:rsidRPr="00056725" w:rsidRDefault="004A0A1E" w:rsidP="004A0A1E">
      <w:pPr>
        <w:pStyle w:val="BodyTextMain"/>
        <w:rPr>
          <w:lang w:val="en-GB"/>
        </w:rPr>
      </w:pPr>
      <w:r w:rsidRPr="00056725">
        <w:rPr>
          <w:lang w:val="en-GB"/>
        </w:rPr>
        <w:t xml:space="preserve">Beginning in 1978, the new leadership of the Chinese Communist Party seized the opportunity to launch an economic reform. Reform-minded leaders such as Deng Xiaoping, Hu Yaobang, and Zhao Ziyang took a pragmatic approach and followed </w:t>
      </w:r>
      <w:r w:rsidR="004E4EDB" w:rsidRPr="00056725">
        <w:rPr>
          <w:lang w:val="en-GB"/>
        </w:rPr>
        <w:t xml:space="preserve">a </w:t>
      </w:r>
      <w:r w:rsidRPr="00056725">
        <w:rPr>
          <w:lang w:val="en-GB"/>
        </w:rPr>
        <w:t xml:space="preserve">developmental strategy </w:t>
      </w:r>
      <w:r w:rsidR="004E4EDB" w:rsidRPr="00056725">
        <w:rPr>
          <w:lang w:val="en-GB"/>
        </w:rPr>
        <w:t xml:space="preserve">described as </w:t>
      </w:r>
      <w:r w:rsidRPr="00056725">
        <w:rPr>
          <w:lang w:val="en-GB"/>
        </w:rPr>
        <w:t>“feeling the stones to cross the river”</w:t>
      </w:r>
      <w:r w:rsidR="00AB50C6">
        <w:rPr>
          <w:rStyle w:val="FootnoteReference"/>
          <w:lang w:val="en-GB"/>
        </w:rPr>
        <w:footnoteReference w:id="4"/>
      </w:r>
      <w:r w:rsidR="004E4EDB" w:rsidRPr="00056725">
        <w:rPr>
          <w:lang w:val="en-GB"/>
        </w:rPr>
        <w:t>—</w:t>
      </w:r>
      <w:r w:rsidRPr="00056725">
        <w:rPr>
          <w:lang w:val="en-GB"/>
        </w:rPr>
        <w:t xml:space="preserve">essentially admitting that they did not have a clear strategy but would use a </w:t>
      </w:r>
      <w:r w:rsidR="004E4EDB" w:rsidRPr="00056725">
        <w:rPr>
          <w:lang w:val="en-GB"/>
        </w:rPr>
        <w:t>trial-and-</w:t>
      </w:r>
      <w:r w:rsidRPr="00056725">
        <w:rPr>
          <w:lang w:val="en-GB"/>
        </w:rPr>
        <w:t>error method to revitalize the economy. The key challenges were incentiviz</w:t>
      </w:r>
      <w:r w:rsidR="004E4EDB" w:rsidRPr="00056725">
        <w:rPr>
          <w:lang w:val="en-GB"/>
        </w:rPr>
        <w:t>ing</w:t>
      </w:r>
      <w:r w:rsidRPr="00056725">
        <w:rPr>
          <w:lang w:val="en-GB"/>
        </w:rPr>
        <w:t xml:space="preserve"> people to work hard and </w:t>
      </w:r>
      <w:r w:rsidR="004E4EDB" w:rsidRPr="00056725">
        <w:rPr>
          <w:lang w:val="en-GB"/>
        </w:rPr>
        <w:t>finding</w:t>
      </w:r>
      <w:r w:rsidRPr="00056725">
        <w:rPr>
          <w:lang w:val="en-GB"/>
        </w:rPr>
        <w:t xml:space="preserve"> the much-needed capital and managerial skills to enable people to work productively. Their exploration quickly led them to adopt two main policy measures: </w:t>
      </w:r>
      <w:r w:rsidR="004E4EDB" w:rsidRPr="00056725">
        <w:rPr>
          <w:lang w:val="en-GB"/>
        </w:rPr>
        <w:t xml:space="preserve">(1) </w:t>
      </w:r>
      <w:r w:rsidRPr="00056725">
        <w:rPr>
          <w:lang w:val="en-GB"/>
        </w:rPr>
        <w:t xml:space="preserve">domestically, they decentralized power from Beijing to local governments, so that the local people would be incentivized to create more output; and </w:t>
      </w:r>
      <w:r w:rsidR="004E4EDB" w:rsidRPr="00056725">
        <w:rPr>
          <w:lang w:val="en-GB"/>
        </w:rPr>
        <w:t xml:space="preserve">(2) </w:t>
      </w:r>
      <w:r w:rsidRPr="00056725">
        <w:rPr>
          <w:lang w:val="en-GB"/>
        </w:rPr>
        <w:t>internationally, they opened the door for foreign investments in order to get capital and managerial expertise.</w:t>
      </w:r>
      <w:r w:rsidRPr="00056725">
        <w:rPr>
          <w:rStyle w:val="FootnoteReference"/>
          <w:lang w:val="en-GB"/>
        </w:rPr>
        <w:footnoteReference w:id="5"/>
      </w:r>
    </w:p>
    <w:p w14:paraId="7A2A4F26" w14:textId="77777777" w:rsidR="004A0A1E" w:rsidRPr="00FB5B48" w:rsidRDefault="004A0A1E" w:rsidP="00FB5B48">
      <w:pPr>
        <w:pStyle w:val="BodyTextMain"/>
      </w:pPr>
    </w:p>
    <w:p w14:paraId="15A68FD7" w14:textId="1967938E" w:rsidR="00CB0831" w:rsidRDefault="004A0A1E" w:rsidP="004A0A1E">
      <w:pPr>
        <w:pStyle w:val="BodyTextMain"/>
        <w:rPr>
          <w:lang w:val="en-GB"/>
        </w:rPr>
      </w:pPr>
      <w:r w:rsidRPr="00056725">
        <w:rPr>
          <w:lang w:val="en-GB"/>
        </w:rPr>
        <w:t xml:space="preserve">However, adopting market-oriented measures and learning from foreigners was not easy due to China’s years of central planning and orthodox communist indoctrination. In order to remove </w:t>
      </w:r>
      <w:r w:rsidR="004E4EDB" w:rsidRPr="00056725">
        <w:rPr>
          <w:lang w:val="en-GB"/>
        </w:rPr>
        <w:t xml:space="preserve">these </w:t>
      </w:r>
      <w:r w:rsidRPr="00056725">
        <w:rPr>
          <w:lang w:val="en-GB"/>
        </w:rPr>
        <w:t xml:space="preserve">obstacles and facilitate the reform, a group of intellectuals started a </w:t>
      </w:r>
      <w:r w:rsidR="00832FD1" w:rsidRPr="00056725">
        <w:rPr>
          <w:lang w:val="en-GB"/>
        </w:rPr>
        <w:t>t</w:t>
      </w:r>
      <w:r w:rsidRPr="00056725">
        <w:rPr>
          <w:lang w:val="en-GB"/>
        </w:rPr>
        <w:t xml:space="preserve">hought </w:t>
      </w:r>
      <w:r w:rsidR="00832FD1" w:rsidRPr="00056725">
        <w:rPr>
          <w:lang w:val="en-GB"/>
        </w:rPr>
        <w:t>l</w:t>
      </w:r>
      <w:r w:rsidRPr="00056725">
        <w:rPr>
          <w:lang w:val="en-GB"/>
        </w:rPr>
        <w:t xml:space="preserve">iberation </w:t>
      </w:r>
      <w:r w:rsidR="00832FD1" w:rsidRPr="00056725">
        <w:rPr>
          <w:lang w:val="en-GB"/>
        </w:rPr>
        <w:t>m</w:t>
      </w:r>
      <w:r w:rsidRPr="00056725">
        <w:rPr>
          <w:lang w:val="en-GB"/>
        </w:rPr>
        <w:t xml:space="preserve">ovement. For centuries in China, intellectuals had been </w:t>
      </w:r>
      <w:r w:rsidR="00832FD1" w:rsidRPr="00056725">
        <w:rPr>
          <w:lang w:val="en-GB"/>
        </w:rPr>
        <w:t xml:space="preserve">recognized as </w:t>
      </w:r>
      <w:r w:rsidRPr="00056725">
        <w:rPr>
          <w:lang w:val="en-GB"/>
        </w:rPr>
        <w:t xml:space="preserve">a special group </w:t>
      </w:r>
      <w:r w:rsidR="00832FD1" w:rsidRPr="00056725">
        <w:rPr>
          <w:lang w:val="en-GB"/>
        </w:rPr>
        <w:t>of</w:t>
      </w:r>
      <w:r w:rsidRPr="00056725">
        <w:rPr>
          <w:lang w:val="en-GB"/>
        </w:rPr>
        <w:t xml:space="preserve"> educated </w:t>
      </w:r>
      <w:r w:rsidR="00832FD1" w:rsidRPr="00056725">
        <w:rPr>
          <w:lang w:val="en-GB"/>
        </w:rPr>
        <w:t xml:space="preserve">people </w:t>
      </w:r>
      <w:r w:rsidRPr="00056725">
        <w:rPr>
          <w:lang w:val="en-GB"/>
        </w:rPr>
        <w:t>who had both the mission and the duty to shape society for the better. This time, however, the intellectuals were help</w:t>
      </w:r>
      <w:r w:rsidR="00832FD1" w:rsidRPr="00056725">
        <w:rPr>
          <w:lang w:val="en-GB"/>
        </w:rPr>
        <w:t>ing</w:t>
      </w:r>
      <w:r w:rsidRPr="00056725">
        <w:rPr>
          <w:lang w:val="en-GB"/>
        </w:rPr>
        <w:t xml:space="preserve"> the Chinese people break away from central planning </w:t>
      </w:r>
      <w:r w:rsidR="00832FD1" w:rsidRPr="00056725">
        <w:rPr>
          <w:lang w:val="en-GB"/>
        </w:rPr>
        <w:t xml:space="preserve">to </w:t>
      </w:r>
      <w:r w:rsidRPr="00056725">
        <w:rPr>
          <w:lang w:val="en-GB"/>
        </w:rPr>
        <w:t>embrace the market</w:t>
      </w:r>
      <w:r w:rsidR="00832FD1" w:rsidRPr="00056725">
        <w:rPr>
          <w:lang w:val="en-GB"/>
        </w:rPr>
        <w:t>; wh</w:t>
      </w:r>
      <w:r w:rsidRPr="00056725">
        <w:rPr>
          <w:lang w:val="en-GB"/>
        </w:rPr>
        <w:t>ile their effort greatly helped the reform process, it was criticized by traditional communists as “going capitalism.”</w:t>
      </w:r>
      <w:r w:rsidR="00A6162C">
        <w:rPr>
          <w:rStyle w:val="FootnoteReference"/>
          <w:lang w:val="en-GB"/>
        </w:rPr>
        <w:footnoteReference w:id="6"/>
      </w:r>
      <w:r w:rsidRPr="00056725">
        <w:rPr>
          <w:lang w:val="en-GB"/>
        </w:rPr>
        <w:t xml:space="preserve"> </w:t>
      </w:r>
    </w:p>
    <w:p w14:paraId="4F9B55AF" w14:textId="77777777" w:rsidR="00CB0831" w:rsidRPr="00FB5B48" w:rsidRDefault="00CB0831" w:rsidP="00FB5B48">
      <w:pPr>
        <w:pStyle w:val="BodyTextMain"/>
      </w:pPr>
    </w:p>
    <w:p w14:paraId="3EE14AE8" w14:textId="46ACE2BE" w:rsidR="004A0A1E" w:rsidRPr="00056725" w:rsidRDefault="004A0A1E" w:rsidP="004A0A1E">
      <w:pPr>
        <w:pStyle w:val="BodyTextMain"/>
        <w:rPr>
          <w:lang w:val="en-GB"/>
        </w:rPr>
      </w:pPr>
      <w:r w:rsidRPr="00056725">
        <w:rPr>
          <w:lang w:val="en-GB"/>
        </w:rPr>
        <w:t>Deng Xiaoping, the top leader of the reform, used the following analogy to defend the adoption of some capitalistic measures in the reform: “It does not matter whether it is a black cat or a white cat. As long as it catches mice, it is a good cat.”</w:t>
      </w:r>
      <w:r w:rsidRPr="00056725">
        <w:rPr>
          <w:rStyle w:val="FootnoteReference"/>
          <w:lang w:val="en-GB"/>
        </w:rPr>
        <w:footnoteReference w:id="7"/>
      </w:r>
      <w:r w:rsidRPr="00056725">
        <w:rPr>
          <w:lang w:val="en-GB"/>
        </w:rPr>
        <w:t xml:space="preserve"> In other words, </w:t>
      </w:r>
      <w:r w:rsidR="00832FD1" w:rsidRPr="00056725">
        <w:rPr>
          <w:lang w:val="en-GB"/>
        </w:rPr>
        <w:t xml:space="preserve">he advised people not to </w:t>
      </w:r>
      <w:r w:rsidRPr="00056725">
        <w:rPr>
          <w:lang w:val="en-GB"/>
        </w:rPr>
        <w:t xml:space="preserve">worry about whether the reform </w:t>
      </w:r>
      <w:r w:rsidR="00832FD1" w:rsidRPr="00056725">
        <w:rPr>
          <w:lang w:val="en-GB"/>
        </w:rPr>
        <w:t xml:space="preserve">was </w:t>
      </w:r>
      <w:r w:rsidR="00BD5119" w:rsidRPr="00056725">
        <w:rPr>
          <w:lang w:val="en-GB"/>
        </w:rPr>
        <w:t xml:space="preserve">communist </w:t>
      </w:r>
      <w:r w:rsidRPr="00056725">
        <w:rPr>
          <w:lang w:val="en-GB"/>
        </w:rPr>
        <w:t xml:space="preserve">or </w:t>
      </w:r>
      <w:r w:rsidR="00BD5119" w:rsidRPr="00056725">
        <w:rPr>
          <w:lang w:val="en-GB"/>
        </w:rPr>
        <w:t>capitalist</w:t>
      </w:r>
      <w:r w:rsidRPr="00056725">
        <w:rPr>
          <w:lang w:val="en-GB"/>
        </w:rPr>
        <w:t xml:space="preserve">; as long as it </w:t>
      </w:r>
      <w:r w:rsidR="00832FD1" w:rsidRPr="00056725">
        <w:rPr>
          <w:lang w:val="en-GB"/>
        </w:rPr>
        <w:t xml:space="preserve">helped </w:t>
      </w:r>
      <w:r w:rsidRPr="00056725">
        <w:rPr>
          <w:lang w:val="en-GB"/>
        </w:rPr>
        <w:t xml:space="preserve">to develop the economy, it </w:t>
      </w:r>
      <w:r w:rsidR="00832FD1" w:rsidRPr="00056725">
        <w:rPr>
          <w:lang w:val="en-GB"/>
        </w:rPr>
        <w:t xml:space="preserve">could be considered a good </w:t>
      </w:r>
      <w:r w:rsidR="00175039">
        <w:rPr>
          <w:lang w:val="en-GB"/>
        </w:rPr>
        <w:t>‘-ism’</w:t>
      </w:r>
      <w:r w:rsidRPr="00056725">
        <w:rPr>
          <w:lang w:val="en-GB"/>
        </w:rPr>
        <w:t>. Encouraged by the opportunities created by economic liberalization, some government officials quit their government jobs to become entrepreneurs</w:t>
      </w:r>
      <w:r w:rsidR="00832FD1" w:rsidRPr="00056725">
        <w:rPr>
          <w:lang w:val="en-GB"/>
        </w:rPr>
        <w:t>—</w:t>
      </w:r>
      <w:r w:rsidRPr="00056725">
        <w:rPr>
          <w:lang w:val="en-GB"/>
        </w:rPr>
        <w:t>an act commonly referred to as “plunging into the sea.”</w:t>
      </w:r>
      <w:r w:rsidRPr="00056725">
        <w:rPr>
          <w:rStyle w:val="FootnoteReference"/>
          <w:lang w:val="en-GB"/>
        </w:rPr>
        <w:footnoteReference w:id="8"/>
      </w:r>
      <w:r w:rsidRPr="00056725">
        <w:rPr>
          <w:lang w:val="en-GB"/>
        </w:rPr>
        <w:t xml:space="preserve">  </w:t>
      </w:r>
    </w:p>
    <w:p w14:paraId="6C1E65C9" w14:textId="77777777" w:rsidR="004A0A1E" w:rsidRPr="00FB5B48" w:rsidRDefault="004A0A1E" w:rsidP="00FB5B48">
      <w:pPr>
        <w:pStyle w:val="BodyTextMain"/>
      </w:pPr>
    </w:p>
    <w:p w14:paraId="64036D03" w14:textId="0D70EDFB" w:rsidR="004A0A1E" w:rsidRPr="00056725" w:rsidRDefault="004A0A1E" w:rsidP="004A0A1E">
      <w:pPr>
        <w:pStyle w:val="BodyTextMain"/>
        <w:rPr>
          <w:lang w:val="en-GB"/>
        </w:rPr>
      </w:pPr>
      <w:r w:rsidRPr="00056725">
        <w:rPr>
          <w:lang w:val="en-GB"/>
        </w:rPr>
        <w:t xml:space="preserve">From the late 1980s until the early 1990s, the reform progressed </w:t>
      </w:r>
      <w:r w:rsidR="00BD5119" w:rsidRPr="00056725">
        <w:rPr>
          <w:lang w:val="en-GB"/>
        </w:rPr>
        <w:t>unevenly</w:t>
      </w:r>
      <w:r w:rsidRPr="00056725">
        <w:rPr>
          <w:lang w:val="en-GB"/>
        </w:rPr>
        <w:t xml:space="preserve">. In 1992, in order to further boost the reform and marketization, Deng Xiaoping conducted his famous </w:t>
      </w:r>
      <w:r w:rsidR="00257011">
        <w:rPr>
          <w:lang w:val="en-GB"/>
        </w:rPr>
        <w:t>s</w:t>
      </w:r>
      <w:r w:rsidRPr="00056725">
        <w:rPr>
          <w:lang w:val="en-GB"/>
        </w:rPr>
        <w:t xml:space="preserve">outhern </w:t>
      </w:r>
      <w:r w:rsidR="00257011">
        <w:rPr>
          <w:lang w:val="en-GB"/>
        </w:rPr>
        <w:t>t</w:t>
      </w:r>
      <w:r w:rsidRPr="00056725">
        <w:rPr>
          <w:lang w:val="en-GB"/>
        </w:rPr>
        <w:t>our</w:t>
      </w:r>
      <w:r w:rsidR="00BD5119" w:rsidRPr="00056725">
        <w:rPr>
          <w:lang w:val="en-GB"/>
        </w:rPr>
        <w:t xml:space="preserve"> </w:t>
      </w:r>
      <w:r w:rsidRPr="00056725">
        <w:rPr>
          <w:lang w:val="en-GB"/>
        </w:rPr>
        <w:t>to the more liberalized regions of China, during which he called for deeper economic reform and a wider opening up</w:t>
      </w:r>
      <w:r w:rsidR="00BD5119" w:rsidRPr="00056725">
        <w:rPr>
          <w:lang w:val="en-GB"/>
        </w:rPr>
        <w:t xml:space="preserve"> of the economy</w:t>
      </w:r>
      <w:r w:rsidRPr="00056725">
        <w:rPr>
          <w:lang w:val="en-GB"/>
        </w:rPr>
        <w:t xml:space="preserve">. This </w:t>
      </w:r>
      <w:r w:rsidR="00E919BE" w:rsidRPr="00056725">
        <w:rPr>
          <w:lang w:val="en-GB"/>
        </w:rPr>
        <w:t>fuelled</w:t>
      </w:r>
      <w:r w:rsidRPr="00056725">
        <w:rPr>
          <w:lang w:val="en-GB"/>
        </w:rPr>
        <w:t xml:space="preserve"> </w:t>
      </w:r>
      <w:r w:rsidR="00BD5119" w:rsidRPr="00056725">
        <w:rPr>
          <w:lang w:val="en-GB"/>
        </w:rPr>
        <w:t xml:space="preserve">a </w:t>
      </w:r>
      <w:r w:rsidRPr="00056725">
        <w:rPr>
          <w:lang w:val="en-GB"/>
        </w:rPr>
        <w:t>second wave of “plunging into the sea,” and this time, many government employees jumped, including Wang.</w:t>
      </w:r>
      <w:r w:rsidR="00981F1E" w:rsidRPr="00056725">
        <w:rPr>
          <w:rStyle w:val="FootnoteReference"/>
          <w:lang w:val="en-GB"/>
        </w:rPr>
        <w:footnoteReference w:id="9"/>
      </w:r>
    </w:p>
    <w:p w14:paraId="4EE31182" w14:textId="77777777" w:rsidR="004A0A1E" w:rsidRPr="00FB5B48" w:rsidRDefault="004A0A1E" w:rsidP="00FB5B48">
      <w:pPr>
        <w:pStyle w:val="BodyTextMain"/>
      </w:pPr>
    </w:p>
    <w:p w14:paraId="4DE9D181" w14:textId="77777777" w:rsidR="004A0A1E" w:rsidRPr="00FB5B48" w:rsidRDefault="004A0A1E" w:rsidP="00FB5B48">
      <w:pPr>
        <w:pStyle w:val="BodyTextMain"/>
      </w:pPr>
    </w:p>
    <w:p w14:paraId="7279F7E9" w14:textId="7CCEEF02" w:rsidR="004A0A1E" w:rsidRPr="00056725" w:rsidRDefault="00AD7EC0" w:rsidP="005F5191">
      <w:pPr>
        <w:pStyle w:val="Casehead1"/>
        <w:keepNext/>
        <w:keepLines/>
        <w:rPr>
          <w:lang w:val="en-GB"/>
        </w:rPr>
      </w:pPr>
      <w:r w:rsidRPr="00056725">
        <w:rPr>
          <w:lang w:val="en-GB"/>
        </w:rPr>
        <w:lastRenderedPageBreak/>
        <w:t xml:space="preserve">The Birth of </w:t>
      </w:r>
      <w:r w:rsidR="00A72CA5" w:rsidRPr="00056725">
        <w:rPr>
          <w:lang w:val="en-GB"/>
        </w:rPr>
        <w:t>GEI</w:t>
      </w:r>
      <w:r w:rsidR="00BD5119" w:rsidRPr="00056725">
        <w:rPr>
          <w:lang w:val="en-GB"/>
        </w:rPr>
        <w:t xml:space="preserve">: </w:t>
      </w:r>
      <w:r w:rsidR="004A0A1E" w:rsidRPr="00056725">
        <w:rPr>
          <w:lang w:val="en-GB"/>
        </w:rPr>
        <w:t>1993</w:t>
      </w:r>
    </w:p>
    <w:p w14:paraId="577AA69A" w14:textId="77777777" w:rsidR="004A0A1E" w:rsidRPr="00FB5B48" w:rsidRDefault="004A0A1E" w:rsidP="005F5191">
      <w:pPr>
        <w:pStyle w:val="BodyTextMain"/>
        <w:keepNext/>
        <w:keepLines/>
        <w:rPr>
          <w:sz w:val="18"/>
          <w:lang w:val="en-GB"/>
        </w:rPr>
      </w:pPr>
    </w:p>
    <w:p w14:paraId="6792B987" w14:textId="187BA4FA" w:rsidR="004A0A1E" w:rsidRPr="00056725" w:rsidRDefault="00452C2E" w:rsidP="005F5191">
      <w:pPr>
        <w:pStyle w:val="BodyTextMain"/>
        <w:keepNext/>
        <w:keepLines/>
        <w:rPr>
          <w:lang w:val="en-GB"/>
        </w:rPr>
      </w:pPr>
      <w:r w:rsidRPr="00056725">
        <w:rPr>
          <w:lang w:val="en-GB"/>
        </w:rPr>
        <w:t xml:space="preserve">Wang was </w:t>
      </w:r>
      <w:r w:rsidR="00014650" w:rsidRPr="00056725">
        <w:rPr>
          <w:lang w:val="en-GB"/>
        </w:rPr>
        <w:t>an intellectual</w:t>
      </w:r>
      <w:r w:rsidR="004A0A1E" w:rsidRPr="00056725">
        <w:rPr>
          <w:lang w:val="en-GB"/>
        </w:rPr>
        <w:t xml:space="preserve">, and </w:t>
      </w:r>
      <w:r w:rsidRPr="00056725">
        <w:rPr>
          <w:lang w:val="en-GB"/>
        </w:rPr>
        <w:t xml:space="preserve">he noted that </w:t>
      </w:r>
      <w:r w:rsidR="004A0A1E" w:rsidRPr="00056725">
        <w:rPr>
          <w:lang w:val="en-GB"/>
        </w:rPr>
        <w:t xml:space="preserve">one of the major weaknesses of traditional intellectuals </w:t>
      </w:r>
      <w:r w:rsidRPr="00056725">
        <w:rPr>
          <w:lang w:val="en-GB"/>
        </w:rPr>
        <w:t xml:space="preserve">was </w:t>
      </w:r>
      <w:r w:rsidR="004A0A1E" w:rsidRPr="00056725">
        <w:rPr>
          <w:lang w:val="en-GB"/>
        </w:rPr>
        <w:t xml:space="preserve">that they </w:t>
      </w:r>
      <w:r w:rsidRPr="00056725">
        <w:rPr>
          <w:lang w:val="en-GB"/>
        </w:rPr>
        <w:t xml:space="preserve">could not </w:t>
      </w:r>
      <w:r w:rsidR="004A0A1E" w:rsidRPr="00056725">
        <w:rPr>
          <w:lang w:val="en-GB"/>
        </w:rPr>
        <w:t>be independent because they lack</w:t>
      </w:r>
      <w:r w:rsidRPr="00056725">
        <w:rPr>
          <w:lang w:val="en-GB"/>
        </w:rPr>
        <w:t>ed</w:t>
      </w:r>
      <w:r w:rsidR="004A0A1E" w:rsidRPr="00056725">
        <w:rPr>
          <w:lang w:val="en-GB"/>
        </w:rPr>
        <w:t xml:space="preserve"> the financial means to do so. </w:t>
      </w:r>
      <w:r w:rsidRPr="00056725">
        <w:rPr>
          <w:lang w:val="en-GB"/>
        </w:rPr>
        <w:t>Wang explained that t</w:t>
      </w:r>
      <w:r w:rsidR="004A0A1E" w:rsidRPr="00056725">
        <w:rPr>
          <w:lang w:val="en-GB"/>
        </w:rPr>
        <w:t xml:space="preserve">his </w:t>
      </w:r>
      <w:r w:rsidRPr="00056725">
        <w:rPr>
          <w:lang w:val="en-GB"/>
        </w:rPr>
        <w:t xml:space="preserve">was </w:t>
      </w:r>
      <w:r w:rsidR="004A0A1E" w:rsidRPr="00056725">
        <w:rPr>
          <w:lang w:val="en-GB"/>
        </w:rPr>
        <w:t xml:space="preserve">one of the main reasons why </w:t>
      </w:r>
      <w:r w:rsidRPr="00056725">
        <w:rPr>
          <w:lang w:val="en-GB"/>
        </w:rPr>
        <w:t>he had “</w:t>
      </w:r>
      <w:r w:rsidR="004A0A1E" w:rsidRPr="00056725">
        <w:rPr>
          <w:lang w:val="en-GB"/>
        </w:rPr>
        <w:t>plunged into the sea</w:t>
      </w:r>
      <w:r w:rsidR="00257011">
        <w:rPr>
          <w:lang w:val="en-GB"/>
        </w:rPr>
        <w:t>.</w:t>
      </w:r>
      <w:r w:rsidRPr="00056725">
        <w:rPr>
          <w:lang w:val="en-GB"/>
        </w:rPr>
        <w:t>”</w:t>
      </w:r>
      <w:r w:rsidR="004A0A1E" w:rsidRPr="00056725">
        <w:rPr>
          <w:lang w:val="en-GB"/>
        </w:rPr>
        <w:t xml:space="preserve"> </w:t>
      </w:r>
      <w:r w:rsidRPr="00056725">
        <w:rPr>
          <w:lang w:val="en-GB"/>
        </w:rPr>
        <w:t>“</w:t>
      </w:r>
      <w:r w:rsidR="004A0A1E" w:rsidRPr="00056725">
        <w:rPr>
          <w:lang w:val="en-GB"/>
        </w:rPr>
        <w:t xml:space="preserve">My goal of going into business </w:t>
      </w:r>
      <w:r w:rsidRPr="00056725">
        <w:rPr>
          <w:lang w:val="en-GB"/>
        </w:rPr>
        <w:t xml:space="preserve">was </w:t>
      </w:r>
      <w:r w:rsidR="004A0A1E" w:rsidRPr="00056725">
        <w:rPr>
          <w:lang w:val="en-GB"/>
        </w:rPr>
        <w:t>threefold: to embrace the technological revolution, to achieve independence as an intellectual, and to unify what I believe and what I do</w:t>
      </w:r>
      <w:r w:rsidRPr="00056725">
        <w:rPr>
          <w:lang w:val="en-GB"/>
        </w:rPr>
        <w:t>,” he said.</w:t>
      </w:r>
    </w:p>
    <w:p w14:paraId="0CABE8EB" w14:textId="77777777" w:rsidR="004A0A1E" w:rsidRPr="00FB5B48" w:rsidRDefault="004A0A1E" w:rsidP="004A0A1E">
      <w:pPr>
        <w:pStyle w:val="BodyTextMain"/>
        <w:rPr>
          <w:sz w:val="18"/>
          <w:lang w:val="en-GB"/>
        </w:rPr>
      </w:pPr>
    </w:p>
    <w:p w14:paraId="4AE010A6" w14:textId="5CEE25D4" w:rsidR="004A0A1E" w:rsidRPr="00056725" w:rsidRDefault="004A0A1E" w:rsidP="004A0A1E">
      <w:pPr>
        <w:pStyle w:val="BodyTextMain"/>
        <w:rPr>
          <w:lang w:val="en-GB"/>
        </w:rPr>
      </w:pPr>
      <w:r w:rsidRPr="00056725">
        <w:rPr>
          <w:lang w:val="en-GB"/>
        </w:rPr>
        <w:t xml:space="preserve">In 1977, one year after Mao’s death, universities began to admit students </w:t>
      </w:r>
      <w:r w:rsidR="00452C2E" w:rsidRPr="00056725">
        <w:rPr>
          <w:lang w:val="en-GB"/>
        </w:rPr>
        <w:t xml:space="preserve">based on </w:t>
      </w:r>
      <w:r w:rsidRPr="00056725">
        <w:rPr>
          <w:lang w:val="en-GB"/>
        </w:rPr>
        <w:t xml:space="preserve">a rigorous college entrance examination system called </w:t>
      </w:r>
      <w:r w:rsidRPr="00056725">
        <w:rPr>
          <w:i/>
          <w:lang w:val="en-GB"/>
        </w:rPr>
        <w:t>gaokao</w:t>
      </w:r>
      <w:r w:rsidRPr="00056725">
        <w:rPr>
          <w:lang w:val="en-GB"/>
        </w:rPr>
        <w:t xml:space="preserve">. Wang passed the </w:t>
      </w:r>
      <w:r w:rsidRPr="005F5191">
        <w:rPr>
          <w:lang w:val="en-GB"/>
        </w:rPr>
        <w:t>gaokao</w:t>
      </w:r>
      <w:r w:rsidRPr="00056725">
        <w:rPr>
          <w:lang w:val="en-GB"/>
        </w:rPr>
        <w:t xml:space="preserve"> at the age of 21 and was admitted to </w:t>
      </w:r>
      <w:r w:rsidR="008E67F7">
        <w:rPr>
          <w:lang w:val="en-GB"/>
        </w:rPr>
        <w:t xml:space="preserve">then East </w:t>
      </w:r>
      <w:r w:rsidRPr="00056725">
        <w:rPr>
          <w:lang w:val="en-GB"/>
        </w:rPr>
        <w:t xml:space="preserve">China Petroleum </w:t>
      </w:r>
      <w:r w:rsidR="008E67F7">
        <w:rPr>
          <w:lang w:val="en-GB"/>
        </w:rPr>
        <w:t>Institute (now China University of Petroleum)</w:t>
      </w:r>
      <w:r w:rsidRPr="00056725">
        <w:rPr>
          <w:lang w:val="en-GB"/>
        </w:rPr>
        <w:t>, where he majored in physics. He became fascinated by the history of physics and the role of science and technology</w:t>
      </w:r>
      <w:r w:rsidR="003F298D" w:rsidRPr="00056725">
        <w:rPr>
          <w:lang w:val="en-GB"/>
        </w:rPr>
        <w:t>—</w:t>
      </w:r>
      <w:r w:rsidRPr="00056725">
        <w:rPr>
          <w:lang w:val="en-GB"/>
        </w:rPr>
        <w:t>not only in economic development but also in social and political development</w:t>
      </w:r>
      <w:r w:rsidR="003F298D" w:rsidRPr="00056725">
        <w:rPr>
          <w:lang w:val="en-GB"/>
        </w:rPr>
        <w:t>s</w:t>
      </w:r>
      <w:r w:rsidRPr="00056725">
        <w:rPr>
          <w:lang w:val="en-GB"/>
        </w:rPr>
        <w:t xml:space="preserve"> such as </w:t>
      </w:r>
      <w:r w:rsidR="00257011">
        <w:rPr>
          <w:lang w:val="en-GB"/>
        </w:rPr>
        <w:t>the E</w:t>
      </w:r>
      <w:r w:rsidRPr="00056725">
        <w:rPr>
          <w:lang w:val="en-GB"/>
        </w:rPr>
        <w:t xml:space="preserve">nlightenment. This broad range of interests enabled him to use business </w:t>
      </w:r>
      <w:r w:rsidR="003F298D" w:rsidRPr="00056725">
        <w:rPr>
          <w:lang w:val="en-GB"/>
        </w:rPr>
        <w:t xml:space="preserve">activities </w:t>
      </w:r>
      <w:r w:rsidRPr="00056725">
        <w:rPr>
          <w:lang w:val="en-GB"/>
        </w:rPr>
        <w:t xml:space="preserve">as </w:t>
      </w:r>
      <w:r w:rsidR="003F298D" w:rsidRPr="00056725">
        <w:rPr>
          <w:lang w:val="en-GB"/>
        </w:rPr>
        <w:t xml:space="preserve">a </w:t>
      </w:r>
      <w:r w:rsidRPr="00056725">
        <w:rPr>
          <w:lang w:val="en-GB"/>
        </w:rPr>
        <w:t>means to achieve social and political progress.</w:t>
      </w:r>
      <w:r w:rsidR="003F298D" w:rsidRPr="00056725">
        <w:rPr>
          <w:lang w:val="en-GB"/>
        </w:rPr>
        <w:t xml:space="preserve"> As he said some years later,</w:t>
      </w:r>
    </w:p>
    <w:p w14:paraId="1E1459CE" w14:textId="77777777" w:rsidR="004A0A1E" w:rsidRPr="00FB5B48" w:rsidRDefault="004A0A1E" w:rsidP="004A0A1E">
      <w:pPr>
        <w:pStyle w:val="BodyTextMain"/>
        <w:rPr>
          <w:sz w:val="18"/>
          <w:lang w:val="en-GB"/>
        </w:rPr>
      </w:pPr>
    </w:p>
    <w:p w14:paraId="10EB99A8" w14:textId="0D235B43" w:rsidR="004A0A1E" w:rsidRPr="00295CFF" w:rsidRDefault="004A0A1E" w:rsidP="00357182">
      <w:pPr>
        <w:pStyle w:val="BodyTextMain"/>
        <w:ind w:left="720"/>
        <w:rPr>
          <w:spacing w:val="-4"/>
          <w:lang w:val="en-GB"/>
        </w:rPr>
      </w:pPr>
      <w:r w:rsidRPr="00295CFF">
        <w:rPr>
          <w:spacing w:val="-4"/>
          <w:lang w:val="en-GB"/>
        </w:rPr>
        <w:t>Back then, the economy was bad, with few opportunities, so I had to be prepared for the worst</w:t>
      </w:r>
      <w:r w:rsidR="003F298D" w:rsidRPr="00295CFF">
        <w:rPr>
          <w:spacing w:val="-4"/>
          <w:lang w:val="en-GB"/>
        </w:rPr>
        <w:t xml:space="preserve">. </w:t>
      </w:r>
      <w:r w:rsidRPr="00295CFF">
        <w:rPr>
          <w:spacing w:val="-4"/>
          <w:lang w:val="en-GB"/>
        </w:rPr>
        <w:t>In the worst situation I would be a tailor</w:t>
      </w:r>
      <w:r w:rsidR="003F298D" w:rsidRPr="00295CFF">
        <w:rPr>
          <w:spacing w:val="-4"/>
          <w:lang w:val="en-GB"/>
        </w:rPr>
        <w:t>—</w:t>
      </w:r>
      <w:r w:rsidRPr="00295CFF">
        <w:rPr>
          <w:spacing w:val="-4"/>
          <w:lang w:val="en-GB"/>
        </w:rPr>
        <w:t>I am very good at that</w:t>
      </w:r>
      <w:r w:rsidR="003F298D" w:rsidRPr="00295CFF">
        <w:rPr>
          <w:spacing w:val="-4"/>
          <w:lang w:val="en-GB"/>
        </w:rPr>
        <w:t>—</w:t>
      </w:r>
      <w:r w:rsidRPr="00295CFF">
        <w:rPr>
          <w:spacing w:val="-4"/>
          <w:lang w:val="en-GB"/>
        </w:rPr>
        <w:t xml:space="preserve">to survive. </w:t>
      </w:r>
      <w:r w:rsidR="003F298D" w:rsidRPr="00295CFF">
        <w:rPr>
          <w:spacing w:val="-4"/>
          <w:lang w:val="en-GB"/>
        </w:rPr>
        <w:t xml:space="preserve">In the </w:t>
      </w:r>
      <w:r w:rsidRPr="00295CFF">
        <w:rPr>
          <w:spacing w:val="-4"/>
          <w:lang w:val="en-GB"/>
        </w:rPr>
        <w:t xml:space="preserve">second worst </w:t>
      </w:r>
      <w:r w:rsidR="003F298D" w:rsidRPr="00295CFF">
        <w:rPr>
          <w:spacing w:val="-4"/>
          <w:lang w:val="en-GB"/>
        </w:rPr>
        <w:t xml:space="preserve">situation, I </w:t>
      </w:r>
      <w:r w:rsidRPr="00295CFF">
        <w:rPr>
          <w:spacing w:val="-4"/>
          <w:lang w:val="en-GB"/>
        </w:rPr>
        <w:t>would be a vinegar maker</w:t>
      </w:r>
      <w:r w:rsidR="003F298D" w:rsidRPr="00295CFF">
        <w:rPr>
          <w:spacing w:val="-4"/>
          <w:lang w:val="en-GB"/>
        </w:rPr>
        <w:t>;</w:t>
      </w:r>
      <w:r w:rsidRPr="00295CFF">
        <w:rPr>
          <w:spacing w:val="-4"/>
          <w:lang w:val="en-GB"/>
        </w:rPr>
        <w:t xml:space="preserve"> I once worked as a manager in a vinegar plant. </w:t>
      </w:r>
      <w:r w:rsidR="003F298D" w:rsidRPr="00295CFF">
        <w:rPr>
          <w:spacing w:val="-4"/>
          <w:lang w:val="en-GB"/>
        </w:rPr>
        <w:t xml:space="preserve">In the </w:t>
      </w:r>
      <w:r w:rsidRPr="00295CFF">
        <w:rPr>
          <w:spacing w:val="-4"/>
          <w:lang w:val="en-GB"/>
        </w:rPr>
        <w:t>best</w:t>
      </w:r>
      <w:r w:rsidR="003F298D" w:rsidRPr="00295CFF">
        <w:rPr>
          <w:spacing w:val="-4"/>
          <w:lang w:val="en-GB"/>
        </w:rPr>
        <w:t xml:space="preserve">, I </w:t>
      </w:r>
      <w:r w:rsidRPr="00295CFF">
        <w:rPr>
          <w:spacing w:val="-4"/>
          <w:lang w:val="en-GB"/>
        </w:rPr>
        <w:t>would be a consultant</w:t>
      </w:r>
      <w:r w:rsidR="003F298D" w:rsidRPr="00295CFF">
        <w:rPr>
          <w:spacing w:val="-4"/>
          <w:lang w:val="en-GB"/>
        </w:rPr>
        <w:t>. T</w:t>
      </w:r>
      <w:r w:rsidRPr="00295CFF">
        <w:rPr>
          <w:spacing w:val="-4"/>
          <w:lang w:val="en-GB"/>
        </w:rPr>
        <w:t>his is where my heart is. I am a natural at intera</w:t>
      </w:r>
      <w:r w:rsidR="00357182" w:rsidRPr="00295CFF">
        <w:rPr>
          <w:spacing w:val="-4"/>
          <w:lang w:val="en-GB"/>
        </w:rPr>
        <w:t>cting with and advising people.</w:t>
      </w:r>
      <w:r w:rsidRPr="00295CFF">
        <w:rPr>
          <w:spacing w:val="-4"/>
          <w:lang w:val="en-GB"/>
        </w:rPr>
        <w:t xml:space="preserve"> </w:t>
      </w:r>
    </w:p>
    <w:p w14:paraId="0054E386" w14:textId="77777777" w:rsidR="004A0A1E" w:rsidRPr="00FB5B48" w:rsidRDefault="004A0A1E" w:rsidP="004A0A1E">
      <w:pPr>
        <w:pStyle w:val="BodyTextMain"/>
        <w:rPr>
          <w:sz w:val="18"/>
          <w:lang w:val="en-GB"/>
        </w:rPr>
      </w:pPr>
    </w:p>
    <w:p w14:paraId="794BF44A" w14:textId="02CC0641" w:rsidR="004A0A1E" w:rsidRPr="00FB5B48" w:rsidRDefault="00981F1E" w:rsidP="004A0A1E">
      <w:pPr>
        <w:pStyle w:val="BodyTextMain"/>
        <w:rPr>
          <w:spacing w:val="-4"/>
          <w:lang w:val="en-GB"/>
        </w:rPr>
      </w:pPr>
      <w:r>
        <w:rPr>
          <w:spacing w:val="-4"/>
          <w:lang w:val="en-GB"/>
        </w:rPr>
        <w:t>In</w:t>
      </w:r>
      <w:r w:rsidR="004A0A1E" w:rsidRPr="00FB5B48">
        <w:rPr>
          <w:spacing w:val="-4"/>
          <w:lang w:val="en-GB"/>
        </w:rPr>
        <w:t xml:space="preserve"> 1993, Wang and five associates started GEI</w:t>
      </w:r>
      <w:r w:rsidR="003F298D" w:rsidRPr="00FB5B48">
        <w:rPr>
          <w:spacing w:val="-4"/>
          <w:lang w:val="en-GB"/>
        </w:rPr>
        <w:t xml:space="preserve">. Wu Wensheng, </w:t>
      </w:r>
      <w:r w:rsidR="000D4B00" w:rsidRPr="00FB5B48">
        <w:rPr>
          <w:spacing w:val="-4"/>
          <w:lang w:val="en-GB"/>
        </w:rPr>
        <w:t>one of the original five associates</w:t>
      </w:r>
      <w:r w:rsidR="003F298D" w:rsidRPr="00FB5B48">
        <w:rPr>
          <w:spacing w:val="-4"/>
          <w:lang w:val="en-GB"/>
        </w:rPr>
        <w:t xml:space="preserve"> who was general manager of GEI</w:t>
      </w:r>
      <w:r w:rsidR="000D4B00" w:rsidRPr="00FB5B48">
        <w:rPr>
          <w:spacing w:val="-4"/>
          <w:lang w:val="en-GB"/>
        </w:rPr>
        <w:t xml:space="preserve"> at age 51</w:t>
      </w:r>
      <w:r w:rsidR="003F298D" w:rsidRPr="00FB5B48">
        <w:rPr>
          <w:spacing w:val="-4"/>
          <w:lang w:val="en-GB"/>
        </w:rPr>
        <w:t>, explained that the</w:t>
      </w:r>
      <w:r w:rsidR="000D4B00" w:rsidRPr="00FB5B48">
        <w:rPr>
          <w:spacing w:val="-4"/>
          <w:lang w:val="en-GB"/>
        </w:rPr>
        <w:t xml:space="preserve"> associates originally</w:t>
      </w:r>
      <w:r w:rsidR="003F298D" w:rsidRPr="00FB5B48">
        <w:rPr>
          <w:spacing w:val="-4"/>
          <w:lang w:val="en-GB"/>
        </w:rPr>
        <w:t xml:space="preserve"> chose t</w:t>
      </w:r>
      <w:r w:rsidR="004A0A1E" w:rsidRPr="00FB5B48">
        <w:rPr>
          <w:spacing w:val="-4"/>
          <w:lang w:val="en-GB"/>
        </w:rPr>
        <w:t xml:space="preserve">he name to reflect their admiration for the </w:t>
      </w:r>
      <w:r w:rsidR="003F298D" w:rsidRPr="00FB5B48">
        <w:rPr>
          <w:spacing w:val="-4"/>
          <w:lang w:val="en-GB"/>
        </w:rPr>
        <w:t xml:space="preserve">famous </w:t>
      </w:r>
      <w:r w:rsidR="004A0A1E" w:rsidRPr="00FB5B48">
        <w:rPr>
          <w:spacing w:val="-4"/>
          <w:lang w:val="en-GB"/>
        </w:rPr>
        <w:t>think</w:t>
      </w:r>
      <w:r w:rsidR="003F298D" w:rsidRPr="00FB5B48">
        <w:rPr>
          <w:spacing w:val="-4"/>
          <w:lang w:val="en-GB"/>
        </w:rPr>
        <w:t xml:space="preserve"> </w:t>
      </w:r>
      <w:r w:rsidR="004A0A1E" w:rsidRPr="00FB5B48">
        <w:rPr>
          <w:spacing w:val="-4"/>
          <w:lang w:val="en-GB"/>
        </w:rPr>
        <w:t xml:space="preserve">tank the American Enterprise Institute. </w:t>
      </w:r>
      <w:r w:rsidR="003F298D" w:rsidRPr="00FB5B48">
        <w:rPr>
          <w:spacing w:val="-4"/>
          <w:lang w:val="en-GB"/>
        </w:rPr>
        <w:t xml:space="preserve">GEI’s </w:t>
      </w:r>
      <w:r w:rsidR="004A0A1E" w:rsidRPr="00FB5B48">
        <w:rPr>
          <w:spacing w:val="-4"/>
          <w:lang w:val="en-GB"/>
        </w:rPr>
        <w:t xml:space="preserve">first consulting project was for a private firm, the </w:t>
      </w:r>
      <w:r w:rsidR="003F298D" w:rsidRPr="00FB5B48">
        <w:rPr>
          <w:spacing w:val="-4"/>
          <w:lang w:val="en-GB"/>
        </w:rPr>
        <w:t xml:space="preserve">New </w:t>
      </w:r>
      <w:r w:rsidR="004A0A1E" w:rsidRPr="00FB5B48">
        <w:rPr>
          <w:spacing w:val="-4"/>
          <w:lang w:val="en-GB"/>
        </w:rPr>
        <w:t>Hope Group</w:t>
      </w:r>
      <w:r w:rsidR="003F298D" w:rsidRPr="00FB5B48">
        <w:rPr>
          <w:spacing w:val="-4"/>
          <w:lang w:val="en-GB"/>
        </w:rPr>
        <w:t xml:space="preserve"> Co. Ltd.</w:t>
      </w:r>
      <w:r w:rsidR="004A0A1E" w:rsidRPr="00FB5B48">
        <w:rPr>
          <w:spacing w:val="-4"/>
          <w:lang w:val="en-GB"/>
        </w:rPr>
        <w:t xml:space="preserve">, a conglomerate that had begun by producing animal feed. The contract </w:t>
      </w:r>
      <w:r w:rsidR="002232CC" w:rsidRPr="00FB5B48">
        <w:rPr>
          <w:spacing w:val="-4"/>
          <w:lang w:val="en-GB"/>
        </w:rPr>
        <w:t>for this first</w:t>
      </w:r>
      <w:r w:rsidR="004A0A1E" w:rsidRPr="00FB5B48">
        <w:rPr>
          <w:spacing w:val="-4"/>
          <w:lang w:val="en-GB"/>
        </w:rPr>
        <w:t xml:space="preserve"> project was merely </w:t>
      </w:r>
      <w:r w:rsidR="002232CC" w:rsidRPr="00FB5B48">
        <w:rPr>
          <w:spacing w:val="-4"/>
          <w:lang w:val="en-GB"/>
        </w:rPr>
        <w:t>¥</w:t>
      </w:r>
      <w:r w:rsidR="004A0A1E" w:rsidRPr="00FB5B48">
        <w:rPr>
          <w:spacing w:val="-4"/>
          <w:lang w:val="en-GB"/>
        </w:rPr>
        <w:t xml:space="preserve">10,000 (about $1,500), </w:t>
      </w:r>
      <w:r w:rsidR="002232CC" w:rsidRPr="00FB5B48">
        <w:rPr>
          <w:spacing w:val="-4"/>
          <w:lang w:val="en-GB"/>
        </w:rPr>
        <w:t xml:space="preserve">or </w:t>
      </w:r>
      <w:r w:rsidR="004A0A1E" w:rsidRPr="00FB5B48">
        <w:rPr>
          <w:spacing w:val="-4"/>
          <w:lang w:val="en-GB"/>
        </w:rPr>
        <w:t xml:space="preserve">about two years’ </w:t>
      </w:r>
      <w:r w:rsidR="002232CC" w:rsidRPr="00FB5B48">
        <w:rPr>
          <w:spacing w:val="-4"/>
          <w:lang w:val="en-GB"/>
        </w:rPr>
        <w:t>salary for</w:t>
      </w:r>
      <w:r w:rsidR="004A0A1E" w:rsidRPr="00FB5B48">
        <w:rPr>
          <w:spacing w:val="-4"/>
          <w:lang w:val="en-GB"/>
        </w:rPr>
        <w:t xml:space="preserve"> an </w:t>
      </w:r>
      <w:r w:rsidR="002232CC" w:rsidRPr="00FB5B48">
        <w:rPr>
          <w:spacing w:val="-4"/>
          <w:lang w:val="en-GB"/>
        </w:rPr>
        <w:t xml:space="preserve">average </w:t>
      </w:r>
      <w:r w:rsidR="004A0A1E" w:rsidRPr="00FB5B48">
        <w:rPr>
          <w:spacing w:val="-4"/>
          <w:lang w:val="en-GB"/>
        </w:rPr>
        <w:t>employee in a private firm.</w:t>
      </w:r>
      <w:r w:rsidR="004A0A1E" w:rsidRPr="00FB5B48">
        <w:rPr>
          <w:rStyle w:val="FootnoteReference"/>
          <w:spacing w:val="-4"/>
          <w:lang w:val="en-GB"/>
        </w:rPr>
        <w:footnoteReference w:id="10"/>
      </w:r>
      <w:r w:rsidR="004A0A1E" w:rsidRPr="00FB5B48">
        <w:rPr>
          <w:spacing w:val="-4"/>
          <w:lang w:val="en-GB"/>
        </w:rPr>
        <w:t xml:space="preserve"> The second contract was for </w:t>
      </w:r>
      <w:r w:rsidR="002232CC" w:rsidRPr="00FB5B48">
        <w:rPr>
          <w:spacing w:val="-4"/>
          <w:lang w:val="en-GB"/>
        </w:rPr>
        <w:t>¥</w:t>
      </w:r>
      <w:r w:rsidR="004A0A1E" w:rsidRPr="00FB5B48">
        <w:rPr>
          <w:spacing w:val="-4"/>
          <w:lang w:val="en-GB"/>
        </w:rPr>
        <w:t xml:space="preserve">50,000. A consulting firm was </w:t>
      </w:r>
      <w:r w:rsidR="000D4B00" w:rsidRPr="00FB5B48">
        <w:rPr>
          <w:spacing w:val="-4"/>
          <w:lang w:val="en-GB"/>
        </w:rPr>
        <w:t xml:space="preserve">thus </w:t>
      </w:r>
      <w:r w:rsidR="004A0A1E" w:rsidRPr="00FB5B48">
        <w:rPr>
          <w:spacing w:val="-4"/>
          <w:lang w:val="en-GB"/>
        </w:rPr>
        <w:t>born.</w:t>
      </w:r>
    </w:p>
    <w:p w14:paraId="4645DA98" w14:textId="6363F132" w:rsidR="004A0A1E" w:rsidRPr="00FB5B48" w:rsidRDefault="004A0A1E" w:rsidP="004A0A1E">
      <w:pPr>
        <w:pStyle w:val="BodyTextMain"/>
        <w:rPr>
          <w:sz w:val="18"/>
          <w:lang w:val="en-GB"/>
        </w:rPr>
      </w:pPr>
    </w:p>
    <w:p w14:paraId="0C28F784" w14:textId="77777777" w:rsidR="004A0A1E" w:rsidRPr="00FB5B48" w:rsidRDefault="004A0A1E" w:rsidP="004A0A1E">
      <w:pPr>
        <w:pStyle w:val="BodyTextMain"/>
        <w:rPr>
          <w:sz w:val="18"/>
          <w:lang w:val="en-GB"/>
        </w:rPr>
      </w:pPr>
    </w:p>
    <w:p w14:paraId="60631F5C" w14:textId="3A854F3F" w:rsidR="004A0A1E" w:rsidRPr="00056725" w:rsidRDefault="004A0A1E" w:rsidP="005F5191">
      <w:pPr>
        <w:pStyle w:val="Casehead1"/>
        <w:rPr>
          <w:lang w:val="en-GB"/>
        </w:rPr>
      </w:pPr>
      <w:r w:rsidRPr="00056725">
        <w:rPr>
          <w:lang w:val="en-GB"/>
        </w:rPr>
        <w:t xml:space="preserve">Searching for </w:t>
      </w:r>
      <w:r w:rsidR="00221936" w:rsidRPr="00056725">
        <w:rPr>
          <w:lang w:val="en-GB"/>
        </w:rPr>
        <w:t>a</w:t>
      </w:r>
      <w:r w:rsidRPr="00056725">
        <w:rPr>
          <w:lang w:val="en-GB"/>
        </w:rPr>
        <w:t xml:space="preserve"> Niche</w:t>
      </w:r>
    </w:p>
    <w:p w14:paraId="5587E2FD" w14:textId="77777777" w:rsidR="004A0A1E" w:rsidRPr="00FB5B48" w:rsidRDefault="004A0A1E" w:rsidP="004A0A1E">
      <w:pPr>
        <w:pStyle w:val="BodyTextMain"/>
        <w:rPr>
          <w:sz w:val="18"/>
          <w:lang w:val="en-GB"/>
        </w:rPr>
      </w:pPr>
    </w:p>
    <w:p w14:paraId="77E9A726" w14:textId="2BA39485" w:rsidR="004A0A1E" w:rsidRPr="00FB5B48" w:rsidRDefault="004A0A1E" w:rsidP="004A0A1E">
      <w:pPr>
        <w:pStyle w:val="BodyTextMain"/>
        <w:rPr>
          <w:spacing w:val="-4"/>
          <w:lang w:val="en-GB"/>
        </w:rPr>
      </w:pPr>
      <w:r w:rsidRPr="00FB5B48">
        <w:rPr>
          <w:spacing w:val="-4"/>
          <w:lang w:val="en-GB"/>
        </w:rPr>
        <w:t>From the onset, Wang and his associates had a clear goal for their work: they wanted to help firms, especially private firms, to grow and innovate. Interestingly, the founders of GEI</w:t>
      </w:r>
      <w:r w:rsidR="007E389A" w:rsidRPr="00FB5B48">
        <w:rPr>
          <w:spacing w:val="-4"/>
          <w:lang w:val="en-GB"/>
        </w:rPr>
        <w:t xml:space="preserve"> said </w:t>
      </w:r>
      <w:r w:rsidRPr="00FB5B48">
        <w:rPr>
          <w:spacing w:val="-4"/>
          <w:lang w:val="en-GB"/>
        </w:rPr>
        <w:t>they did not have a clear strategy on how to achieve their goals. “Finding work was diffi</w:t>
      </w:r>
      <w:r w:rsidR="00F61FED">
        <w:rPr>
          <w:spacing w:val="-4"/>
          <w:lang w:val="en-GB"/>
        </w:rPr>
        <w:t>cult at the beginning,” Wu said, but</w:t>
      </w:r>
      <w:r w:rsidRPr="00FB5B48">
        <w:rPr>
          <w:spacing w:val="-4"/>
          <w:lang w:val="en-GB"/>
        </w:rPr>
        <w:t xml:space="preserve"> they did not give up. “We just followed our instincts and followed the market</w:t>
      </w:r>
      <w:r w:rsidR="007E389A" w:rsidRPr="00FB5B48">
        <w:rPr>
          <w:spacing w:val="-4"/>
          <w:lang w:val="en-GB"/>
        </w:rPr>
        <w:t>,” he added. “</w:t>
      </w:r>
      <w:r w:rsidRPr="00FB5B48">
        <w:rPr>
          <w:spacing w:val="-4"/>
          <w:lang w:val="en-GB"/>
        </w:rPr>
        <w:t>We kept our minds alert and our eyes open</w:t>
      </w:r>
      <w:r w:rsidR="007E389A" w:rsidRPr="00FB5B48">
        <w:rPr>
          <w:spacing w:val="-4"/>
          <w:lang w:val="en-GB"/>
        </w:rPr>
        <w:t xml:space="preserve">.” </w:t>
      </w:r>
      <w:r w:rsidRPr="00FB5B48">
        <w:rPr>
          <w:spacing w:val="-4"/>
          <w:lang w:val="en-GB"/>
        </w:rPr>
        <w:t>Their exploration led them to go beyond firms.</w:t>
      </w:r>
      <w:r w:rsidR="00357182" w:rsidRPr="00FB5B48">
        <w:rPr>
          <w:spacing w:val="-4"/>
          <w:lang w:val="en-GB"/>
        </w:rPr>
        <w:t xml:space="preserve"> </w:t>
      </w:r>
      <w:r w:rsidRPr="00FB5B48">
        <w:rPr>
          <w:spacing w:val="-4"/>
          <w:lang w:val="en-GB"/>
        </w:rPr>
        <w:t xml:space="preserve">Years later, Wang recalled what had happened: </w:t>
      </w:r>
    </w:p>
    <w:p w14:paraId="5F315FED" w14:textId="77777777" w:rsidR="004A0A1E" w:rsidRPr="00FB5B48" w:rsidRDefault="004A0A1E" w:rsidP="004A0A1E">
      <w:pPr>
        <w:pStyle w:val="BodyTextMain"/>
        <w:rPr>
          <w:sz w:val="18"/>
          <w:lang w:val="en-GB"/>
        </w:rPr>
      </w:pPr>
    </w:p>
    <w:p w14:paraId="27E0A46D" w14:textId="412ACE30" w:rsidR="004A0A1E" w:rsidRPr="00056725" w:rsidRDefault="004A0A1E" w:rsidP="004A0A1E">
      <w:pPr>
        <w:pStyle w:val="BodyTextMain"/>
        <w:ind w:left="720"/>
        <w:rPr>
          <w:lang w:val="en-GB"/>
        </w:rPr>
      </w:pPr>
      <w:r w:rsidRPr="00056725">
        <w:rPr>
          <w:lang w:val="en-GB"/>
        </w:rPr>
        <w:t xml:space="preserve">As the [Chinese] society bid farewell to Mao’s revolutionary era and embraced the market economy, I became convinced that the </w:t>
      </w:r>
      <w:r w:rsidR="007E389A" w:rsidRPr="00056725">
        <w:rPr>
          <w:lang w:val="en-GB"/>
        </w:rPr>
        <w:t>thought liberalization movement of the 1980s</w:t>
      </w:r>
      <w:r w:rsidRPr="00056725">
        <w:rPr>
          <w:lang w:val="en-GB"/>
        </w:rPr>
        <w:t>, which had spearheaded China’s reform and opening</w:t>
      </w:r>
      <w:r w:rsidR="007E389A" w:rsidRPr="00056725">
        <w:rPr>
          <w:lang w:val="en-GB"/>
        </w:rPr>
        <w:t xml:space="preserve"> </w:t>
      </w:r>
      <w:r w:rsidRPr="00056725">
        <w:rPr>
          <w:lang w:val="en-GB"/>
        </w:rPr>
        <w:t xml:space="preserve">up, had ended, and that a new era of </w:t>
      </w:r>
      <w:r w:rsidR="007E389A" w:rsidRPr="00056725">
        <w:rPr>
          <w:lang w:val="en-GB"/>
        </w:rPr>
        <w:t xml:space="preserve">rule </w:t>
      </w:r>
      <w:r w:rsidRPr="00056725">
        <w:rPr>
          <w:lang w:val="en-GB"/>
        </w:rPr>
        <w:t xml:space="preserve">by pro-business officials was emerging. </w:t>
      </w:r>
    </w:p>
    <w:p w14:paraId="318B94CE" w14:textId="77777777" w:rsidR="004A0A1E" w:rsidRPr="00FB5B48" w:rsidRDefault="004A0A1E" w:rsidP="004A0A1E">
      <w:pPr>
        <w:pStyle w:val="BodyTextMain"/>
        <w:rPr>
          <w:sz w:val="18"/>
          <w:lang w:val="en-GB"/>
        </w:rPr>
      </w:pPr>
    </w:p>
    <w:p w14:paraId="685B3F97" w14:textId="23CA2C37" w:rsidR="004A0A1E" w:rsidRPr="00056725" w:rsidRDefault="004A0A1E" w:rsidP="004A0A1E">
      <w:pPr>
        <w:pStyle w:val="BodyTextMain"/>
        <w:rPr>
          <w:lang w:val="en-GB"/>
        </w:rPr>
      </w:pPr>
      <w:r w:rsidRPr="00056725">
        <w:rPr>
          <w:lang w:val="en-GB"/>
        </w:rPr>
        <w:t>His view was echoed by Zhao Mulan, a senior advisor at GEI: “I was working in the government back then</w:t>
      </w:r>
      <w:r w:rsidR="007E389A" w:rsidRPr="00056725">
        <w:rPr>
          <w:lang w:val="en-GB"/>
        </w:rPr>
        <w:t>,</w:t>
      </w:r>
      <w:r w:rsidRPr="00056725">
        <w:rPr>
          <w:lang w:val="en-GB"/>
        </w:rPr>
        <w:t xml:space="preserve"> and I remember that my boss made a declaration: </w:t>
      </w:r>
      <w:r w:rsidR="007E389A" w:rsidRPr="00056725">
        <w:rPr>
          <w:lang w:val="en-GB"/>
        </w:rPr>
        <w:t>‘</w:t>
      </w:r>
      <w:r w:rsidRPr="00056725">
        <w:rPr>
          <w:lang w:val="en-GB"/>
        </w:rPr>
        <w:t>We are now a business-friendly government.</w:t>
      </w:r>
      <w:r w:rsidR="007E389A" w:rsidRPr="00056725">
        <w:rPr>
          <w:lang w:val="en-GB"/>
        </w:rPr>
        <w:t>’</w:t>
      </w:r>
      <w:r w:rsidRPr="00056725">
        <w:rPr>
          <w:lang w:val="en-GB"/>
        </w:rPr>
        <w:t>” This newly added function</w:t>
      </w:r>
      <w:r w:rsidR="007E389A" w:rsidRPr="00056725">
        <w:rPr>
          <w:lang w:val="en-GB"/>
        </w:rPr>
        <w:t xml:space="preserve"> of</w:t>
      </w:r>
      <w:r w:rsidRPr="00056725">
        <w:rPr>
          <w:lang w:val="en-GB"/>
        </w:rPr>
        <w:t xml:space="preserve"> helping businesses to grow was carried out by many powerful ministries in the central government.</w:t>
      </w:r>
      <w:r w:rsidRPr="00056725">
        <w:rPr>
          <w:rStyle w:val="FootnoteReference"/>
          <w:lang w:val="en-GB"/>
        </w:rPr>
        <w:footnoteReference w:id="11"/>
      </w:r>
      <w:r w:rsidRPr="00056725">
        <w:rPr>
          <w:lang w:val="en-GB"/>
        </w:rPr>
        <w:t xml:space="preserve"> </w:t>
      </w:r>
      <w:r w:rsidR="007E389A" w:rsidRPr="00056725">
        <w:rPr>
          <w:lang w:val="en-GB"/>
        </w:rPr>
        <w:t>M</w:t>
      </w:r>
      <w:r w:rsidRPr="00056725">
        <w:rPr>
          <w:lang w:val="en-GB"/>
        </w:rPr>
        <w:t xml:space="preserve">inistry officials, </w:t>
      </w:r>
      <w:r w:rsidR="007E389A" w:rsidRPr="00056725">
        <w:rPr>
          <w:lang w:val="en-GB"/>
        </w:rPr>
        <w:t xml:space="preserve">who had previously known </w:t>
      </w:r>
      <w:r w:rsidRPr="00056725">
        <w:rPr>
          <w:lang w:val="en-GB"/>
        </w:rPr>
        <w:t xml:space="preserve">only Marxism, </w:t>
      </w:r>
      <w:r w:rsidR="007E389A" w:rsidRPr="00056725">
        <w:rPr>
          <w:lang w:val="en-GB"/>
        </w:rPr>
        <w:t xml:space="preserve">quickly </w:t>
      </w:r>
      <w:r w:rsidRPr="00056725">
        <w:rPr>
          <w:lang w:val="en-GB"/>
        </w:rPr>
        <w:t>realized that they knew little about developing business and needed help. This provided an opportunity f</w:t>
      </w:r>
      <w:r w:rsidR="00357182" w:rsidRPr="00056725">
        <w:rPr>
          <w:lang w:val="en-GB"/>
        </w:rPr>
        <w:t xml:space="preserve">or consulting firms like GEI. </w:t>
      </w:r>
    </w:p>
    <w:p w14:paraId="0FA37A9F" w14:textId="25421AC3" w:rsidR="004A0A1E" w:rsidRPr="00056725" w:rsidRDefault="004A0A1E" w:rsidP="004A0A1E">
      <w:pPr>
        <w:pStyle w:val="BodyTextMain"/>
        <w:rPr>
          <w:lang w:val="en-GB"/>
        </w:rPr>
      </w:pPr>
      <w:r w:rsidRPr="00056725">
        <w:rPr>
          <w:lang w:val="en-GB"/>
        </w:rPr>
        <w:lastRenderedPageBreak/>
        <w:t>One of the powerful ministries looking for consulting help was the Ministry of Science and Technology (MOST). MOST was in charge of the science and technology development and application in China and had vast resources to oversee all STPs in China.</w:t>
      </w:r>
      <w:r w:rsidR="00A6162C" w:rsidRPr="00A6162C">
        <w:rPr>
          <w:rStyle w:val="FootnoteReference"/>
          <w:lang w:val="en-GB"/>
        </w:rPr>
        <w:t xml:space="preserve"> </w:t>
      </w:r>
      <w:r w:rsidR="00A6162C" w:rsidRPr="00056725">
        <w:rPr>
          <w:rStyle w:val="FootnoteReference"/>
          <w:lang w:val="en-GB"/>
        </w:rPr>
        <w:footnoteReference w:id="12"/>
      </w:r>
      <w:r w:rsidRPr="00056725">
        <w:rPr>
          <w:lang w:val="en-GB"/>
        </w:rPr>
        <w:t xml:space="preserve"> </w:t>
      </w:r>
      <w:r w:rsidR="000158D7" w:rsidRPr="00056725">
        <w:rPr>
          <w:lang w:val="en-GB"/>
        </w:rPr>
        <w:t xml:space="preserve">Li Wan, </w:t>
      </w:r>
      <w:r w:rsidR="000158D7">
        <w:rPr>
          <w:lang w:val="en-GB"/>
        </w:rPr>
        <w:t>a</w:t>
      </w:r>
      <w:r w:rsidRPr="00056725">
        <w:rPr>
          <w:lang w:val="en-GB"/>
        </w:rPr>
        <w:t xml:space="preserve"> </w:t>
      </w:r>
      <w:r w:rsidRPr="005F5191">
        <w:rPr>
          <w:i/>
          <w:lang w:val="en-GB"/>
        </w:rPr>
        <w:t>chuzhang</w:t>
      </w:r>
      <w:r w:rsidR="007E389A" w:rsidRPr="00056725">
        <w:rPr>
          <w:lang w:val="en-GB"/>
        </w:rPr>
        <w:t xml:space="preserve"> (“section chief”</w:t>
      </w:r>
      <w:r w:rsidRPr="00056725">
        <w:rPr>
          <w:lang w:val="en-GB"/>
        </w:rPr>
        <w:t>) at Beijing’s Science and Technology Committee (the equivalent of MOST in the local government), was looking for a consulting firm to help with the development of the STPs in Beijing. After short-listing a few candidates</w:t>
      </w:r>
      <w:r w:rsidR="007E389A" w:rsidRPr="00056725">
        <w:rPr>
          <w:lang w:val="en-GB"/>
        </w:rPr>
        <w:t>,</w:t>
      </w:r>
      <w:r w:rsidRPr="00056725">
        <w:rPr>
          <w:lang w:val="en-GB"/>
        </w:rPr>
        <w:t xml:space="preserve"> including GEI, she called GEI in for a meeting. </w:t>
      </w:r>
    </w:p>
    <w:p w14:paraId="78E0763A" w14:textId="77777777" w:rsidR="004A0A1E" w:rsidRPr="002E7F31" w:rsidRDefault="004A0A1E" w:rsidP="004A0A1E">
      <w:pPr>
        <w:pStyle w:val="BodyTextMain"/>
        <w:rPr>
          <w:sz w:val="20"/>
          <w:lang w:val="en-GB"/>
        </w:rPr>
      </w:pPr>
    </w:p>
    <w:p w14:paraId="0DA3D56B" w14:textId="740FFED6" w:rsidR="004A0A1E" w:rsidRPr="00056725" w:rsidRDefault="00641194" w:rsidP="004A0A1E">
      <w:pPr>
        <w:pStyle w:val="BodyTextMain"/>
        <w:rPr>
          <w:lang w:val="en-GB"/>
        </w:rPr>
      </w:pPr>
      <w:r w:rsidRPr="00056725">
        <w:rPr>
          <w:lang w:val="en-GB"/>
        </w:rPr>
        <w:t xml:space="preserve">Wang recalled, </w:t>
      </w:r>
      <w:r w:rsidR="004A0A1E" w:rsidRPr="00056725">
        <w:rPr>
          <w:lang w:val="en-GB"/>
        </w:rPr>
        <w:t>“She kept calling us, but we did not want to meet with a government official. We had left the government in order to help private firms to grow, not to work with the government again</w:t>
      </w:r>
      <w:r w:rsidRPr="00056725">
        <w:rPr>
          <w:lang w:val="en-GB"/>
        </w:rPr>
        <w:t xml:space="preserve">.” </w:t>
      </w:r>
      <w:r w:rsidR="004A0A1E" w:rsidRPr="00056725">
        <w:rPr>
          <w:lang w:val="en-GB"/>
        </w:rPr>
        <w:t>Reluctantly, however, they met with Li, and she chose GEI as her contractor. “Later</w:t>
      </w:r>
      <w:r w:rsidR="00F61FED">
        <w:rPr>
          <w:lang w:val="en-GB"/>
        </w:rPr>
        <w:t>,</w:t>
      </w:r>
      <w:r w:rsidRPr="00056725">
        <w:rPr>
          <w:lang w:val="en-GB"/>
        </w:rPr>
        <w:t>” Wu remembered with a laugh</w:t>
      </w:r>
      <w:r w:rsidR="004A0A1E" w:rsidRPr="00056725">
        <w:rPr>
          <w:lang w:val="en-GB"/>
        </w:rPr>
        <w:t xml:space="preserve">, </w:t>
      </w:r>
      <w:r w:rsidRPr="00056725">
        <w:rPr>
          <w:lang w:val="en-GB"/>
        </w:rPr>
        <w:t>“</w:t>
      </w:r>
      <w:r w:rsidR="004A0A1E" w:rsidRPr="00056725">
        <w:rPr>
          <w:lang w:val="en-GB"/>
        </w:rPr>
        <w:t>Ms. Li told us that our office location</w:t>
      </w:r>
      <w:r w:rsidRPr="00056725">
        <w:rPr>
          <w:lang w:val="en-GB"/>
        </w:rPr>
        <w:t>—</w:t>
      </w:r>
      <w:r w:rsidR="004A0A1E" w:rsidRPr="00056725">
        <w:rPr>
          <w:lang w:val="en-GB"/>
        </w:rPr>
        <w:t xml:space="preserve">we had leased an expensive office space in a prestigious tower in the </w:t>
      </w:r>
      <w:r w:rsidR="00E919BE" w:rsidRPr="00056725">
        <w:rPr>
          <w:lang w:val="en-GB"/>
        </w:rPr>
        <w:t>centre</w:t>
      </w:r>
      <w:r w:rsidR="004A0A1E" w:rsidRPr="00056725">
        <w:rPr>
          <w:lang w:val="en-GB"/>
        </w:rPr>
        <w:t xml:space="preserve"> of Beijing</w:t>
      </w:r>
      <w:r w:rsidRPr="00056725">
        <w:rPr>
          <w:lang w:val="en-GB"/>
        </w:rPr>
        <w:t>—</w:t>
      </w:r>
      <w:r w:rsidR="004A0A1E" w:rsidRPr="00056725">
        <w:rPr>
          <w:lang w:val="en-GB"/>
        </w:rPr>
        <w:t>had given her more confidence in selecting us</w:t>
      </w:r>
      <w:r w:rsidRPr="00056725">
        <w:rPr>
          <w:lang w:val="en-GB"/>
        </w:rPr>
        <w:t>.</w:t>
      </w:r>
      <w:r w:rsidR="004A0A1E" w:rsidRPr="00056725">
        <w:rPr>
          <w:lang w:val="en-GB"/>
        </w:rPr>
        <w:t xml:space="preserve">” </w:t>
      </w:r>
    </w:p>
    <w:p w14:paraId="6820FCF3" w14:textId="77777777" w:rsidR="004A0A1E" w:rsidRPr="002E7F31" w:rsidRDefault="004A0A1E" w:rsidP="004A0A1E">
      <w:pPr>
        <w:pStyle w:val="BodyTextMain"/>
        <w:rPr>
          <w:sz w:val="20"/>
          <w:lang w:val="en-GB"/>
        </w:rPr>
      </w:pPr>
    </w:p>
    <w:p w14:paraId="613F316D" w14:textId="115FA111" w:rsidR="004A0A1E" w:rsidRPr="00056725" w:rsidRDefault="00641194" w:rsidP="005F5191">
      <w:pPr>
        <w:pStyle w:val="BodyTextMain"/>
        <w:rPr>
          <w:lang w:val="en-GB"/>
        </w:rPr>
      </w:pPr>
      <w:r w:rsidRPr="00056725">
        <w:rPr>
          <w:lang w:val="en-GB"/>
        </w:rPr>
        <w:t>Wang noted that t</w:t>
      </w:r>
      <w:r w:rsidR="004A0A1E" w:rsidRPr="00056725">
        <w:rPr>
          <w:lang w:val="en-GB"/>
        </w:rPr>
        <w:t xml:space="preserve">he logic of China’s development </w:t>
      </w:r>
      <w:r w:rsidRPr="00056725">
        <w:rPr>
          <w:lang w:val="en-GB"/>
        </w:rPr>
        <w:t xml:space="preserve">was </w:t>
      </w:r>
      <w:r w:rsidR="004A0A1E" w:rsidRPr="00056725">
        <w:rPr>
          <w:lang w:val="en-GB"/>
        </w:rPr>
        <w:t>that governments at both central and local levels play</w:t>
      </w:r>
      <w:r w:rsidRPr="00056725">
        <w:rPr>
          <w:lang w:val="en-GB"/>
        </w:rPr>
        <w:t>ed</w:t>
      </w:r>
      <w:r w:rsidR="004A0A1E" w:rsidRPr="00056725">
        <w:rPr>
          <w:lang w:val="en-GB"/>
        </w:rPr>
        <w:t xml:space="preserve"> big roles</w:t>
      </w:r>
      <w:r w:rsidRPr="00056725">
        <w:rPr>
          <w:lang w:val="en-GB"/>
        </w:rPr>
        <w:t xml:space="preserve">. </w:t>
      </w:r>
      <w:r w:rsidR="004A0A1E" w:rsidRPr="00056725">
        <w:rPr>
          <w:lang w:val="en-GB"/>
        </w:rPr>
        <w:t>“</w:t>
      </w:r>
      <w:r w:rsidR="00F61FED">
        <w:rPr>
          <w:lang w:val="en-GB"/>
        </w:rPr>
        <w:t>Without</w:t>
      </w:r>
      <w:r w:rsidR="004A0A1E" w:rsidRPr="00056725">
        <w:rPr>
          <w:lang w:val="en-GB"/>
        </w:rPr>
        <w:t xml:space="preserve"> our realizing it, our business had be</w:t>
      </w:r>
      <w:r w:rsidRPr="00056725">
        <w:rPr>
          <w:lang w:val="en-GB"/>
        </w:rPr>
        <w:t xml:space="preserve">en </w:t>
      </w:r>
      <w:r w:rsidR="004A0A1E" w:rsidRPr="00056725">
        <w:rPr>
          <w:lang w:val="en-GB"/>
        </w:rPr>
        <w:t>steered toward getting more work from the STPs, which were created by, and run by, the governments. It was not a conscious decision</w:t>
      </w:r>
      <w:r w:rsidRPr="00056725">
        <w:rPr>
          <w:lang w:val="en-GB"/>
        </w:rPr>
        <w:t xml:space="preserve">,” he said, </w:t>
      </w:r>
      <w:r w:rsidR="004A0A1E" w:rsidRPr="00056725">
        <w:rPr>
          <w:lang w:val="en-GB"/>
        </w:rPr>
        <w:t>add</w:t>
      </w:r>
      <w:r w:rsidRPr="00056725">
        <w:rPr>
          <w:lang w:val="en-GB"/>
        </w:rPr>
        <w:t>ing</w:t>
      </w:r>
      <w:r w:rsidR="004A0A1E" w:rsidRPr="00056725">
        <w:rPr>
          <w:lang w:val="en-GB"/>
        </w:rPr>
        <w:t>, “It was the reform that gave us the opportunity.</w:t>
      </w:r>
      <w:r w:rsidRPr="00056725">
        <w:rPr>
          <w:lang w:val="en-GB"/>
        </w:rPr>
        <w:t>”</w:t>
      </w:r>
    </w:p>
    <w:p w14:paraId="1CB2A341" w14:textId="77777777" w:rsidR="004A0A1E" w:rsidRPr="002E7F31" w:rsidRDefault="004A0A1E" w:rsidP="00641194">
      <w:pPr>
        <w:pStyle w:val="BodyTextMain"/>
        <w:rPr>
          <w:sz w:val="20"/>
          <w:lang w:val="en-GB"/>
        </w:rPr>
      </w:pPr>
    </w:p>
    <w:p w14:paraId="46C015B2" w14:textId="34854318" w:rsidR="00641194" w:rsidRPr="00056725" w:rsidRDefault="00641194" w:rsidP="004A0A1E">
      <w:pPr>
        <w:pStyle w:val="BodyTextMain"/>
        <w:rPr>
          <w:lang w:val="en-GB"/>
        </w:rPr>
      </w:pPr>
      <w:r w:rsidRPr="00056725">
        <w:rPr>
          <w:lang w:val="en-GB"/>
        </w:rPr>
        <w:t>Zhao</w:t>
      </w:r>
      <w:r w:rsidR="00B02999">
        <w:rPr>
          <w:lang w:val="en-GB"/>
        </w:rPr>
        <w:t xml:space="preserve"> </w:t>
      </w:r>
      <w:r w:rsidRPr="00056725">
        <w:rPr>
          <w:lang w:val="en-GB"/>
        </w:rPr>
        <w:t xml:space="preserve">commented, </w:t>
      </w:r>
    </w:p>
    <w:p w14:paraId="3D748E43" w14:textId="77777777" w:rsidR="00641194" w:rsidRPr="002E7F31" w:rsidRDefault="00641194" w:rsidP="004A0A1E">
      <w:pPr>
        <w:pStyle w:val="BodyTextMain"/>
        <w:rPr>
          <w:sz w:val="20"/>
          <w:lang w:val="en-GB"/>
        </w:rPr>
      </w:pPr>
    </w:p>
    <w:p w14:paraId="50580E58" w14:textId="49C2E1BB" w:rsidR="004A0A1E" w:rsidRPr="00F61FED" w:rsidRDefault="00641194" w:rsidP="00641194">
      <w:pPr>
        <w:pStyle w:val="BodyTextMain"/>
        <w:ind w:left="720"/>
        <w:rPr>
          <w:spacing w:val="-4"/>
          <w:lang w:val="en-GB"/>
        </w:rPr>
      </w:pPr>
      <w:r w:rsidRPr="00F61FED">
        <w:rPr>
          <w:spacing w:val="-4"/>
          <w:lang w:val="en-GB"/>
        </w:rPr>
        <w:t xml:space="preserve">Back then, </w:t>
      </w:r>
      <w:r w:rsidR="004A0A1E" w:rsidRPr="00F61FED">
        <w:rPr>
          <w:spacing w:val="-4"/>
          <w:lang w:val="en-GB"/>
        </w:rPr>
        <w:t>it was increasingly clear to us that, in order to help firms grow, we had to help the government reform and make new policies that would allow the firms to grow</w:t>
      </w:r>
      <w:r w:rsidRPr="00F61FED">
        <w:rPr>
          <w:spacing w:val="-4"/>
          <w:lang w:val="en-GB"/>
        </w:rPr>
        <w:t xml:space="preserve">. </w:t>
      </w:r>
      <w:r w:rsidR="004A0A1E" w:rsidRPr="00F61FED">
        <w:rPr>
          <w:spacing w:val="-4"/>
          <w:lang w:val="en-GB"/>
        </w:rPr>
        <w:t xml:space="preserve">For example, the founders of the firms wanted to legally own shares in the firms, and they also wanted the autonomy to seek funding and to access the international markets. All of those things needed governmental approval. </w:t>
      </w:r>
    </w:p>
    <w:p w14:paraId="67B66FDE" w14:textId="77777777" w:rsidR="00641194" w:rsidRPr="002E7F31" w:rsidRDefault="00641194" w:rsidP="00357182">
      <w:pPr>
        <w:pStyle w:val="BodyTextMain"/>
        <w:rPr>
          <w:sz w:val="20"/>
          <w:lang w:val="en-GB"/>
        </w:rPr>
      </w:pPr>
    </w:p>
    <w:p w14:paraId="623D4C49" w14:textId="221FAD8C" w:rsidR="00641194" w:rsidRPr="00056725" w:rsidRDefault="00641194" w:rsidP="00F313D6">
      <w:pPr>
        <w:pStyle w:val="BodyTextMain"/>
        <w:rPr>
          <w:lang w:val="en-GB"/>
        </w:rPr>
      </w:pPr>
      <w:r w:rsidRPr="00056725">
        <w:rPr>
          <w:lang w:val="en-GB"/>
        </w:rPr>
        <w:t>Wang explained that, as the consultants a</w:t>
      </w:r>
      <w:r w:rsidR="004A0A1E" w:rsidRPr="00056725">
        <w:rPr>
          <w:lang w:val="en-GB"/>
        </w:rPr>
        <w:t xml:space="preserve">djusted </w:t>
      </w:r>
      <w:r w:rsidRPr="00056725">
        <w:rPr>
          <w:lang w:val="en-GB"/>
        </w:rPr>
        <w:t xml:space="preserve">their </w:t>
      </w:r>
      <w:r w:rsidR="004A0A1E" w:rsidRPr="00056725">
        <w:rPr>
          <w:lang w:val="en-GB"/>
        </w:rPr>
        <w:t xml:space="preserve">approach, based on China’s unique situation, </w:t>
      </w:r>
      <w:r w:rsidRPr="00056725">
        <w:rPr>
          <w:lang w:val="en-GB"/>
        </w:rPr>
        <w:t xml:space="preserve">they </w:t>
      </w:r>
      <w:r w:rsidR="004A0A1E" w:rsidRPr="00056725">
        <w:rPr>
          <w:lang w:val="en-GB"/>
        </w:rPr>
        <w:t xml:space="preserve">developed one of </w:t>
      </w:r>
      <w:r w:rsidRPr="00056725">
        <w:rPr>
          <w:lang w:val="en-GB"/>
        </w:rPr>
        <w:t xml:space="preserve">their </w:t>
      </w:r>
      <w:r w:rsidR="004A0A1E" w:rsidRPr="00056725">
        <w:rPr>
          <w:lang w:val="en-GB"/>
        </w:rPr>
        <w:t>key tools</w:t>
      </w:r>
      <w:r w:rsidRPr="00056725">
        <w:rPr>
          <w:lang w:val="en-GB"/>
        </w:rPr>
        <w:t>,</w:t>
      </w:r>
      <w:r w:rsidR="004A0A1E" w:rsidRPr="00056725">
        <w:rPr>
          <w:lang w:val="en-GB"/>
        </w:rPr>
        <w:t xml:space="preserve"> called </w:t>
      </w:r>
      <w:r w:rsidR="004A0A1E" w:rsidRPr="00056725">
        <w:rPr>
          <w:i/>
          <w:lang w:val="en-GB"/>
        </w:rPr>
        <w:t>three angles</w:t>
      </w:r>
      <w:r w:rsidRPr="00056725">
        <w:rPr>
          <w:i/>
          <w:lang w:val="en-GB"/>
        </w:rPr>
        <w:t>—</w:t>
      </w:r>
      <w:r w:rsidR="004A0A1E" w:rsidRPr="00056725">
        <w:rPr>
          <w:lang w:val="en-GB"/>
        </w:rPr>
        <w:t>an integrated analysis of three levels: micro (firms), middle (industries), and macro (regions</w:t>
      </w:r>
      <w:r w:rsidRPr="00056725">
        <w:rPr>
          <w:lang w:val="en-GB"/>
        </w:rPr>
        <w:t>). He elaborated:</w:t>
      </w:r>
    </w:p>
    <w:p w14:paraId="11BE2BAF" w14:textId="77777777" w:rsidR="00641194" w:rsidRPr="002E7F31" w:rsidRDefault="00641194" w:rsidP="00F313D6">
      <w:pPr>
        <w:pStyle w:val="BodyTextMain"/>
        <w:rPr>
          <w:sz w:val="20"/>
          <w:lang w:val="en-GB"/>
        </w:rPr>
      </w:pPr>
    </w:p>
    <w:p w14:paraId="5D2B2773" w14:textId="0921B0D8" w:rsidR="004A0A1E" w:rsidRPr="00056725" w:rsidRDefault="004A0A1E" w:rsidP="00641194">
      <w:pPr>
        <w:pStyle w:val="BodyTextMain"/>
        <w:ind w:left="720"/>
        <w:rPr>
          <w:lang w:val="en-GB"/>
        </w:rPr>
      </w:pPr>
      <w:r w:rsidRPr="00056725">
        <w:rPr>
          <w:lang w:val="en-GB"/>
        </w:rPr>
        <w:t>Our three-angle analysis draws on Harvard University Professor Michael Porter’s three-level paradigm</w:t>
      </w:r>
      <w:r w:rsidR="00A6162C">
        <w:rPr>
          <w:rStyle w:val="FootnoteReference"/>
          <w:lang w:val="en-GB"/>
        </w:rPr>
        <w:footnoteReference w:id="13"/>
      </w:r>
      <w:r w:rsidRPr="00056725">
        <w:rPr>
          <w:lang w:val="en-GB"/>
        </w:rPr>
        <w:t xml:space="preserve">, but is different from his in the sense that the government permeates all three levels, and our analysis emphasizes breaking the boundaries between the three. I always tell our analysts </w:t>
      </w:r>
      <w:r w:rsidR="00641194" w:rsidRPr="00F61FED">
        <w:rPr>
          <w:lang w:val="en-GB"/>
        </w:rPr>
        <w:t>“</w:t>
      </w:r>
      <w:r w:rsidRPr="00F61FED">
        <w:rPr>
          <w:lang w:val="en-GB"/>
        </w:rPr>
        <w:t>dissect, dissect, and further dissect, and then synthesize, synthesize, and further synthesize</w:t>
      </w:r>
      <w:r w:rsidR="00357182" w:rsidRPr="00F61FED">
        <w:rPr>
          <w:lang w:val="en-GB"/>
        </w:rPr>
        <w:t>.</w:t>
      </w:r>
      <w:r w:rsidR="00641194" w:rsidRPr="00F61FED">
        <w:rPr>
          <w:lang w:val="en-GB"/>
        </w:rPr>
        <w:t>”</w:t>
      </w:r>
    </w:p>
    <w:p w14:paraId="15CA5F09" w14:textId="77777777" w:rsidR="00357182" w:rsidRPr="002E7F31" w:rsidRDefault="00357182" w:rsidP="00357182">
      <w:pPr>
        <w:pStyle w:val="BodyTextMain"/>
        <w:rPr>
          <w:sz w:val="20"/>
          <w:lang w:val="en-GB"/>
        </w:rPr>
      </w:pPr>
    </w:p>
    <w:p w14:paraId="1246EF39" w14:textId="77777777" w:rsidR="00357182" w:rsidRPr="002E7F31" w:rsidRDefault="00357182" w:rsidP="00357182">
      <w:pPr>
        <w:pStyle w:val="BodyTextMain"/>
        <w:rPr>
          <w:sz w:val="20"/>
          <w:lang w:val="en-GB"/>
        </w:rPr>
      </w:pPr>
    </w:p>
    <w:p w14:paraId="5B954CAE" w14:textId="4BE3B9CC" w:rsidR="004A0A1E" w:rsidRPr="00056725" w:rsidRDefault="004A0A1E" w:rsidP="005F5191">
      <w:pPr>
        <w:pStyle w:val="Casehead1"/>
        <w:rPr>
          <w:lang w:val="en-GB"/>
        </w:rPr>
      </w:pPr>
      <w:r w:rsidRPr="00056725">
        <w:rPr>
          <w:lang w:val="en-GB"/>
        </w:rPr>
        <w:t xml:space="preserve">Focus on Science and Technology </w:t>
      </w:r>
    </w:p>
    <w:p w14:paraId="4219CEA0" w14:textId="77777777" w:rsidR="00357182" w:rsidRPr="002E7F31" w:rsidRDefault="00357182" w:rsidP="004A0A1E">
      <w:pPr>
        <w:pStyle w:val="BodyTextMain"/>
        <w:rPr>
          <w:sz w:val="20"/>
          <w:lang w:val="en-GB"/>
        </w:rPr>
      </w:pPr>
    </w:p>
    <w:p w14:paraId="09AB8A41" w14:textId="172A4602" w:rsidR="004A0A1E" w:rsidRPr="00FB5B48" w:rsidRDefault="004A0A1E" w:rsidP="004A0A1E">
      <w:pPr>
        <w:pStyle w:val="BodyTextMain"/>
        <w:rPr>
          <w:spacing w:val="-4"/>
          <w:lang w:val="en-GB"/>
        </w:rPr>
      </w:pPr>
      <w:r w:rsidRPr="00FB5B48">
        <w:rPr>
          <w:spacing w:val="-4"/>
          <w:lang w:val="en-GB"/>
        </w:rPr>
        <w:t>Wang spoke of a deep affection for science and technology: “Our background and expertise were in science and technology, and it had always been my interest and intention to leverage science and technology to achieve social changes.” The background</w:t>
      </w:r>
      <w:r w:rsidR="009358DF" w:rsidRPr="00FB5B48">
        <w:rPr>
          <w:spacing w:val="-4"/>
          <w:lang w:val="en-GB"/>
        </w:rPr>
        <w:t>s</w:t>
      </w:r>
      <w:r w:rsidRPr="00FB5B48">
        <w:rPr>
          <w:spacing w:val="-4"/>
          <w:lang w:val="en-GB"/>
        </w:rPr>
        <w:t xml:space="preserve"> of Wang and his associates made their work with MOST and the STPs a good fit. </w:t>
      </w:r>
    </w:p>
    <w:p w14:paraId="4BCC6F1A" w14:textId="1080F1DE" w:rsidR="00FB5B48" w:rsidRDefault="00FB5B48" w:rsidP="004A0A1E">
      <w:pPr>
        <w:pStyle w:val="BodyTextMain"/>
        <w:rPr>
          <w:lang w:val="en-GB"/>
        </w:rPr>
      </w:pPr>
    </w:p>
    <w:p w14:paraId="3DCB7ED5" w14:textId="77777777" w:rsidR="00FB5B48" w:rsidRPr="00056725" w:rsidRDefault="00FB5B48" w:rsidP="004A0A1E">
      <w:pPr>
        <w:pStyle w:val="BodyTextMain"/>
        <w:rPr>
          <w:lang w:val="en-GB"/>
        </w:rPr>
      </w:pPr>
    </w:p>
    <w:p w14:paraId="14E38754" w14:textId="596ECD93" w:rsidR="004A0A1E" w:rsidRPr="00056725" w:rsidRDefault="004A0A1E" w:rsidP="005F5191">
      <w:pPr>
        <w:pStyle w:val="Casehead1"/>
        <w:rPr>
          <w:lang w:val="en-GB"/>
        </w:rPr>
      </w:pPr>
      <w:r w:rsidRPr="00056725">
        <w:rPr>
          <w:lang w:val="en-GB"/>
        </w:rPr>
        <w:t>The Rise of Science and Technology Parks</w:t>
      </w:r>
    </w:p>
    <w:p w14:paraId="785CE75C" w14:textId="77777777" w:rsidR="00357182" w:rsidRPr="00056725" w:rsidRDefault="00357182" w:rsidP="00357182">
      <w:pPr>
        <w:pStyle w:val="BodyTextMain"/>
        <w:keepNext/>
        <w:rPr>
          <w:lang w:val="en-GB"/>
        </w:rPr>
      </w:pPr>
    </w:p>
    <w:p w14:paraId="77CB5F54" w14:textId="3A0A2BB9" w:rsidR="004A0A1E" w:rsidRPr="00056725" w:rsidRDefault="004A0A1E" w:rsidP="00357182">
      <w:pPr>
        <w:pStyle w:val="BodyTextMain"/>
        <w:keepNext/>
        <w:rPr>
          <w:lang w:val="en-GB"/>
        </w:rPr>
      </w:pPr>
      <w:r w:rsidRPr="00056725">
        <w:rPr>
          <w:lang w:val="en-GB"/>
        </w:rPr>
        <w:t xml:space="preserve">Since the late 1980s, the Chinese government had been investing heavily in developing </w:t>
      </w:r>
      <w:r w:rsidR="000158D7">
        <w:rPr>
          <w:lang w:val="en-GB"/>
        </w:rPr>
        <w:t>STP</w:t>
      </w:r>
      <w:r w:rsidRPr="00056725">
        <w:rPr>
          <w:lang w:val="en-GB"/>
        </w:rPr>
        <w:t xml:space="preserve">s throughout China. In 1988, China set up the first </w:t>
      </w:r>
      <w:r w:rsidR="000158D7">
        <w:rPr>
          <w:lang w:val="en-GB"/>
        </w:rPr>
        <w:t>STP</w:t>
      </w:r>
      <w:r w:rsidRPr="00056725">
        <w:rPr>
          <w:lang w:val="en-GB"/>
        </w:rPr>
        <w:t xml:space="preserve"> in the Zhongguancun area in northwestern Beijing. </w:t>
      </w:r>
      <w:r w:rsidR="008A475F" w:rsidRPr="00056725">
        <w:rPr>
          <w:lang w:val="en-GB"/>
        </w:rPr>
        <w:t xml:space="preserve">The </w:t>
      </w:r>
      <w:r w:rsidRPr="00056725">
        <w:rPr>
          <w:lang w:val="en-GB"/>
        </w:rPr>
        <w:t xml:space="preserve">subdistrict housed the headquarters of </w:t>
      </w:r>
      <w:r w:rsidR="008A475F" w:rsidRPr="00056725">
        <w:rPr>
          <w:lang w:val="en-GB"/>
        </w:rPr>
        <w:t xml:space="preserve">the </w:t>
      </w:r>
      <w:r w:rsidR="00063366" w:rsidRPr="00056725">
        <w:rPr>
          <w:lang w:val="en-GB"/>
        </w:rPr>
        <w:t>Chinese Academy of Science</w:t>
      </w:r>
      <w:r w:rsidRPr="00056725">
        <w:rPr>
          <w:lang w:val="en-GB"/>
        </w:rPr>
        <w:t xml:space="preserve">, and it was located near </w:t>
      </w:r>
      <w:r w:rsidR="00063366" w:rsidRPr="00056725">
        <w:rPr>
          <w:lang w:val="en-GB"/>
        </w:rPr>
        <w:t xml:space="preserve">both </w:t>
      </w:r>
      <w:r w:rsidRPr="00056725">
        <w:rPr>
          <w:lang w:val="en-GB"/>
        </w:rPr>
        <w:t xml:space="preserve">Peking University </w:t>
      </w:r>
      <w:r w:rsidR="00063366" w:rsidRPr="00056725">
        <w:rPr>
          <w:lang w:val="en-GB"/>
        </w:rPr>
        <w:lastRenderedPageBreak/>
        <w:t>and</w:t>
      </w:r>
      <w:r w:rsidRPr="00056725">
        <w:rPr>
          <w:lang w:val="en-GB"/>
        </w:rPr>
        <w:t xml:space="preserve"> Tsinghua University, </w:t>
      </w:r>
      <w:r w:rsidR="00063366" w:rsidRPr="00056725">
        <w:rPr>
          <w:lang w:val="en-GB"/>
        </w:rPr>
        <w:t>research institutions often compared to H</w:t>
      </w:r>
      <w:r w:rsidRPr="00056725">
        <w:rPr>
          <w:lang w:val="en-GB"/>
        </w:rPr>
        <w:t xml:space="preserve">arvard </w:t>
      </w:r>
      <w:r w:rsidR="00063366" w:rsidRPr="00056725">
        <w:rPr>
          <w:lang w:val="en-GB"/>
        </w:rPr>
        <w:t xml:space="preserve">University </w:t>
      </w:r>
      <w:r w:rsidRPr="00056725">
        <w:rPr>
          <w:lang w:val="en-GB"/>
        </w:rPr>
        <w:t xml:space="preserve">and </w:t>
      </w:r>
      <w:r w:rsidR="00063366" w:rsidRPr="00056725">
        <w:rPr>
          <w:lang w:val="en-GB"/>
        </w:rPr>
        <w:t>the Massachusetts Institute of Technology (</w:t>
      </w:r>
      <w:r w:rsidRPr="00056725">
        <w:rPr>
          <w:lang w:val="en-GB"/>
        </w:rPr>
        <w:t>MIT</w:t>
      </w:r>
      <w:r w:rsidR="00063366" w:rsidRPr="00056725">
        <w:rPr>
          <w:lang w:val="en-GB"/>
        </w:rPr>
        <w:t>)</w:t>
      </w:r>
      <w:r w:rsidRPr="00056725">
        <w:rPr>
          <w:lang w:val="en-GB"/>
        </w:rPr>
        <w:t>.</w:t>
      </w:r>
      <w:r w:rsidR="00A6162C">
        <w:rPr>
          <w:rStyle w:val="FootnoteReference"/>
          <w:lang w:val="en-GB"/>
        </w:rPr>
        <w:footnoteReference w:id="14"/>
      </w:r>
      <w:r w:rsidRPr="00056725">
        <w:rPr>
          <w:lang w:val="en-GB"/>
        </w:rPr>
        <w:t xml:space="preserve"> Zhongguancun </w:t>
      </w:r>
      <w:r w:rsidR="00063366" w:rsidRPr="00056725">
        <w:rPr>
          <w:lang w:val="en-GB"/>
        </w:rPr>
        <w:t xml:space="preserve">became </w:t>
      </w:r>
      <w:r w:rsidRPr="00056725">
        <w:rPr>
          <w:lang w:val="en-GB"/>
        </w:rPr>
        <w:t xml:space="preserve">the </w:t>
      </w:r>
      <w:r w:rsidR="00063366" w:rsidRPr="00056725">
        <w:rPr>
          <w:lang w:val="en-GB"/>
        </w:rPr>
        <w:t>best-</w:t>
      </w:r>
      <w:r w:rsidRPr="00056725">
        <w:rPr>
          <w:lang w:val="en-GB"/>
        </w:rPr>
        <w:t>known STP in China, with a revenue</w:t>
      </w:r>
      <w:r w:rsidR="00391B31">
        <w:rPr>
          <w:lang w:val="en-GB"/>
        </w:rPr>
        <w:t xml:space="preserve"> of</w:t>
      </w:r>
      <w:r w:rsidRPr="00056725">
        <w:rPr>
          <w:lang w:val="en-GB"/>
        </w:rPr>
        <w:t xml:space="preserve"> </w:t>
      </w:r>
      <w:r w:rsidR="00063366" w:rsidRPr="00056725">
        <w:rPr>
          <w:lang w:val="en-GB"/>
        </w:rPr>
        <w:t>¥</w:t>
      </w:r>
      <w:r w:rsidRPr="00056725">
        <w:rPr>
          <w:lang w:val="en-GB"/>
        </w:rPr>
        <w:t>735 billion yuan ($111 billion) in 2017.</w:t>
      </w:r>
      <w:r w:rsidRPr="00056725">
        <w:rPr>
          <w:rStyle w:val="FootnoteReference"/>
          <w:lang w:val="en-GB"/>
        </w:rPr>
        <w:footnoteReference w:id="15"/>
      </w:r>
    </w:p>
    <w:p w14:paraId="2932DCB2" w14:textId="77777777" w:rsidR="00357182" w:rsidRPr="00056725" w:rsidRDefault="00357182" w:rsidP="004A0A1E">
      <w:pPr>
        <w:pStyle w:val="BodyTextMain"/>
        <w:rPr>
          <w:lang w:val="en-GB"/>
        </w:rPr>
      </w:pPr>
    </w:p>
    <w:p w14:paraId="50151419" w14:textId="0DAD495D" w:rsidR="004A0A1E" w:rsidRPr="00056725" w:rsidRDefault="004A0A1E" w:rsidP="004A0A1E">
      <w:pPr>
        <w:pStyle w:val="BodyTextMain"/>
        <w:rPr>
          <w:lang w:val="en-GB"/>
        </w:rPr>
      </w:pPr>
      <w:r w:rsidRPr="00056725">
        <w:rPr>
          <w:lang w:val="en-GB"/>
        </w:rPr>
        <w:t xml:space="preserve">STPs </w:t>
      </w:r>
      <w:r w:rsidR="00063366" w:rsidRPr="00056725">
        <w:rPr>
          <w:lang w:val="en-GB"/>
        </w:rPr>
        <w:t xml:space="preserve">were </w:t>
      </w:r>
      <w:r w:rsidRPr="00056725">
        <w:rPr>
          <w:lang w:val="en-GB"/>
        </w:rPr>
        <w:t xml:space="preserve">approved and supported by the government at various levels and governed by </w:t>
      </w:r>
      <w:r w:rsidR="00063366" w:rsidRPr="00056725">
        <w:rPr>
          <w:lang w:val="en-GB"/>
        </w:rPr>
        <w:t xml:space="preserve">state </w:t>
      </w:r>
      <w:r w:rsidR="009358DF" w:rsidRPr="00056725">
        <w:rPr>
          <w:lang w:val="en-GB"/>
        </w:rPr>
        <w:t>agenc</w:t>
      </w:r>
      <w:r w:rsidR="009358DF">
        <w:rPr>
          <w:lang w:val="en-GB"/>
        </w:rPr>
        <w:t>ies</w:t>
      </w:r>
      <w:r w:rsidR="009358DF" w:rsidRPr="00056725">
        <w:rPr>
          <w:lang w:val="en-GB"/>
        </w:rPr>
        <w:t xml:space="preserve"> </w:t>
      </w:r>
      <w:r w:rsidRPr="00056725">
        <w:rPr>
          <w:lang w:val="en-GB"/>
        </w:rPr>
        <w:t xml:space="preserve">called STP </w:t>
      </w:r>
      <w:r w:rsidR="009358DF">
        <w:rPr>
          <w:lang w:val="en-GB"/>
        </w:rPr>
        <w:t>a</w:t>
      </w:r>
      <w:r w:rsidRPr="00056725">
        <w:rPr>
          <w:lang w:val="en-GB"/>
        </w:rPr>
        <w:t xml:space="preserve">dministrative </w:t>
      </w:r>
      <w:r w:rsidR="009358DF">
        <w:rPr>
          <w:lang w:val="en-GB"/>
        </w:rPr>
        <w:t>c</w:t>
      </w:r>
      <w:r w:rsidRPr="00056725">
        <w:rPr>
          <w:lang w:val="en-GB"/>
        </w:rPr>
        <w:t>ommittee</w:t>
      </w:r>
      <w:r w:rsidR="009358DF">
        <w:rPr>
          <w:lang w:val="en-GB"/>
        </w:rPr>
        <w:t>s</w:t>
      </w:r>
      <w:r w:rsidRPr="00056725">
        <w:rPr>
          <w:lang w:val="en-GB"/>
        </w:rPr>
        <w:t xml:space="preserve"> (STPAC</w:t>
      </w:r>
      <w:r w:rsidR="009358DF">
        <w:rPr>
          <w:lang w:val="en-GB"/>
        </w:rPr>
        <w:t>s</w:t>
      </w:r>
      <w:r w:rsidRPr="00056725">
        <w:rPr>
          <w:lang w:val="en-GB"/>
        </w:rPr>
        <w:t xml:space="preserve">), which </w:t>
      </w:r>
      <w:r w:rsidR="00063366" w:rsidRPr="00056725">
        <w:rPr>
          <w:lang w:val="en-GB"/>
        </w:rPr>
        <w:t xml:space="preserve">had </w:t>
      </w:r>
      <w:r w:rsidRPr="00056725">
        <w:rPr>
          <w:lang w:val="en-GB"/>
        </w:rPr>
        <w:t>all of the authorities and functions of local government</w:t>
      </w:r>
      <w:r w:rsidR="009358DF">
        <w:rPr>
          <w:lang w:val="en-GB"/>
        </w:rPr>
        <w:t>s</w:t>
      </w:r>
      <w:r w:rsidRPr="00056725">
        <w:rPr>
          <w:lang w:val="en-GB"/>
        </w:rPr>
        <w:t>, along with the ability to direct, advise, and support the management of the firms in the STPs.</w:t>
      </w:r>
      <w:r w:rsidR="00A6162C">
        <w:rPr>
          <w:rStyle w:val="FootnoteReference"/>
          <w:lang w:val="en-GB"/>
        </w:rPr>
        <w:footnoteReference w:id="16"/>
      </w:r>
    </w:p>
    <w:p w14:paraId="1872217B" w14:textId="77777777" w:rsidR="00357182" w:rsidRPr="00056725" w:rsidRDefault="00357182" w:rsidP="004A0A1E">
      <w:pPr>
        <w:pStyle w:val="BodyTextMain"/>
        <w:rPr>
          <w:lang w:val="en-GB"/>
        </w:rPr>
      </w:pPr>
    </w:p>
    <w:p w14:paraId="53B0E337" w14:textId="54102D0A" w:rsidR="004A0A1E" w:rsidRPr="00056725" w:rsidRDefault="004A0A1E" w:rsidP="004A0A1E">
      <w:pPr>
        <w:pStyle w:val="BodyTextMain"/>
        <w:rPr>
          <w:lang w:val="en-GB"/>
        </w:rPr>
      </w:pPr>
      <w:r w:rsidRPr="00056725">
        <w:rPr>
          <w:lang w:val="en-GB"/>
        </w:rPr>
        <w:t xml:space="preserve">The bigger STPs </w:t>
      </w:r>
      <w:r w:rsidR="00063366" w:rsidRPr="00056725">
        <w:rPr>
          <w:lang w:val="en-GB"/>
        </w:rPr>
        <w:t xml:space="preserve">were </w:t>
      </w:r>
      <w:r w:rsidRPr="00056725">
        <w:rPr>
          <w:lang w:val="en-GB"/>
        </w:rPr>
        <w:t xml:space="preserve">also called high-tech zones, </w:t>
      </w:r>
      <w:r w:rsidR="00063366" w:rsidRPr="00056725">
        <w:rPr>
          <w:lang w:val="en-GB"/>
        </w:rPr>
        <w:t xml:space="preserve">and they might </w:t>
      </w:r>
      <w:r w:rsidRPr="00056725">
        <w:rPr>
          <w:lang w:val="en-GB"/>
        </w:rPr>
        <w:t xml:space="preserve">be further divided into several smaller STPs. Since the early 1990s, STPs </w:t>
      </w:r>
      <w:r w:rsidR="00063366" w:rsidRPr="00056725">
        <w:rPr>
          <w:lang w:val="en-GB"/>
        </w:rPr>
        <w:t xml:space="preserve">had </w:t>
      </w:r>
      <w:r w:rsidRPr="00056725">
        <w:rPr>
          <w:lang w:val="en-GB"/>
        </w:rPr>
        <w:t>experienced rapid growth. By 2018, there were some 168 STPs throughout China, which housed more than 100,000 firms (</w:t>
      </w:r>
      <w:r w:rsidR="00063366" w:rsidRPr="00056725">
        <w:rPr>
          <w:lang w:val="en-GB"/>
        </w:rPr>
        <w:t xml:space="preserve">see </w:t>
      </w:r>
      <w:r w:rsidRPr="00056725">
        <w:rPr>
          <w:lang w:val="en-GB"/>
        </w:rPr>
        <w:t xml:space="preserve">Exhibits </w:t>
      </w:r>
      <w:r w:rsidR="00063366" w:rsidRPr="00056725">
        <w:rPr>
          <w:lang w:val="en-GB"/>
        </w:rPr>
        <w:t xml:space="preserve">3 </w:t>
      </w:r>
      <w:r w:rsidRPr="00056725">
        <w:rPr>
          <w:lang w:val="en-GB"/>
        </w:rPr>
        <w:t xml:space="preserve">and </w:t>
      </w:r>
      <w:r w:rsidR="00063366" w:rsidRPr="00056725">
        <w:rPr>
          <w:lang w:val="en-GB"/>
        </w:rPr>
        <w:t>4</w:t>
      </w:r>
      <w:r w:rsidRPr="00056725">
        <w:rPr>
          <w:lang w:val="en-GB"/>
        </w:rPr>
        <w:t>).</w:t>
      </w:r>
      <w:r w:rsidR="005568F6" w:rsidRPr="005568F6">
        <w:rPr>
          <w:rStyle w:val="FootnoteReference"/>
          <w:lang w:val="en-GB"/>
        </w:rPr>
        <w:t xml:space="preserve"> </w:t>
      </w:r>
      <w:r w:rsidR="005568F6">
        <w:rPr>
          <w:rStyle w:val="FootnoteReference"/>
          <w:lang w:val="en-GB"/>
        </w:rPr>
        <w:footnoteReference w:id="17"/>
      </w:r>
      <w:r w:rsidRPr="00056725">
        <w:rPr>
          <w:lang w:val="en-GB"/>
        </w:rPr>
        <w:t xml:space="preserve"> </w:t>
      </w:r>
      <w:r w:rsidR="00DF07F4" w:rsidRPr="00056725">
        <w:rPr>
          <w:lang w:val="en-GB"/>
        </w:rPr>
        <w:t>S</w:t>
      </w:r>
      <w:r w:rsidR="00063366" w:rsidRPr="00056725">
        <w:rPr>
          <w:lang w:val="en-GB"/>
        </w:rPr>
        <w:t xml:space="preserve">everal factors attracted </w:t>
      </w:r>
      <w:r w:rsidRPr="00056725">
        <w:rPr>
          <w:lang w:val="en-GB"/>
        </w:rPr>
        <w:t>companies to STPs</w:t>
      </w:r>
      <w:r w:rsidR="00063366" w:rsidRPr="00056725">
        <w:rPr>
          <w:lang w:val="en-GB"/>
        </w:rPr>
        <w:t>: (</w:t>
      </w:r>
      <w:r w:rsidRPr="00056725">
        <w:rPr>
          <w:lang w:val="en-GB"/>
        </w:rPr>
        <w:t>1) government support and subsidies, (2) better infrastructure, (3) easier access to venture</w:t>
      </w:r>
      <w:r w:rsidR="00063366" w:rsidRPr="00056725">
        <w:rPr>
          <w:lang w:val="en-GB"/>
        </w:rPr>
        <w:t xml:space="preserve"> and </w:t>
      </w:r>
      <w:r w:rsidRPr="00056725">
        <w:rPr>
          <w:lang w:val="en-GB"/>
        </w:rPr>
        <w:t xml:space="preserve">angel investment, and (4) the clustering effect, which </w:t>
      </w:r>
      <w:r w:rsidR="00063366" w:rsidRPr="00056725">
        <w:rPr>
          <w:lang w:val="en-GB"/>
        </w:rPr>
        <w:t xml:space="preserve">allowed </w:t>
      </w:r>
      <w:r w:rsidRPr="00056725">
        <w:rPr>
          <w:lang w:val="en-GB"/>
        </w:rPr>
        <w:t>high-tech firms to enjoy a local information exchange and talent pool.</w:t>
      </w:r>
    </w:p>
    <w:p w14:paraId="1CD5959F" w14:textId="77777777" w:rsidR="00357182" w:rsidRPr="00056725" w:rsidRDefault="00357182" w:rsidP="004A0A1E">
      <w:pPr>
        <w:pStyle w:val="BodyTextMain"/>
        <w:rPr>
          <w:lang w:val="en-GB"/>
        </w:rPr>
      </w:pPr>
    </w:p>
    <w:p w14:paraId="4409908B" w14:textId="6F9BDC7E" w:rsidR="004A0A1E" w:rsidRPr="00056725" w:rsidRDefault="004A0A1E" w:rsidP="004A0A1E">
      <w:pPr>
        <w:pStyle w:val="BodyTextMain"/>
        <w:rPr>
          <w:lang w:val="en-GB"/>
        </w:rPr>
      </w:pPr>
      <w:r w:rsidRPr="00056725">
        <w:rPr>
          <w:lang w:val="en-GB"/>
        </w:rPr>
        <w:t xml:space="preserve">Wang and his associates had very close ties with the Zhongguancun STP, </w:t>
      </w:r>
      <w:r w:rsidR="00DF07F4" w:rsidRPr="00056725">
        <w:rPr>
          <w:lang w:val="en-GB"/>
        </w:rPr>
        <w:t xml:space="preserve">and this </w:t>
      </w:r>
      <w:r w:rsidRPr="00056725">
        <w:rPr>
          <w:lang w:val="en-GB"/>
        </w:rPr>
        <w:t>enabled them to jump</w:t>
      </w:r>
      <w:r w:rsidR="00DF07F4" w:rsidRPr="00056725">
        <w:rPr>
          <w:lang w:val="en-GB"/>
        </w:rPr>
        <w:t>-</w:t>
      </w:r>
      <w:r w:rsidRPr="00056725">
        <w:rPr>
          <w:lang w:val="en-GB"/>
        </w:rPr>
        <w:t xml:space="preserve">start their consulting practice. In fact, before she joined GEI, Zhao had been a senior official in charge of research and development at </w:t>
      </w:r>
      <w:r w:rsidR="00DF07F4" w:rsidRPr="00056725">
        <w:rPr>
          <w:lang w:val="en-GB"/>
        </w:rPr>
        <w:t xml:space="preserve">the </w:t>
      </w:r>
      <w:r w:rsidRPr="00056725">
        <w:rPr>
          <w:lang w:val="en-GB"/>
        </w:rPr>
        <w:t xml:space="preserve">Zhongguancun STP. She had contracted GEI to do research, and she had been greatly impressed by their work. In 2006, Zhao retired from her government position and joined GEI. </w:t>
      </w:r>
    </w:p>
    <w:p w14:paraId="4AA9FE74" w14:textId="77777777" w:rsidR="00357182" w:rsidRPr="00056725" w:rsidRDefault="00357182" w:rsidP="00357182">
      <w:pPr>
        <w:pStyle w:val="BodyTextMain"/>
        <w:rPr>
          <w:lang w:val="en-GB"/>
        </w:rPr>
      </w:pPr>
    </w:p>
    <w:p w14:paraId="57E03E50" w14:textId="77777777" w:rsidR="00357182" w:rsidRPr="00056725" w:rsidRDefault="00357182" w:rsidP="00357182">
      <w:pPr>
        <w:pStyle w:val="BodyTextMain"/>
        <w:rPr>
          <w:lang w:val="en-GB"/>
        </w:rPr>
      </w:pPr>
    </w:p>
    <w:p w14:paraId="3DFAFCFD" w14:textId="780E4E56" w:rsidR="004A0A1E" w:rsidRPr="00056725" w:rsidRDefault="004A0A1E" w:rsidP="007D62D5">
      <w:pPr>
        <w:pStyle w:val="Casehead1"/>
        <w:rPr>
          <w:lang w:val="en-GB"/>
        </w:rPr>
      </w:pPr>
      <w:r w:rsidRPr="00056725">
        <w:rPr>
          <w:lang w:val="en-GB"/>
        </w:rPr>
        <w:t>Work Environment and Consultant Profiles</w:t>
      </w:r>
    </w:p>
    <w:p w14:paraId="132A18E8" w14:textId="77777777" w:rsidR="00357182" w:rsidRPr="00056725" w:rsidRDefault="00357182" w:rsidP="004A0A1E">
      <w:pPr>
        <w:pStyle w:val="BodyTextMain"/>
        <w:rPr>
          <w:lang w:val="en-GB"/>
        </w:rPr>
      </w:pPr>
    </w:p>
    <w:p w14:paraId="60C83D3D" w14:textId="0BCFA24E" w:rsidR="004A0A1E" w:rsidRPr="00391B31" w:rsidRDefault="004A0A1E" w:rsidP="004A0A1E">
      <w:pPr>
        <w:pStyle w:val="BodyTextMain"/>
        <w:rPr>
          <w:spacing w:val="-4"/>
          <w:lang w:val="en-GB"/>
        </w:rPr>
      </w:pPr>
      <w:r w:rsidRPr="00391B31">
        <w:rPr>
          <w:spacing w:val="-4"/>
          <w:lang w:val="en-GB"/>
        </w:rPr>
        <w:t>GEI’s main working area</w:t>
      </w:r>
      <w:r w:rsidR="00391B31" w:rsidRPr="00391B31">
        <w:rPr>
          <w:spacing w:val="-4"/>
          <w:lang w:val="en-GB"/>
        </w:rPr>
        <w:t xml:space="preserve"> </w:t>
      </w:r>
      <w:r w:rsidR="00DF07F4" w:rsidRPr="00391B31">
        <w:rPr>
          <w:spacing w:val="-4"/>
          <w:lang w:val="en-GB"/>
        </w:rPr>
        <w:t>wa</w:t>
      </w:r>
      <w:r w:rsidRPr="00391B31">
        <w:rPr>
          <w:spacing w:val="-4"/>
          <w:lang w:val="en-GB"/>
        </w:rPr>
        <w:t xml:space="preserve">s big: it </w:t>
      </w:r>
      <w:r w:rsidR="00DF07F4" w:rsidRPr="00391B31">
        <w:rPr>
          <w:spacing w:val="-4"/>
          <w:lang w:val="en-GB"/>
        </w:rPr>
        <w:t xml:space="preserve">encompassed </w:t>
      </w:r>
      <w:r w:rsidRPr="00391B31">
        <w:rPr>
          <w:spacing w:val="-4"/>
          <w:lang w:val="en-GB"/>
        </w:rPr>
        <w:t xml:space="preserve">more than </w:t>
      </w:r>
      <w:r w:rsidR="00DF07F4" w:rsidRPr="00391B31">
        <w:rPr>
          <w:spacing w:val="-4"/>
          <w:lang w:val="en-GB"/>
        </w:rPr>
        <w:t>464</w:t>
      </w:r>
      <w:r w:rsidRPr="00391B31">
        <w:rPr>
          <w:spacing w:val="-4"/>
          <w:lang w:val="en-GB"/>
        </w:rPr>
        <w:t xml:space="preserve"> square </w:t>
      </w:r>
      <w:r w:rsidR="00DF07F4" w:rsidRPr="00391B31">
        <w:rPr>
          <w:spacing w:val="-4"/>
          <w:lang w:val="en-GB"/>
        </w:rPr>
        <w:t>metres and held</w:t>
      </w:r>
      <w:r w:rsidRPr="00391B31">
        <w:rPr>
          <w:spacing w:val="-4"/>
          <w:lang w:val="en-GB"/>
        </w:rPr>
        <w:t xml:space="preserve"> about 200 desks, most of which </w:t>
      </w:r>
      <w:r w:rsidR="00DF07F4" w:rsidRPr="00391B31">
        <w:rPr>
          <w:spacing w:val="-4"/>
          <w:lang w:val="en-GB"/>
        </w:rPr>
        <w:t xml:space="preserve">were </w:t>
      </w:r>
      <w:r w:rsidRPr="00391B31">
        <w:rPr>
          <w:spacing w:val="-4"/>
          <w:lang w:val="en-GB"/>
        </w:rPr>
        <w:t>occupied by consultants working with little privacy</w:t>
      </w:r>
      <w:r w:rsidR="007138F2" w:rsidRPr="00391B31">
        <w:rPr>
          <w:spacing w:val="-4"/>
          <w:lang w:val="en-GB"/>
        </w:rPr>
        <w:t>. T</w:t>
      </w:r>
      <w:r w:rsidRPr="00391B31">
        <w:rPr>
          <w:spacing w:val="-4"/>
          <w:lang w:val="en-GB"/>
        </w:rPr>
        <w:t xml:space="preserve">here </w:t>
      </w:r>
      <w:r w:rsidR="00DF07F4" w:rsidRPr="00391B31">
        <w:rPr>
          <w:spacing w:val="-4"/>
          <w:lang w:val="en-GB"/>
        </w:rPr>
        <w:t xml:space="preserve">were </w:t>
      </w:r>
      <w:r w:rsidRPr="00391B31">
        <w:rPr>
          <w:spacing w:val="-4"/>
          <w:lang w:val="en-GB"/>
        </w:rPr>
        <w:t xml:space="preserve">no tall partitions </w:t>
      </w:r>
      <w:r w:rsidR="00DF07F4" w:rsidRPr="00391B31">
        <w:rPr>
          <w:spacing w:val="-4"/>
          <w:lang w:val="en-GB"/>
        </w:rPr>
        <w:t>between desks</w:t>
      </w:r>
      <w:r w:rsidR="00391B31" w:rsidRPr="00391B31">
        <w:rPr>
          <w:spacing w:val="-4"/>
          <w:lang w:val="en-GB"/>
        </w:rPr>
        <w:t>.</w:t>
      </w:r>
      <w:r w:rsidR="00DF07F4" w:rsidRPr="00391B31">
        <w:rPr>
          <w:spacing w:val="-4"/>
          <w:lang w:val="en-GB"/>
        </w:rPr>
        <w:t xml:space="preserve"> </w:t>
      </w:r>
      <w:r w:rsidRPr="00391B31">
        <w:rPr>
          <w:spacing w:val="-4"/>
          <w:lang w:val="en-GB"/>
        </w:rPr>
        <w:t xml:space="preserve">The office </w:t>
      </w:r>
      <w:r w:rsidR="00DF07F4" w:rsidRPr="00391B31">
        <w:rPr>
          <w:spacing w:val="-4"/>
          <w:lang w:val="en-GB"/>
        </w:rPr>
        <w:t>wa</w:t>
      </w:r>
      <w:r w:rsidRPr="00391B31">
        <w:rPr>
          <w:spacing w:val="-4"/>
          <w:lang w:val="en-GB"/>
        </w:rPr>
        <w:t xml:space="preserve">s more like the open spaces of US </w:t>
      </w:r>
      <w:r w:rsidR="00DF07F4" w:rsidRPr="00391B31">
        <w:rPr>
          <w:spacing w:val="-4"/>
          <w:lang w:val="en-GB"/>
        </w:rPr>
        <w:t xml:space="preserve">technology </w:t>
      </w:r>
      <w:r w:rsidRPr="00391B31">
        <w:rPr>
          <w:spacing w:val="-4"/>
          <w:lang w:val="en-GB"/>
        </w:rPr>
        <w:t>companies, but more crowded. Consultants seem</w:t>
      </w:r>
      <w:r w:rsidR="00391B31" w:rsidRPr="00391B31">
        <w:rPr>
          <w:spacing w:val="-4"/>
          <w:lang w:val="en-GB"/>
        </w:rPr>
        <w:t>ed</w:t>
      </w:r>
      <w:r w:rsidRPr="00391B31">
        <w:rPr>
          <w:spacing w:val="-4"/>
          <w:lang w:val="en-GB"/>
        </w:rPr>
        <w:t xml:space="preserve"> focused, and they tread</w:t>
      </w:r>
      <w:r w:rsidR="00DF07F4" w:rsidRPr="00391B31">
        <w:rPr>
          <w:spacing w:val="-4"/>
          <w:lang w:val="en-GB"/>
        </w:rPr>
        <w:t>ed</w:t>
      </w:r>
      <w:r w:rsidRPr="00391B31">
        <w:rPr>
          <w:spacing w:val="-4"/>
          <w:lang w:val="en-GB"/>
        </w:rPr>
        <w:t xml:space="preserve"> lightly if they need</w:t>
      </w:r>
      <w:r w:rsidR="00DF07F4" w:rsidRPr="00391B31">
        <w:rPr>
          <w:spacing w:val="-4"/>
          <w:lang w:val="en-GB"/>
        </w:rPr>
        <w:t>ed</w:t>
      </w:r>
      <w:r w:rsidRPr="00391B31">
        <w:rPr>
          <w:spacing w:val="-4"/>
          <w:lang w:val="en-GB"/>
        </w:rPr>
        <w:t xml:space="preserve"> to move. The working atmosphere </w:t>
      </w:r>
      <w:r w:rsidR="00DF07F4" w:rsidRPr="00391B31">
        <w:rPr>
          <w:spacing w:val="-4"/>
          <w:lang w:val="en-GB"/>
        </w:rPr>
        <w:t xml:space="preserve">was </w:t>
      </w:r>
      <w:r w:rsidRPr="00391B31">
        <w:rPr>
          <w:spacing w:val="-4"/>
          <w:lang w:val="en-GB"/>
        </w:rPr>
        <w:t>quiet, with workers sitting at cluttered desks that resemble</w:t>
      </w:r>
      <w:r w:rsidR="00DF07F4" w:rsidRPr="00391B31">
        <w:rPr>
          <w:spacing w:val="-4"/>
          <w:lang w:val="en-GB"/>
        </w:rPr>
        <w:t>d</w:t>
      </w:r>
      <w:r w:rsidRPr="00391B31">
        <w:rPr>
          <w:spacing w:val="-4"/>
          <w:lang w:val="en-GB"/>
        </w:rPr>
        <w:t xml:space="preserve"> those of professor</w:t>
      </w:r>
      <w:r w:rsidR="00DF07F4" w:rsidRPr="00391B31">
        <w:rPr>
          <w:spacing w:val="-4"/>
          <w:lang w:val="en-GB"/>
        </w:rPr>
        <w:t>s</w:t>
      </w:r>
      <w:r w:rsidR="009358DF" w:rsidRPr="00391B31">
        <w:rPr>
          <w:spacing w:val="-4"/>
          <w:lang w:val="en-GB"/>
        </w:rPr>
        <w:t>—</w:t>
      </w:r>
      <w:r w:rsidRPr="00391B31">
        <w:rPr>
          <w:spacing w:val="-4"/>
          <w:lang w:val="en-GB"/>
        </w:rPr>
        <w:t>a mixture of Zen and chaos.</w:t>
      </w:r>
    </w:p>
    <w:p w14:paraId="3171C9F2" w14:textId="77777777" w:rsidR="00357182" w:rsidRPr="00056725" w:rsidRDefault="00357182" w:rsidP="004A0A1E">
      <w:pPr>
        <w:pStyle w:val="BodyTextMain"/>
        <w:rPr>
          <w:lang w:val="en-GB"/>
        </w:rPr>
      </w:pPr>
    </w:p>
    <w:p w14:paraId="7CE24A5D" w14:textId="1FF1A297" w:rsidR="004A0A1E" w:rsidRPr="00056725" w:rsidRDefault="007138F2" w:rsidP="004A0A1E">
      <w:pPr>
        <w:pStyle w:val="BodyTextMain"/>
        <w:rPr>
          <w:i/>
          <w:lang w:val="en-GB"/>
        </w:rPr>
      </w:pPr>
      <w:r>
        <w:rPr>
          <w:lang w:val="en-GB"/>
        </w:rPr>
        <w:t>In 2018, the</w:t>
      </w:r>
      <w:r w:rsidR="004A0A1E" w:rsidRPr="00056725">
        <w:rPr>
          <w:lang w:val="en-GB"/>
        </w:rPr>
        <w:t xml:space="preserve"> average age of GEI consultants </w:t>
      </w:r>
      <w:r w:rsidR="00DF07F4" w:rsidRPr="00056725">
        <w:rPr>
          <w:lang w:val="en-GB"/>
        </w:rPr>
        <w:t>wa</w:t>
      </w:r>
      <w:r w:rsidR="004A0A1E" w:rsidRPr="00056725">
        <w:rPr>
          <w:lang w:val="en-GB"/>
        </w:rPr>
        <w:t>s 30; 95</w:t>
      </w:r>
      <w:r w:rsidR="00DF07F4" w:rsidRPr="00056725">
        <w:rPr>
          <w:lang w:val="en-GB"/>
        </w:rPr>
        <w:t xml:space="preserve"> per cent had </w:t>
      </w:r>
      <w:r w:rsidR="004A0A1E" w:rsidRPr="00056725">
        <w:rPr>
          <w:lang w:val="en-GB"/>
        </w:rPr>
        <w:t>bachelor’s degree</w:t>
      </w:r>
      <w:r w:rsidR="00DF07F4" w:rsidRPr="00056725">
        <w:rPr>
          <w:lang w:val="en-GB"/>
        </w:rPr>
        <w:t>s</w:t>
      </w:r>
      <w:r w:rsidR="004A0A1E" w:rsidRPr="00056725">
        <w:rPr>
          <w:lang w:val="en-GB"/>
        </w:rPr>
        <w:t>, and 75</w:t>
      </w:r>
      <w:r w:rsidR="00DF07F4" w:rsidRPr="00056725">
        <w:rPr>
          <w:lang w:val="en-GB"/>
        </w:rPr>
        <w:t xml:space="preserve"> per cent had</w:t>
      </w:r>
      <w:r w:rsidR="004A0A1E" w:rsidRPr="00056725">
        <w:rPr>
          <w:lang w:val="en-GB"/>
        </w:rPr>
        <w:t xml:space="preserve"> postgraduate degree</w:t>
      </w:r>
      <w:r w:rsidR="00DF07F4" w:rsidRPr="00056725">
        <w:rPr>
          <w:lang w:val="en-GB"/>
        </w:rPr>
        <w:t>s</w:t>
      </w:r>
      <w:r w:rsidR="00391B31">
        <w:rPr>
          <w:lang w:val="en-GB"/>
        </w:rPr>
        <w:t xml:space="preserve">. </w:t>
      </w:r>
      <w:r w:rsidR="00DF07F4" w:rsidRPr="00056725">
        <w:rPr>
          <w:lang w:val="en-GB"/>
        </w:rPr>
        <w:t>T</w:t>
      </w:r>
      <w:r w:rsidR="004A0A1E" w:rsidRPr="00056725">
        <w:rPr>
          <w:lang w:val="en-GB"/>
        </w:rPr>
        <w:t xml:space="preserve">he corresponding percentages </w:t>
      </w:r>
      <w:r>
        <w:rPr>
          <w:lang w:val="en-GB"/>
        </w:rPr>
        <w:t xml:space="preserve">in 2018 </w:t>
      </w:r>
      <w:r w:rsidR="004A0A1E" w:rsidRPr="00056725">
        <w:rPr>
          <w:lang w:val="en-GB"/>
        </w:rPr>
        <w:t xml:space="preserve">for the Chinese population </w:t>
      </w:r>
      <w:r w:rsidR="00DF07F4" w:rsidRPr="00056725">
        <w:rPr>
          <w:lang w:val="en-GB"/>
        </w:rPr>
        <w:t>were 27.7 per cent and 4.3 per cent,</w:t>
      </w:r>
      <w:r w:rsidR="004A0A1E" w:rsidRPr="00056725">
        <w:rPr>
          <w:lang w:val="en-GB"/>
        </w:rPr>
        <w:t xml:space="preserve"> respectively</w:t>
      </w:r>
      <w:r w:rsidR="00DF07F4" w:rsidRPr="00056725">
        <w:rPr>
          <w:lang w:val="en-GB"/>
        </w:rPr>
        <w:t>.</w:t>
      </w:r>
      <w:r w:rsidR="004A0A1E" w:rsidRPr="00056725">
        <w:rPr>
          <w:lang w:val="en-GB"/>
        </w:rPr>
        <w:t xml:space="preserve"> </w:t>
      </w:r>
    </w:p>
    <w:p w14:paraId="5762A172" w14:textId="77777777" w:rsidR="00357182" w:rsidRPr="00056725" w:rsidRDefault="00357182" w:rsidP="004A0A1E">
      <w:pPr>
        <w:pStyle w:val="BodyTextMain"/>
        <w:rPr>
          <w:lang w:val="en-GB"/>
        </w:rPr>
      </w:pPr>
    </w:p>
    <w:p w14:paraId="104BBFA2" w14:textId="471DA57E" w:rsidR="004A0A1E" w:rsidRPr="00056725" w:rsidRDefault="004A0A1E" w:rsidP="004A0A1E">
      <w:pPr>
        <w:pStyle w:val="BodyTextMain"/>
        <w:rPr>
          <w:lang w:val="en-GB"/>
        </w:rPr>
      </w:pPr>
      <w:r w:rsidRPr="00056725">
        <w:rPr>
          <w:lang w:val="en-GB"/>
        </w:rPr>
        <w:t xml:space="preserve">The GEI consultants who were interviewed reported that they liked consulting because they got to work on different projects. “There is always something new,” one commented. They enjoyed their work experience, and they reported that they felt a strong sense of accomplishment when their clients appreciated their help. </w:t>
      </w:r>
    </w:p>
    <w:p w14:paraId="42B18188" w14:textId="77777777" w:rsidR="00461CA4" w:rsidRPr="00056725" w:rsidRDefault="00461CA4" w:rsidP="004A0A1E">
      <w:pPr>
        <w:pStyle w:val="BodyTextMain"/>
        <w:rPr>
          <w:lang w:val="en-GB"/>
        </w:rPr>
      </w:pPr>
    </w:p>
    <w:p w14:paraId="4503686B" w14:textId="2335E324" w:rsidR="004A0A1E" w:rsidRPr="00056725" w:rsidRDefault="00461CA4" w:rsidP="004A0A1E">
      <w:pPr>
        <w:pStyle w:val="BodyTextMain"/>
        <w:rPr>
          <w:lang w:val="en-GB"/>
        </w:rPr>
      </w:pPr>
      <w:r w:rsidRPr="00056725">
        <w:rPr>
          <w:lang w:val="en-GB"/>
        </w:rPr>
        <w:t>C</w:t>
      </w:r>
      <w:r w:rsidR="004A0A1E" w:rsidRPr="00056725">
        <w:rPr>
          <w:lang w:val="en-GB"/>
        </w:rPr>
        <w:t>ompared to other consulting firms</w:t>
      </w:r>
      <w:r w:rsidRPr="00056725">
        <w:rPr>
          <w:lang w:val="en-GB"/>
        </w:rPr>
        <w:t xml:space="preserve">, </w:t>
      </w:r>
      <w:r w:rsidR="004A0A1E" w:rsidRPr="00056725">
        <w:rPr>
          <w:lang w:val="en-GB"/>
        </w:rPr>
        <w:t>GEI was more like a think</w:t>
      </w:r>
      <w:r w:rsidRPr="00056725">
        <w:rPr>
          <w:lang w:val="en-GB"/>
        </w:rPr>
        <w:t xml:space="preserve"> </w:t>
      </w:r>
      <w:r w:rsidR="004A0A1E" w:rsidRPr="00056725">
        <w:rPr>
          <w:lang w:val="en-GB"/>
        </w:rPr>
        <w:t xml:space="preserve">tank, </w:t>
      </w:r>
      <w:r w:rsidRPr="00056725">
        <w:rPr>
          <w:lang w:val="en-GB"/>
        </w:rPr>
        <w:t xml:space="preserve">and this </w:t>
      </w:r>
      <w:r w:rsidR="004A0A1E" w:rsidRPr="00056725">
        <w:rPr>
          <w:lang w:val="en-GB"/>
        </w:rPr>
        <w:t xml:space="preserve">appealed to its consultants. “GEI is not known for having high salaries, but it is certainly known for its thought leadership and its independent thinking,” one </w:t>
      </w:r>
      <w:r w:rsidRPr="00056725">
        <w:rPr>
          <w:lang w:val="en-GB"/>
        </w:rPr>
        <w:t xml:space="preserve">consultant </w:t>
      </w:r>
      <w:r w:rsidR="004A0A1E" w:rsidRPr="00056725">
        <w:rPr>
          <w:lang w:val="en-GB"/>
        </w:rPr>
        <w:t>commented.</w:t>
      </w:r>
    </w:p>
    <w:p w14:paraId="7DFBDF46" w14:textId="77777777" w:rsidR="00461CA4" w:rsidRPr="00652C1E" w:rsidRDefault="00461CA4" w:rsidP="004A0A1E">
      <w:pPr>
        <w:pStyle w:val="BodyTextMain"/>
        <w:rPr>
          <w:sz w:val="20"/>
          <w:lang w:val="en-GB"/>
        </w:rPr>
      </w:pPr>
    </w:p>
    <w:p w14:paraId="2EC99E0C" w14:textId="4E4F54BF" w:rsidR="004A0A1E" w:rsidRPr="00056725" w:rsidRDefault="004A0A1E" w:rsidP="004A0A1E">
      <w:pPr>
        <w:pStyle w:val="BodyTextMain"/>
        <w:rPr>
          <w:lang w:val="en-GB"/>
        </w:rPr>
      </w:pPr>
      <w:r w:rsidRPr="00056725">
        <w:rPr>
          <w:lang w:val="en-GB"/>
        </w:rPr>
        <w:lastRenderedPageBreak/>
        <w:t>In a recent internal essay contest at GEI, three winning essay writers talked about their working experience at GEI. They mentioned GEI as a “thought supplier for the new economy</w:t>
      </w:r>
      <w:r w:rsidR="00461CA4" w:rsidRPr="00056725">
        <w:rPr>
          <w:lang w:val="en-GB"/>
        </w:rPr>
        <w:t>,</w:t>
      </w:r>
      <w:r w:rsidRPr="00056725">
        <w:rPr>
          <w:lang w:val="en-GB"/>
        </w:rPr>
        <w:t>” and a “high-end think</w:t>
      </w:r>
      <w:r w:rsidR="00461CA4" w:rsidRPr="00056725">
        <w:rPr>
          <w:lang w:val="en-GB"/>
        </w:rPr>
        <w:t xml:space="preserve"> </w:t>
      </w:r>
      <w:r w:rsidRPr="00056725">
        <w:rPr>
          <w:lang w:val="en-GB"/>
        </w:rPr>
        <w:t>tank</w:t>
      </w:r>
      <w:r w:rsidR="00461CA4" w:rsidRPr="00056725">
        <w:rPr>
          <w:lang w:val="en-GB"/>
        </w:rPr>
        <w:t>,</w:t>
      </w:r>
      <w:r w:rsidRPr="00056725">
        <w:rPr>
          <w:lang w:val="en-GB"/>
        </w:rPr>
        <w:t>” having “independent thinking.” One winning essay likened consulting to “Zen and the art of making tea.”</w:t>
      </w:r>
    </w:p>
    <w:p w14:paraId="76BC36D7" w14:textId="77777777" w:rsidR="00014650" w:rsidRPr="00652C1E" w:rsidRDefault="00014650" w:rsidP="004A0A1E">
      <w:pPr>
        <w:pStyle w:val="BodyTextMain"/>
        <w:rPr>
          <w:sz w:val="20"/>
          <w:lang w:val="en-GB"/>
        </w:rPr>
      </w:pPr>
    </w:p>
    <w:p w14:paraId="07C10FA6" w14:textId="0963E03E" w:rsidR="004A0A1E" w:rsidRPr="00056725" w:rsidRDefault="004A0A1E" w:rsidP="004A0A1E">
      <w:pPr>
        <w:pStyle w:val="BodyTextMain"/>
        <w:rPr>
          <w:lang w:val="en-GB"/>
        </w:rPr>
      </w:pPr>
      <w:r w:rsidRPr="00056725">
        <w:rPr>
          <w:lang w:val="en-GB"/>
        </w:rPr>
        <w:t xml:space="preserve">One consultant reported a taste for GEI’s flat organizational structure, its positive and pleasant work environment, and its CEO, Wang, who was </w:t>
      </w:r>
      <w:r w:rsidR="001C1B62">
        <w:rPr>
          <w:lang w:val="en-GB"/>
        </w:rPr>
        <w:t>described as</w:t>
      </w:r>
      <w:r w:rsidRPr="00056725">
        <w:rPr>
          <w:lang w:val="en-GB"/>
        </w:rPr>
        <w:t xml:space="preserve"> “very approachable and likeable.” Another feature that consultants liked was the rule-based work</w:t>
      </w:r>
      <w:r w:rsidR="00461CA4" w:rsidRPr="00056725">
        <w:rPr>
          <w:lang w:val="en-GB"/>
        </w:rPr>
        <w:t xml:space="preserve"> procedures</w:t>
      </w:r>
      <w:r w:rsidRPr="00056725">
        <w:rPr>
          <w:lang w:val="en-GB"/>
        </w:rPr>
        <w:t xml:space="preserve"> at GEI. “Unlike most private firms in China</w:t>
      </w:r>
      <w:r w:rsidR="00461CA4" w:rsidRPr="00056725">
        <w:rPr>
          <w:lang w:val="en-GB"/>
        </w:rPr>
        <w:t>,</w:t>
      </w:r>
      <w:r w:rsidRPr="00056725">
        <w:rPr>
          <w:lang w:val="en-GB"/>
        </w:rPr>
        <w:t xml:space="preserve"> </w:t>
      </w:r>
      <w:r w:rsidR="00461CA4" w:rsidRPr="00056725">
        <w:rPr>
          <w:lang w:val="en-GB"/>
        </w:rPr>
        <w:t xml:space="preserve">which </w:t>
      </w:r>
      <w:r w:rsidRPr="00056725">
        <w:rPr>
          <w:lang w:val="en-GB"/>
        </w:rPr>
        <w:t>tend to be permeated with personal relations and shady practices, GEI’s management is above board and follows rules closely,” one consultant commented.</w:t>
      </w:r>
      <w:r w:rsidR="005D57DD" w:rsidRPr="00056725">
        <w:rPr>
          <w:lang w:val="en-GB"/>
        </w:rPr>
        <w:t xml:space="preserve"> </w:t>
      </w:r>
    </w:p>
    <w:p w14:paraId="2CF6E646" w14:textId="77777777" w:rsidR="00357182" w:rsidRPr="00652C1E" w:rsidRDefault="00357182" w:rsidP="004A0A1E">
      <w:pPr>
        <w:pStyle w:val="BodyTextMain"/>
        <w:rPr>
          <w:sz w:val="20"/>
          <w:lang w:val="en-GB"/>
        </w:rPr>
      </w:pPr>
    </w:p>
    <w:p w14:paraId="14820C41" w14:textId="087E8D20" w:rsidR="004A0A1E" w:rsidRPr="00056725" w:rsidRDefault="004A0A1E" w:rsidP="004A0A1E">
      <w:pPr>
        <w:pStyle w:val="BodyTextMain"/>
        <w:rPr>
          <w:lang w:val="en-GB"/>
        </w:rPr>
      </w:pPr>
      <w:r w:rsidRPr="00056725">
        <w:rPr>
          <w:lang w:val="en-GB"/>
        </w:rPr>
        <w:t>Most consultants treasured the ability to learn and grow that GEI offered them. “GEI is very good at training new analysts to do their jobs and to learn,” one consultant commented. “I am so happy that all of my projects so far have been different in nature,” another consultant commented. One consultant said that “I like the fact that GEI gives us a clear path of</w:t>
      </w:r>
      <w:r w:rsidR="00357182" w:rsidRPr="00056725">
        <w:rPr>
          <w:lang w:val="en-GB"/>
        </w:rPr>
        <w:t xml:space="preserve"> growth, even quantitatively.” </w:t>
      </w:r>
      <w:r w:rsidRPr="00056725">
        <w:rPr>
          <w:lang w:val="en-GB"/>
        </w:rPr>
        <w:t xml:space="preserve">However, some consultants had left because their work had become repetitively similar or because the work did not use their specific expertise (such as international business knowledge). </w:t>
      </w:r>
    </w:p>
    <w:p w14:paraId="5C2E5E02" w14:textId="77777777" w:rsidR="00357182" w:rsidRPr="00652C1E" w:rsidRDefault="00357182" w:rsidP="004A0A1E">
      <w:pPr>
        <w:pStyle w:val="BodyTextMain"/>
        <w:rPr>
          <w:sz w:val="20"/>
          <w:lang w:val="en-GB"/>
        </w:rPr>
      </w:pPr>
    </w:p>
    <w:p w14:paraId="5C1CCEE3" w14:textId="4A70C66C" w:rsidR="004A0A1E" w:rsidRPr="00056725" w:rsidRDefault="004A0A1E" w:rsidP="004A0A1E">
      <w:pPr>
        <w:pStyle w:val="BodyTextMain"/>
        <w:rPr>
          <w:lang w:val="en-GB"/>
        </w:rPr>
      </w:pPr>
      <w:r w:rsidRPr="00056725">
        <w:rPr>
          <w:lang w:val="en-GB"/>
        </w:rPr>
        <w:t xml:space="preserve">GEI developed its own methodology and tools, of which Wang and his associates </w:t>
      </w:r>
      <w:r w:rsidR="00461CA4" w:rsidRPr="00056725">
        <w:rPr>
          <w:lang w:val="en-GB"/>
        </w:rPr>
        <w:t xml:space="preserve">were </w:t>
      </w:r>
      <w:r w:rsidRPr="00056725">
        <w:rPr>
          <w:lang w:val="en-GB"/>
        </w:rPr>
        <w:t>very proud</w:t>
      </w:r>
      <w:r w:rsidR="00461CA4" w:rsidRPr="00056725">
        <w:rPr>
          <w:lang w:val="en-GB"/>
        </w:rPr>
        <w:t xml:space="preserve">. These included </w:t>
      </w:r>
      <w:r w:rsidRPr="007D62D5">
        <w:rPr>
          <w:lang w:val="en-GB"/>
        </w:rPr>
        <w:t>the three angles</w:t>
      </w:r>
      <w:r w:rsidRPr="00056725">
        <w:rPr>
          <w:lang w:val="en-GB"/>
        </w:rPr>
        <w:t xml:space="preserve"> mentioned earlier</w:t>
      </w:r>
      <w:r w:rsidR="00461CA4" w:rsidRPr="00056725">
        <w:rPr>
          <w:lang w:val="en-GB"/>
        </w:rPr>
        <w:t xml:space="preserve">; </w:t>
      </w:r>
      <w:r w:rsidRPr="007D62D5">
        <w:rPr>
          <w:lang w:val="en-GB"/>
        </w:rPr>
        <w:t>three analytical tools</w:t>
      </w:r>
      <w:r w:rsidR="00461CA4" w:rsidRPr="00056725">
        <w:rPr>
          <w:lang w:val="en-GB"/>
        </w:rPr>
        <w:t xml:space="preserve"> (</w:t>
      </w:r>
      <w:r w:rsidR="009358DF">
        <w:rPr>
          <w:lang w:val="en-GB"/>
        </w:rPr>
        <w:t xml:space="preserve">i.e., </w:t>
      </w:r>
      <w:r w:rsidRPr="007D62D5">
        <w:rPr>
          <w:lang w:val="en-GB"/>
        </w:rPr>
        <w:t xml:space="preserve">the 80/20/4 creative rule, the longest stave of wooden bucket analogy, </w:t>
      </w:r>
      <w:r w:rsidRPr="00056725">
        <w:rPr>
          <w:lang w:val="en-GB"/>
        </w:rPr>
        <w:t xml:space="preserve">and </w:t>
      </w:r>
      <w:r w:rsidRPr="007D62D5">
        <w:rPr>
          <w:lang w:val="en-GB"/>
        </w:rPr>
        <w:t>brainstorming</w:t>
      </w:r>
      <w:r w:rsidR="00461CA4" w:rsidRPr="00056725">
        <w:rPr>
          <w:lang w:val="en-GB"/>
        </w:rPr>
        <w:t>)</w:t>
      </w:r>
      <w:r w:rsidRPr="00056725">
        <w:rPr>
          <w:lang w:val="en-GB"/>
        </w:rPr>
        <w:t xml:space="preserve"> (see Exhibit </w:t>
      </w:r>
      <w:r w:rsidR="00063366" w:rsidRPr="00056725">
        <w:rPr>
          <w:lang w:val="en-GB"/>
        </w:rPr>
        <w:t>5</w:t>
      </w:r>
      <w:r w:rsidR="00461CA4" w:rsidRPr="00056725">
        <w:rPr>
          <w:lang w:val="en-GB"/>
        </w:rPr>
        <w:t xml:space="preserve">); </w:t>
      </w:r>
      <w:r w:rsidRPr="00056725">
        <w:rPr>
          <w:lang w:val="en-GB"/>
        </w:rPr>
        <w:t>“</w:t>
      </w:r>
      <w:r w:rsidRPr="007D62D5">
        <w:rPr>
          <w:lang w:val="en-GB"/>
        </w:rPr>
        <w:t>the new concept method</w:t>
      </w:r>
      <w:r w:rsidRPr="00056725">
        <w:rPr>
          <w:lang w:val="en-GB"/>
        </w:rPr>
        <w:t xml:space="preserve">” (see Exhibit </w:t>
      </w:r>
      <w:r w:rsidR="00063366" w:rsidRPr="00056725">
        <w:rPr>
          <w:lang w:val="en-GB"/>
        </w:rPr>
        <w:t>6</w:t>
      </w:r>
      <w:r w:rsidR="00461CA4" w:rsidRPr="00056725">
        <w:rPr>
          <w:lang w:val="en-GB"/>
        </w:rPr>
        <w:t xml:space="preserve">); </w:t>
      </w:r>
      <w:r w:rsidRPr="00056725">
        <w:rPr>
          <w:lang w:val="en-GB"/>
        </w:rPr>
        <w:t>and “</w:t>
      </w:r>
      <w:r w:rsidRPr="007D62D5">
        <w:rPr>
          <w:lang w:val="en-GB"/>
        </w:rPr>
        <w:t>the importance of insights</w:t>
      </w:r>
      <w:r w:rsidRPr="00056725">
        <w:rPr>
          <w:lang w:val="en-GB"/>
        </w:rPr>
        <w:t xml:space="preserve">” (see Exhibit </w:t>
      </w:r>
      <w:r w:rsidR="00063366" w:rsidRPr="00056725">
        <w:rPr>
          <w:lang w:val="en-GB"/>
        </w:rPr>
        <w:t>7</w:t>
      </w:r>
      <w:r w:rsidRPr="00056725">
        <w:rPr>
          <w:lang w:val="en-GB"/>
        </w:rPr>
        <w:t xml:space="preserve">). </w:t>
      </w:r>
    </w:p>
    <w:p w14:paraId="59C044F4" w14:textId="77777777" w:rsidR="00357182" w:rsidRPr="00652C1E" w:rsidRDefault="00357182" w:rsidP="00357182">
      <w:pPr>
        <w:pStyle w:val="BodyTextMain"/>
        <w:rPr>
          <w:sz w:val="20"/>
          <w:lang w:val="en-GB"/>
        </w:rPr>
      </w:pPr>
    </w:p>
    <w:p w14:paraId="7E1674D5" w14:textId="77777777" w:rsidR="00357182" w:rsidRPr="00652C1E" w:rsidRDefault="00357182" w:rsidP="00357182">
      <w:pPr>
        <w:pStyle w:val="BodyTextMain"/>
        <w:rPr>
          <w:sz w:val="20"/>
          <w:lang w:val="en-GB"/>
        </w:rPr>
      </w:pPr>
    </w:p>
    <w:p w14:paraId="5839B9EC" w14:textId="026F2CCD" w:rsidR="004A0A1E" w:rsidRPr="00056725" w:rsidRDefault="004A0A1E" w:rsidP="007D62D5">
      <w:pPr>
        <w:pStyle w:val="Casehead1"/>
        <w:rPr>
          <w:lang w:val="en-GB"/>
        </w:rPr>
      </w:pPr>
      <w:r w:rsidRPr="00056725">
        <w:rPr>
          <w:lang w:val="en-GB"/>
        </w:rPr>
        <w:t>Clients and Projects</w:t>
      </w:r>
    </w:p>
    <w:p w14:paraId="3424F167" w14:textId="77777777" w:rsidR="00357182" w:rsidRPr="00652C1E" w:rsidRDefault="00357182" w:rsidP="00357182">
      <w:pPr>
        <w:pStyle w:val="BodyTextMain"/>
        <w:rPr>
          <w:sz w:val="20"/>
          <w:lang w:val="en-GB"/>
        </w:rPr>
      </w:pPr>
    </w:p>
    <w:p w14:paraId="61CAD246" w14:textId="579E5575" w:rsidR="009358DF" w:rsidRDefault="009358DF" w:rsidP="00357182">
      <w:pPr>
        <w:pStyle w:val="BodyTextMain"/>
        <w:rPr>
          <w:lang w:val="en-GB"/>
        </w:rPr>
      </w:pPr>
      <w:r>
        <w:rPr>
          <w:lang w:val="en-GB"/>
        </w:rPr>
        <w:t>GEI worked for a variety of clients on different types of projects</w:t>
      </w:r>
      <w:r w:rsidR="001C1B62">
        <w:rPr>
          <w:lang w:val="en-GB"/>
        </w:rPr>
        <w:t xml:space="preserve"> including STPAC, hybrid, </w:t>
      </w:r>
      <w:r w:rsidR="00921E18">
        <w:rPr>
          <w:lang w:val="en-GB"/>
        </w:rPr>
        <w:t xml:space="preserve">and </w:t>
      </w:r>
      <w:r w:rsidR="001C1B62">
        <w:rPr>
          <w:lang w:val="en-GB"/>
        </w:rPr>
        <w:t xml:space="preserve">business client projects. </w:t>
      </w:r>
    </w:p>
    <w:p w14:paraId="3CF1A085" w14:textId="77777777" w:rsidR="009358DF" w:rsidRPr="00652C1E" w:rsidRDefault="009358DF" w:rsidP="00357182">
      <w:pPr>
        <w:pStyle w:val="BodyTextMain"/>
        <w:rPr>
          <w:sz w:val="20"/>
          <w:lang w:val="en-GB"/>
        </w:rPr>
      </w:pPr>
    </w:p>
    <w:p w14:paraId="7056FA24" w14:textId="77777777" w:rsidR="009358DF" w:rsidRPr="00652C1E" w:rsidRDefault="009358DF" w:rsidP="00357182">
      <w:pPr>
        <w:pStyle w:val="BodyTextMain"/>
        <w:rPr>
          <w:sz w:val="20"/>
          <w:lang w:val="en-GB"/>
        </w:rPr>
      </w:pPr>
    </w:p>
    <w:p w14:paraId="399E7C4F" w14:textId="1F44F984" w:rsidR="004A0A1E" w:rsidRPr="00056725" w:rsidRDefault="004A0A1E" w:rsidP="007D62D5">
      <w:pPr>
        <w:pStyle w:val="Casehead2"/>
        <w:rPr>
          <w:lang w:val="en-GB"/>
        </w:rPr>
      </w:pPr>
      <w:r w:rsidRPr="00056725">
        <w:rPr>
          <w:lang w:val="en-GB"/>
        </w:rPr>
        <w:t>STPAC Clients</w:t>
      </w:r>
    </w:p>
    <w:p w14:paraId="3607BCDA" w14:textId="77777777" w:rsidR="00357182" w:rsidRPr="00652C1E" w:rsidRDefault="00357182" w:rsidP="004A0A1E">
      <w:pPr>
        <w:pStyle w:val="BodyTextMain"/>
        <w:rPr>
          <w:sz w:val="20"/>
          <w:lang w:val="en-GB"/>
        </w:rPr>
      </w:pPr>
    </w:p>
    <w:p w14:paraId="1013B9EB" w14:textId="2CD40481" w:rsidR="004A0A1E" w:rsidRPr="00056725" w:rsidRDefault="004A0A1E" w:rsidP="004A0A1E">
      <w:pPr>
        <w:pStyle w:val="BodyTextMain"/>
        <w:rPr>
          <w:lang w:val="en-GB"/>
        </w:rPr>
      </w:pPr>
      <w:r w:rsidRPr="00056725">
        <w:rPr>
          <w:lang w:val="en-GB"/>
        </w:rPr>
        <w:t>STP</w:t>
      </w:r>
      <w:r w:rsidR="007138F2">
        <w:rPr>
          <w:lang w:val="en-GB"/>
        </w:rPr>
        <w:t>ACs</w:t>
      </w:r>
      <w:r w:rsidR="00B8028D" w:rsidRPr="00056725">
        <w:rPr>
          <w:lang w:val="en-GB"/>
        </w:rPr>
        <w:t xml:space="preserve"> </w:t>
      </w:r>
      <w:r w:rsidRPr="00056725">
        <w:rPr>
          <w:lang w:val="en-GB"/>
        </w:rPr>
        <w:t xml:space="preserve">became </w:t>
      </w:r>
      <w:r w:rsidR="00461CA4" w:rsidRPr="00056725">
        <w:rPr>
          <w:lang w:val="en-GB"/>
        </w:rPr>
        <w:t xml:space="preserve">GEI’s </w:t>
      </w:r>
      <w:r w:rsidRPr="00056725">
        <w:rPr>
          <w:lang w:val="en-GB"/>
        </w:rPr>
        <w:t xml:space="preserve">main clients. Of all 168 STPs in China, GEI </w:t>
      </w:r>
      <w:r w:rsidR="00461CA4" w:rsidRPr="00056725">
        <w:rPr>
          <w:lang w:val="en-GB"/>
        </w:rPr>
        <w:t xml:space="preserve">had </w:t>
      </w:r>
      <w:r w:rsidRPr="00056725">
        <w:rPr>
          <w:lang w:val="en-GB"/>
        </w:rPr>
        <w:t>worked with 110.</w:t>
      </w:r>
    </w:p>
    <w:p w14:paraId="5E632477" w14:textId="77777777" w:rsidR="00357182" w:rsidRPr="00652C1E" w:rsidRDefault="00357182" w:rsidP="004A0A1E">
      <w:pPr>
        <w:pStyle w:val="BodyTextMain"/>
        <w:rPr>
          <w:sz w:val="20"/>
          <w:lang w:val="en-GB"/>
        </w:rPr>
      </w:pPr>
    </w:p>
    <w:p w14:paraId="5FD03054" w14:textId="064F86E4" w:rsidR="004A0A1E" w:rsidRPr="00056725" w:rsidRDefault="00461CA4" w:rsidP="004A0A1E">
      <w:pPr>
        <w:pStyle w:val="BodyTextMain"/>
        <w:rPr>
          <w:lang w:val="en-GB"/>
        </w:rPr>
      </w:pPr>
      <w:r w:rsidRPr="00056725">
        <w:rPr>
          <w:lang w:val="en-GB"/>
        </w:rPr>
        <w:t xml:space="preserve">GEI relied on two channels to attract </w:t>
      </w:r>
      <w:r w:rsidR="004A0A1E" w:rsidRPr="00056725">
        <w:rPr>
          <w:lang w:val="en-GB"/>
        </w:rPr>
        <w:t xml:space="preserve">clients. </w:t>
      </w:r>
      <w:r w:rsidR="001C1B62">
        <w:rPr>
          <w:lang w:val="en-GB"/>
        </w:rPr>
        <w:t>The f</w:t>
      </w:r>
      <w:r w:rsidR="004A0A1E" w:rsidRPr="00056725">
        <w:rPr>
          <w:lang w:val="en-GB"/>
        </w:rPr>
        <w:t xml:space="preserve">irst </w:t>
      </w:r>
      <w:r w:rsidR="001C1B62">
        <w:rPr>
          <w:lang w:val="en-GB"/>
        </w:rPr>
        <w:t>was a</w:t>
      </w:r>
      <w:r w:rsidR="004A0A1E" w:rsidRPr="00056725">
        <w:rPr>
          <w:lang w:val="en-GB"/>
        </w:rPr>
        <w:t xml:space="preserve"> connection with M</w:t>
      </w:r>
      <w:r w:rsidR="001C1B62">
        <w:rPr>
          <w:lang w:val="en-GB"/>
        </w:rPr>
        <w:t>OST</w:t>
      </w:r>
      <w:r w:rsidR="004A0A1E" w:rsidRPr="00056725">
        <w:rPr>
          <w:lang w:val="en-GB"/>
        </w:rPr>
        <w:t xml:space="preserve"> and with local governments, through which GEI established a network of repeated clients. Second was the open bidding market for government projects</w:t>
      </w:r>
      <w:r w:rsidRPr="00056725">
        <w:rPr>
          <w:lang w:val="en-GB"/>
        </w:rPr>
        <w:t xml:space="preserve"> such as STPACs</w:t>
      </w:r>
      <w:r w:rsidR="004A0A1E" w:rsidRPr="00056725">
        <w:rPr>
          <w:lang w:val="en-GB"/>
        </w:rPr>
        <w:t xml:space="preserve">. GEI had a group of people </w:t>
      </w:r>
      <w:r w:rsidR="00B8028D" w:rsidRPr="00056725">
        <w:rPr>
          <w:lang w:val="en-GB"/>
        </w:rPr>
        <w:t xml:space="preserve">who </w:t>
      </w:r>
      <w:r w:rsidR="00391B31">
        <w:rPr>
          <w:lang w:val="en-GB"/>
        </w:rPr>
        <w:t>specialized</w:t>
      </w:r>
      <w:r w:rsidR="004A0A1E" w:rsidRPr="00056725">
        <w:rPr>
          <w:lang w:val="en-GB"/>
        </w:rPr>
        <w:t xml:space="preserve"> in bidding </w:t>
      </w:r>
      <w:r w:rsidR="00B8028D" w:rsidRPr="00056725">
        <w:rPr>
          <w:lang w:val="en-GB"/>
        </w:rPr>
        <w:t xml:space="preserve">on </w:t>
      </w:r>
      <w:r w:rsidR="004A0A1E" w:rsidRPr="00056725">
        <w:rPr>
          <w:lang w:val="en-GB"/>
        </w:rPr>
        <w:t>government projects. Zhao</w:t>
      </w:r>
      <w:r w:rsidR="00AD4EF7">
        <w:rPr>
          <w:lang w:val="en-GB"/>
        </w:rPr>
        <w:t xml:space="preserve"> </w:t>
      </w:r>
      <w:r w:rsidR="004A0A1E" w:rsidRPr="00056725">
        <w:rPr>
          <w:lang w:val="en-GB"/>
        </w:rPr>
        <w:t xml:space="preserve">attributed GEI’s success in the open bidding market to its ability to understand and meet the needs of the government agencies </w:t>
      </w:r>
      <w:r w:rsidR="00B8028D" w:rsidRPr="00056725">
        <w:rPr>
          <w:lang w:val="en-GB"/>
        </w:rPr>
        <w:t xml:space="preserve">that </w:t>
      </w:r>
      <w:r w:rsidR="004A0A1E" w:rsidRPr="00056725">
        <w:rPr>
          <w:lang w:val="en-GB"/>
        </w:rPr>
        <w:t>were requesting the bid</w:t>
      </w:r>
      <w:r w:rsidR="00B8028D" w:rsidRPr="00056725">
        <w:rPr>
          <w:lang w:val="en-GB"/>
        </w:rPr>
        <w:t>s</w:t>
      </w:r>
      <w:r w:rsidR="004A0A1E" w:rsidRPr="00056725">
        <w:rPr>
          <w:lang w:val="en-GB"/>
        </w:rPr>
        <w:t xml:space="preserve">: “We are good at retaining clients. Many of them become repeated clients.” </w:t>
      </w:r>
    </w:p>
    <w:p w14:paraId="20A22FE7" w14:textId="77777777" w:rsidR="00357182" w:rsidRPr="00652C1E" w:rsidRDefault="00357182" w:rsidP="004A0A1E">
      <w:pPr>
        <w:pStyle w:val="BodyTextMain"/>
        <w:rPr>
          <w:sz w:val="20"/>
          <w:lang w:val="en-GB"/>
        </w:rPr>
      </w:pPr>
    </w:p>
    <w:p w14:paraId="50DAFD0D" w14:textId="50FD2593" w:rsidR="004A0A1E" w:rsidRDefault="004A0A1E" w:rsidP="004A0A1E">
      <w:pPr>
        <w:pStyle w:val="BodyTextMain"/>
        <w:rPr>
          <w:lang w:val="en-GB"/>
        </w:rPr>
      </w:pPr>
      <w:r w:rsidRPr="00056725">
        <w:rPr>
          <w:lang w:val="en-GB"/>
        </w:rPr>
        <w:t>GEI helped STPACs formulate and implement development strategies, organizational design</w:t>
      </w:r>
      <w:r w:rsidR="00B8028D" w:rsidRPr="00056725">
        <w:rPr>
          <w:lang w:val="en-GB"/>
        </w:rPr>
        <w:t>s</w:t>
      </w:r>
      <w:r w:rsidRPr="00056725">
        <w:rPr>
          <w:lang w:val="en-GB"/>
        </w:rPr>
        <w:t xml:space="preserve">, and human resource policies. A main line of </w:t>
      </w:r>
      <w:r w:rsidR="00B8028D" w:rsidRPr="00056725">
        <w:rPr>
          <w:lang w:val="en-GB"/>
        </w:rPr>
        <w:t xml:space="preserve">its </w:t>
      </w:r>
      <w:r w:rsidRPr="00056725">
        <w:rPr>
          <w:lang w:val="en-GB"/>
        </w:rPr>
        <w:t>services was help</w:t>
      </w:r>
      <w:r w:rsidR="00B8028D" w:rsidRPr="00056725">
        <w:rPr>
          <w:lang w:val="en-GB"/>
        </w:rPr>
        <w:t>ing</w:t>
      </w:r>
      <w:r w:rsidRPr="00056725">
        <w:rPr>
          <w:lang w:val="en-GB"/>
        </w:rPr>
        <w:t xml:space="preserve"> STPACs to reform their administrative systems. The word </w:t>
      </w:r>
      <w:r w:rsidRPr="00865DCC">
        <w:rPr>
          <w:lang w:val="en-GB"/>
        </w:rPr>
        <w:t xml:space="preserve">reform </w:t>
      </w:r>
      <w:r w:rsidR="00B8028D" w:rsidRPr="00056725">
        <w:rPr>
          <w:lang w:val="en-GB"/>
        </w:rPr>
        <w:t xml:space="preserve">was </w:t>
      </w:r>
      <w:r w:rsidRPr="00056725">
        <w:rPr>
          <w:lang w:val="en-GB"/>
        </w:rPr>
        <w:t xml:space="preserve">perhaps the most important word in the vocabulary of contemporary China. The economic change from </w:t>
      </w:r>
      <w:r w:rsidR="00B8028D" w:rsidRPr="00056725">
        <w:rPr>
          <w:lang w:val="en-GB"/>
        </w:rPr>
        <w:t xml:space="preserve">a </w:t>
      </w:r>
      <w:r w:rsidRPr="00056725">
        <w:rPr>
          <w:lang w:val="en-GB"/>
        </w:rPr>
        <w:t xml:space="preserve">planned economy to </w:t>
      </w:r>
      <w:r w:rsidR="00B8028D" w:rsidRPr="00056725">
        <w:rPr>
          <w:lang w:val="en-GB"/>
        </w:rPr>
        <w:t xml:space="preserve">a </w:t>
      </w:r>
      <w:r w:rsidRPr="00056725">
        <w:rPr>
          <w:lang w:val="en-GB"/>
        </w:rPr>
        <w:t xml:space="preserve">market economy </w:t>
      </w:r>
      <w:r w:rsidR="00B8028D" w:rsidRPr="00056725">
        <w:rPr>
          <w:lang w:val="en-GB"/>
        </w:rPr>
        <w:t xml:space="preserve">was called a </w:t>
      </w:r>
      <w:r w:rsidRPr="00056725">
        <w:rPr>
          <w:lang w:val="en-GB"/>
        </w:rPr>
        <w:t>reform. All of China’s new ideas, policies, or ways of doing things that produce</w:t>
      </w:r>
      <w:r w:rsidR="00B8028D" w:rsidRPr="00056725">
        <w:rPr>
          <w:lang w:val="en-GB"/>
        </w:rPr>
        <w:t>d</w:t>
      </w:r>
      <w:r w:rsidRPr="00056725">
        <w:rPr>
          <w:lang w:val="en-GB"/>
        </w:rPr>
        <w:t xml:space="preserve"> positive results </w:t>
      </w:r>
      <w:r w:rsidR="00B8028D" w:rsidRPr="00056725">
        <w:rPr>
          <w:lang w:val="en-GB"/>
        </w:rPr>
        <w:t xml:space="preserve">were </w:t>
      </w:r>
      <w:r w:rsidRPr="00056725">
        <w:rPr>
          <w:lang w:val="en-GB"/>
        </w:rPr>
        <w:t xml:space="preserve">called reform, </w:t>
      </w:r>
      <w:r w:rsidR="00B8028D" w:rsidRPr="00056725">
        <w:rPr>
          <w:lang w:val="en-GB"/>
        </w:rPr>
        <w:t xml:space="preserve">and </w:t>
      </w:r>
      <w:r w:rsidRPr="00056725">
        <w:rPr>
          <w:lang w:val="en-GB"/>
        </w:rPr>
        <w:t xml:space="preserve">so GEI </w:t>
      </w:r>
      <w:r w:rsidR="00B8028D" w:rsidRPr="00056725">
        <w:rPr>
          <w:lang w:val="en-GB"/>
        </w:rPr>
        <w:t xml:space="preserve">billed </w:t>
      </w:r>
      <w:r w:rsidRPr="00056725">
        <w:rPr>
          <w:lang w:val="en-GB"/>
        </w:rPr>
        <w:t>itself as an expert in helping STP administrations to reform. Nationwide, GEI helped the 30 largest STPs to design and implement similar reform plans (</w:t>
      </w:r>
      <w:r w:rsidR="00B8028D" w:rsidRPr="00056725">
        <w:rPr>
          <w:lang w:val="en-GB"/>
        </w:rPr>
        <w:t xml:space="preserve">see </w:t>
      </w:r>
      <w:r w:rsidRPr="00056725">
        <w:rPr>
          <w:lang w:val="en-GB"/>
        </w:rPr>
        <w:t xml:space="preserve">Exhibit </w:t>
      </w:r>
      <w:r w:rsidR="00063366" w:rsidRPr="00056725">
        <w:rPr>
          <w:lang w:val="en-GB"/>
        </w:rPr>
        <w:t>8</w:t>
      </w:r>
      <w:r w:rsidRPr="00056725">
        <w:rPr>
          <w:lang w:val="en-GB"/>
        </w:rPr>
        <w:t>).</w:t>
      </w:r>
    </w:p>
    <w:p w14:paraId="1A975ED5" w14:textId="77777777" w:rsidR="00865DCC" w:rsidRDefault="00865DCC" w:rsidP="004A0A1E">
      <w:pPr>
        <w:pStyle w:val="BodyTextMain"/>
        <w:rPr>
          <w:lang w:val="en-GB"/>
        </w:rPr>
      </w:pPr>
    </w:p>
    <w:p w14:paraId="0F8F4F73" w14:textId="7F8AC6AD" w:rsidR="004A0A1E" w:rsidRPr="00056725" w:rsidRDefault="004A0A1E" w:rsidP="004A0A1E">
      <w:pPr>
        <w:pStyle w:val="BodyTextMain"/>
        <w:rPr>
          <w:lang w:val="en-GB"/>
        </w:rPr>
      </w:pPr>
      <w:r w:rsidRPr="00056725">
        <w:rPr>
          <w:lang w:val="en-GB"/>
        </w:rPr>
        <w:t>Wang Zhihui, a young partner and the vice general manager of GEI, commented</w:t>
      </w:r>
      <w:r w:rsidR="00B8028D" w:rsidRPr="00056725">
        <w:rPr>
          <w:lang w:val="en-GB"/>
        </w:rPr>
        <w:t xml:space="preserve">, </w:t>
      </w:r>
      <w:r w:rsidRPr="00056725">
        <w:rPr>
          <w:lang w:val="en-GB"/>
        </w:rPr>
        <w:t xml:space="preserve">“As far as STPs are concerned, we are the most authoritative on the subject.” After 25 years of providing strategic and managerial consulting for almost all </w:t>
      </w:r>
      <w:r w:rsidR="000158D7">
        <w:rPr>
          <w:lang w:val="en-GB"/>
        </w:rPr>
        <w:t>STP</w:t>
      </w:r>
      <w:r w:rsidRPr="00056725">
        <w:rPr>
          <w:lang w:val="en-GB"/>
        </w:rPr>
        <w:t xml:space="preserve">s in China, GEI </w:t>
      </w:r>
      <w:r w:rsidR="00B8028D" w:rsidRPr="00056725">
        <w:rPr>
          <w:lang w:val="en-GB"/>
        </w:rPr>
        <w:t xml:space="preserve">had </w:t>
      </w:r>
      <w:r w:rsidRPr="00056725">
        <w:rPr>
          <w:lang w:val="en-GB"/>
        </w:rPr>
        <w:t xml:space="preserve">built a vast network of STPs, based on its </w:t>
      </w:r>
      <w:r w:rsidRPr="00056725">
        <w:rPr>
          <w:lang w:val="en-GB"/>
        </w:rPr>
        <w:lastRenderedPageBreak/>
        <w:t>experience, expertise, and supporting capabilities</w:t>
      </w:r>
      <w:r w:rsidR="00B8028D" w:rsidRPr="00056725">
        <w:rPr>
          <w:lang w:val="en-GB"/>
        </w:rPr>
        <w:t>.</w:t>
      </w:r>
      <w:r w:rsidRPr="00056725">
        <w:rPr>
          <w:lang w:val="en-GB"/>
        </w:rPr>
        <w:t xml:space="preserve"> GEI </w:t>
      </w:r>
      <w:r w:rsidR="00B8028D" w:rsidRPr="00056725">
        <w:rPr>
          <w:lang w:val="en-GB"/>
        </w:rPr>
        <w:t xml:space="preserve">was </w:t>
      </w:r>
      <w:r w:rsidR="00F61980">
        <w:rPr>
          <w:lang w:val="en-GB"/>
        </w:rPr>
        <w:t>at</w:t>
      </w:r>
      <w:r w:rsidRPr="00056725">
        <w:rPr>
          <w:lang w:val="en-GB"/>
        </w:rPr>
        <w:t xml:space="preserve"> the cent</w:t>
      </w:r>
      <w:r w:rsidR="00B8028D" w:rsidRPr="00056725">
        <w:rPr>
          <w:lang w:val="en-GB"/>
        </w:rPr>
        <w:t>r</w:t>
      </w:r>
      <w:r w:rsidRPr="00056725">
        <w:rPr>
          <w:lang w:val="en-GB"/>
        </w:rPr>
        <w:t>e of the network.</w:t>
      </w:r>
      <w:r w:rsidR="00F61980">
        <w:rPr>
          <w:lang w:val="en-GB"/>
        </w:rPr>
        <w:t xml:space="preserve"> Although</w:t>
      </w:r>
      <w:r w:rsidRPr="00056725">
        <w:rPr>
          <w:lang w:val="en-GB"/>
        </w:rPr>
        <w:t xml:space="preserve"> proud of their success, GEI’s leaders </w:t>
      </w:r>
      <w:r w:rsidR="00B8028D" w:rsidRPr="00056725">
        <w:rPr>
          <w:lang w:val="en-GB"/>
        </w:rPr>
        <w:t xml:space="preserve">were </w:t>
      </w:r>
      <w:r w:rsidRPr="00056725">
        <w:rPr>
          <w:lang w:val="en-GB"/>
        </w:rPr>
        <w:t xml:space="preserve">quick </w:t>
      </w:r>
      <w:r w:rsidR="00B8028D" w:rsidRPr="00056725">
        <w:rPr>
          <w:lang w:val="en-GB"/>
        </w:rPr>
        <w:t xml:space="preserve">to </w:t>
      </w:r>
      <w:r w:rsidRPr="00056725">
        <w:rPr>
          <w:lang w:val="en-GB"/>
        </w:rPr>
        <w:t xml:space="preserve">point out that serving STP government agencies </w:t>
      </w:r>
      <w:r w:rsidR="00B8028D" w:rsidRPr="00056725">
        <w:rPr>
          <w:lang w:val="en-GB"/>
        </w:rPr>
        <w:t xml:space="preserve">was </w:t>
      </w:r>
      <w:r w:rsidRPr="00056725">
        <w:rPr>
          <w:lang w:val="en-GB"/>
        </w:rPr>
        <w:t xml:space="preserve">not </w:t>
      </w:r>
      <w:r w:rsidR="00F61980">
        <w:rPr>
          <w:lang w:val="en-GB"/>
        </w:rPr>
        <w:t>an</w:t>
      </w:r>
      <w:r w:rsidRPr="00056725">
        <w:rPr>
          <w:lang w:val="en-GB"/>
        </w:rPr>
        <w:t xml:space="preserve"> end</w:t>
      </w:r>
      <w:r w:rsidR="00F61980">
        <w:rPr>
          <w:lang w:val="en-GB"/>
        </w:rPr>
        <w:t>,</w:t>
      </w:r>
      <w:r w:rsidRPr="00056725">
        <w:rPr>
          <w:lang w:val="en-GB"/>
        </w:rPr>
        <w:t xml:space="preserve"> but a means to serving the firms in the STPs. “We just discovered that it was an effective way to help the firms in the STPs to grow and innovate,” Wu commented.</w:t>
      </w:r>
    </w:p>
    <w:p w14:paraId="581A8AEA" w14:textId="77777777" w:rsidR="00357182" w:rsidRPr="00652C1E" w:rsidRDefault="00357182" w:rsidP="00357182">
      <w:pPr>
        <w:pStyle w:val="BodyTextMain"/>
        <w:rPr>
          <w:sz w:val="18"/>
          <w:lang w:val="en-GB"/>
        </w:rPr>
      </w:pPr>
    </w:p>
    <w:p w14:paraId="04AC2D00" w14:textId="77777777" w:rsidR="00357182" w:rsidRPr="00652C1E" w:rsidRDefault="00357182" w:rsidP="00357182">
      <w:pPr>
        <w:pStyle w:val="BodyTextMain"/>
        <w:rPr>
          <w:sz w:val="18"/>
          <w:lang w:val="en-GB"/>
        </w:rPr>
      </w:pPr>
    </w:p>
    <w:p w14:paraId="07E7B30A" w14:textId="34FE6ACE" w:rsidR="004A0A1E" w:rsidRPr="00056725" w:rsidRDefault="004A0A1E" w:rsidP="007D62D5">
      <w:pPr>
        <w:pStyle w:val="Casehead2"/>
        <w:rPr>
          <w:lang w:val="en-GB"/>
        </w:rPr>
      </w:pPr>
      <w:r w:rsidRPr="00056725">
        <w:rPr>
          <w:lang w:val="en-GB"/>
        </w:rPr>
        <w:t xml:space="preserve">Hybrid </w:t>
      </w:r>
      <w:r w:rsidR="00B8028D" w:rsidRPr="00056725">
        <w:rPr>
          <w:lang w:val="en-GB"/>
        </w:rPr>
        <w:t>Projects</w:t>
      </w:r>
    </w:p>
    <w:p w14:paraId="644A6D8B" w14:textId="77777777" w:rsidR="00357182" w:rsidRPr="00652C1E" w:rsidRDefault="00357182" w:rsidP="00357182">
      <w:pPr>
        <w:pStyle w:val="BodyTextMain"/>
        <w:rPr>
          <w:sz w:val="18"/>
          <w:lang w:val="en-GB"/>
        </w:rPr>
      </w:pPr>
    </w:p>
    <w:p w14:paraId="5ECC4C51" w14:textId="538B3FBE" w:rsidR="004A0A1E" w:rsidRPr="00056725" w:rsidRDefault="004A0A1E" w:rsidP="004A0A1E">
      <w:pPr>
        <w:pStyle w:val="BodyTextMain"/>
        <w:rPr>
          <w:lang w:val="en-GB"/>
        </w:rPr>
      </w:pPr>
      <w:r w:rsidRPr="00056725">
        <w:rPr>
          <w:lang w:val="en-GB"/>
        </w:rPr>
        <w:t xml:space="preserve">Hybrid </w:t>
      </w:r>
      <w:r w:rsidR="00B8028D" w:rsidRPr="00056725">
        <w:rPr>
          <w:lang w:val="en-GB"/>
        </w:rPr>
        <w:t xml:space="preserve">projects </w:t>
      </w:r>
      <w:r w:rsidRPr="00056725">
        <w:rPr>
          <w:lang w:val="en-GB"/>
        </w:rPr>
        <w:t>involve</w:t>
      </w:r>
      <w:r w:rsidR="00B8028D" w:rsidRPr="00056725">
        <w:rPr>
          <w:lang w:val="en-GB"/>
        </w:rPr>
        <w:t>d</w:t>
      </w:r>
      <w:r w:rsidRPr="00056725">
        <w:rPr>
          <w:lang w:val="en-GB"/>
        </w:rPr>
        <w:t xml:space="preserve"> both the STPAC and the firms in the STPs. A typical hybrid project was GEI’s </w:t>
      </w:r>
      <w:r w:rsidR="00B8028D" w:rsidRPr="00056725">
        <w:rPr>
          <w:lang w:val="en-GB"/>
        </w:rPr>
        <w:t>“</w:t>
      </w:r>
      <w:r w:rsidRPr="00056725">
        <w:rPr>
          <w:lang w:val="en-GB"/>
        </w:rPr>
        <w:t>gazelle</w:t>
      </w:r>
      <w:r w:rsidR="00B8028D" w:rsidRPr="00056725">
        <w:rPr>
          <w:lang w:val="en-GB"/>
        </w:rPr>
        <w:t>”</w:t>
      </w:r>
      <w:r w:rsidRPr="00056725">
        <w:rPr>
          <w:lang w:val="en-GB"/>
        </w:rPr>
        <w:t xml:space="preserve"> development project. A </w:t>
      </w:r>
      <w:r w:rsidRPr="00295CFF">
        <w:rPr>
          <w:lang w:val="en-GB"/>
        </w:rPr>
        <w:t xml:space="preserve">gazelle </w:t>
      </w:r>
      <w:r w:rsidRPr="00056725">
        <w:rPr>
          <w:lang w:val="en-GB"/>
        </w:rPr>
        <w:t xml:space="preserve">firm </w:t>
      </w:r>
      <w:r w:rsidR="00B8028D" w:rsidRPr="00056725">
        <w:rPr>
          <w:lang w:val="en-GB"/>
        </w:rPr>
        <w:t xml:space="preserve">was </w:t>
      </w:r>
      <w:r w:rsidRPr="00056725">
        <w:rPr>
          <w:lang w:val="en-GB"/>
        </w:rPr>
        <w:t xml:space="preserve">an innovative firm that </w:t>
      </w:r>
      <w:r w:rsidR="00B8028D" w:rsidRPr="00056725">
        <w:rPr>
          <w:lang w:val="en-GB"/>
        </w:rPr>
        <w:t xml:space="preserve">had </w:t>
      </w:r>
      <w:r w:rsidRPr="00056725">
        <w:rPr>
          <w:lang w:val="en-GB"/>
        </w:rPr>
        <w:t>jumped over the “</w:t>
      </w:r>
      <w:r w:rsidR="006C0FB7" w:rsidRPr="00056725">
        <w:rPr>
          <w:lang w:val="en-GB"/>
        </w:rPr>
        <w:t>death valley</w:t>
      </w:r>
      <w:r w:rsidRPr="00056725">
        <w:rPr>
          <w:lang w:val="en-GB"/>
        </w:rPr>
        <w:t xml:space="preserve">” </w:t>
      </w:r>
      <w:r w:rsidR="006C0FB7" w:rsidRPr="00056725">
        <w:rPr>
          <w:lang w:val="en-GB"/>
        </w:rPr>
        <w:t>phase</w:t>
      </w:r>
      <w:r w:rsidR="00295CFF">
        <w:rPr>
          <w:rStyle w:val="FootnoteReference"/>
          <w:lang w:val="en-GB"/>
        </w:rPr>
        <w:footnoteReference w:id="18"/>
      </w:r>
      <w:r w:rsidR="006C0FB7" w:rsidRPr="00056725">
        <w:rPr>
          <w:lang w:val="en-GB"/>
        </w:rPr>
        <w:t xml:space="preserve"> </w:t>
      </w:r>
      <w:r w:rsidRPr="00056725">
        <w:rPr>
          <w:lang w:val="en-GB"/>
        </w:rPr>
        <w:t xml:space="preserve">and </w:t>
      </w:r>
      <w:r w:rsidR="006C0FB7" w:rsidRPr="00056725">
        <w:rPr>
          <w:lang w:val="en-GB"/>
        </w:rPr>
        <w:t xml:space="preserve">had </w:t>
      </w:r>
      <w:r w:rsidRPr="00056725">
        <w:rPr>
          <w:lang w:val="en-GB"/>
        </w:rPr>
        <w:t>begun to enjoy explosive growth with a market-recognized business model. Naturally, all of the STPs want</w:t>
      </w:r>
      <w:r w:rsidR="00865DCC">
        <w:rPr>
          <w:lang w:val="en-GB"/>
        </w:rPr>
        <w:t>ed</w:t>
      </w:r>
      <w:r w:rsidRPr="00056725">
        <w:rPr>
          <w:lang w:val="en-GB"/>
        </w:rPr>
        <w:t xml:space="preserve"> to attract and grow such firms. To meet this demand, GEI designed its gazelle development project, which helped STPs formulate policies to identify potential targets and evaluate their performance. As GEI’s work with STP</w:t>
      </w:r>
      <w:r w:rsidR="00921E18">
        <w:rPr>
          <w:lang w:val="en-GB"/>
        </w:rPr>
        <w:t>AC</w:t>
      </w:r>
      <w:r w:rsidR="006C0FB7" w:rsidRPr="00056725">
        <w:rPr>
          <w:lang w:val="en-GB"/>
        </w:rPr>
        <w:t xml:space="preserve"> </w:t>
      </w:r>
      <w:r w:rsidRPr="00056725">
        <w:rPr>
          <w:lang w:val="en-GB"/>
        </w:rPr>
        <w:t xml:space="preserve">deepened, the </w:t>
      </w:r>
      <w:r w:rsidR="006C0FB7" w:rsidRPr="00056725">
        <w:rPr>
          <w:lang w:val="en-GB"/>
        </w:rPr>
        <w:t xml:space="preserve">committees </w:t>
      </w:r>
      <w:r w:rsidRPr="00056725">
        <w:rPr>
          <w:lang w:val="en-GB"/>
        </w:rPr>
        <w:t xml:space="preserve">wanted GEI to go one step further to help the target firms. Many STPACs would order and subsidize the firms in the STP to buy GEI’s services, creating </w:t>
      </w:r>
      <w:r w:rsidR="006C0FB7" w:rsidRPr="00056725">
        <w:rPr>
          <w:lang w:val="en-GB"/>
        </w:rPr>
        <w:t xml:space="preserve">clients that represented a </w:t>
      </w:r>
      <w:r w:rsidRPr="00056725">
        <w:rPr>
          <w:lang w:val="en-GB"/>
        </w:rPr>
        <w:t xml:space="preserve">government/business mix. </w:t>
      </w:r>
    </w:p>
    <w:p w14:paraId="44A653DB" w14:textId="280501B1" w:rsidR="00357182" w:rsidRPr="00652C1E" w:rsidRDefault="00357182" w:rsidP="004A0A1E">
      <w:pPr>
        <w:pStyle w:val="BodyTextMain"/>
        <w:rPr>
          <w:sz w:val="18"/>
          <w:lang w:val="en-GB"/>
        </w:rPr>
      </w:pPr>
    </w:p>
    <w:p w14:paraId="631EABD4" w14:textId="77777777" w:rsidR="00357182" w:rsidRPr="00652C1E" w:rsidRDefault="00357182" w:rsidP="004A0A1E">
      <w:pPr>
        <w:pStyle w:val="BodyTextMain"/>
        <w:rPr>
          <w:sz w:val="18"/>
          <w:lang w:val="en-GB"/>
        </w:rPr>
      </w:pPr>
    </w:p>
    <w:p w14:paraId="5E98966A" w14:textId="77777777" w:rsidR="004A0A1E" w:rsidRPr="00056725" w:rsidRDefault="004A0A1E" w:rsidP="007D62D5">
      <w:pPr>
        <w:pStyle w:val="Casehead2"/>
        <w:rPr>
          <w:lang w:val="en-GB"/>
        </w:rPr>
      </w:pPr>
      <w:r w:rsidRPr="00056725">
        <w:rPr>
          <w:lang w:val="en-GB"/>
        </w:rPr>
        <w:t>Business Clients</w:t>
      </w:r>
    </w:p>
    <w:p w14:paraId="2BC77A2C" w14:textId="77777777" w:rsidR="00357182" w:rsidRPr="00652C1E" w:rsidRDefault="00357182" w:rsidP="004A0A1E">
      <w:pPr>
        <w:pStyle w:val="BodyTextMain"/>
        <w:rPr>
          <w:sz w:val="18"/>
          <w:lang w:val="en-GB"/>
        </w:rPr>
      </w:pPr>
    </w:p>
    <w:p w14:paraId="1ECF5C4B" w14:textId="52C95D32" w:rsidR="004A0A1E" w:rsidRPr="00056725" w:rsidRDefault="004A0A1E" w:rsidP="004A0A1E">
      <w:pPr>
        <w:pStyle w:val="BodyTextMain"/>
        <w:rPr>
          <w:lang w:val="en-GB"/>
        </w:rPr>
      </w:pPr>
      <w:r w:rsidRPr="00056725">
        <w:rPr>
          <w:lang w:val="en-GB"/>
        </w:rPr>
        <w:t>In the early days, business (firm) clients accounted for the majority of GEI’s work (</w:t>
      </w:r>
      <w:r w:rsidR="006C0FB7" w:rsidRPr="00056725">
        <w:rPr>
          <w:lang w:val="en-GB"/>
        </w:rPr>
        <w:t xml:space="preserve">see </w:t>
      </w:r>
      <w:r w:rsidRPr="00056725">
        <w:rPr>
          <w:lang w:val="en-GB"/>
        </w:rPr>
        <w:t xml:space="preserve">Exhibit </w:t>
      </w:r>
      <w:r w:rsidR="00063366" w:rsidRPr="00056725">
        <w:rPr>
          <w:lang w:val="en-GB"/>
        </w:rPr>
        <w:t>8</w:t>
      </w:r>
      <w:r w:rsidRPr="00056725">
        <w:rPr>
          <w:lang w:val="en-GB"/>
        </w:rPr>
        <w:t>). Later, as GEI began to find its niche with STP</w:t>
      </w:r>
      <w:r w:rsidR="001C1B62">
        <w:rPr>
          <w:lang w:val="en-GB"/>
        </w:rPr>
        <w:t>ACs</w:t>
      </w:r>
      <w:r w:rsidRPr="00056725">
        <w:rPr>
          <w:lang w:val="en-GB"/>
        </w:rPr>
        <w:t xml:space="preserve">, the number of these clients grew rapidly and became GEI’s main </w:t>
      </w:r>
      <w:r w:rsidR="006C0FB7" w:rsidRPr="00056725">
        <w:rPr>
          <w:lang w:val="en-GB"/>
        </w:rPr>
        <w:t>focus</w:t>
      </w:r>
      <w:r w:rsidRPr="00056725">
        <w:rPr>
          <w:lang w:val="en-GB"/>
        </w:rPr>
        <w:t xml:space="preserve">, and the share of its direct business clients was reduced. </w:t>
      </w:r>
    </w:p>
    <w:p w14:paraId="027E6744" w14:textId="77777777" w:rsidR="00FE4B5E" w:rsidRPr="00652C1E" w:rsidRDefault="00FE4B5E" w:rsidP="004A0A1E">
      <w:pPr>
        <w:pStyle w:val="BodyTextMain"/>
        <w:rPr>
          <w:sz w:val="18"/>
          <w:lang w:val="en-GB"/>
        </w:rPr>
      </w:pPr>
    </w:p>
    <w:p w14:paraId="14145F6C" w14:textId="12092DBE" w:rsidR="004A0A1E" w:rsidRPr="00056725" w:rsidRDefault="004A0A1E" w:rsidP="004A0A1E">
      <w:pPr>
        <w:pStyle w:val="BodyTextMain"/>
        <w:rPr>
          <w:lang w:val="en-GB"/>
        </w:rPr>
      </w:pPr>
      <w:r w:rsidRPr="00056725">
        <w:rPr>
          <w:lang w:val="en-GB"/>
        </w:rPr>
        <w:t xml:space="preserve">Most of GEI’s business clients were in the STPs. These firms’ main need was to develop innovation and entrepreneurial capabilities, in order to become gazelles. MOST offered programs to help them, and they became GEI clients </w:t>
      </w:r>
      <w:r w:rsidR="006C0FB7" w:rsidRPr="00056725">
        <w:rPr>
          <w:lang w:val="en-GB"/>
        </w:rPr>
        <w:t xml:space="preserve">either </w:t>
      </w:r>
      <w:r w:rsidRPr="00056725">
        <w:rPr>
          <w:lang w:val="en-GB"/>
        </w:rPr>
        <w:t>due to GEI’s close relationship with MOST or due to GEI’s work with STP</w:t>
      </w:r>
      <w:r w:rsidR="00352699">
        <w:rPr>
          <w:lang w:val="en-GB"/>
        </w:rPr>
        <w:t>ACs</w:t>
      </w:r>
      <w:r w:rsidRPr="00056725">
        <w:rPr>
          <w:lang w:val="en-GB"/>
        </w:rPr>
        <w:t>. In general, business clients tended to be “random and infrequent</w:t>
      </w:r>
      <w:r w:rsidR="006C0FB7" w:rsidRPr="00056725">
        <w:rPr>
          <w:lang w:val="en-GB"/>
        </w:rPr>
        <w:t>,</w:t>
      </w:r>
      <w:r w:rsidRPr="00056725">
        <w:rPr>
          <w:lang w:val="en-GB"/>
        </w:rPr>
        <w:t xml:space="preserve">” as one GEI consultant observed. </w:t>
      </w:r>
    </w:p>
    <w:p w14:paraId="6A46AE91" w14:textId="77777777" w:rsidR="00357182" w:rsidRPr="00652C1E" w:rsidRDefault="00357182" w:rsidP="004A0A1E">
      <w:pPr>
        <w:pStyle w:val="BodyTextMain"/>
        <w:rPr>
          <w:sz w:val="18"/>
          <w:lang w:val="en-GB"/>
        </w:rPr>
      </w:pPr>
    </w:p>
    <w:p w14:paraId="6C9D7239" w14:textId="052C9F0E" w:rsidR="004A0A1E" w:rsidRPr="00056725" w:rsidRDefault="004A0A1E" w:rsidP="004A0A1E">
      <w:pPr>
        <w:pStyle w:val="BodyTextMain"/>
        <w:rPr>
          <w:lang w:val="en-GB"/>
        </w:rPr>
      </w:pPr>
      <w:r w:rsidRPr="00056725">
        <w:rPr>
          <w:lang w:val="en-GB"/>
        </w:rPr>
        <w:t xml:space="preserve">In terms of the differences between STPAC and business clients, GEI consultants </w:t>
      </w:r>
      <w:r w:rsidR="00352699">
        <w:rPr>
          <w:lang w:val="en-GB"/>
        </w:rPr>
        <w:t>found that</w:t>
      </w:r>
      <w:r w:rsidRPr="00056725">
        <w:rPr>
          <w:lang w:val="en-GB"/>
        </w:rPr>
        <w:t xml:space="preserve"> STPAC clients were more policy-oriented, and their goals </w:t>
      </w:r>
      <w:r w:rsidR="006C0FB7" w:rsidRPr="00056725">
        <w:rPr>
          <w:lang w:val="en-GB"/>
        </w:rPr>
        <w:t xml:space="preserve">were </w:t>
      </w:r>
      <w:r w:rsidR="00352699">
        <w:rPr>
          <w:lang w:val="en-GB"/>
        </w:rPr>
        <w:t xml:space="preserve">more </w:t>
      </w:r>
      <w:r w:rsidRPr="00056725">
        <w:rPr>
          <w:lang w:val="en-GB"/>
        </w:rPr>
        <w:t>general. “The most important thing for STP officials is what their superiors want,” one consultant commented, “and we have to deal with approvals at different levels.” Business clients focused on concrete issues with clear goals and emphasized step-by-step implementation. “They are very practical,” one consultant noted.</w:t>
      </w:r>
    </w:p>
    <w:p w14:paraId="62831B3A" w14:textId="77777777" w:rsidR="00357182" w:rsidRPr="00652C1E" w:rsidRDefault="00357182" w:rsidP="004A0A1E">
      <w:pPr>
        <w:pStyle w:val="BodyTextMain"/>
        <w:rPr>
          <w:sz w:val="18"/>
          <w:lang w:val="en-GB"/>
        </w:rPr>
      </w:pPr>
    </w:p>
    <w:p w14:paraId="6F33D330" w14:textId="257EAC3F" w:rsidR="004A0A1E" w:rsidRPr="00056725" w:rsidRDefault="004A0A1E" w:rsidP="004A0A1E">
      <w:pPr>
        <w:pStyle w:val="BodyTextMain"/>
        <w:rPr>
          <w:lang w:val="en-GB"/>
        </w:rPr>
      </w:pPr>
      <w:r w:rsidRPr="00056725">
        <w:rPr>
          <w:lang w:val="en-GB"/>
        </w:rPr>
        <w:t>Senior managers clearly recognized that private firms were a huge and lucrative market. Wang felt that GEI could leverage its success with STP</w:t>
      </w:r>
      <w:r w:rsidR="00352699">
        <w:rPr>
          <w:lang w:val="en-GB"/>
        </w:rPr>
        <w:t>ACs</w:t>
      </w:r>
      <w:r w:rsidRPr="00056725">
        <w:rPr>
          <w:lang w:val="en-GB"/>
        </w:rPr>
        <w:t xml:space="preserve"> and could engage the firms there to a greater extent: “Go deeper, do bigger.” But he also felt that GEI’s consultants were not ready for that. And Zhao</w:t>
      </w:r>
      <w:r w:rsidR="00AD4EF7">
        <w:rPr>
          <w:lang w:val="en-GB"/>
        </w:rPr>
        <w:t xml:space="preserve"> </w:t>
      </w:r>
      <w:r w:rsidRPr="00056725">
        <w:rPr>
          <w:lang w:val="en-GB"/>
        </w:rPr>
        <w:t>seemed to agree: “The challenge to getting into firm consulting is more internal.</w:t>
      </w:r>
      <w:r w:rsidR="00357182" w:rsidRPr="00056725">
        <w:rPr>
          <w:lang w:val="en-GB"/>
        </w:rPr>
        <w:t>”</w:t>
      </w:r>
    </w:p>
    <w:p w14:paraId="2F5F11C2" w14:textId="35B08F9A" w:rsidR="00357182" w:rsidRDefault="00357182" w:rsidP="004A0A1E">
      <w:pPr>
        <w:pStyle w:val="BodyTextMain"/>
        <w:rPr>
          <w:sz w:val="18"/>
          <w:lang w:val="en-GB"/>
        </w:rPr>
      </w:pPr>
    </w:p>
    <w:p w14:paraId="5181CBBB" w14:textId="77777777" w:rsidR="00921E18" w:rsidRPr="00652C1E" w:rsidRDefault="00921E18" w:rsidP="004A0A1E">
      <w:pPr>
        <w:pStyle w:val="BodyTextMain"/>
        <w:rPr>
          <w:sz w:val="18"/>
          <w:lang w:val="en-GB"/>
        </w:rPr>
      </w:pPr>
    </w:p>
    <w:p w14:paraId="3239DA97" w14:textId="4F82EE31" w:rsidR="004A0A1E" w:rsidRPr="00056725" w:rsidRDefault="004A0A1E" w:rsidP="007D62D5">
      <w:pPr>
        <w:pStyle w:val="Casehead2"/>
        <w:rPr>
          <w:lang w:val="en-GB"/>
        </w:rPr>
      </w:pPr>
      <w:r w:rsidRPr="00056725">
        <w:rPr>
          <w:lang w:val="en-GB"/>
        </w:rPr>
        <w:t>International Effort</w:t>
      </w:r>
      <w:r w:rsidR="006C0FB7" w:rsidRPr="00056725">
        <w:rPr>
          <w:lang w:val="en-GB"/>
        </w:rPr>
        <w:t>s</w:t>
      </w:r>
    </w:p>
    <w:p w14:paraId="5160CFFD" w14:textId="77777777" w:rsidR="00357182" w:rsidRPr="00652C1E" w:rsidRDefault="00357182" w:rsidP="004A0A1E">
      <w:pPr>
        <w:pStyle w:val="BodyTextMain"/>
        <w:rPr>
          <w:sz w:val="18"/>
          <w:lang w:val="en-GB"/>
        </w:rPr>
      </w:pPr>
    </w:p>
    <w:p w14:paraId="5EAB792C" w14:textId="5F7F6777" w:rsidR="006C0FB7" w:rsidRDefault="004A0A1E" w:rsidP="004A0A1E">
      <w:pPr>
        <w:pStyle w:val="BodyTextMain"/>
        <w:rPr>
          <w:lang w:val="en-GB"/>
        </w:rPr>
      </w:pPr>
      <w:r w:rsidRPr="00056725">
        <w:rPr>
          <w:lang w:val="en-GB"/>
        </w:rPr>
        <w:t>GEI’s desire to internationalize appeared to be strong</w:t>
      </w:r>
      <w:r w:rsidR="006C0FB7" w:rsidRPr="00056725">
        <w:rPr>
          <w:lang w:val="en-GB"/>
        </w:rPr>
        <w:t>. I</w:t>
      </w:r>
      <w:r w:rsidRPr="00056725">
        <w:rPr>
          <w:lang w:val="en-GB"/>
        </w:rPr>
        <w:t xml:space="preserve">n 2011, </w:t>
      </w:r>
      <w:r w:rsidR="006C0FB7" w:rsidRPr="00056725">
        <w:rPr>
          <w:lang w:val="en-GB"/>
        </w:rPr>
        <w:t xml:space="preserve">the company </w:t>
      </w:r>
      <w:r w:rsidRPr="00056725">
        <w:rPr>
          <w:lang w:val="en-GB"/>
        </w:rPr>
        <w:t xml:space="preserve">even established an international division. </w:t>
      </w:r>
      <w:r w:rsidR="006C0FB7" w:rsidRPr="00056725">
        <w:rPr>
          <w:lang w:val="en-GB"/>
        </w:rPr>
        <w:t xml:space="preserve">However, </w:t>
      </w:r>
      <w:r w:rsidRPr="00056725">
        <w:rPr>
          <w:lang w:val="en-GB"/>
        </w:rPr>
        <w:t xml:space="preserve">so far, its international projects </w:t>
      </w:r>
      <w:r w:rsidR="006C0FB7" w:rsidRPr="00056725">
        <w:rPr>
          <w:lang w:val="en-GB"/>
        </w:rPr>
        <w:t xml:space="preserve">had included </w:t>
      </w:r>
      <w:r w:rsidRPr="00056725">
        <w:rPr>
          <w:lang w:val="en-GB"/>
        </w:rPr>
        <w:t>writing policy reports and feasibility studies about international co</w:t>
      </w:r>
      <w:r w:rsidR="00352699">
        <w:rPr>
          <w:lang w:val="en-GB"/>
        </w:rPr>
        <w:t>-</w:t>
      </w:r>
      <w:r w:rsidRPr="00056725">
        <w:rPr>
          <w:lang w:val="en-GB"/>
        </w:rPr>
        <w:t xml:space="preserve">operation for various government agencies in China. GEI also developed relations with STPs and related organizations abroad, and it </w:t>
      </w:r>
      <w:r w:rsidR="006C0FB7" w:rsidRPr="00056725">
        <w:rPr>
          <w:lang w:val="en-GB"/>
        </w:rPr>
        <w:t xml:space="preserve">had </w:t>
      </w:r>
      <w:r w:rsidRPr="00056725">
        <w:rPr>
          <w:lang w:val="en-GB"/>
        </w:rPr>
        <w:t>proposed help</w:t>
      </w:r>
      <w:r w:rsidR="006C0FB7" w:rsidRPr="00056725">
        <w:rPr>
          <w:lang w:val="en-GB"/>
        </w:rPr>
        <w:t>ing</w:t>
      </w:r>
      <w:r w:rsidRPr="00056725">
        <w:rPr>
          <w:lang w:val="en-GB"/>
        </w:rPr>
        <w:t xml:space="preserve"> foreign countries develop and manage their STPs. </w:t>
      </w:r>
      <w:r w:rsidR="006C0FB7" w:rsidRPr="00056725">
        <w:rPr>
          <w:lang w:val="en-GB"/>
        </w:rPr>
        <w:t>Zhao</w:t>
      </w:r>
      <w:r w:rsidR="00AD4EF7">
        <w:rPr>
          <w:lang w:val="en-GB"/>
        </w:rPr>
        <w:t xml:space="preserve"> </w:t>
      </w:r>
      <w:r w:rsidR="006C0FB7" w:rsidRPr="00056725">
        <w:rPr>
          <w:lang w:val="en-GB"/>
        </w:rPr>
        <w:t xml:space="preserve">observed, </w:t>
      </w:r>
    </w:p>
    <w:p w14:paraId="35B138A4" w14:textId="77777777" w:rsidR="00295CFF" w:rsidRPr="00454017" w:rsidRDefault="00295CFF" w:rsidP="004A0A1E">
      <w:pPr>
        <w:pStyle w:val="BodyTextMain"/>
        <w:rPr>
          <w:sz w:val="18"/>
          <w:szCs w:val="18"/>
          <w:lang w:val="en-GB"/>
        </w:rPr>
      </w:pPr>
    </w:p>
    <w:p w14:paraId="708399F6" w14:textId="1113BEFF" w:rsidR="004A0A1E" w:rsidRPr="00056725" w:rsidRDefault="004A0A1E" w:rsidP="006C0FB7">
      <w:pPr>
        <w:pStyle w:val="BodyTextMain"/>
        <w:ind w:left="720"/>
        <w:rPr>
          <w:lang w:val="en-GB"/>
        </w:rPr>
      </w:pPr>
      <w:r w:rsidRPr="00056725">
        <w:rPr>
          <w:lang w:val="en-GB"/>
        </w:rPr>
        <w:lastRenderedPageBreak/>
        <w:t>There is definitely a need for our expertise in developing STPs in foreign countries</w:t>
      </w:r>
      <w:r w:rsidR="006C0FB7" w:rsidRPr="00056725">
        <w:rPr>
          <w:lang w:val="en-GB"/>
        </w:rPr>
        <w:t xml:space="preserve">. </w:t>
      </w:r>
      <w:r w:rsidRPr="00056725">
        <w:rPr>
          <w:lang w:val="en-GB"/>
        </w:rPr>
        <w:t xml:space="preserve">We pitched to universities and incubators, as well as to government officials in countries like Brunei, Thailand, and Egypt. They were all very receptive. But the issue seemed to be that they did not have the budget to pay for our services. </w:t>
      </w:r>
    </w:p>
    <w:p w14:paraId="72B0A775" w14:textId="77777777" w:rsidR="00357182" w:rsidRPr="00454017" w:rsidRDefault="00357182" w:rsidP="004A0A1E">
      <w:pPr>
        <w:pStyle w:val="BodyTextMain"/>
        <w:rPr>
          <w:sz w:val="18"/>
          <w:szCs w:val="18"/>
          <w:lang w:val="en-GB"/>
        </w:rPr>
      </w:pPr>
    </w:p>
    <w:p w14:paraId="03B65AAC" w14:textId="1664BF61" w:rsidR="004A0A1E" w:rsidRPr="00056725" w:rsidRDefault="004A0A1E" w:rsidP="004A0A1E">
      <w:pPr>
        <w:pStyle w:val="BodyTextMain"/>
        <w:rPr>
          <w:lang w:val="en-GB"/>
        </w:rPr>
      </w:pPr>
      <w:r w:rsidRPr="00056725">
        <w:rPr>
          <w:lang w:val="en-GB"/>
        </w:rPr>
        <w:t xml:space="preserve">In addition, there was pressure from the consultants </w:t>
      </w:r>
      <w:r w:rsidR="006C0FB7" w:rsidRPr="00056725">
        <w:rPr>
          <w:lang w:val="en-GB"/>
        </w:rPr>
        <w:t xml:space="preserve">within </w:t>
      </w:r>
      <w:r w:rsidRPr="00056725">
        <w:rPr>
          <w:lang w:val="en-GB"/>
        </w:rPr>
        <w:t xml:space="preserve">the </w:t>
      </w:r>
      <w:r w:rsidR="006C0FB7" w:rsidRPr="00056725">
        <w:rPr>
          <w:lang w:val="en-GB"/>
        </w:rPr>
        <w:t>company’s i</w:t>
      </w:r>
      <w:r w:rsidRPr="00056725">
        <w:rPr>
          <w:lang w:val="en-GB"/>
        </w:rPr>
        <w:t xml:space="preserve">nternational </w:t>
      </w:r>
      <w:r w:rsidR="006C0FB7" w:rsidRPr="00056725">
        <w:rPr>
          <w:lang w:val="en-GB"/>
        </w:rPr>
        <w:t>d</w:t>
      </w:r>
      <w:r w:rsidRPr="00056725">
        <w:rPr>
          <w:lang w:val="en-GB"/>
        </w:rPr>
        <w:t>ivision, who wanted to develop “real” international projects</w:t>
      </w:r>
      <w:r w:rsidR="006C0FB7" w:rsidRPr="00056725">
        <w:rPr>
          <w:lang w:val="en-GB"/>
        </w:rPr>
        <w:t>—</w:t>
      </w:r>
      <w:r w:rsidRPr="00056725">
        <w:rPr>
          <w:lang w:val="en-GB"/>
        </w:rPr>
        <w:t xml:space="preserve">working with foreign firms or with foreign governments. </w:t>
      </w:r>
    </w:p>
    <w:p w14:paraId="1A87B561" w14:textId="77777777" w:rsidR="00357182" w:rsidRPr="00454017" w:rsidRDefault="00357182" w:rsidP="004A0A1E">
      <w:pPr>
        <w:pStyle w:val="BodyTextMain"/>
        <w:rPr>
          <w:sz w:val="18"/>
          <w:szCs w:val="18"/>
          <w:lang w:val="en-GB"/>
        </w:rPr>
      </w:pPr>
    </w:p>
    <w:p w14:paraId="05C125F8" w14:textId="000933E8" w:rsidR="004A0A1E" w:rsidRPr="00056725" w:rsidRDefault="004A0A1E" w:rsidP="004A0A1E">
      <w:pPr>
        <w:pStyle w:val="BodyTextMain"/>
        <w:rPr>
          <w:lang w:val="en-GB"/>
        </w:rPr>
      </w:pPr>
      <w:r w:rsidRPr="00056725">
        <w:rPr>
          <w:lang w:val="en-GB"/>
        </w:rPr>
        <w:t xml:space="preserve">Wang wanted to put more resources toward developing GEI’s international market. </w:t>
      </w:r>
      <w:r w:rsidR="006C0FB7" w:rsidRPr="00056725">
        <w:rPr>
          <w:lang w:val="en-GB"/>
        </w:rPr>
        <w:t>I</w:t>
      </w:r>
      <w:r w:rsidRPr="00056725">
        <w:rPr>
          <w:lang w:val="en-GB"/>
        </w:rPr>
        <w:t xml:space="preserve">n 2019, the </w:t>
      </w:r>
      <w:r w:rsidR="006C0FB7" w:rsidRPr="00056725">
        <w:rPr>
          <w:lang w:val="en-GB"/>
        </w:rPr>
        <w:t>i</w:t>
      </w:r>
      <w:r w:rsidRPr="00056725">
        <w:rPr>
          <w:lang w:val="en-GB"/>
        </w:rPr>
        <w:t xml:space="preserve">nternational </w:t>
      </w:r>
      <w:r w:rsidR="006C0FB7" w:rsidRPr="00056725">
        <w:rPr>
          <w:lang w:val="en-GB"/>
        </w:rPr>
        <w:t>d</w:t>
      </w:r>
      <w:r w:rsidRPr="00056725">
        <w:rPr>
          <w:lang w:val="en-GB"/>
        </w:rPr>
        <w:t>ivision was conducting a large-scale survey of major STPs</w:t>
      </w:r>
      <w:r w:rsidR="006C0FB7" w:rsidRPr="00056725">
        <w:rPr>
          <w:lang w:val="en-GB"/>
        </w:rPr>
        <w:t>,</w:t>
      </w:r>
      <w:r w:rsidRPr="00056725">
        <w:rPr>
          <w:lang w:val="en-GB"/>
        </w:rPr>
        <w:t xml:space="preserve"> covering all of the regions in the world. </w:t>
      </w:r>
      <w:r w:rsidR="006C0FB7" w:rsidRPr="00056725">
        <w:rPr>
          <w:lang w:val="en-GB"/>
        </w:rPr>
        <w:t xml:space="preserve">GEI </w:t>
      </w:r>
      <w:r w:rsidRPr="00056725">
        <w:rPr>
          <w:lang w:val="en-GB"/>
        </w:rPr>
        <w:t xml:space="preserve">was </w:t>
      </w:r>
      <w:r w:rsidR="009358DF" w:rsidRPr="00056725">
        <w:rPr>
          <w:lang w:val="en-GB"/>
        </w:rPr>
        <w:t>fund</w:t>
      </w:r>
      <w:r w:rsidR="009358DF">
        <w:rPr>
          <w:lang w:val="en-GB"/>
        </w:rPr>
        <w:t xml:space="preserve">ing </w:t>
      </w:r>
      <w:r w:rsidR="006C0FB7" w:rsidRPr="00056725">
        <w:rPr>
          <w:lang w:val="en-GB"/>
        </w:rPr>
        <w:t xml:space="preserve">the survey </w:t>
      </w:r>
      <w:r w:rsidRPr="00056725">
        <w:rPr>
          <w:lang w:val="en-GB"/>
        </w:rPr>
        <w:t xml:space="preserve">itself, with the goal of establishing </w:t>
      </w:r>
      <w:r w:rsidR="006C0FB7" w:rsidRPr="00056725">
        <w:rPr>
          <w:lang w:val="en-GB"/>
        </w:rPr>
        <w:t xml:space="preserve">its </w:t>
      </w:r>
      <w:r w:rsidRPr="00056725">
        <w:rPr>
          <w:lang w:val="en-GB"/>
        </w:rPr>
        <w:t xml:space="preserve">authority in STPs at a global level. Wang reported that he was also contemplating developing a policy paper series in English, to be disseminated worldwide. However, other senior managers were more cautious and seemed to feel that GEI was not ready to put significant resources </w:t>
      </w:r>
      <w:r w:rsidR="006C0FB7" w:rsidRPr="00056725">
        <w:rPr>
          <w:lang w:val="en-GB"/>
        </w:rPr>
        <w:t>into such projects</w:t>
      </w:r>
      <w:r w:rsidRPr="00056725">
        <w:rPr>
          <w:lang w:val="en-GB"/>
        </w:rPr>
        <w:t>.</w:t>
      </w:r>
    </w:p>
    <w:p w14:paraId="1BD28552" w14:textId="2A5274DA" w:rsidR="00357182" w:rsidRPr="00454017" w:rsidRDefault="00357182" w:rsidP="004A0A1E">
      <w:pPr>
        <w:pStyle w:val="BodyTextMain"/>
        <w:rPr>
          <w:sz w:val="18"/>
          <w:szCs w:val="18"/>
          <w:lang w:val="en-GB"/>
        </w:rPr>
      </w:pPr>
    </w:p>
    <w:p w14:paraId="38599A0D" w14:textId="77777777" w:rsidR="00357182" w:rsidRPr="00454017" w:rsidRDefault="00357182" w:rsidP="004A0A1E">
      <w:pPr>
        <w:pStyle w:val="BodyTextMain"/>
        <w:rPr>
          <w:sz w:val="18"/>
          <w:szCs w:val="18"/>
          <w:lang w:val="en-GB"/>
        </w:rPr>
      </w:pPr>
    </w:p>
    <w:p w14:paraId="5DDA5862" w14:textId="77777777" w:rsidR="004A0A1E" w:rsidRPr="00056725" w:rsidRDefault="004A0A1E" w:rsidP="00357182">
      <w:pPr>
        <w:pStyle w:val="Casehead1"/>
        <w:rPr>
          <w:lang w:val="en-GB"/>
        </w:rPr>
      </w:pPr>
      <w:r w:rsidRPr="00056725">
        <w:rPr>
          <w:lang w:val="en-GB"/>
        </w:rPr>
        <w:t>COMPETITION</w:t>
      </w:r>
    </w:p>
    <w:p w14:paraId="588F900F" w14:textId="77777777" w:rsidR="00357182" w:rsidRPr="00454017" w:rsidRDefault="00357182" w:rsidP="00357182">
      <w:pPr>
        <w:pStyle w:val="BodyTextMain"/>
        <w:rPr>
          <w:sz w:val="18"/>
          <w:szCs w:val="18"/>
          <w:lang w:val="en-GB"/>
        </w:rPr>
      </w:pPr>
    </w:p>
    <w:p w14:paraId="3DB0A5B0" w14:textId="4552965E" w:rsidR="009358DF" w:rsidRPr="00454017" w:rsidRDefault="009358DF" w:rsidP="00357182">
      <w:pPr>
        <w:pStyle w:val="BodyTextMain"/>
        <w:rPr>
          <w:spacing w:val="-6"/>
          <w:lang w:val="en-GB"/>
        </w:rPr>
      </w:pPr>
      <w:r w:rsidRPr="00454017">
        <w:rPr>
          <w:spacing w:val="-6"/>
          <w:lang w:val="en-GB"/>
        </w:rPr>
        <w:t>GEI’s competition included a major international consulting firm, universities, and government consulting services.</w:t>
      </w:r>
    </w:p>
    <w:p w14:paraId="33F1262F" w14:textId="77777777" w:rsidR="009358DF" w:rsidRPr="00454017" w:rsidRDefault="009358DF" w:rsidP="00357182">
      <w:pPr>
        <w:pStyle w:val="BodyTextMain"/>
        <w:rPr>
          <w:sz w:val="18"/>
          <w:szCs w:val="18"/>
          <w:lang w:val="en-GB"/>
        </w:rPr>
      </w:pPr>
    </w:p>
    <w:p w14:paraId="0C5F5DF5" w14:textId="77777777" w:rsidR="009358DF" w:rsidRPr="00454017" w:rsidRDefault="009358DF" w:rsidP="00357182">
      <w:pPr>
        <w:pStyle w:val="BodyTextMain"/>
        <w:rPr>
          <w:sz w:val="18"/>
          <w:szCs w:val="18"/>
          <w:lang w:val="en-GB"/>
        </w:rPr>
      </w:pPr>
    </w:p>
    <w:p w14:paraId="1C7D97C6" w14:textId="5880998D" w:rsidR="004A0A1E" w:rsidRPr="00056725" w:rsidRDefault="004A0A1E" w:rsidP="00357182">
      <w:pPr>
        <w:pStyle w:val="Casehead2"/>
        <w:rPr>
          <w:lang w:val="en-GB"/>
        </w:rPr>
      </w:pPr>
      <w:r w:rsidRPr="00056725">
        <w:rPr>
          <w:lang w:val="en-GB"/>
        </w:rPr>
        <w:t xml:space="preserve">McKinsey &amp; Company </w:t>
      </w:r>
    </w:p>
    <w:p w14:paraId="50BE56CC" w14:textId="77777777" w:rsidR="00357182" w:rsidRPr="00454017" w:rsidRDefault="00357182" w:rsidP="004A0A1E">
      <w:pPr>
        <w:pStyle w:val="BodyTextMain"/>
        <w:rPr>
          <w:sz w:val="18"/>
          <w:szCs w:val="18"/>
          <w:lang w:val="en-GB"/>
        </w:rPr>
      </w:pPr>
    </w:p>
    <w:p w14:paraId="19343730" w14:textId="27C8066B" w:rsidR="004A0A1E" w:rsidRPr="00056725" w:rsidRDefault="004A0A1E" w:rsidP="004A0A1E">
      <w:pPr>
        <w:pStyle w:val="BodyTextMain"/>
        <w:rPr>
          <w:lang w:val="en-GB"/>
        </w:rPr>
      </w:pPr>
      <w:r w:rsidRPr="00056725">
        <w:rPr>
          <w:lang w:val="en-GB"/>
        </w:rPr>
        <w:t xml:space="preserve">In the early days, GEI identified McKinsey &amp; Company as </w:t>
      </w:r>
      <w:r w:rsidR="006C0FB7" w:rsidRPr="00056725">
        <w:rPr>
          <w:lang w:val="en-GB"/>
        </w:rPr>
        <w:t xml:space="preserve">the </w:t>
      </w:r>
      <w:r w:rsidRPr="00056725">
        <w:rPr>
          <w:lang w:val="en-GB"/>
        </w:rPr>
        <w:t xml:space="preserve">model </w:t>
      </w:r>
      <w:r w:rsidR="006C0FB7" w:rsidRPr="00056725">
        <w:rPr>
          <w:lang w:val="en-GB"/>
        </w:rPr>
        <w:t xml:space="preserve">it </w:t>
      </w:r>
      <w:r w:rsidRPr="00056725">
        <w:rPr>
          <w:lang w:val="en-GB"/>
        </w:rPr>
        <w:t>wanted to emulate. McKinsey’s strategy in China was to take the position of the high</w:t>
      </w:r>
      <w:r w:rsidR="00E22504">
        <w:rPr>
          <w:lang w:val="en-GB"/>
        </w:rPr>
        <w:t xml:space="preserve"> </w:t>
      </w:r>
      <w:r w:rsidRPr="00056725">
        <w:rPr>
          <w:lang w:val="en-GB"/>
        </w:rPr>
        <w:t xml:space="preserve">end: </w:t>
      </w:r>
      <w:r w:rsidR="00D71A46" w:rsidRPr="00056725">
        <w:rPr>
          <w:lang w:val="en-GB"/>
        </w:rPr>
        <w:t xml:space="preserve">it worked </w:t>
      </w:r>
      <w:r w:rsidRPr="00056725">
        <w:rPr>
          <w:lang w:val="en-GB"/>
        </w:rPr>
        <w:t xml:space="preserve">with big, multimillion-dollar projects for high-level governments or </w:t>
      </w:r>
      <w:r w:rsidR="00D71A46" w:rsidRPr="00056725">
        <w:rPr>
          <w:lang w:val="en-GB"/>
        </w:rPr>
        <w:t xml:space="preserve">worked </w:t>
      </w:r>
      <w:r w:rsidRPr="00056725">
        <w:rPr>
          <w:lang w:val="en-GB"/>
        </w:rPr>
        <w:t>on high-level strategies for big companies. Wang explained:</w:t>
      </w:r>
    </w:p>
    <w:p w14:paraId="2E9BFC1A" w14:textId="77777777" w:rsidR="00357182" w:rsidRPr="00454017" w:rsidRDefault="00357182" w:rsidP="004A0A1E">
      <w:pPr>
        <w:pStyle w:val="BodyTextMain"/>
        <w:rPr>
          <w:sz w:val="18"/>
          <w:szCs w:val="18"/>
          <w:lang w:val="en-GB"/>
        </w:rPr>
      </w:pPr>
    </w:p>
    <w:p w14:paraId="0335DF05" w14:textId="70B83B4F" w:rsidR="004A0A1E" w:rsidRPr="00056725" w:rsidRDefault="004A0A1E" w:rsidP="00357182">
      <w:pPr>
        <w:pStyle w:val="BodyTextMain"/>
        <w:ind w:left="720"/>
        <w:rPr>
          <w:lang w:val="en-GB"/>
        </w:rPr>
      </w:pPr>
      <w:r w:rsidRPr="00056725">
        <w:rPr>
          <w:lang w:val="en-GB"/>
        </w:rPr>
        <w:t>We learned from McKinsey to take low risks, to build one’s reputation, and to focus on strategic consulting. But we went beyond copying McKinsey. Part of the reason for that was the nature of the market in China: it was new, and it was growing very fast. For instance, McKinsey’s method heavily relies on quantitative analysis. But we felt that, for China’s many new markets, new ideas generated from brainstorming of entrepreneurs were more needed than numbers. A case or an insight was more important than a statistical analysis. McKinsey uses “best practices” to benchmark and to project a growth rate for clients. So, 20</w:t>
      </w:r>
      <w:r w:rsidR="00D71A46" w:rsidRPr="00056725">
        <w:rPr>
          <w:lang w:val="en-GB"/>
        </w:rPr>
        <w:t xml:space="preserve"> per cent </w:t>
      </w:r>
      <w:r w:rsidRPr="00056725">
        <w:rPr>
          <w:lang w:val="en-GB"/>
        </w:rPr>
        <w:t>is considered the best. But our clients achieve 300</w:t>
      </w:r>
      <w:r w:rsidR="00D71A46" w:rsidRPr="00056725">
        <w:rPr>
          <w:lang w:val="en-GB"/>
        </w:rPr>
        <w:t xml:space="preserve"> per cent </w:t>
      </w:r>
      <w:r w:rsidRPr="00056725">
        <w:rPr>
          <w:lang w:val="en-GB"/>
        </w:rPr>
        <w:t>or 500</w:t>
      </w:r>
      <w:r w:rsidR="00D71A46" w:rsidRPr="00056725">
        <w:rPr>
          <w:lang w:val="en-GB"/>
        </w:rPr>
        <w:t xml:space="preserve"> per cent </w:t>
      </w:r>
      <w:r w:rsidRPr="00056725">
        <w:rPr>
          <w:lang w:val="en-GB"/>
        </w:rPr>
        <w:t xml:space="preserve">growth. Such explosive growth might be viewed [by McKinsey] as abnormal, but we found that it could be consistently achieved in China by certain types of firms, which are referred to as </w:t>
      </w:r>
      <w:r w:rsidR="00D71A46" w:rsidRPr="00056725">
        <w:rPr>
          <w:lang w:val="en-GB"/>
        </w:rPr>
        <w:t>“</w:t>
      </w:r>
      <w:r w:rsidRPr="00056725">
        <w:rPr>
          <w:lang w:val="en-GB"/>
        </w:rPr>
        <w:t xml:space="preserve">gazelle </w:t>
      </w:r>
      <w:r w:rsidR="00D71A46" w:rsidRPr="00056725">
        <w:rPr>
          <w:lang w:val="en-GB"/>
        </w:rPr>
        <w:t xml:space="preserve">enterprises” </w:t>
      </w:r>
      <w:r w:rsidRPr="00056725">
        <w:rPr>
          <w:lang w:val="en-GB"/>
        </w:rPr>
        <w:t xml:space="preserve">and the best ones as </w:t>
      </w:r>
      <w:r w:rsidR="00D71A46" w:rsidRPr="00056725">
        <w:rPr>
          <w:lang w:val="en-GB"/>
        </w:rPr>
        <w:t>“</w:t>
      </w:r>
      <w:r w:rsidRPr="00056725">
        <w:rPr>
          <w:lang w:val="en-GB"/>
        </w:rPr>
        <w:t>unicorn enterprises.</w:t>
      </w:r>
      <w:r w:rsidR="00D71A46" w:rsidRPr="00056725">
        <w:rPr>
          <w:lang w:val="en-GB"/>
        </w:rPr>
        <w:t xml:space="preserve">” </w:t>
      </w:r>
    </w:p>
    <w:p w14:paraId="2CF8B5CA" w14:textId="77777777" w:rsidR="00357182" w:rsidRPr="00454017" w:rsidRDefault="00357182" w:rsidP="00357182">
      <w:pPr>
        <w:pStyle w:val="BodyTextMain"/>
        <w:rPr>
          <w:sz w:val="18"/>
          <w:szCs w:val="18"/>
          <w:lang w:val="en-GB"/>
        </w:rPr>
      </w:pPr>
    </w:p>
    <w:p w14:paraId="44B9673B" w14:textId="25B836C3" w:rsidR="004A0A1E" w:rsidRDefault="004A0A1E" w:rsidP="004A0A1E">
      <w:pPr>
        <w:pStyle w:val="BodyTextMain"/>
        <w:rPr>
          <w:lang w:val="en-GB"/>
        </w:rPr>
      </w:pPr>
      <w:r w:rsidRPr="00056725">
        <w:rPr>
          <w:lang w:val="en-GB"/>
        </w:rPr>
        <w:t xml:space="preserve">Zhao commented that it was difficult to compete with McKinsey for high-end clients: “In 2006, both McKinsey and GEI were pitching the Shanghai STP for its planning work. McKinsey’s price was in the several millions </w:t>
      </w:r>
      <w:r w:rsidR="00E22504">
        <w:rPr>
          <w:lang w:val="en-GB"/>
        </w:rPr>
        <w:t>[</w:t>
      </w:r>
      <w:r w:rsidRPr="00056725">
        <w:rPr>
          <w:lang w:val="en-GB"/>
        </w:rPr>
        <w:t>yuan</w:t>
      </w:r>
      <w:r w:rsidR="00E22504">
        <w:rPr>
          <w:lang w:val="en-GB"/>
        </w:rPr>
        <w:t>]</w:t>
      </w:r>
      <w:r w:rsidR="00865DCC">
        <w:rPr>
          <w:lang w:val="en-GB"/>
        </w:rPr>
        <w:t>, while ours wa</w:t>
      </w:r>
      <w:r w:rsidRPr="00056725">
        <w:rPr>
          <w:lang w:val="en-GB"/>
        </w:rPr>
        <w:t xml:space="preserve">s in several hundred thousands </w:t>
      </w:r>
      <w:r w:rsidR="00E22504">
        <w:rPr>
          <w:lang w:val="en-GB"/>
        </w:rPr>
        <w:t>[</w:t>
      </w:r>
      <w:r w:rsidRPr="00056725">
        <w:rPr>
          <w:lang w:val="en-GB"/>
        </w:rPr>
        <w:t>yuan</w:t>
      </w:r>
      <w:r w:rsidR="00E22504">
        <w:rPr>
          <w:lang w:val="en-GB"/>
        </w:rPr>
        <w:t>]</w:t>
      </w:r>
      <w:r w:rsidRPr="00056725">
        <w:rPr>
          <w:lang w:val="en-GB"/>
        </w:rPr>
        <w:t>. Even though the park’s officials liked our proposal, they went with McKinsey for its reputation.”</w:t>
      </w:r>
    </w:p>
    <w:p w14:paraId="5585A990" w14:textId="6E114CB8" w:rsidR="00FB5B48" w:rsidRPr="00454017" w:rsidRDefault="00FB5B48" w:rsidP="004A0A1E">
      <w:pPr>
        <w:pStyle w:val="BodyTextMain"/>
        <w:rPr>
          <w:sz w:val="18"/>
          <w:szCs w:val="18"/>
          <w:lang w:val="en-GB"/>
        </w:rPr>
      </w:pPr>
    </w:p>
    <w:p w14:paraId="28B90EE7" w14:textId="233F0F64" w:rsidR="00FB5B48" w:rsidRPr="00454017" w:rsidRDefault="00FB5B48" w:rsidP="00454017">
      <w:pPr>
        <w:pStyle w:val="BodyTextMain"/>
        <w:rPr>
          <w:sz w:val="18"/>
          <w:szCs w:val="18"/>
          <w:lang w:val="en-GB"/>
        </w:rPr>
      </w:pPr>
    </w:p>
    <w:p w14:paraId="17BA26EB" w14:textId="0A935F21" w:rsidR="004A0A1E" w:rsidRPr="00056725" w:rsidRDefault="004A0A1E" w:rsidP="00454017">
      <w:pPr>
        <w:pStyle w:val="Casehead2"/>
        <w:rPr>
          <w:lang w:val="en-GB"/>
        </w:rPr>
      </w:pPr>
      <w:r w:rsidRPr="00056725">
        <w:rPr>
          <w:lang w:val="en-GB"/>
        </w:rPr>
        <w:t>Universities</w:t>
      </w:r>
    </w:p>
    <w:p w14:paraId="5D079145" w14:textId="77777777" w:rsidR="00357182" w:rsidRPr="00454017" w:rsidRDefault="00357182" w:rsidP="004A0A1E">
      <w:pPr>
        <w:pStyle w:val="BodyTextMain"/>
        <w:rPr>
          <w:sz w:val="18"/>
          <w:szCs w:val="18"/>
          <w:lang w:val="en-GB"/>
        </w:rPr>
      </w:pPr>
    </w:p>
    <w:p w14:paraId="5B73BFBD" w14:textId="1F6BFB49" w:rsidR="004A0A1E" w:rsidRDefault="00D71A46" w:rsidP="004A0A1E">
      <w:pPr>
        <w:pStyle w:val="BodyTextMain"/>
        <w:rPr>
          <w:lang w:val="en-GB"/>
        </w:rPr>
      </w:pPr>
      <w:r w:rsidRPr="00056725">
        <w:rPr>
          <w:lang w:val="en-GB"/>
        </w:rPr>
        <w:t>W</w:t>
      </w:r>
      <w:r w:rsidR="004A0A1E" w:rsidRPr="00056725">
        <w:rPr>
          <w:lang w:val="en-GB"/>
        </w:rPr>
        <w:t>hen potential clients</w:t>
      </w:r>
      <w:r w:rsidRPr="00056725">
        <w:rPr>
          <w:lang w:val="en-GB"/>
        </w:rPr>
        <w:t>—</w:t>
      </w:r>
      <w:r w:rsidR="004A0A1E" w:rsidRPr="00056725">
        <w:rPr>
          <w:lang w:val="en-GB"/>
        </w:rPr>
        <w:t>mostly governments</w:t>
      </w:r>
      <w:r w:rsidRPr="00056725">
        <w:rPr>
          <w:lang w:val="en-GB"/>
        </w:rPr>
        <w:t>—</w:t>
      </w:r>
      <w:r w:rsidR="004A0A1E" w:rsidRPr="00056725">
        <w:rPr>
          <w:lang w:val="en-GB"/>
        </w:rPr>
        <w:t>did not have budget</w:t>
      </w:r>
      <w:r w:rsidRPr="00056725">
        <w:rPr>
          <w:lang w:val="en-GB"/>
        </w:rPr>
        <w:t>s</w:t>
      </w:r>
      <w:r w:rsidR="004A0A1E" w:rsidRPr="00056725">
        <w:rPr>
          <w:lang w:val="en-GB"/>
        </w:rPr>
        <w:t xml:space="preserve"> </w:t>
      </w:r>
      <w:r w:rsidRPr="00056725">
        <w:rPr>
          <w:lang w:val="en-GB"/>
        </w:rPr>
        <w:t xml:space="preserve">big enough </w:t>
      </w:r>
      <w:r w:rsidR="004A0A1E" w:rsidRPr="00056725">
        <w:rPr>
          <w:lang w:val="en-GB"/>
        </w:rPr>
        <w:t xml:space="preserve">for McKinsey, they </w:t>
      </w:r>
      <w:r w:rsidR="00E22504">
        <w:rPr>
          <w:lang w:val="en-GB"/>
        </w:rPr>
        <w:t xml:space="preserve">would </w:t>
      </w:r>
      <w:r w:rsidR="004A0A1E" w:rsidRPr="00056725">
        <w:rPr>
          <w:lang w:val="en-GB"/>
        </w:rPr>
        <w:t>bypass GEI and go directly to university professors. “Since they [professors] have a regular salary and do not entirely rely on consulting income, they can bid at low prices,” noted Zhao</w:t>
      </w:r>
      <w:r w:rsidR="00E22504">
        <w:rPr>
          <w:lang w:val="en-GB"/>
        </w:rPr>
        <w:t>. He explained further:</w:t>
      </w:r>
    </w:p>
    <w:p w14:paraId="0C93EB20" w14:textId="1DC0B592" w:rsidR="00865DCC" w:rsidRDefault="00865DCC" w:rsidP="004A0A1E">
      <w:pPr>
        <w:pStyle w:val="BodyTextMain"/>
        <w:rPr>
          <w:lang w:val="en-GB"/>
        </w:rPr>
      </w:pPr>
    </w:p>
    <w:p w14:paraId="05026734" w14:textId="77777777" w:rsidR="0029056B" w:rsidRDefault="0029056B" w:rsidP="004A0A1E">
      <w:pPr>
        <w:pStyle w:val="BodyTextMain"/>
        <w:rPr>
          <w:lang w:val="en-GB"/>
        </w:rPr>
      </w:pPr>
      <w:bookmarkStart w:id="0" w:name="_GoBack"/>
      <w:bookmarkEnd w:id="0"/>
    </w:p>
    <w:p w14:paraId="028FA29C" w14:textId="67A81B4F" w:rsidR="004A0A1E" w:rsidRPr="00056725" w:rsidRDefault="004A0A1E" w:rsidP="00357182">
      <w:pPr>
        <w:pStyle w:val="BodyTextMain"/>
        <w:ind w:left="720"/>
        <w:rPr>
          <w:lang w:val="en-GB"/>
        </w:rPr>
      </w:pPr>
      <w:r w:rsidRPr="00056725">
        <w:rPr>
          <w:lang w:val="en-GB"/>
        </w:rPr>
        <w:lastRenderedPageBreak/>
        <w:t xml:space="preserve">Being in the middle [between McKinsey and the university professors], we made a great effort to understand the clients’ needs, to be </w:t>
      </w:r>
      <w:r w:rsidR="00D71A46" w:rsidRPr="00056725">
        <w:rPr>
          <w:lang w:val="en-GB"/>
        </w:rPr>
        <w:t>“</w:t>
      </w:r>
      <w:r w:rsidRPr="00056725">
        <w:rPr>
          <w:lang w:val="en-GB"/>
        </w:rPr>
        <w:t xml:space="preserve">down to </w:t>
      </w:r>
      <w:r w:rsidR="00D71A46" w:rsidRPr="00056725">
        <w:rPr>
          <w:lang w:val="en-GB"/>
        </w:rPr>
        <w:t xml:space="preserve">earth” </w:t>
      </w:r>
      <w:r w:rsidRPr="00056725">
        <w:rPr>
          <w:lang w:val="en-GB"/>
        </w:rPr>
        <w:t>(which professors can lack), and to leverage our insights and new ideas that might resonate with clients</w:t>
      </w:r>
      <w:r w:rsidR="00D71A46" w:rsidRPr="00056725">
        <w:rPr>
          <w:lang w:val="en-GB"/>
        </w:rPr>
        <w:t xml:space="preserve">. </w:t>
      </w:r>
      <w:r w:rsidRPr="00056725">
        <w:rPr>
          <w:lang w:val="en-GB"/>
        </w:rPr>
        <w:t xml:space="preserve">For instance, in competing for a project at a new STP in Suzhou, even though our bid was much higher than that of a team of </w:t>
      </w:r>
      <w:r w:rsidR="00357182" w:rsidRPr="00056725">
        <w:rPr>
          <w:lang w:val="en-GB"/>
        </w:rPr>
        <w:t>professors, we got the project.</w:t>
      </w:r>
    </w:p>
    <w:p w14:paraId="783C3CD7" w14:textId="77777777" w:rsidR="00357182" w:rsidRPr="00FB5B48" w:rsidRDefault="00357182" w:rsidP="004A0A1E">
      <w:pPr>
        <w:pStyle w:val="BodyTextMain"/>
        <w:rPr>
          <w:sz w:val="18"/>
          <w:lang w:val="en-GB"/>
        </w:rPr>
      </w:pPr>
    </w:p>
    <w:p w14:paraId="18D6982A" w14:textId="77777777" w:rsidR="00357182" w:rsidRPr="00056725" w:rsidRDefault="004A0A1E" w:rsidP="004A0A1E">
      <w:pPr>
        <w:pStyle w:val="BodyTextMain"/>
        <w:rPr>
          <w:lang w:val="en-GB"/>
        </w:rPr>
      </w:pPr>
      <w:r w:rsidRPr="00056725">
        <w:rPr>
          <w:lang w:val="en-GB"/>
        </w:rPr>
        <w:t xml:space="preserve">Zhao recalled her first engagement with GEI, one that occurred while she was working at the Zhongguancun STP as an official: </w:t>
      </w:r>
    </w:p>
    <w:p w14:paraId="6047BB85" w14:textId="77777777" w:rsidR="00357182" w:rsidRPr="00FB5B48" w:rsidRDefault="00357182" w:rsidP="004A0A1E">
      <w:pPr>
        <w:pStyle w:val="BodyTextMain"/>
        <w:rPr>
          <w:sz w:val="18"/>
          <w:lang w:val="en-GB"/>
        </w:rPr>
      </w:pPr>
    </w:p>
    <w:p w14:paraId="5B5DF231" w14:textId="6A936EAD" w:rsidR="004A0A1E" w:rsidRPr="00056725" w:rsidRDefault="004A0A1E" w:rsidP="00357182">
      <w:pPr>
        <w:pStyle w:val="BodyTextMain"/>
        <w:ind w:left="720"/>
        <w:rPr>
          <w:lang w:val="en-GB"/>
        </w:rPr>
      </w:pPr>
      <w:r w:rsidRPr="00056725">
        <w:rPr>
          <w:lang w:val="en-GB"/>
        </w:rPr>
        <w:t>I was looking for consultants to conduct a competitive analysis of our STP by using Porter’s diamond model, and I contracted two teams to do it: a team of professors at Peking University’s Guanghua Management School</w:t>
      </w:r>
      <w:r w:rsidR="00865DCC">
        <w:rPr>
          <w:lang w:val="en-GB"/>
        </w:rPr>
        <w:t xml:space="preserve"> </w:t>
      </w:r>
      <w:r w:rsidRPr="00056725">
        <w:rPr>
          <w:lang w:val="en-GB"/>
        </w:rPr>
        <w:t>and GEI. The professors just circled around what Porter’s model was all about, theoretically, without much of relevance to our issues at hand. So,</w:t>
      </w:r>
      <w:r w:rsidR="00357182" w:rsidRPr="00056725">
        <w:rPr>
          <w:lang w:val="en-GB"/>
        </w:rPr>
        <w:t xml:space="preserve"> I had to terminate their work.</w:t>
      </w:r>
    </w:p>
    <w:p w14:paraId="762F8577" w14:textId="77777777" w:rsidR="00357182" w:rsidRPr="00FB5B48" w:rsidRDefault="00357182" w:rsidP="00357182">
      <w:pPr>
        <w:pStyle w:val="BodyTextMain"/>
        <w:rPr>
          <w:sz w:val="18"/>
          <w:lang w:val="en-GB"/>
        </w:rPr>
      </w:pPr>
    </w:p>
    <w:p w14:paraId="46B250FB" w14:textId="77777777" w:rsidR="00357182" w:rsidRPr="00FB5B48" w:rsidRDefault="00357182" w:rsidP="00357182">
      <w:pPr>
        <w:pStyle w:val="BodyTextMain"/>
        <w:rPr>
          <w:sz w:val="18"/>
          <w:lang w:val="en-GB"/>
        </w:rPr>
      </w:pPr>
    </w:p>
    <w:p w14:paraId="3E21327F" w14:textId="1347DB3C" w:rsidR="004A0A1E" w:rsidRPr="00056725" w:rsidRDefault="004A0A1E" w:rsidP="00357182">
      <w:pPr>
        <w:pStyle w:val="Casehead2"/>
        <w:rPr>
          <w:lang w:val="en-GB"/>
        </w:rPr>
      </w:pPr>
      <w:r w:rsidRPr="00056725">
        <w:rPr>
          <w:lang w:val="en-GB"/>
        </w:rPr>
        <w:t>Government Consulting Services</w:t>
      </w:r>
    </w:p>
    <w:p w14:paraId="67DC9F3A" w14:textId="77777777" w:rsidR="00357182" w:rsidRPr="00FB5B48" w:rsidRDefault="00357182" w:rsidP="004A0A1E">
      <w:pPr>
        <w:pStyle w:val="BodyTextMain"/>
        <w:rPr>
          <w:sz w:val="18"/>
          <w:lang w:val="en-GB"/>
        </w:rPr>
      </w:pPr>
    </w:p>
    <w:p w14:paraId="1A9B03D0" w14:textId="175CB68C" w:rsidR="004A0A1E" w:rsidRPr="00056725" w:rsidRDefault="004A0A1E" w:rsidP="004A0A1E">
      <w:pPr>
        <w:pStyle w:val="BodyTextMain"/>
        <w:rPr>
          <w:lang w:val="en-GB"/>
        </w:rPr>
      </w:pPr>
      <w:r w:rsidRPr="00056725">
        <w:rPr>
          <w:lang w:val="en-GB"/>
        </w:rPr>
        <w:t>Various government agencies also provide</w:t>
      </w:r>
      <w:r w:rsidR="00D71A46" w:rsidRPr="00056725">
        <w:rPr>
          <w:lang w:val="en-GB"/>
        </w:rPr>
        <w:t>d</w:t>
      </w:r>
      <w:r w:rsidRPr="00056725">
        <w:rPr>
          <w:lang w:val="en-GB"/>
        </w:rPr>
        <w:t xml:space="preserve"> similar consulting services</w:t>
      </w:r>
      <w:r w:rsidR="008B0F54">
        <w:rPr>
          <w:lang w:val="en-GB"/>
        </w:rPr>
        <w:t>; in particular, t</w:t>
      </w:r>
      <w:r w:rsidRPr="00056725">
        <w:rPr>
          <w:lang w:val="en-GB"/>
        </w:rPr>
        <w:t xml:space="preserve">hree </w:t>
      </w:r>
      <w:r w:rsidR="008B0F54">
        <w:rPr>
          <w:lang w:val="en-GB"/>
        </w:rPr>
        <w:t xml:space="preserve">agencies </w:t>
      </w:r>
      <w:r w:rsidR="00D71A46" w:rsidRPr="00056725">
        <w:rPr>
          <w:lang w:val="en-GB"/>
        </w:rPr>
        <w:t xml:space="preserve">stood </w:t>
      </w:r>
      <w:r w:rsidRPr="00056725">
        <w:rPr>
          <w:lang w:val="en-GB"/>
        </w:rPr>
        <w:t xml:space="preserve">out: (1) a central government agency called the Research Center of the State Council, (2) a consulting arm of the Chinese </w:t>
      </w:r>
      <w:r w:rsidR="00D71A46" w:rsidRPr="00056725">
        <w:rPr>
          <w:lang w:val="en-GB"/>
        </w:rPr>
        <w:t xml:space="preserve">Academy of </w:t>
      </w:r>
      <w:r w:rsidRPr="00056725">
        <w:rPr>
          <w:lang w:val="en-GB"/>
        </w:rPr>
        <w:t xml:space="preserve">Science called the Institutes of Science and Development, and (3) a consulting arm of </w:t>
      </w:r>
      <w:r w:rsidR="008B0F54">
        <w:rPr>
          <w:lang w:val="en-GB"/>
        </w:rPr>
        <w:t>MOST</w:t>
      </w:r>
      <w:r w:rsidRPr="00056725">
        <w:rPr>
          <w:lang w:val="en-GB"/>
        </w:rPr>
        <w:t xml:space="preserve"> called the Chinese Academy of Science and Technology for Development. </w:t>
      </w:r>
      <w:r w:rsidR="00D71A46" w:rsidRPr="00056725">
        <w:rPr>
          <w:lang w:val="en-GB"/>
        </w:rPr>
        <w:t xml:space="preserve">GEI leaders reported that these </w:t>
      </w:r>
      <w:r w:rsidRPr="00056725">
        <w:rPr>
          <w:lang w:val="en-GB"/>
        </w:rPr>
        <w:t xml:space="preserve">were not a major concern for </w:t>
      </w:r>
      <w:r w:rsidR="00D71A46" w:rsidRPr="00056725">
        <w:rPr>
          <w:lang w:val="en-GB"/>
        </w:rPr>
        <w:t>the company for two main reasons:</w:t>
      </w:r>
      <w:r w:rsidRPr="00056725">
        <w:rPr>
          <w:lang w:val="en-GB"/>
        </w:rPr>
        <w:t xml:space="preserve"> </w:t>
      </w:r>
      <w:r w:rsidR="00295CFF">
        <w:rPr>
          <w:lang w:val="en-GB"/>
        </w:rPr>
        <w:t xml:space="preserve">GEI leaders felt that </w:t>
      </w:r>
      <w:r w:rsidR="00D71A46" w:rsidRPr="00056725">
        <w:rPr>
          <w:lang w:val="en-GB"/>
        </w:rPr>
        <w:t>the</w:t>
      </w:r>
      <w:r w:rsidR="00295CFF">
        <w:rPr>
          <w:lang w:val="en-GB"/>
        </w:rPr>
        <w:t xml:space="preserve"> agencies’</w:t>
      </w:r>
      <w:r w:rsidR="00D71A46" w:rsidRPr="00056725">
        <w:rPr>
          <w:lang w:val="en-GB"/>
        </w:rPr>
        <w:t xml:space="preserve"> motivation was not </w:t>
      </w:r>
      <w:r w:rsidRPr="00056725">
        <w:rPr>
          <w:lang w:val="en-GB"/>
        </w:rPr>
        <w:t>as high a</w:t>
      </w:r>
      <w:r w:rsidR="00D71A46" w:rsidRPr="00056725">
        <w:rPr>
          <w:lang w:val="en-GB"/>
        </w:rPr>
        <w:t>s</w:t>
      </w:r>
      <w:r w:rsidRPr="00056725">
        <w:rPr>
          <w:lang w:val="en-GB"/>
        </w:rPr>
        <w:t xml:space="preserve"> </w:t>
      </w:r>
      <w:r w:rsidR="00D71A46" w:rsidRPr="00056725">
        <w:rPr>
          <w:lang w:val="en-GB"/>
        </w:rPr>
        <w:t>that of</w:t>
      </w:r>
      <w:r w:rsidRPr="00056725">
        <w:rPr>
          <w:lang w:val="en-GB"/>
        </w:rPr>
        <w:t xml:space="preserve"> GEI’s people</w:t>
      </w:r>
      <w:r w:rsidR="008B0F54">
        <w:rPr>
          <w:lang w:val="en-GB"/>
        </w:rPr>
        <w:t xml:space="preserve"> because</w:t>
      </w:r>
      <w:r w:rsidRPr="00056725">
        <w:rPr>
          <w:lang w:val="en-GB"/>
        </w:rPr>
        <w:t xml:space="preserve"> they were part of the government</w:t>
      </w:r>
      <w:r w:rsidR="008B0F54">
        <w:rPr>
          <w:lang w:val="en-GB"/>
        </w:rPr>
        <w:t>,</w:t>
      </w:r>
      <w:r w:rsidRPr="00056725">
        <w:rPr>
          <w:lang w:val="en-GB"/>
        </w:rPr>
        <w:t xml:space="preserve"> and </w:t>
      </w:r>
      <w:r w:rsidR="008B0F54">
        <w:rPr>
          <w:lang w:val="en-GB"/>
        </w:rPr>
        <w:t>the</w:t>
      </w:r>
      <w:r w:rsidRPr="00056725">
        <w:rPr>
          <w:lang w:val="en-GB"/>
        </w:rPr>
        <w:t xml:space="preserve"> needs </w:t>
      </w:r>
      <w:r w:rsidR="008B0F54">
        <w:rPr>
          <w:lang w:val="en-GB"/>
        </w:rPr>
        <w:t xml:space="preserve">of STPs </w:t>
      </w:r>
      <w:r w:rsidR="00D71A46" w:rsidRPr="00056725">
        <w:rPr>
          <w:lang w:val="en-GB"/>
        </w:rPr>
        <w:t xml:space="preserve">were </w:t>
      </w:r>
      <w:r w:rsidRPr="00056725">
        <w:rPr>
          <w:lang w:val="en-GB"/>
        </w:rPr>
        <w:t xml:space="preserve">not a high </w:t>
      </w:r>
      <w:r w:rsidR="008B0F54">
        <w:rPr>
          <w:lang w:val="en-GB"/>
        </w:rPr>
        <w:t xml:space="preserve">a </w:t>
      </w:r>
      <w:r w:rsidRPr="00056725">
        <w:rPr>
          <w:lang w:val="en-GB"/>
        </w:rPr>
        <w:t>priority for them</w:t>
      </w:r>
      <w:r w:rsidR="00D71A46" w:rsidRPr="00056725">
        <w:rPr>
          <w:lang w:val="en-GB"/>
        </w:rPr>
        <w:t>, so</w:t>
      </w:r>
      <w:r w:rsidRPr="00056725">
        <w:rPr>
          <w:lang w:val="en-GB"/>
        </w:rPr>
        <w:t xml:space="preserve"> they did not allocate sufficient resources for STP projects.</w:t>
      </w:r>
    </w:p>
    <w:p w14:paraId="61CB1114" w14:textId="38D9B499" w:rsidR="00357182" w:rsidRPr="00FB5B48" w:rsidRDefault="00357182" w:rsidP="004A0A1E">
      <w:pPr>
        <w:pStyle w:val="BodyTextMain"/>
        <w:rPr>
          <w:sz w:val="18"/>
          <w:lang w:val="en-GB"/>
        </w:rPr>
      </w:pPr>
    </w:p>
    <w:p w14:paraId="12F2291A" w14:textId="77777777" w:rsidR="00357182" w:rsidRPr="00FB5B48" w:rsidRDefault="00357182" w:rsidP="004A0A1E">
      <w:pPr>
        <w:pStyle w:val="BodyTextMain"/>
        <w:rPr>
          <w:sz w:val="18"/>
          <w:lang w:val="en-GB"/>
        </w:rPr>
      </w:pPr>
    </w:p>
    <w:p w14:paraId="47EDF597" w14:textId="77777777" w:rsidR="004A0A1E" w:rsidRPr="00056725" w:rsidRDefault="004A0A1E" w:rsidP="00357182">
      <w:pPr>
        <w:pStyle w:val="Casehead1"/>
        <w:rPr>
          <w:lang w:val="en-GB"/>
        </w:rPr>
      </w:pPr>
      <w:r w:rsidRPr="00056725">
        <w:rPr>
          <w:lang w:val="en-GB"/>
        </w:rPr>
        <w:t>WHAT’S NEXT?</w:t>
      </w:r>
    </w:p>
    <w:p w14:paraId="3C882944" w14:textId="77777777" w:rsidR="00357182" w:rsidRPr="00FB5B48" w:rsidRDefault="00357182" w:rsidP="004A0A1E">
      <w:pPr>
        <w:pStyle w:val="BodyTextMain"/>
        <w:rPr>
          <w:sz w:val="18"/>
          <w:lang w:val="en-GB"/>
        </w:rPr>
      </w:pPr>
    </w:p>
    <w:p w14:paraId="0EF37015" w14:textId="2E31705D" w:rsidR="004A0A1E" w:rsidRPr="008D1896" w:rsidRDefault="004A0A1E" w:rsidP="004A0A1E">
      <w:pPr>
        <w:pStyle w:val="BodyTextMain"/>
        <w:rPr>
          <w:spacing w:val="-4"/>
          <w:lang w:val="en-GB"/>
        </w:rPr>
      </w:pPr>
      <w:r w:rsidRPr="008D1896">
        <w:rPr>
          <w:spacing w:val="-4"/>
          <w:lang w:val="en-GB"/>
        </w:rPr>
        <w:t xml:space="preserve">In early 2019, Wang and his associates needed to discuss and to decide </w:t>
      </w:r>
      <w:r w:rsidR="00D71A46" w:rsidRPr="008D1896">
        <w:rPr>
          <w:spacing w:val="-4"/>
          <w:lang w:val="en-GB"/>
        </w:rPr>
        <w:t>wh</w:t>
      </w:r>
      <w:r w:rsidR="009310CF">
        <w:rPr>
          <w:spacing w:val="-4"/>
          <w:lang w:val="en-GB"/>
        </w:rPr>
        <w:t>ich</w:t>
      </w:r>
      <w:r w:rsidRPr="008D1896">
        <w:rPr>
          <w:spacing w:val="-4"/>
          <w:lang w:val="en-GB"/>
        </w:rPr>
        <w:t xml:space="preserve"> </w:t>
      </w:r>
      <w:r w:rsidR="00D71A46" w:rsidRPr="008D1896">
        <w:rPr>
          <w:spacing w:val="-4"/>
          <w:lang w:val="en-GB"/>
        </w:rPr>
        <w:t>avenues</w:t>
      </w:r>
      <w:r w:rsidR="009310CF">
        <w:rPr>
          <w:spacing w:val="-4"/>
          <w:lang w:val="en-GB"/>
        </w:rPr>
        <w:t xml:space="preserve"> to pursue</w:t>
      </w:r>
      <w:r w:rsidRPr="008D1896">
        <w:rPr>
          <w:spacing w:val="-4"/>
          <w:lang w:val="en-GB"/>
        </w:rPr>
        <w:t>:</w:t>
      </w:r>
      <w:r w:rsidR="009310CF">
        <w:rPr>
          <w:spacing w:val="-4"/>
          <w:lang w:val="en-GB"/>
        </w:rPr>
        <w:t xml:space="preserve"> beyond SPTs or international.</w:t>
      </w:r>
    </w:p>
    <w:p w14:paraId="2CADECC7" w14:textId="0F9678B3" w:rsidR="00357182" w:rsidRPr="00FB5B48" w:rsidRDefault="00357182" w:rsidP="004A0A1E">
      <w:pPr>
        <w:pStyle w:val="BodyTextMain"/>
        <w:rPr>
          <w:sz w:val="18"/>
          <w:lang w:val="en-GB"/>
        </w:rPr>
      </w:pPr>
    </w:p>
    <w:p w14:paraId="1AA11B6F" w14:textId="77777777" w:rsidR="00357182" w:rsidRPr="00FB5B48" w:rsidRDefault="00357182" w:rsidP="004A0A1E">
      <w:pPr>
        <w:pStyle w:val="BodyTextMain"/>
        <w:rPr>
          <w:sz w:val="18"/>
          <w:lang w:val="en-GB"/>
        </w:rPr>
      </w:pPr>
    </w:p>
    <w:p w14:paraId="2C1FA162" w14:textId="77777777" w:rsidR="004A0A1E" w:rsidRPr="00056725" w:rsidRDefault="004A0A1E" w:rsidP="007D62D5">
      <w:pPr>
        <w:pStyle w:val="Casehead2"/>
        <w:keepNext/>
        <w:keepLines/>
        <w:rPr>
          <w:lang w:val="en-GB"/>
        </w:rPr>
      </w:pPr>
      <w:r w:rsidRPr="00056725">
        <w:rPr>
          <w:lang w:val="en-GB"/>
        </w:rPr>
        <w:t>Go Beyond STPs?</w:t>
      </w:r>
    </w:p>
    <w:p w14:paraId="1E07CA40" w14:textId="77777777" w:rsidR="00357182" w:rsidRPr="00FB5B48" w:rsidRDefault="00357182" w:rsidP="007D62D5">
      <w:pPr>
        <w:pStyle w:val="BodyTextMain"/>
        <w:keepNext/>
        <w:keepLines/>
        <w:rPr>
          <w:sz w:val="18"/>
          <w:lang w:val="en-GB"/>
        </w:rPr>
      </w:pPr>
    </w:p>
    <w:p w14:paraId="547EF894" w14:textId="4E865139" w:rsidR="004A0A1E" w:rsidRPr="00056725" w:rsidRDefault="004A0A1E" w:rsidP="007D62D5">
      <w:pPr>
        <w:pStyle w:val="BodyTextMain"/>
        <w:keepNext/>
        <w:keepLines/>
        <w:rPr>
          <w:lang w:val="en-GB"/>
        </w:rPr>
      </w:pPr>
      <w:r w:rsidRPr="00056725">
        <w:rPr>
          <w:lang w:val="en-GB"/>
        </w:rPr>
        <w:t>Wang and some GEI managers felt that they should expand the GEI way</w:t>
      </w:r>
      <w:r w:rsidR="00865DCC">
        <w:rPr>
          <w:lang w:val="en-GB"/>
        </w:rPr>
        <w:t xml:space="preserve"> </w:t>
      </w:r>
      <w:r w:rsidRPr="00056725">
        <w:rPr>
          <w:lang w:val="en-GB"/>
        </w:rPr>
        <w:t>by helping STPACs improve their services to firms</w:t>
      </w:r>
      <w:r w:rsidR="00865DCC">
        <w:rPr>
          <w:lang w:val="en-GB"/>
        </w:rPr>
        <w:t>. This would</w:t>
      </w:r>
      <w:r w:rsidRPr="00056725">
        <w:rPr>
          <w:lang w:val="en-GB"/>
        </w:rPr>
        <w:t xml:space="preserve"> help other local governments to improve their services to firms. However, others argued that GEI should stick to what it did best: serving STP</w:t>
      </w:r>
      <w:r w:rsidR="00921E18">
        <w:rPr>
          <w:lang w:val="en-GB"/>
        </w:rPr>
        <w:t>AC</w:t>
      </w:r>
      <w:r w:rsidRPr="00056725">
        <w:rPr>
          <w:lang w:val="en-GB"/>
        </w:rPr>
        <w:t>. Should GEI go beyond STPs? If so, what should GEI do to develop this new market?</w:t>
      </w:r>
    </w:p>
    <w:p w14:paraId="0D76613B" w14:textId="64D45763" w:rsidR="00357182" w:rsidRPr="00FB5B48" w:rsidRDefault="00357182" w:rsidP="004A0A1E">
      <w:pPr>
        <w:pStyle w:val="BodyTextMain"/>
        <w:rPr>
          <w:sz w:val="18"/>
          <w:lang w:val="en-GB"/>
        </w:rPr>
      </w:pPr>
    </w:p>
    <w:p w14:paraId="41296507" w14:textId="77777777" w:rsidR="00357182" w:rsidRPr="00FB5B48" w:rsidRDefault="00357182" w:rsidP="004A0A1E">
      <w:pPr>
        <w:pStyle w:val="BodyTextMain"/>
        <w:rPr>
          <w:sz w:val="18"/>
          <w:lang w:val="en-GB"/>
        </w:rPr>
      </w:pPr>
    </w:p>
    <w:p w14:paraId="261326A6" w14:textId="6F4A1A87" w:rsidR="004A0A1E" w:rsidRPr="00056725" w:rsidRDefault="004A0A1E" w:rsidP="00357182">
      <w:pPr>
        <w:pStyle w:val="Casehead2"/>
        <w:rPr>
          <w:lang w:val="en-GB"/>
        </w:rPr>
      </w:pPr>
      <w:r w:rsidRPr="00056725">
        <w:rPr>
          <w:lang w:val="en-GB"/>
        </w:rPr>
        <w:t>Go International?</w:t>
      </w:r>
    </w:p>
    <w:p w14:paraId="08E8AA8D" w14:textId="77777777" w:rsidR="00357182" w:rsidRPr="00FB5B48" w:rsidRDefault="00357182" w:rsidP="00357182">
      <w:pPr>
        <w:pStyle w:val="BodyTextMain"/>
        <w:rPr>
          <w:sz w:val="18"/>
          <w:lang w:val="en-GB"/>
        </w:rPr>
      </w:pPr>
    </w:p>
    <w:p w14:paraId="29A6158B" w14:textId="43D7943B" w:rsidR="00357182" w:rsidRPr="00056725" w:rsidRDefault="004A0A1E" w:rsidP="00FB5B48">
      <w:pPr>
        <w:pStyle w:val="BodyTextMain"/>
        <w:rPr>
          <w:lang w:val="en-GB"/>
        </w:rPr>
      </w:pPr>
      <w:r w:rsidRPr="00056725">
        <w:rPr>
          <w:lang w:val="en-GB"/>
        </w:rPr>
        <w:t xml:space="preserve">Another contentious issue was whether GEI should make a strategic effort to develop international clients. Some </w:t>
      </w:r>
      <w:r w:rsidR="00F61980">
        <w:rPr>
          <w:lang w:val="en-GB"/>
        </w:rPr>
        <w:t xml:space="preserve">managers </w:t>
      </w:r>
      <w:r w:rsidRPr="00056725">
        <w:rPr>
          <w:lang w:val="en-GB"/>
        </w:rPr>
        <w:t xml:space="preserve">wanted to pursue </w:t>
      </w:r>
      <w:r w:rsidR="00691721" w:rsidRPr="00056725">
        <w:rPr>
          <w:lang w:val="en-GB"/>
        </w:rPr>
        <w:t xml:space="preserve">this </w:t>
      </w:r>
      <w:r w:rsidR="009310CF">
        <w:rPr>
          <w:lang w:val="en-GB"/>
        </w:rPr>
        <w:t xml:space="preserve">route </w:t>
      </w:r>
      <w:r w:rsidRPr="00056725">
        <w:rPr>
          <w:lang w:val="en-GB"/>
        </w:rPr>
        <w:t>with more resources</w:t>
      </w:r>
      <w:r w:rsidR="009310CF">
        <w:rPr>
          <w:lang w:val="en-GB"/>
        </w:rPr>
        <w:t>;</w:t>
      </w:r>
      <w:r w:rsidRPr="00056725">
        <w:rPr>
          <w:lang w:val="en-GB"/>
        </w:rPr>
        <w:t xml:space="preserve"> others felt that GEI was not ready. Was there a market for the paid services of GEI in foreign countries? If so, where was it? Should GEI make a serious effort to cultivate it?</w:t>
      </w:r>
      <w:r w:rsidR="00357182" w:rsidRPr="00056725">
        <w:rPr>
          <w:lang w:val="en-GB"/>
        </w:rPr>
        <w:br w:type="page"/>
      </w:r>
    </w:p>
    <w:p w14:paraId="77AF5DEB" w14:textId="73B4B25C" w:rsidR="00357182" w:rsidRPr="00056725" w:rsidRDefault="00357182" w:rsidP="00357182">
      <w:pPr>
        <w:pStyle w:val="ExhibitHeading"/>
        <w:rPr>
          <w:lang w:val="en-GB"/>
        </w:rPr>
      </w:pPr>
      <w:r w:rsidRPr="00056725">
        <w:rPr>
          <w:lang w:val="en-GB"/>
        </w:rPr>
        <w:lastRenderedPageBreak/>
        <w:t>EXHIBIT 1: G</w:t>
      </w:r>
      <w:r w:rsidR="009310CF" w:rsidRPr="009310CF">
        <w:rPr>
          <w:lang w:val="en-GB"/>
        </w:rPr>
        <w:t>reatwall Enterprise Institute</w:t>
      </w:r>
      <w:r w:rsidRPr="00056725">
        <w:rPr>
          <w:lang w:val="en-GB"/>
        </w:rPr>
        <w:t xml:space="preserve"> ORGANIZATIONAL CHART, 2019</w:t>
      </w:r>
    </w:p>
    <w:p w14:paraId="3A5C17BC" w14:textId="77777777" w:rsidR="00357182" w:rsidRPr="00056725" w:rsidRDefault="00357182" w:rsidP="00EC6426">
      <w:pPr>
        <w:pStyle w:val="ExhibitText"/>
        <w:rPr>
          <w:highlight w:val="yellow"/>
          <w:lang w:val="en-GB"/>
        </w:rPr>
      </w:pPr>
    </w:p>
    <w:p w14:paraId="1DB2E9DF" w14:textId="3CC43D9E" w:rsidR="00357182" w:rsidRPr="00056725" w:rsidRDefault="00357182" w:rsidP="00357182">
      <w:pPr>
        <w:pStyle w:val="ExhibitText"/>
        <w:rPr>
          <w:lang w:val="en-GB"/>
        </w:rPr>
      </w:pPr>
      <w:r w:rsidRPr="00056725">
        <w:rPr>
          <w:noProof/>
          <w:lang w:val="en-CA" w:eastAsia="en-CA"/>
        </w:rPr>
        <w:drawing>
          <wp:inline distT="0" distB="0" distL="0" distR="0" wp14:anchorId="1F76452C" wp14:editId="1C097291">
            <wp:extent cx="5943600" cy="3478786"/>
            <wp:effectExtent l="0" t="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7C9A5C" w14:textId="77777777" w:rsidR="00357182" w:rsidRPr="00056725" w:rsidRDefault="00357182" w:rsidP="007D62D5">
      <w:pPr>
        <w:pStyle w:val="Footnote"/>
        <w:rPr>
          <w:lang w:val="en-GB"/>
        </w:rPr>
      </w:pPr>
    </w:p>
    <w:p w14:paraId="0D0D9BE5" w14:textId="6E851EAD" w:rsidR="009310CF" w:rsidRDefault="009310CF" w:rsidP="00357182">
      <w:pPr>
        <w:pStyle w:val="Footnote"/>
        <w:rPr>
          <w:lang w:val="en-GB"/>
        </w:rPr>
      </w:pPr>
      <w:r>
        <w:rPr>
          <w:lang w:val="en-GB"/>
        </w:rPr>
        <w:t xml:space="preserve">Note: STP = </w:t>
      </w:r>
      <w:r w:rsidR="00865DCC">
        <w:rPr>
          <w:lang w:val="en-GB"/>
        </w:rPr>
        <w:t>S</w:t>
      </w:r>
      <w:r w:rsidR="003C3DB9" w:rsidRPr="00056725">
        <w:rPr>
          <w:lang w:val="en-GB"/>
        </w:rPr>
        <w:t>cience and technology parks</w:t>
      </w:r>
      <w:r w:rsidR="00865DCC">
        <w:rPr>
          <w:lang w:val="en-GB"/>
        </w:rPr>
        <w:t>.</w:t>
      </w:r>
    </w:p>
    <w:p w14:paraId="73C2E042" w14:textId="7850BD4A" w:rsidR="00357182" w:rsidRPr="00056725" w:rsidRDefault="00357182" w:rsidP="00357182">
      <w:pPr>
        <w:pStyle w:val="Footnote"/>
        <w:rPr>
          <w:lang w:val="en-GB"/>
        </w:rPr>
      </w:pPr>
      <w:r w:rsidRPr="00056725">
        <w:rPr>
          <w:lang w:val="en-GB"/>
        </w:rPr>
        <w:t xml:space="preserve">Source: Created by </w:t>
      </w:r>
      <w:r w:rsidR="009310CF">
        <w:rPr>
          <w:lang w:val="en-GB"/>
        </w:rPr>
        <w:t xml:space="preserve">the </w:t>
      </w:r>
      <w:r w:rsidR="003C3DB9">
        <w:rPr>
          <w:lang w:val="en-GB"/>
        </w:rPr>
        <w:t xml:space="preserve">case </w:t>
      </w:r>
      <w:r w:rsidRPr="00056725">
        <w:rPr>
          <w:lang w:val="en-GB"/>
        </w:rPr>
        <w:t xml:space="preserve">author using </w:t>
      </w:r>
      <w:r w:rsidR="003C3DB9">
        <w:rPr>
          <w:lang w:val="en-GB"/>
        </w:rPr>
        <w:t>company</w:t>
      </w:r>
      <w:r w:rsidRPr="00056725">
        <w:rPr>
          <w:lang w:val="en-GB"/>
        </w:rPr>
        <w:t xml:space="preserve"> information</w:t>
      </w:r>
      <w:r w:rsidR="00936468" w:rsidRPr="00056725">
        <w:rPr>
          <w:lang w:val="en-GB"/>
        </w:rPr>
        <w:t>.</w:t>
      </w:r>
    </w:p>
    <w:p w14:paraId="7BCF8576" w14:textId="77777777" w:rsidR="00357182" w:rsidRPr="00056725" w:rsidRDefault="00357182" w:rsidP="00357182">
      <w:pPr>
        <w:pStyle w:val="ExhibitText"/>
        <w:rPr>
          <w:lang w:val="en-GB"/>
        </w:rPr>
      </w:pPr>
    </w:p>
    <w:p w14:paraId="5B9BC116" w14:textId="77777777" w:rsidR="00357182" w:rsidRPr="00056725" w:rsidRDefault="00357182" w:rsidP="00357182">
      <w:pPr>
        <w:pStyle w:val="ExhibitText"/>
        <w:rPr>
          <w:lang w:val="en-GB"/>
        </w:rPr>
      </w:pPr>
    </w:p>
    <w:p w14:paraId="1622326C" w14:textId="4C7AA94E" w:rsidR="00357182" w:rsidRPr="00056725" w:rsidRDefault="00357182" w:rsidP="00357182">
      <w:pPr>
        <w:pStyle w:val="ExhibitHeading"/>
        <w:rPr>
          <w:lang w:val="en-GB"/>
        </w:rPr>
      </w:pPr>
      <w:r w:rsidRPr="00056725">
        <w:rPr>
          <w:lang w:val="en-GB"/>
        </w:rPr>
        <w:t>EXHIBIT 2: G</w:t>
      </w:r>
      <w:r w:rsidR="003C3DB9" w:rsidRPr="009310CF">
        <w:rPr>
          <w:lang w:val="en-GB"/>
        </w:rPr>
        <w:t>reatwall Enterprise Institute</w:t>
      </w:r>
      <w:r w:rsidRPr="00056725">
        <w:rPr>
          <w:lang w:val="en-GB"/>
        </w:rPr>
        <w:t xml:space="preserve"> TOTAL EMPLOYEES, 1993</w:t>
      </w:r>
      <w:r w:rsidR="00E168FD" w:rsidRPr="00056725">
        <w:rPr>
          <w:lang w:val="en-GB"/>
        </w:rPr>
        <w:t>–</w:t>
      </w:r>
      <w:r w:rsidRPr="00056725">
        <w:rPr>
          <w:lang w:val="en-GB"/>
        </w:rPr>
        <w:t>2018</w:t>
      </w:r>
    </w:p>
    <w:p w14:paraId="1169FF3D" w14:textId="77777777" w:rsidR="00357182" w:rsidRPr="00056725" w:rsidRDefault="00357182" w:rsidP="00357182">
      <w:pPr>
        <w:pStyle w:val="ExhibitText"/>
        <w:rPr>
          <w:lang w:val="en-GB"/>
        </w:rPr>
      </w:pPr>
    </w:p>
    <w:p w14:paraId="38F5292F" w14:textId="2A41D243" w:rsidR="00357182" w:rsidRPr="00056725" w:rsidRDefault="00357182" w:rsidP="00357182">
      <w:pPr>
        <w:pStyle w:val="ExhibitText"/>
        <w:jc w:val="center"/>
        <w:rPr>
          <w:lang w:val="en-GB"/>
        </w:rPr>
      </w:pPr>
      <w:r w:rsidRPr="00056725">
        <w:rPr>
          <w:noProof/>
          <w:lang w:val="en-CA" w:eastAsia="en-CA"/>
        </w:rPr>
        <w:drawing>
          <wp:inline distT="0" distB="0" distL="0" distR="0" wp14:anchorId="4E690888" wp14:editId="778D874E">
            <wp:extent cx="5138382" cy="2688609"/>
            <wp:effectExtent l="0" t="0" r="5715" b="16510"/>
            <wp:docPr id="2" name="Chart 2">
              <a:extLst xmlns:a="http://schemas.openxmlformats.org/drawingml/2006/main">
                <a:ext uri="{FF2B5EF4-FFF2-40B4-BE49-F238E27FC236}">
                  <a16:creationId xmlns:a16="http://schemas.microsoft.com/office/drawing/2014/main" id="{61F5DFAD-90D7-4B86-8612-53FA3C3DC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2C1B4C" w14:textId="77777777" w:rsidR="00357182" w:rsidRPr="00056725" w:rsidRDefault="00357182" w:rsidP="007D62D5">
      <w:pPr>
        <w:pStyle w:val="Footnote"/>
        <w:rPr>
          <w:lang w:val="en-GB"/>
        </w:rPr>
      </w:pPr>
    </w:p>
    <w:p w14:paraId="3039C2A6" w14:textId="4CD4BD42" w:rsidR="00357182" w:rsidRPr="00056725" w:rsidRDefault="00357182" w:rsidP="00357182">
      <w:pPr>
        <w:pStyle w:val="Footnote"/>
        <w:rPr>
          <w:lang w:val="en-GB"/>
        </w:rPr>
      </w:pPr>
      <w:r w:rsidRPr="00056725">
        <w:rPr>
          <w:lang w:val="en-GB"/>
        </w:rPr>
        <w:t xml:space="preserve">Source: Created by </w:t>
      </w:r>
      <w:r w:rsidR="003C3DB9">
        <w:rPr>
          <w:lang w:val="en-GB"/>
        </w:rPr>
        <w:t xml:space="preserve">the case </w:t>
      </w:r>
      <w:r w:rsidRPr="00056725">
        <w:rPr>
          <w:lang w:val="en-GB"/>
        </w:rPr>
        <w:t xml:space="preserve">author using </w:t>
      </w:r>
      <w:r w:rsidR="003C3DB9">
        <w:rPr>
          <w:lang w:val="en-GB"/>
        </w:rPr>
        <w:t>company</w:t>
      </w:r>
      <w:r w:rsidRPr="00056725">
        <w:rPr>
          <w:lang w:val="en-GB"/>
        </w:rPr>
        <w:t xml:space="preserve"> information</w:t>
      </w:r>
      <w:r w:rsidR="00936468" w:rsidRPr="00056725">
        <w:rPr>
          <w:lang w:val="en-GB"/>
        </w:rPr>
        <w:t>.</w:t>
      </w:r>
    </w:p>
    <w:p w14:paraId="32ED143A" w14:textId="3D8B804E" w:rsidR="00357182" w:rsidRPr="00056725" w:rsidRDefault="00357182">
      <w:pPr>
        <w:spacing w:after="200" w:line="276" w:lineRule="auto"/>
        <w:rPr>
          <w:rFonts w:ascii="Arial" w:hAnsi="Arial" w:cs="Arial"/>
          <w:lang w:val="en-GB"/>
        </w:rPr>
      </w:pPr>
      <w:r w:rsidRPr="00056725">
        <w:rPr>
          <w:lang w:val="en-GB"/>
        </w:rPr>
        <w:br w:type="page"/>
      </w:r>
    </w:p>
    <w:p w14:paraId="30185DAB" w14:textId="0B83405C" w:rsidR="00357182" w:rsidRDefault="00357182" w:rsidP="00EC6426">
      <w:pPr>
        <w:pStyle w:val="ExhibitHeading"/>
        <w:rPr>
          <w:lang w:val="en-GB"/>
        </w:rPr>
      </w:pPr>
      <w:r w:rsidRPr="00056725">
        <w:rPr>
          <w:lang w:val="en-GB"/>
        </w:rPr>
        <w:lastRenderedPageBreak/>
        <w:t xml:space="preserve">EXHIBIT </w:t>
      </w:r>
      <w:r w:rsidR="00063366" w:rsidRPr="00056725">
        <w:rPr>
          <w:lang w:val="en-GB"/>
        </w:rPr>
        <w:t>3</w:t>
      </w:r>
      <w:r w:rsidRPr="00056725">
        <w:rPr>
          <w:lang w:val="en-GB"/>
        </w:rPr>
        <w:t>: Number of S</w:t>
      </w:r>
      <w:r w:rsidR="00F61980">
        <w:rPr>
          <w:lang w:val="en-GB"/>
        </w:rPr>
        <w:t xml:space="preserve">cience and </w:t>
      </w:r>
      <w:r w:rsidRPr="00056725">
        <w:rPr>
          <w:lang w:val="en-GB"/>
        </w:rPr>
        <w:t>T</w:t>
      </w:r>
      <w:r w:rsidR="00F61980">
        <w:rPr>
          <w:lang w:val="en-GB"/>
        </w:rPr>
        <w:t xml:space="preserve">echnology </w:t>
      </w:r>
      <w:r w:rsidRPr="00056725">
        <w:rPr>
          <w:lang w:val="en-GB"/>
        </w:rPr>
        <w:t>P</w:t>
      </w:r>
      <w:r w:rsidR="00F61980">
        <w:rPr>
          <w:lang w:val="en-GB"/>
        </w:rPr>
        <w:t>ark</w:t>
      </w:r>
      <w:r w:rsidRPr="00056725">
        <w:rPr>
          <w:lang w:val="en-GB"/>
        </w:rPr>
        <w:t>S in China</w:t>
      </w:r>
      <w:r w:rsidR="00936468" w:rsidRPr="00056725">
        <w:rPr>
          <w:lang w:val="en-GB"/>
        </w:rPr>
        <w:t>,</w:t>
      </w:r>
      <w:r w:rsidRPr="00056725">
        <w:rPr>
          <w:lang w:val="en-GB"/>
        </w:rPr>
        <w:t xml:space="preserve"> 1988</w:t>
      </w:r>
      <w:r w:rsidR="00936468" w:rsidRPr="00056725">
        <w:rPr>
          <w:lang w:val="en-GB"/>
        </w:rPr>
        <w:t>–</w:t>
      </w:r>
      <w:r w:rsidRPr="00056725">
        <w:rPr>
          <w:lang w:val="en-GB"/>
        </w:rPr>
        <w:t>2018</w:t>
      </w:r>
    </w:p>
    <w:p w14:paraId="5B7BDB87" w14:textId="77777777" w:rsidR="00EE41B2" w:rsidRPr="00056725" w:rsidRDefault="00EE41B2" w:rsidP="00454017">
      <w:pPr>
        <w:pStyle w:val="ExhibitText"/>
        <w:rPr>
          <w:lang w:val="en-GB"/>
        </w:rPr>
      </w:pPr>
    </w:p>
    <w:p w14:paraId="37FE6C16" w14:textId="7C41FE3D" w:rsidR="00EC6426" w:rsidRPr="00056725" w:rsidRDefault="00EE41B2" w:rsidP="0085511C">
      <w:pPr>
        <w:pStyle w:val="ExhibitText"/>
        <w:jc w:val="center"/>
        <w:rPr>
          <w:lang w:val="en-GB"/>
        </w:rPr>
      </w:pPr>
      <w:r>
        <w:rPr>
          <w:noProof/>
          <w:lang w:val="en-CA" w:eastAsia="en-CA"/>
        </w:rPr>
        <w:drawing>
          <wp:inline distT="0" distB="0" distL="0" distR="0" wp14:anchorId="0AC35FBA" wp14:editId="6EC01318">
            <wp:extent cx="4572000" cy="2636520"/>
            <wp:effectExtent l="0" t="0" r="0" b="11430"/>
            <wp:docPr id="3" name="Chart 3">
              <a:extLst xmlns:a="http://schemas.openxmlformats.org/drawingml/2006/main">
                <a:ext uri="{FF2B5EF4-FFF2-40B4-BE49-F238E27FC236}">
                  <a16:creationId xmlns:a16="http://schemas.microsoft.com/office/drawing/2014/main" id="{BEE0D23B-352B-4CB4-B4A9-E792ED238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9CC1DF" w14:textId="77777777" w:rsidR="00EC6426" w:rsidRPr="00056725" w:rsidRDefault="00EC6426" w:rsidP="007D62D5">
      <w:pPr>
        <w:pStyle w:val="Footnote"/>
        <w:rPr>
          <w:lang w:val="en-GB"/>
        </w:rPr>
      </w:pPr>
    </w:p>
    <w:p w14:paraId="5561B132" w14:textId="204084F8" w:rsidR="002E7F31" w:rsidRDefault="002E7F31" w:rsidP="00EC6426">
      <w:pPr>
        <w:pStyle w:val="Footnote"/>
        <w:rPr>
          <w:lang w:val="en-GB"/>
        </w:rPr>
      </w:pPr>
      <w:r>
        <w:rPr>
          <w:lang w:val="en-GB"/>
        </w:rPr>
        <w:t>Note: STPs = Science and technology parks</w:t>
      </w:r>
      <w:r w:rsidR="00865DCC">
        <w:rPr>
          <w:lang w:val="en-GB"/>
        </w:rPr>
        <w:t>.</w:t>
      </w:r>
    </w:p>
    <w:p w14:paraId="4E4267B0" w14:textId="2CD4AA3A" w:rsidR="00357182" w:rsidRPr="00056725" w:rsidRDefault="00357182" w:rsidP="00EC6426">
      <w:pPr>
        <w:pStyle w:val="Footnote"/>
        <w:rPr>
          <w:lang w:val="en-GB"/>
        </w:rPr>
      </w:pPr>
      <w:r w:rsidRPr="00056725">
        <w:rPr>
          <w:lang w:val="en-GB"/>
        </w:rPr>
        <w:t xml:space="preserve">Source: Created by </w:t>
      </w:r>
      <w:r w:rsidR="00F61980">
        <w:rPr>
          <w:lang w:val="en-GB"/>
        </w:rPr>
        <w:t xml:space="preserve">the case </w:t>
      </w:r>
      <w:r w:rsidRPr="00056725">
        <w:rPr>
          <w:lang w:val="en-GB"/>
        </w:rPr>
        <w:t xml:space="preserve">author </w:t>
      </w:r>
      <w:r w:rsidR="00F61980">
        <w:rPr>
          <w:lang w:val="en-GB"/>
        </w:rPr>
        <w:t>with company information</w:t>
      </w:r>
      <w:r w:rsidR="007F5890">
        <w:rPr>
          <w:lang w:val="en-GB"/>
        </w:rPr>
        <w:t>,</w:t>
      </w:r>
      <w:r w:rsidR="00F61980">
        <w:rPr>
          <w:lang w:val="en-GB"/>
        </w:rPr>
        <w:t xml:space="preserve"> and</w:t>
      </w:r>
      <w:r w:rsidR="007F5890">
        <w:rPr>
          <w:lang w:val="en-GB"/>
        </w:rPr>
        <w:t xml:space="preserve"> with information from</w:t>
      </w:r>
      <w:r w:rsidR="00F61980">
        <w:rPr>
          <w:lang w:val="en-GB"/>
        </w:rPr>
        <w:t xml:space="preserve"> </w:t>
      </w:r>
      <w:r w:rsidR="00204581">
        <w:rPr>
          <w:lang w:val="en-GB"/>
        </w:rPr>
        <w:t>“China’s 30 Years of STPs,</w:t>
      </w:r>
      <w:r w:rsidR="0085511C">
        <w:rPr>
          <w:lang w:val="en-GB"/>
        </w:rPr>
        <w:t xml:space="preserve"> 1988</w:t>
      </w:r>
      <w:r w:rsidR="00F61980">
        <w:rPr>
          <w:lang w:val="en-GB"/>
        </w:rPr>
        <w:t>–</w:t>
      </w:r>
      <w:r w:rsidR="0085511C">
        <w:rPr>
          <w:lang w:val="en-GB"/>
        </w:rPr>
        <w:t xml:space="preserve">2018” </w:t>
      </w:r>
      <w:r w:rsidR="003A5BD7">
        <w:rPr>
          <w:lang w:val="en-GB"/>
        </w:rPr>
        <w:t>(in Chinese)</w:t>
      </w:r>
      <w:r w:rsidR="00204581">
        <w:rPr>
          <w:lang w:val="en-GB"/>
        </w:rPr>
        <w:t xml:space="preserve">, </w:t>
      </w:r>
      <w:r w:rsidR="00F61980">
        <w:rPr>
          <w:lang w:val="en-GB"/>
        </w:rPr>
        <w:t xml:space="preserve"> Torch High Technology Industry Development Center,  </w:t>
      </w:r>
      <w:r w:rsidR="00F61980" w:rsidRPr="00056725">
        <w:rPr>
          <w:lang w:val="en-GB"/>
        </w:rPr>
        <w:t>Ministry of Science and Technology</w:t>
      </w:r>
      <w:r w:rsidR="00F61980">
        <w:rPr>
          <w:lang w:val="en-GB"/>
        </w:rPr>
        <w:t xml:space="preserve">, accessed March 2, 2019, </w:t>
      </w:r>
      <w:r w:rsidR="00204581" w:rsidRPr="0085511C">
        <w:rPr>
          <w:lang w:val="en-GB"/>
        </w:rPr>
        <w:t>www.chinatorch.org.cn/gxq30/index.shtml</w:t>
      </w:r>
      <w:r w:rsidR="003F4493">
        <w:rPr>
          <w:lang w:val="en-GB"/>
        </w:rPr>
        <w:t>.</w:t>
      </w:r>
    </w:p>
    <w:p w14:paraId="4C787EAF" w14:textId="45A0EA6C" w:rsidR="00A36A84" w:rsidRPr="00056725" w:rsidRDefault="00A36A84" w:rsidP="00357182">
      <w:pPr>
        <w:pStyle w:val="ExhibitText"/>
        <w:rPr>
          <w:lang w:val="en-GB"/>
        </w:rPr>
      </w:pPr>
    </w:p>
    <w:p w14:paraId="494E0BD3" w14:textId="77777777" w:rsidR="00A36A84" w:rsidRPr="00056725" w:rsidRDefault="00A36A84" w:rsidP="00357182">
      <w:pPr>
        <w:pStyle w:val="ExhibitText"/>
        <w:rPr>
          <w:lang w:val="en-GB"/>
        </w:rPr>
      </w:pPr>
    </w:p>
    <w:p w14:paraId="1EA07A5A" w14:textId="39AC272C" w:rsidR="00357182" w:rsidRPr="00056725" w:rsidRDefault="00357182" w:rsidP="00EC6426">
      <w:pPr>
        <w:pStyle w:val="ExhibitHeading"/>
        <w:rPr>
          <w:lang w:val="en-GB"/>
        </w:rPr>
      </w:pPr>
      <w:r w:rsidRPr="00056725">
        <w:rPr>
          <w:lang w:val="en-GB"/>
        </w:rPr>
        <w:t xml:space="preserve">EXHIBIT </w:t>
      </w:r>
      <w:r w:rsidR="00063366" w:rsidRPr="00056725">
        <w:rPr>
          <w:lang w:val="en-GB"/>
        </w:rPr>
        <w:t>4</w:t>
      </w:r>
      <w:r w:rsidRPr="00056725">
        <w:rPr>
          <w:lang w:val="en-GB"/>
        </w:rPr>
        <w:t>: Number of firms in S</w:t>
      </w:r>
      <w:r w:rsidR="007F5890">
        <w:rPr>
          <w:lang w:val="en-GB"/>
        </w:rPr>
        <w:t xml:space="preserve">cience and </w:t>
      </w:r>
      <w:r w:rsidRPr="00056725">
        <w:rPr>
          <w:lang w:val="en-GB"/>
        </w:rPr>
        <w:t>T</w:t>
      </w:r>
      <w:r w:rsidR="007F5890">
        <w:rPr>
          <w:lang w:val="en-GB"/>
        </w:rPr>
        <w:t xml:space="preserve">echnology </w:t>
      </w:r>
      <w:r w:rsidRPr="00056725">
        <w:rPr>
          <w:lang w:val="en-GB"/>
        </w:rPr>
        <w:t>P</w:t>
      </w:r>
      <w:r w:rsidR="007F5890">
        <w:rPr>
          <w:lang w:val="en-GB"/>
        </w:rPr>
        <w:t>ark</w:t>
      </w:r>
      <w:r w:rsidRPr="00056725">
        <w:rPr>
          <w:lang w:val="en-GB"/>
        </w:rPr>
        <w:t>S in China</w:t>
      </w:r>
      <w:r w:rsidR="00936468" w:rsidRPr="00056725">
        <w:rPr>
          <w:lang w:val="en-GB"/>
        </w:rPr>
        <w:t>,</w:t>
      </w:r>
      <w:r w:rsidRPr="00056725">
        <w:rPr>
          <w:lang w:val="en-GB"/>
        </w:rPr>
        <w:t xml:space="preserve"> 1988</w:t>
      </w:r>
      <w:r w:rsidR="00936468" w:rsidRPr="00056725">
        <w:rPr>
          <w:lang w:val="en-GB"/>
        </w:rPr>
        <w:t>–</w:t>
      </w:r>
      <w:r w:rsidRPr="00056725">
        <w:rPr>
          <w:lang w:val="en-GB"/>
        </w:rPr>
        <w:t>2018</w:t>
      </w:r>
    </w:p>
    <w:p w14:paraId="7E8FAD4F" w14:textId="77777777" w:rsidR="00EC6426" w:rsidRPr="00056725" w:rsidRDefault="00EC6426" w:rsidP="00357182">
      <w:pPr>
        <w:pStyle w:val="ExhibitText"/>
        <w:rPr>
          <w:lang w:val="en-GB"/>
        </w:rPr>
      </w:pPr>
    </w:p>
    <w:p w14:paraId="0D829116" w14:textId="77777777" w:rsidR="00357182" w:rsidRPr="00056725" w:rsidRDefault="00357182" w:rsidP="00EC6426">
      <w:pPr>
        <w:pStyle w:val="ExhibitText"/>
        <w:jc w:val="center"/>
        <w:rPr>
          <w:lang w:val="en-GB"/>
        </w:rPr>
      </w:pPr>
      <w:r w:rsidRPr="00056725">
        <w:rPr>
          <w:noProof/>
          <w:lang w:val="en-CA" w:eastAsia="en-CA"/>
        </w:rPr>
        <w:drawing>
          <wp:inline distT="0" distB="0" distL="0" distR="0" wp14:anchorId="7FCAFBC4" wp14:editId="3A5EFE25">
            <wp:extent cx="4572000" cy="2743200"/>
            <wp:effectExtent l="0" t="0" r="0" b="0"/>
            <wp:docPr id="4" name="Chart 4">
              <a:extLst xmlns:a="http://schemas.openxmlformats.org/drawingml/2006/main">
                <a:ext uri="{FF2B5EF4-FFF2-40B4-BE49-F238E27FC236}">
                  <a16:creationId xmlns:a16="http://schemas.microsoft.com/office/drawing/2014/main" id="{B76E9249-E2A0-412F-A864-51D91ACC5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B2D2AD" w14:textId="77777777" w:rsidR="00EC6426" w:rsidRPr="00056725" w:rsidRDefault="00EC6426" w:rsidP="007D62D5">
      <w:pPr>
        <w:pStyle w:val="Footnote"/>
        <w:rPr>
          <w:lang w:val="en-GB"/>
        </w:rPr>
      </w:pPr>
    </w:p>
    <w:p w14:paraId="2B278815" w14:textId="7F830AE0" w:rsidR="002E7F31" w:rsidRDefault="00357182" w:rsidP="002E7F31">
      <w:pPr>
        <w:pStyle w:val="Footnote"/>
        <w:rPr>
          <w:lang w:val="en-GB"/>
        </w:rPr>
      </w:pPr>
      <w:r w:rsidRPr="00056725">
        <w:rPr>
          <w:lang w:val="en-GB"/>
        </w:rPr>
        <w:t>Note: These firms</w:t>
      </w:r>
      <w:r w:rsidR="00936468" w:rsidRPr="00056725">
        <w:rPr>
          <w:lang w:val="en-GB"/>
        </w:rPr>
        <w:t>,</w:t>
      </w:r>
      <w:r w:rsidRPr="00056725">
        <w:rPr>
          <w:lang w:val="en-GB"/>
        </w:rPr>
        <w:t xml:space="preserve"> called </w:t>
      </w:r>
      <w:r w:rsidRPr="00865DCC">
        <w:rPr>
          <w:lang w:val="en-GB"/>
        </w:rPr>
        <w:t>rutong firms</w:t>
      </w:r>
      <w:r w:rsidRPr="00056725">
        <w:rPr>
          <w:lang w:val="en-GB"/>
        </w:rPr>
        <w:t>, ha</w:t>
      </w:r>
      <w:r w:rsidR="00936468" w:rsidRPr="00056725">
        <w:rPr>
          <w:lang w:val="en-GB"/>
        </w:rPr>
        <w:t>d</w:t>
      </w:r>
      <w:r w:rsidRPr="00056725">
        <w:rPr>
          <w:lang w:val="en-GB"/>
        </w:rPr>
        <w:t xml:space="preserve"> reached a certain scale in order to be incl</w:t>
      </w:r>
      <w:r w:rsidR="002E7F31">
        <w:rPr>
          <w:lang w:val="en-GB"/>
        </w:rPr>
        <w:t>uded in the official statistics.;</w:t>
      </w:r>
      <w:r w:rsidR="00C3080A">
        <w:rPr>
          <w:lang w:val="en-GB"/>
        </w:rPr>
        <w:t xml:space="preserve"> </w:t>
      </w:r>
      <w:r w:rsidR="002E7F31">
        <w:rPr>
          <w:lang w:val="en-GB"/>
        </w:rPr>
        <w:t>STPs = Science and technology parks.</w:t>
      </w:r>
    </w:p>
    <w:p w14:paraId="7A027ECF" w14:textId="0E787693" w:rsidR="00357182" w:rsidRPr="0085511C" w:rsidRDefault="007A2CD0" w:rsidP="0085511C">
      <w:pPr>
        <w:pStyle w:val="Footnote"/>
        <w:rPr>
          <w:lang w:val="en-GB"/>
        </w:rPr>
      </w:pPr>
      <w:r w:rsidRPr="007A2CD0">
        <w:rPr>
          <w:lang w:val="en-GB"/>
        </w:rPr>
        <w:t xml:space="preserve">Source: Created by </w:t>
      </w:r>
      <w:r w:rsidR="003C3DB9">
        <w:rPr>
          <w:lang w:val="en-GB"/>
        </w:rPr>
        <w:t xml:space="preserve">the case </w:t>
      </w:r>
      <w:r w:rsidRPr="007A2CD0">
        <w:rPr>
          <w:lang w:val="en-GB"/>
        </w:rPr>
        <w:t xml:space="preserve">author </w:t>
      </w:r>
      <w:r w:rsidR="007F5890">
        <w:rPr>
          <w:lang w:val="en-GB"/>
        </w:rPr>
        <w:t>with</w:t>
      </w:r>
      <w:r w:rsidR="003C3DB9">
        <w:rPr>
          <w:lang w:val="en-GB"/>
        </w:rPr>
        <w:t xml:space="preserve"> company information, </w:t>
      </w:r>
      <w:r w:rsidR="007F5890">
        <w:rPr>
          <w:lang w:val="en-GB"/>
        </w:rPr>
        <w:t>and with</w:t>
      </w:r>
      <w:r w:rsidRPr="007A2CD0">
        <w:rPr>
          <w:lang w:val="en-GB"/>
        </w:rPr>
        <w:t xml:space="preserve"> information from “China’s</w:t>
      </w:r>
      <w:r w:rsidR="0085511C">
        <w:rPr>
          <w:lang w:val="en-GB"/>
        </w:rPr>
        <w:t xml:space="preserve"> 30 Years of STPs, 1988</w:t>
      </w:r>
      <w:r w:rsidR="007F5890">
        <w:rPr>
          <w:lang w:val="en-GB"/>
        </w:rPr>
        <w:t>–</w:t>
      </w:r>
      <w:r w:rsidR="0085511C">
        <w:rPr>
          <w:lang w:val="en-GB"/>
        </w:rPr>
        <w:t xml:space="preserve">2018” </w:t>
      </w:r>
      <w:r w:rsidRPr="007A2CD0">
        <w:rPr>
          <w:lang w:val="en-GB"/>
        </w:rPr>
        <w:t xml:space="preserve">(in Chinese), </w:t>
      </w:r>
      <w:r w:rsidR="007F5890" w:rsidRPr="007A2CD0">
        <w:rPr>
          <w:lang w:val="en-GB"/>
        </w:rPr>
        <w:t xml:space="preserve">Torch High Technology Industry Development Center,  Ministry of Science and Technology, </w:t>
      </w:r>
      <w:r w:rsidR="003C3DB9" w:rsidRPr="007A2CD0">
        <w:rPr>
          <w:lang w:val="en-GB"/>
        </w:rPr>
        <w:t>accessed March 2, 2019</w:t>
      </w:r>
      <w:r w:rsidR="003C3DB9">
        <w:rPr>
          <w:lang w:val="en-GB"/>
        </w:rPr>
        <w:t xml:space="preserve">, </w:t>
      </w:r>
      <w:r w:rsidRPr="0085511C">
        <w:rPr>
          <w:lang w:val="en-GB"/>
        </w:rPr>
        <w:t>www.chinatorch.org.cn/gxq30/index.shtml</w:t>
      </w:r>
      <w:r w:rsidR="007F5890">
        <w:rPr>
          <w:lang w:val="en-GB"/>
        </w:rPr>
        <w:t>;</w:t>
      </w:r>
      <w:r w:rsidRPr="007A2CD0">
        <w:rPr>
          <w:lang w:val="en-GB"/>
        </w:rPr>
        <w:t xml:space="preserve"> “High Tech and Innovative Companies Designation and Management” (in Chinese),</w:t>
      </w:r>
      <w:r w:rsidRPr="007A2CD0">
        <w:t xml:space="preserve"> </w:t>
      </w:r>
      <w:r w:rsidR="00ED004A">
        <w:t xml:space="preserve">Innovation Company, </w:t>
      </w:r>
      <w:r w:rsidR="003C3DB9" w:rsidRPr="007A2CD0">
        <w:rPr>
          <w:lang w:val="en-GB"/>
        </w:rPr>
        <w:t>accessed March 2, 2019</w:t>
      </w:r>
      <w:r w:rsidR="003C3DB9">
        <w:rPr>
          <w:lang w:val="en-GB"/>
        </w:rPr>
        <w:t xml:space="preserve">, </w:t>
      </w:r>
      <w:r w:rsidR="0085511C" w:rsidRPr="0085511C">
        <w:rPr>
          <w:lang w:val="en-GB"/>
        </w:rPr>
        <w:t>www.innocom.gov.cn/gxjsqyrdw/gqxw/201904/72559c9e9a124fdab39d2519b65183c2.shtml</w:t>
      </w:r>
      <w:r w:rsidRPr="007A2CD0">
        <w:rPr>
          <w:lang w:val="en-GB"/>
        </w:rPr>
        <w:t>.</w:t>
      </w:r>
    </w:p>
    <w:p w14:paraId="4CC7B320" w14:textId="3E698B2B" w:rsidR="00357182" w:rsidRPr="00056725" w:rsidRDefault="00357182" w:rsidP="007D62D5">
      <w:pPr>
        <w:pStyle w:val="ExhibitHeading"/>
        <w:keepNext/>
        <w:keepLines/>
        <w:rPr>
          <w:lang w:val="en-GB"/>
        </w:rPr>
      </w:pPr>
      <w:r w:rsidRPr="00056725">
        <w:rPr>
          <w:lang w:val="en-GB"/>
        </w:rPr>
        <w:lastRenderedPageBreak/>
        <w:t xml:space="preserve">EXHIBIT </w:t>
      </w:r>
      <w:r w:rsidR="00063366" w:rsidRPr="00056725">
        <w:rPr>
          <w:lang w:val="en-GB"/>
        </w:rPr>
        <w:t>5</w:t>
      </w:r>
      <w:r w:rsidRPr="00056725">
        <w:rPr>
          <w:lang w:val="en-GB"/>
        </w:rPr>
        <w:t>: G</w:t>
      </w:r>
      <w:r w:rsidR="00ED004A" w:rsidRPr="009310CF">
        <w:rPr>
          <w:lang w:val="en-GB"/>
        </w:rPr>
        <w:t>reatwall Enterprise Institute</w:t>
      </w:r>
      <w:r w:rsidRPr="00056725">
        <w:rPr>
          <w:lang w:val="en-GB"/>
        </w:rPr>
        <w:t>’S THREE ANALYTICAL TOOLS</w:t>
      </w:r>
    </w:p>
    <w:p w14:paraId="242FAA11" w14:textId="4B65B3C4" w:rsidR="00357182" w:rsidRPr="00056725" w:rsidRDefault="00357182" w:rsidP="007D62D5">
      <w:pPr>
        <w:pStyle w:val="ExhibitText"/>
        <w:keepNext/>
        <w:keepLines/>
        <w:rPr>
          <w:lang w:val="en-GB"/>
        </w:rPr>
      </w:pPr>
    </w:p>
    <w:p w14:paraId="539C270A" w14:textId="78B870AD" w:rsidR="00357182" w:rsidRPr="00056725" w:rsidRDefault="00357182" w:rsidP="007D62D5">
      <w:pPr>
        <w:pStyle w:val="ExhibitText"/>
        <w:keepNext/>
        <w:keepLines/>
        <w:rPr>
          <w:lang w:val="en-GB"/>
        </w:rPr>
      </w:pPr>
      <w:r w:rsidRPr="007D62D5">
        <w:rPr>
          <w:b/>
          <w:i/>
          <w:lang w:val="en-GB"/>
        </w:rPr>
        <w:t>The 80/20/4 creative rule.</w:t>
      </w:r>
      <w:r w:rsidRPr="00056725">
        <w:rPr>
          <w:i/>
          <w:lang w:val="en-GB"/>
        </w:rPr>
        <w:t xml:space="preserve"> </w:t>
      </w:r>
      <w:r w:rsidRPr="00056725">
        <w:rPr>
          <w:lang w:val="en-GB"/>
        </w:rPr>
        <w:t>This</w:t>
      </w:r>
      <w:r w:rsidR="007F5890">
        <w:rPr>
          <w:lang w:val="en-GB"/>
        </w:rPr>
        <w:t xml:space="preserve"> rule</w:t>
      </w:r>
      <w:r w:rsidRPr="00056725">
        <w:rPr>
          <w:lang w:val="en-GB"/>
        </w:rPr>
        <w:t xml:space="preserve"> </w:t>
      </w:r>
      <w:r w:rsidR="00217698" w:rsidRPr="00056725">
        <w:rPr>
          <w:lang w:val="en-GB"/>
        </w:rPr>
        <w:t xml:space="preserve">was </w:t>
      </w:r>
      <w:r w:rsidRPr="00056725">
        <w:rPr>
          <w:lang w:val="en-GB"/>
        </w:rPr>
        <w:t xml:space="preserve">based on the Pareto principle, or the 80/20 rule, which </w:t>
      </w:r>
      <w:r w:rsidR="00217698" w:rsidRPr="00056725">
        <w:rPr>
          <w:lang w:val="en-GB"/>
        </w:rPr>
        <w:t xml:space="preserve">maintained </w:t>
      </w:r>
      <w:r w:rsidRPr="00056725">
        <w:rPr>
          <w:lang w:val="en-GB"/>
        </w:rPr>
        <w:t xml:space="preserve">that </w:t>
      </w:r>
      <w:r w:rsidRPr="00056725">
        <w:rPr>
          <w:rStyle w:val="Strong"/>
          <w:b w:val="0"/>
          <w:lang w:val="en-GB"/>
        </w:rPr>
        <w:t>80</w:t>
      </w:r>
      <w:r w:rsidRPr="00056725">
        <w:rPr>
          <w:lang w:val="en-GB"/>
        </w:rPr>
        <w:t xml:space="preserve"> per</w:t>
      </w:r>
      <w:r w:rsidR="007F5890">
        <w:rPr>
          <w:lang w:val="en-GB"/>
        </w:rPr>
        <w:t xml:space="preserve"> </w:t>
      </w:r>
      <w:r w:rsidRPr="00056725">
        <w:rPr>
          <w:lang w:val="en-GB"/>
        </w:rPr>
        <w:t xml:space="preserve">cent of the output from a given situation or system </w:t>
      </w:r>
      <w:r w:rsidR="00217698" w:rsidRPr="00056725">
        <w:rPr>
          <w:lang w:val="en-GB"/>
        </w:rPr>
        <w:t xml:space="preserve">was </w:t>
      </w:r>
      <w:r w:rsidRPr="00056725">
        <w:rPr>
          <w:lang w:val="en-GB"/>
        </w:rPr>
        <w:t xml:space="preserve">determined by </w:t>
      </w:r>
      <w:r w:rsidRPr="00056725">
        <w:rPr>
          <w:rStyle w:val="Strong"/>
          <w:b w:val="0"/>
          <w:lang w:val="en-GB"/>
        </w:rPr>
        <w:t>20</w:t>
      </w:r>
      <w:r w:rsidRPr="00056725">
        <w:rPr>
          <w:lang w:val="en-GB"/>
        </w:rPr>
        <w:t xml:space="preserve"> per</w:t>
      </w:r>
      <w:r w:rsidR="007F5890">
        <w:rPr>
          <w:lang w:val="en-GB"/>
        </w:rPr>
        <w:t xml:space="preserve"> </w:t>
      </w:r>
      <w:r w:rsidRPr="00056725">
        <w:rPr>
          <w:lang w:val="en-GB"/>
        </w:rPr>
        <w:t xml:space="preserve">cent of the input. As the company developed, </w:t>
      </w:r>
      <w:r w:rsidR="007F5890" w:rsidRPr="007F5890">
        <w:rPr>
          <w:lang w:val="en-GB"/>
        </w:rPr>
        <w:t>Greatwall Enterprise Institute</w:t>
      </w:r>
      <w:r w:rsidR="007F5890">
        <w:rPr>
          <w:lang w:val="en-GB"/>
        </w:rPr>
        <w:t xml:space="preserve"> (</w:t>
      </w:r>
      <w:r w:rsidRPr="00056725">
        <w:rPr>
          <w:lang w:val="en-GB"/>
        </w:rPr>
        <w:t>GEI</w:t>
      </w:r>
      <w:r w:rsidR="007F5890">
        <w:rPr>
          <w:lang w:val="en-GB"/>
        </w:rPr>
        <w:t>)</w:t>
      </w:r>
      <w:r w:rsidRPr="00056725">
        <w:rPr>
          <w:lang w:val="en-GB"/>
        </w:rPr>
        <w:t xml:space="preserve"> took the law one step further, to make it 80/20/4. GEI belie</w:t>
      </w:r>
      <w:r w:rsidR="007F5890">
        <w:rPr>
          <w:lang w:val="en-GB"/>
        </w:rPr>
        <w:t>ved</w:t>
      </w:r>
      <w:r w:rsidR="00217698" w:rsidRPr="00056725">
        <w:rPr>
          <w:lang w:val="en-GB"/>
        </w:rPr>
        <w:t xml:space="preserve"> </w:t>
      </w:r>
      <w:r w:rsidRPr="00056725">
        <w:rPr>
          <w:lang w:val="en-GB"/>
        </w:rPr>
        <w:t>that, amid the top 20 per</w:t>
      </w:r>
      <w:r w:rsidR="007F5890">
        <w:rPr>
          <w:lang w:val="en-GB"/>
        </w:rPr>
        <w:t xml:space="preserve"> </w:t>
      </w:r>
      <w:r w:rsidRPr="00056725">
        <w:rPr>
          <w:lang w:val="en-GB"/>
        </w:rPr>
        <w:t xml:space="preserve">cent of the input, an organization should pay particular attention to the top </w:t>
      </w:r>
      <w:r w:rsidR="00217698" w:rsidRPr="00056725">
        <w:rPr>
          <w:lang w:val="en-GB"/>
        </w:rPr>
        <w:t xml:space="preserve">4 </w:t>
      </w:r>
      <w:r w:rsidRPr="00056725">
        <w:rPr>
          <w:lang w:val="en-GB"/>
        </w:rPr>
        <w:t>per</w:t>
      </w:r>
      <w:r w:rsidR="00217698" w:rsidRPr="00056725">
        <w:rPr>
          <w:lang w:val="en-GB"/>
        </w:rPr>
        <w:t xml:space="preserve"> </w:t>
      </w:r>
      <w:r w:rsidRPr="00056725">
        <w:rPr>
          <w:lang w:val="en-GB"/>
        </w:rPr>
        <w:t>cent. According to GEI, this method consistently helped GEI identify the core values of its clients.</w:t>
      </w:r>
    </w:p>
    <w:p w14:paraId="34DA0892" w14:textId="77777777" w:rsidR="00EC6426" w:rsidRPr="00056725" w:rsidRDefault="00EC6426" w:rsidP="007D62D5">
      <w:pPr>
        <w:pStyle w:val="ExhibitText"/>
        <w:keepNext/>
        <w:keepLines/>
        <w:rPr>
          <w:i/>
          <w:lang w:val="en-GB"/>
        </w:rPr>
      </w:pPr>
    </w:p>
    <w:p w14:paraId="289294CF" w14:textId="50E7CB3C" w:rsidR="00357182" w:rsidRPr="00056725" w:rsidRDefault="00357182" w:rsidP="007D62D5">
      <w:pPr>
        <w:pStyle w:val="ExhibitText"/>
        <w:keepNext/>
        <w:keepLines/>
        <w:rPr>
          <w:lang w:val="en-GB"/>
        </w:rPr>
      </w:pPr>
      <w:r w:rsidRPr="007D62D5">
        <w:rPr>
          <w:b/>
          <w:i/>
          <w:lang w:val="en-GB"/>
        </w:rPr>
        <w:t>The longest stave of wooden bucket analogy</w:t>
      </w:r>
      <w:r w:rsidRPr="007D62D5">
        <w:rPr>
          <w:b/>
          <w:lang w:val="en-GB"/>
        </w:rPr>
        <w:t>.</w:t>
      </w:r>
      <w:r w:rsidRPr="00056725">
        <w:rPr>
          <w:lang w:val="en-GB"/>
        </w:rPr>
        <w:t xml:space="preserve"> In Chinese consulting circle</w:t>
      </w:r>
      <w:r w:rsidR="00217698" w:rsidRPr="00056725">
        <w:rPr>
          <w:lang w:val="en-GB"/>
        </w:rPr>
        <w:t>s</w:t>
      </w:r>
      <w:r w:rsidRPr="00056725">
        <w:rPr>
          <w:lang w:val="en-GB"/>
        </w:rPr>
        <w:t>, the</w:t>
      </w:r>
      <w:r w:rsidR="00217698" w:rsidRPr="00056725">
        <w:rPr>
          <w:lang w:val="en-GB"/>
        </w:rPr>
        <w:t xml:space="preserve"> </w:t>
      </w:r>
      <w:r w:rsidRPr="00056725">
        <w:rPr>
          <w:lang w:val="en-GB"/>
        </w:rPr>
        <w:t>well-known “wooden water bucket effect,</w:t>
      </w:r>
      <w:r w:rsidR="00217698" w:rsidRPr="00056725">
        <w:rPr>
          <w:lang w:val="en-GB"/>
        </w:rPr>
        <w:t>”</w:t>
      </w:r>
      <w:r w:rsidRPr="00056725">
        <w:rPr>
          <w:lang w:val="en-GB"/>
        </w:rPr>
        <w:t xml:space="preserve"> </w:t>
      </w:r>
      <w:r w:rsidR="00217698" w:rsidRPr="00056725">
        <w:rPr>
          <w:lang w:val="en-GB"/>
        </w:rPr>
        <w:t>was based on</w:t>
      </w:r>
      <w:r w:rsidRPr="00056725">
        <w:rPr>
          <w:lang w:val="en-GB"/>
        </w:rPr>
        <w:t xml:space="preserve"> the analogy </w:t>
      </w:r>
      <w:r w:rsidR="00BD77E4" w:rsidRPr="00056725">
        <w:rPr>
          <w:lang w:val="en-GB"/>
        </w:rPr>
        <w:t>of a wooden water bucket. Just as the bucket’s</w:t>
      </w:r>
      <w:r w:rsidRPr="00056725">
        <w:rPr>
          <w:lang w:val="en-GB"/>
        </w:rPr>
        <w:t xml:space="preserve"> capacity </w:t>
      </w:r>
      <w:r w:rsidR="00217698" w:rsidRPr="00056725">
        <w:rPr>
          <w:lang w:val="en-GB"/>
        </w:rPr>
        <w:t xml:space="preserve">was </w:t>
      </w:r>
      <w:r w:rsidRPr="00056725">
        <w:rPr>
          <w:lang w:val="en-GB"/>
        </w:rPr>
        <w:t>determined by the shortest stave</w:t>
      </w:r>
      <w:r w:rsidR="00BD77E4" w:rsidRPr="00056725">
        <w:rPr>
          <w:lang w:val="en-GB"/>
        </w:rPr>
        <w:t xml:space="preserve">, </w:t>
      </w:r>
      <w:r w:rsidRPr="00056725">
        <w:rPr>
          <w:lang w:val="en-GB"/>
        </w:rPr>
        <w:t xml:space="preserve">the strategic capability of an organization </w:t>
      </w:r>
      <w:r w:rsidR="00217698" w:rsidRPr="00056725">
        <w:rPr>
          <w:lang w:val="en-GB"/>
        </w:rPr>
        <w:t xml:space="preserve">was </w:t>
      </w:r>
      <w:r w:rsidRPr="00056725">
        <w:rPr>
          <w:lang w:val="en-GB"/>
        </w:rPr>
        <w:t xml:space="preserve">determined by </w:t>
      </w:r>
      <w:r w:rsidR="00BD77E4" w:rsidRPr="00056725">
        <w:rPr>
          <w:lang w:val="en-GB"/>
        </w:rPr>
        <w:t xml:space="preserve">its </w:t>
      </w:r>
      <w:r w:rsidRPr="00056725">
        <w:rPr>
          <w:lang w:val="en-GB"/>
        </w:rPr>
        <w:t>weakest area</w:t>
      </w:r>
      <w:r w:rsidR="007F5890">
        <w:rPr>
          <w:lang w:val="en-GB"/>
        </w:rPr>
        <w:t>,</w:t>
      </w:r>
      <w:r w:rsidRPr="00056725">
        <w:rPr>
          <w:lang w:val="en-GB"/>
        </w:rPr>
        <w:t xml:space="preserve"> similar to the “weakest link in the chain” analogy</w:t>
      </w:r>
      <w:r w:rsidR="007F5890">
        <w:rPr>
          <w:lang w:val="en-GB"/>
        </w:rPr>
        <w:t>. However</w:t>
      </w:r>
      <w:r w:rsidRPr="00056725">
        <w:rPr>
          <w:lang w:val="en-GB"/>
        </w:rPr>
        <w:t>, GEI turned that analogy upside down</w:t>
      </w:r>
      <w:r w:rsidR="007F5890">
        <w:rPr>
          <w:lang w:val="en-GB"/>
        </w:rPr>
        <w:t>. I</w:t>
      </w:r>
      <w:r w:rsidRPr="00056725">
        <w:rPr>
          <w:lang w:val="en-GB"/>
        </w:rPr>
        <w:t>nstead of improving the shortest stave, GEI focused on</w:t>
      </w:r>
      <w:r w:rsidR="007F5890">
        <w:rPr>
          <w:lang w:val="en-GB"/>
        </w:rPr>
        <w:t>,</w:t>
      </w:r>
      <w:r w:rsidRPr="00056725">
        <w:rPr>
          <w:lang w:val="en-GB"/>
        </w:rPr>
        <w:t xml:space="preserve"> and leveraged</w:t>
      </w:r>
      <w:r w:rsidR="007F5890">
        <w:rPr>
          <w:lang w:val="en-GB"/>
        </w:rPr>
        <w:t>,</w:t>
      </w:r>
      <w:r w:rsidRPr="00056725">
        <w:rPr>
          <w:lang w:val="en-GB"/>
        </w:rPr>
        <w:t xml:space="preserve"> the longest stave. </w:t>
      </w:r>
      <w:r w:rsidR="007F5890">
        <w:rPr>
          <w:lang w:val="en-GB"/>
        </w:rPr>
        <w:t>T</w:t>
      </w:r>
      <w:r w:rsidRPr="00056725">
        <w:rPr>
          <w:lang w:val="en-GB"/>
        </w:rPr>
        <w:t>o achieve explosive growth, according to GEI, an organization should invest in, and leverage, its strongest areas</w:t>
      </w:r>
      <w:r w:rsidR="00BD77E4" w:rsidRPr="00056725">
        <w:rPr>
          <w:lang w:val="en-GB"/>
        </w:rPr>
        <w:t>—</w:t>
      </w:r>
      <w:r w:rsidRPr="00056725">
        <w:rPr>
          <w:lang w:val="en-GB"/>
        </w:rPr>
        <w:t>and it should outsource its weakest areas.</w:t>
      </w:r>
    </w:p>
    <w:p w14:paraId="6CF2114A" w14:textId="77777777" w:rsidR="00EC6426" w:rsidRPr="00056725" w:rsidRDefault="00EC6426" w:rsidP="007D62D5">
      <w:pPr>
        <w:pStyle w:val="ExhibitText"/>
        <w:keepNext/>
        <w:keepLines/>
        <w:rPr>
          <w:lang w:val="en-GB"/>
        </w:rPr>
      </w:pPr>
    </w:p>
    <w:p w14:paraId="1A638B70" w14:textId="5256FF76" w:rsidR="00357182" w:rsidRPr="00056725" w:rsidRDefault="00357182" w:rsidP="007D62D5">
      <w:pPr>
        <w:pStyle w:val="ExhibitText"/>
        <w:keepNext/>
        <w:keepLines/>
        <w:rPr>
          <w:lang w:val="en-GB"/>
        </w:rPr>
      </w:pPr>
      <w:r w:rsidRPr="007D62D5">
        <w:rPr>
          <w:b/>
          <w:i/>
          <w:lang w:val="en-GB"/>
        </w:rPr>
        <w:t>The concept of brainstorming.</w:t>
      </w:r>
      <w:r w:rsidRPr="00056725">
        <w:rPr>
          <w:lang w:val="en-GB"/>
        </w:rPr>
        <w:t xml:space="preserve"> This method of generating new ideas, one that had been well accepted and widely practi</w:t>
      </w:r>
      <w:r w:rsidR="00ED099A">
        <w:rPr>
          <w:lang w:val="en-GB"/>
        </w:rPr>
        <w:t>s</w:t>
      </w:r>
      <w:r w:rsidRPr="00056725">
        <w:rPr>
          <w:lang w:val="en-GB"/>
        </w:rPr>
        <w:t>ed by</w:t>
      </w:r>
      <w:r w:rsidR="00ED099A">
        <w:rPr>
          <w:lang w:val="en-GB"/>
        </w:rPr>
        <w:t xml:space="preserve"> Western</w:t>
      </w:r>
      <w:r w:rsidRPr="00056725">
        <w:rPr>
          <w:lang w:val="en-GB"/>
        </w:rPr>
        <w:t xml:space="preserve"> firms in mature economies since the middle of the 20</w:t>
      </w:r>
      <w:r w:rsidRPr="007D62D5">
        <w:rPr>
          <w:lang w:val="en-GB"/>
        </w:rPr>
        <w:t>th</w:t>
      </w:r>
      <w:r w:rsidRPr="00056725">
        <w:rPr>
          <w:lang w:val="en-GB"/>
        </w:rPr>
        <w:t xml:space="preserve"> century, was new to China and faced resistance. Early on, GEI saw the potential of brainstorming, but the</w:t>
      </w:r>
      <w:r w:rsidR="00ED099A">
        <w:rPr>
          <w:lang w:val="en-GB"/>
        </w:rPr>
        <w:t xml:space="preserve"> compan</w:t>
      </w:r>
      <w:r w:rsidRPr="00056725">
        <w:rPr>
          <w:lang w:val="en-GB"/>
        </w:rPr>
        <w:t>y also understood why the Chinese had resisted using it</w:t>
      </w:r>
      <w:r w:rsidR="00ED099A">
        <w:rPr>
          <w:lang w:val="en-GB"/>
        </w:rPr>
        <w:t>. P</w:t>
      </w:r>
      <w:r w:rsidRPr="00056725">
        <w:rPr>
          <w:lang w:val="en-GB"/>
        </w:rPr>
        <w:t xml:space="preserve">hilosophically, creativity </w:t>
      </w:r>
      <w:r w:rsidR="00BD77E4" w:rsidRPr="00056725">
        <w:rPr>
          <w:lang w:val="en-GB"/>
        </w:rPr>
        <w:t xml:space="preserve">for Chinese people meant </w:t>
      </w:r>
      <w:r w:rsidRPr="00056725">
        <w:rPr>
          <w:lang w:val="en-GB"/>
        </w:rPr>
        <w:t xml:space="preserve">introspective soul searching by a lone thinker. The Chinese way of generating new ideas </w:t>
      </w:r>
      <w:r w:rsidR="00BD77E4" w:rsidRPr="00056725">
        <w:rPr>
          <w:lang w:val="en-GB"/>
        </w:rPr>
        <w:t xml:space="preserve">was </w:t>
      </w:r>
      <w:r w:rsidRPr="00056725">
        <w:rPr>
          <w:lang w:val="en-GB"/>
        </w:rPr>
        <w:t xml:space="preserve">to think deeply by oneself, whereas the Western way </w:t>
      </w:r>
      <w:r w:rsidR="00BD77E4" w:rsidRPr="00056725">
        <w:rPr>
          <w:lang w:val="en-GB"/>
        </w:rPr>
        <w:t xml:space="preserve">involved </w:t>
      </w:r>
      <w:r w:rsidRPr="00056725">
        <w:rPr>
          <w:lang w:val="en-GB"/>
        </w:rPr>
        <w:t xml:space="preserve">many thinkers </w:t>
      </w:r>
      <w:r w:rsidR="00BD77E4" w:rsidRPr="00056725">
        <w:rPr>
          <w:lang w:val="en-GB"/>
        </w:rPr>
        <w:t xml:space="preserve">in </w:t>
      </w:r>
      <w:r w:rsidRPr="00056725">
        <w:rPr>
          <w:lang w:val="en-GB"/>
        </w:rPr>
        <w:t>a free exchange of ideas</w:t>
      </w:r>
      <w:r w:rsidR="00BD77E4" w:rsidRPr="00056725">
        <w:rPr>
          <w:lang w:val="en-GB"/>
        </w:rPr>
        <w:t>,</w:t>
      </w:r>
      <w:r w:rsidRPr="00056725">
        <w:rPr>
          <w:lang w:val="en-GB"/>
        </w:rPr>
        <w:t xml:space="preserve"> without criticism. </w:t>
      </w:r>
      <w:r w:rsidR="00BD77E4" w:rsidRPr="00056725">
        <w:rPr>
          <w:lang w:val="en-GB"/>
        </w:rPr>
        <w:t>GEI claimed that t</w:t>
      </w:r>
      <w:r w:rsidRPr="00056725">
        <w:rPr>
          <w:lang w:val="en-GB"/>
        </w:rPr>
        <w:t>his revelation at the philosophical level about the differences between the East and West enabled the</w:t>
      </w:r>
      <w:r w:rsidR="00ED099A">
        <w:rPr>
          <w:lang w:val="en-GB"/>
        </w:rPr>
        <w:t xml:space="preserve"> company</w:t>
      </w:r>
      <w:r w:rsidRPr="00056725">
        <w:rPr>
          <w:lang w:val="en-GB"/>
        </w:rPr>
        <w:t xml:space="preserve"> to make a systematic</w:t>
      </w:r>
      <w:r w:rsidR="00BD77E4" w:rsidRPr="00056725">
        <w:rPr>
          <w:lang w:val="en-GB"/>
        </w:rPr>
        <w:t>,</w:t>
      </w:r>
      <w:r w:rsidRPr="00056725">
        <w:rPr>
          <w:lang w:val="en-GB"/>
        </w:rPr>
        <w:t xml:space="preserve"> conscious effort to introduce brainstorming into the work</w:t>
      </w:r>
      <w:r w:rsidR="00ED099A">
        <w:rPr>
          <w:lang w:val="en-GB"/>
        </w:rPr>
        <w:t>,</w:t>
      </w:r>
      <w:r w:rsidRPr="00056725">
        <w:rPr>
          <w:lang w:val="en-GB"/>
        </w:rPr>
        <w:t xml:space="preserve"> help</w:t>
      </w:r>
      <w:r w:rsidR="00ED099A">
        <w:rPr>
          <w:lang w:val="en-GB"/>
        </w:rPr>
        <w:t>ing</w:t>
      </w:r>
      <w:r w:rsidRPr="00056725">
        <w:rPr>
          <w:lang w:val="en-GB"/>
        </w:rPr>
        <w:t xml:space="preserve"> Chinese firms and local governments to create and innovate.</w:t>
      </w:r>
    </w:p>
    <w:p w14:paraId="579C6D07" w14:textId="77777777" w:rsidR="00EC6426" w:rsidRPr="00056725" w:rsidRDefault="00EC6426" w:rsidP="007D62D5">
      <w:pPr>
        <w:pStyle w:val="Footnote"/>
        <w:keepNext/>
        <w:keepLines/>
        <w:rPr>
          <w:lang w:val="en-GB"/>
        </w:rPr>
      </w:pPr>
    </w:p>
    <w:p w14:paraId="433FA62B" w14:textId="212597BA" w:rsidR="00357182" w:rsidRPr="00056725" w:rsidRDefault="00357182" w:rsidP="007D62D5">
      <w:pPr>
        <w:pStyle w:val="Footnote"/>
        <w:keepNext/>
        <w:keepLines/>
        <w:rPr>
          <w:lang w:val="en-GB"/>
        </w:rPr>
      </w:pPr>
      <w:r w:rsidRPr="00056725">
        <w:rPr>
          <w:lang w:val="en-GB"/>
        </w:rPr>
        <w:t xml:space="preserve">Source: Created by </w:t>
      </w:r>
      <w:r w:rsidR="00ED099A">
        <w:rPr>
          <w:lang w:val="en-GB"/>
        </w:rPr>
        <w:t xml:space="preserve">the case </w:t>
      </w:r>
      <w:r w:rsidRPr="00056725">
        <w:rPr>
          <w:lang w:val="en-GB"/>
        </w:rPr>
        <w:t xml:space="preserve">author </w:t>
      </w:r>
      <w:r w:rsidR="00ED099A">
        <w:rPr>
          <w:lang w:val="en-GB"/>
        </w:rPr>
        <w:t>with company</w:t>
      </w:r>
      <w:r w:rsidRPr="00056725">
        <w:rPr>
          <w:lang w:val="en-GB"/>
        </w:rPr>
        <w:t xml:space="preserve"> information</w:t>
      </w:r>
      <w:r w:rsidR="00217698" w:rsidRPr="00056725">
        <w:rPr>
          <w:lang w:val="en-GB"/>
        </w:rPr>
        <w:t>,</w:t>
      </w:r>
      <w:r w:rsidR="00EC6426" w:rsidRPr="00056725">
        <w:rPr>
          <w:lang w:val="en-GB"/>
        </w:rPr>
        <w:t xml:space="preserve"> and </w:t>
      </w:r>
      <w:r w:rsidR="00ED099A">
        <w:rPr>
          <w:lang w:val="en-GB"/>
        </w:rPr>
        <w:t xml:space="preserve">with information from </w:t>
      </w:r>
      <w:r w:rsidR="00EC6426" w:rsidRPr="00056725">
        <w:rPr>
          <w:lang w:val="en-GB"/>
        </w:rPr>
        <w:t xml:space="preserve">George E.P. Box and R. Daniel Meyer, </w:t>
      </w:r>
      <w:r w:rsidR="00217698" w:rsidRPr="00056725">
        <w:rPr>
          <w:lang w:val="en-GB"/>
        </w:rPr>
        <w:t>“</w:t>
      </w:r>
      <w:r w:rsidR="00EC6426" w:rsidRPr="00056725">
        <w:rPr>
          <w:lang w:val="en-GB"/>
        </w:rPr>
        <w:t>An Analysis for Unreplicated Fractional Factorials</w:t>
      </w:r>
      <w:r w:rsidR="00217698" w:rsidRPr="00056725">
        <w:rPr>
          <w:lang w:val="en-GB"/>
        </w:rPr>
        <w:t xml:space="preserve">,” </w:t>
      </w:r>
      <w:r w:rsidR="00EC6426" w:rsidRPr="00056725">
        <w:rPr>
          <w:i/>
          <w:lang w:val="en-GB"/>
        </w:rPr>
        <w:t>Technometrics</w:t>
      </w:r>
      <w:r w:rsidR="00EC6426" w:rsidRPr="00056725">
        <w:rPr>
          <w:lang w:val="en-GB"/>
        </w:rPr>
        <w:t xml:space="preserve"> 28, no. 1 (2012): 11</w:t>
      </w:r>
      <w:r w:rsidR="00217698" w:rsidRPr="00056725">
        <w:rPr>
          <w:lang w:val="en-GB"/>
        </w:rPr>
        <w:t>–</w:t>
      </w:r>
      <w:r w:rsidR="00EC6426" w:rsidRPr="00056725">
        <w:rPr>
          <w:lang w:val="en-GB"/>
        </w:rPr>
        <w:t>18.</w:t>
      </w:r>
    </w:p>
    <w:p w14:paraId="33DD61D4" w14:textId="64203820" w:rsidR="00EC6426" w:rsidRPr="00056725" w:rsidRDefault="00EC6426" w:rsidP="00AA6E82">
      <w:pPr>
        <w:pStyle w:val="ExhibitText"/>
        <w:rPr>
          <w:lang w:val="en-GB"/>
        </w:rPr>
      </w:pPr>
    </w:p>
    <w:p w14:paraId="43161BCF" w14:textId="77777777" w:rsidR="00AA6E82" w:rsidRPr="00056725" w:rsidRDefault="00AA6E82" w:rsidP="00AA6E82">
      <w:pPr>
        <w:pStyle w:val="ExhibitText"/>
        <w:rPr>
          <w:lang w:val="en-GB"/>
        </w:rPr>
      </w:pPr>
    </w:p>
    <w:p w14:paraId="70A22E5E" w14:textId="0D00390E" w:rsidR="00357182" w:rsidRPr="00056725" w:rsidRDefault="00357182" w:rsidP="00EC6426">
      <w:pPr>
        <w:pStyle w:val="ExhibitHeading"/>
        <w:rPr>
          <w:lang w:val="en-GB"/>
        </w:rPr>
      </w:pPr>
      <w:r w:rsidRPr="00056725">
        <w:rPr>
          <w:lang w:val="en-GB"/>
        </w:rPr>
        <w:t xml:space="preserve">EXHIBIT </w:t>
      </w:r>
      <w:r w:rsidR="00063366" w:rsidRPr="00056725">
        <w:rPr>
          <w:lang w:val="en-GB"/>
        </w:rPr>
        <w:t>6</w:t>
      </w:r>
      <w:r w:rsidRPr="00056725">
        <w:rPr>
          <w:lang w:val="en-GB"/>
        </w:rPr>
        <w:t>: THE “NEW CONCEPTS” METHOD</w:t>
      </w:r>
    </w:p>
    <w:p w14:paraId="1BB7ABD7" w14:textId="77777777" w:rsidR="00EC6426" w:rsidRPr="00056725" w:rsidRDefault="00EC6426" w:rsidP="00357182">
      <w:pPr>
        <w:pStyle w:val="ExhibitText"/>
        <w:rPr>
          <w:lang w:val="en-GB"/>
        </w:rPr>
      </w:pPr>
    </w:p>
    <w:p w14:paraId="744E03C9" w14:textId="6E178876" w:rsidR="00357182" w:rsidRPr="00056725" w:rsidRDefault="009B63A9" w:rsidP="00357182">
      <w:pPr>
        <w:pStyle w:val="ExhibitText"/>
        <w:rPr>
          <w:lang w:val="en-GB"/>
        </w:rPr>
      </w:pPr>
      <w:r>
        <w:rPr>
          <w:lang w:val="en-GB"/>
        </w:rPr>
        <w:t>G</w:t>
      </w:r>
      <w:r w:rsidRPr="007F5890">
        <w:rPr>
          <w:lang w:val="en-GB"/>
        </w:rPr>
        <w:t>reatwall Enterprise Institute</w:t>
      </w:r>
      <w:r>
        <w:rPr>
          <w:lang w:val="en-GB"/>
        </w:rPr>
        <w:t xml:space="preserve"> (</w:t>
      </w:r>
      <w:r w:rsidR="00357182" w:rsidRPr="00056725">
        <w:rPr>
          <w:lang w:val="en-GB"/>
        </w:rPr>
        <w:t>GEI</w:t>
      </w:r>
      <w:r>
        <w:rPr>
          <w:lang w:val="en-GB"/>
        </w:rPr>
        <w:t>)</w:t>
      </w:r>
      <w:r w:rsidR="00357182" w:rsidRPr="00056725">
        <w:rPr>
          <w:lang w:val="en-GB"/>
        </w:rPr>
        <w:t xml:space="preserve"> liked to develop new concepts</w:t>
      </w:r>
      <w:r w:rsidR="00BD77E4" w:rsidRPr="00056725">
        <w:rPr>
          <w:lang w:val="en-GB"/>
        </w:rPr>
        <w:t>,</w:t>
      </w:r>
      <w:r w:rsidR="00357182" w:rsidRPr="00056725">
        <w:rPr>
          <w:lang w:val="en-GB"/>
        </w:rPr>
        <w:t xml:space="preserve"> and introduced many</w:t>
      </w:r>
      <w:r w:rsidR="001D1F09">
        <w:rPr>
          <w:lang w:val="en-GB"/>
        </w:rPr>
        <w:t xml:space="preserve"> of them</w:t>
      </w:r>
      <w:r w:rsidR="00357182" w:rsidRPr="00056725">
        <w:rPr>
          <w:lang w:val="en-GB"/>
        </w:rPr>
        <w:t>. Some of the new concepts</w:t>
      </w:r>
      <w:r w:rsidR="00BD77E4" w:rsidRPr="00056725">
        <w:rPr>
          <w:lang w:val="en-GB"/>
        </w:rPr>
        <w:t>,</w:t>
      </w:r>
      <w:r w:rsidR="00357182" w:rsidRPr="00056725">
        <w:rPr>
          <w:lang w:val="en-GB"/>
        </w:rPr>
        <w:t xml:space="preserve"> </w:t>
      </w:r>
      <w:r w:rsidR="00BD77E4" w:rsidRPr="00056725">
        <w:rPr>
          <w:lang w:val="en-GB"/>
        </w:rPr>
        <w:t xml:space="preserve">such as “the new economy,” </w:t>
      </w:r>
      <w:r w:rsidR="00357182" w:rsidRPr="00056725">
        <w:rPr>
          <w:lang w:val="en-GB"/>
        </w:rPr>
        <w:t>were difficult to define</w:t>
      </w:r>
      <w:r>
        <w:rPr>
          <w:lang w:val="en-GB"/>
        </w:rPr>
        <w:t>. Others</w:t>
      </w:r>
      <w:r w:rsidR="00357182" w:rsidRPr="00056725">
        <w:rPr>
          <w:lang w:val="en-GB"/>
        </w:rPr>
        <w:t xml:space="preserve"> </w:t>
      </w:r>
      <w:r w:rsidR="001D1F09">
        <w:rPr>
          <w:lang w:val="en-GB"/>
        </w:rPr>
        <w:t>were</w:t>
      </w:r>
      <w:r w:rsidR="00357182" w:rsidRPr="00056725">
        <w:rPr>
          <w:lang w:val="en-GB"/>
        </w:rPr>
        <w:t xml:space="preserve"> not new in substance</w:t>
      </w:r>
      <w:r>
        <w:rPr>
          <w:lang w:val="en-GB"/>
        </w:rPr>
        <w:t>,</w:t>
      </w:r>
      <w:r w:rsidR="00357182" w:rsidRPr="00056725">
        <w:rPr>
          <w:lang w:val="en-GB"/>
        </w:rPr>
        <w:t xml:space="preserve"> but had new </w:t>
      </w:r>
      <w:r w:rsidR="00BD77E4" w:rsidRPr="00056725">
        <w:rPr>
          <w:lang w:val="en-GB"/>
        </w:rPr>
        <w:t>labels</w:t>
      </w:r>
      <w:r w:rsidR="00357182" w:rsidRPr="00056725">
        <w:rPr>
          <w:lang w:val="en-GB"/>
        </w:rPr>
        <w:t>. Examples include</w:t>
      </w:r>
      <w:r w:rsidR="00BD77E4" w:rsidRPr="00056725">
        <w:rPr>
          <w:lang w:val="en-GB"/>
        </w:rPr>
        <w:t>d</w:t>
      </w:r>
      <w:r w:rsidR="00357182" w:rsidRPr="00056725">
        <w:rPr>
          <w:lang w:val="en-GB"/>
        </w:rPr>
        <w:t xml:space="preserve"> terminologies</w:t>
      </w:r>
      <w:r w:rsidR="000C47A0">
        <w:rPr>
          <w:lang w:val="en-GB"/>
        </w:rPr>
        <w:t xml:space="preserve"> such</w:t>
      </w:r>
      <w:r>
        <w:rPr>
          <w:lang w:val="en-GB"/>
        </w:rPr>
        <w:t xml:space="preserve"> as</w:t>
      </w:r>
      <w:r w:rsidR="00A92D14">
        <w:rPr>
          <w:lang w:val="en-GB"/>
        </w:rPr>
        <w:t xml:space="preserve"> </w:t>
      </w:r>
      <w:r w:rsidR="00A92D14" w:rsidRPr="00067593">
        <w:rPr>
          <w:lang w:val="en-GB"/>
        </w:rPr>
        <w:t>three angles</w:t>
      </w:r>
      <w:r>
        <w:rPr>
          <w:lang w:val="en-GB"/>
        </w:rPr>
        <w:t xml:space="preserve"> and</w:t>
      </w:r>
      <w:r w:rsidR="00A92D14">
        <w:rPr>
          <w:lang w:val="en-GB"/>
        </w:rPr>
        <w:t xml:space="preserve"> the longest stave of </w:t>
      </w:r>
      <w:r>
        <w:rPr>
          <w:lang w:val="en-GB"/>
        </w:rPr>
        <w:t xml:space="preserve">a </w:t>
      </w:r>
      <w:r w:rsidR="00A92D14">
        <w:rPr>
          <w:lang w:val="en-GB"/>
        </w:rPr>
        <w:t>wooden bucket.</w:t>
      </w:r>
      <w:r w:rsidR="00357182" w:rsidRPr="00056725">
        <w:rPr>
          <w:lang w:val="en-GB"/>
        </w:rPr>
        <w:t xml:space="preserve"> Wang believed that the ability to develop and successfully introduce new concepts was a key to GEI’s success. “Unlike the U</w:t>
      </w:r>
      <w:r w:rsidR="00BD77E4" w:rsidRPr="00056725">
        <w:rPr>
          <w:lang w:val="en-GB"/>
        </w:rPr>
        <w:t>nited States,</w:t>
      </w:r>
      <w:r w:rsidR="00357182" w:rsidRPr="00056725">
        <w:rPr>
          <w:lang w:val="en-GB"/>
        </w:rPr>
        <w:t xml:space="preserve"> whose economy is mature and grows slowly and whose social system is highly developed, China, at the beginning of the reforms, was ridden with old [communist] ideas and rigid government control. We desperately needed new ideas, new concepts to wake people up, and an invigoration of the markets.” </w:t>
      </w:r>
    </w:p>
    <w:p w14:paraId="584A7865" w14:textId="77777777" w:rsidR="00EC6426" w:rsidRPr="00056725" w:rsidRDefault="00EC6426" w:rsidP="00357182">
      <w:pPr>
        <w:pStyle w:val="ExhibitText"/>
        <w:rPr>
          <w:lang w:val="en-GB"/>
        </w:rPr>
      </w:pPr>
    </w:p>
    <w:p w14:paraId="6FF43ED6" w14:textId="17DB035E" w:rsidR="00357182" w:rsidRPr="00056725" w:rsidRDefault="00357182" w:rsidP="00357182">
      <w:pPr>
        <w:pStyle w:val="ExhibitText"/>
        <w:rPr>
          <w:lang w:val="en-GB"/>
        </w:rPr>
      </w:pPr>
      <w:r w:rsidRPr="00056725">
        <w:rPr>
          <w:lang w:val="en-GB"/>
        </w:rPr>
        <w:t>Some of the new concepts were self-explanatory. But some</w:t>
      </w:r>
      <w:r w:rsidR="00BD77E4" w:rsidRPr="00056725">
        <w:rPr>
          <w:lang w:val="en-GB"/>
        </w:rPr>
        <w:t xml:space="preserve">, such as “the ability to penetrate,” “explosive growth,” and “energetic economy,” </w:t>
      </w:r>
      <w:r w:rsidRPr="00056725">
        <w:rPr>
          <w:lang w:val="en-GB"/>
        </w:rPr>
        <w:t>were not</w:t>
      </w:r>
      <w:r w:rsidR="00BD77E4" w:rsidRPr="00056725">
        <w:rPr>
          <w:lang w:val="en-GB"/>
        </w:rPr>
        <w:t>.</w:t>
      </w:r>
      <w:r w:rsidRPr="00056725">
        <w:rPr>
          <w:lang w:val="en-GB"/>
        </w:rPr>
        <w:t xml:space="preserve"> These </w:t>
      </w:r>
      <w:r w:rsidR="009B63A9">
        <w:rPr>
          <w:lang w:val="en-GB"/>
        </w:rPr>
        <w:t>could</w:t>
      </w:r>
      <w:r w:rsidRPr="00056725">
        <w:rPr>
          <w:lang w:val="en-GB"/>
        </w:rPr>
        <w:t xml:space="preserve"> be </w:t>
      </w:r>
      <w:r w:rsidR="00BD77E4" w:rsidRPr="00056725">
        <w:rPr>
          <w:lang w:val="en-GB"/>
        </w:rPr>
        <w:t xml:space="preserve">described as concepts people would </w:t>
      </w:r>
      <w:r w:rsidRPr="00056725">
        <w:rPr>
          <w:lang w:val="en-GB"/>
        </w:rPr>
        <w:t xml:space="preserve">know when </w:t>
      </w:r>
      <w:r w:rsidR="00BD77E4" w:rsidRPr="00056725">
        <w:rPr>
          <w:lang w:val="en-GB"/>
        </w:rPr>
        <w:t>they saw them</w:t>
      </w:r>
      <w:r w:rsidRPr="00056725">
        <w:rPr>
          <w:lang w:val="en-GB"/>
        </w:rPr>
        <w:t xml:space="preserve">. But the most important function of each </w:t>
      </w:r>
      <w:r w:rsidR="00BD77E4" w:rsidRPr="00056725">
        <w:rPr>
          <w:lang w:val="en-GB"/>
        </w:rPr>
        <w:t>concept</w:t>
      </w:r>
      <w:r w:rsidRPr="00056725">
        <w:rPr>
          <w:lang w:val="en-GB"/>
        </w:rPr>
        <w:t xml:space="preserve"> was to energize people to pursue new opportunities in markets, which would create new products and services. Their main effect was to be heuristic, according to GEI’s people.</w:t>
      </w:r>
    </w:p>
    <w:p w14:paraId="654C0487" w14:textId="77777777" w:rsidR="00EC6426" w:rsidRPr="00056725" w:rsidRDefault="00EC6426" w:rsidP="00EC6426">
      <w:pPr>
        <w:pStyle w:val="Footnote"/>
        <w:rPr>
          <w:lang w:val="en-GB"/>
        </w:rPr>
      </w:pPr>
    </w:p>
    <w:p w14:paraId="02804A3F" w14:textId="3D0F3940" w:rsidR="00EC6426" w:rsidRPr="0085511C" w:rsidRDefault="00EC6426" w:rsidP="00EC6426">
      <w:pPr>
        <w:pStyle w:val="Footnote"/>
        <w:rPr>
          <w:lang w:val="en-GB"/>
        </w:rPr>
      </w:pPr>
      <w:r w:rsidRPr="0085511C">
        <w:rPr>
          <w:lang w:val="en-GB"/>
        </w:rPr>
        <w:t>Note:</w:t>
      </w:r>
      <w:r w:rsidRPr="0085511C">
        <w:rPr>
          <w:rFonts w:cstheme="minorHAnsi"/>
          <w:lang w:val="en-GB"/>
        </w:rPr>
        <w:t xml:space="preserve"> According to Wang Delu, the</w:t>
      </w:r>
      <w:r w:rsidR="00BD77E4" w:rsidRPr="0085511C">
        <w:rPr>
          <w:rFonts w:cstheme="minorHAnsi"/>
          <w:lang w:val="en-GB"/>
        </w:rPr>
        <w:t xml:space="preserve"> “</w:t>
      </w:r>
      <w:r w:rsidRPr="0085511C">
        <w:rPr>
          <w:rFonts w:cstheme="minorHAnsi"/>
          <w:lang w:val="en-GB"/>
        </w:rPr>
        <w:t xml:space="preserve">new economy” </w:t>
      </w:r>
      <w:r w:rsidR="00BD77E4" w:rsidRPr="0085511C">
        <w:rPr>
          <w:rFonts w:cstheme="minorHAnsi"/>
          <w:lang w:val="en-GB"/>
        </w:rPr>
        <w:t xml:space="preserve">was </w:t>
      </w:r>
      <w:r w:rsidRPr="0085511C">
        <w:rPr>
          <w:rFonts w:cstheme="minorHAnsi"/>
          <w:lang w:val="en-GB"/>
        </w:rPr>
        <w:t>based on knowledge and creativity as opposed to tangible goods and manufacturing.</w:t>
      </w:r>
    </w:p>
    <w:p w14:paraId="23C985DF" w14:textId="16F92AC4" w:rsidR="00357182" w:rsidRPr="00056725" w:rsidRDefault="00357182" w:rsidP="00EC6426">
      <w:pPr>
        <w:pStyle w:val="Footnote"/>
        <w:rPr>
          <w:lang w:val="en-GB"/>
        </w:rPr>
      </w:pPr>
      <w:r w:rsidRPr="00056725">
        <w:rPr>
          <w:lang w:val="en-GB"/>
        </w:rPr>
        <w:t xml:space="preserve">Source: Created by </w:t>
      </w:r>
      <w:r w:rsidR="00ED004A">
        <w:rPr>
          <w:lang w:val="en-GB"/>
        </w:rPr>
        <w:t xml:space="preserve">the case </w:t>
      </w:r>
      <w:r w:rsidRPr="00056725">
        <w:rPr>
          <w:lang w:val="en-GB"/>
        </w:rPr>
        <w:t xml:space="preserve">author using </w:t>
      </w:r>
      <w:r w:rsidR="00ED004A">
        <w:rPr>
          <w:lang w:val="en-GB"/>
        </w:rPr>
        <w:t>company</w:t>
      </w:r>
      <w:r w:rsidRPr="00056725">
        <w:rPr>
          <w:lang w:val="en-GB"/>
        </w:rPr>
        <w:t xml:space="preserve"> information</w:t>
      </w:r>
      <w:r w:rsidR="00BD77E4" w:rsidRPr="00056725">
        <w:rPr>
          <w:lang w:val="en-GB"/>
        </w:rPr>
        <w:t>.</w:t>
      </w:r>
    </w:p>
    <w:p w14:paraId="05218DB0" w14:textId="14F472B0" w:rsidR="00EC6426" w:rsidRPr="00056725" w:rsidRDefault="00EC6426">
      <w:pPr>
        <w:spacing w:after="200" w:line="276" w:lineRule="auto"/>
        <w:rPr>
          <w:rFonts w:ascii="Arial" w:hAnsi="Arial" w:cs="Arial"/>
          <w:lang w:val="en-GB"/>
        </w:rPr>
      </w:pPr>
    </w:p>
    <w:p w14:paraId="00E09745" w14:textId="4317D090" w:rsidR="00FC4FDA" w:rsidRPr="00056725" w:rsidRDefault="00FC4FDA">
      <w:pPr>
        <w:spacing w:after="200" w:line="276" w:lineRule="auto"/>
        <w:rPr>
          <w:rFonts w:ascii="Arial" w:hAnsi="Arial" w:cs="Arial"/>
          <w:lang w:val="en-GB"/>
        </w:rPr>
      </w:pPr>
    </w:p>
    <w:p w14:paraId="73454BF6" w14:textId="6EB2C99C" w:rsidR="00357182" w:rsidRPr="00056725" w:rsidRDefault="00357182" w:rsidP="00EC6426">
      <w:pPr>
        <w:pStyle w:val="ExhibitHeading"/>
        <w:rPr>
          <w:lang w:val="en-GB"/>
        </w:rPr>
      </w:pPr>
      <w:r w:rsidRPr="00056725">
        <w:rPr>
          <w:lang w:val="en-GB"/>
        </w:rPr>
        <w:lastRenderedPageBreak/>
        <w:t xml:space="preserve">EXHIBIT </w:t>
      </w:r>
      <w:r w:rsidR="00063366" w:rsidRPr="00056725">
        <w:rPr>
          <w:lang w:val="en-GB"/>
        </w:rPr>
        <w:t>7</w:t>
      </w:r>
      <w:r w:rsidRPr="00056725">
        <w:rPr>
          <w:lang w:val="en-GB"/>
        </w:rPr>
        <w:t>: THE IMPORTANCE OF “INSIGHTS”</w:t>
      </w:r>
    </w:p>
    <w:p w14:paraId="448010F5" w14:textId="2E9C9288" w:rsidR="00357182" w:rsidRPr="00056725" w:rsidRDefault="00357182" w:rsidP="00357182">
      <w:pPr>
        <w:pStyle w:val="ExhibitText"/>
        <w:rPr>
          <w:lang w:val="en-GB"/>
        </w:rPr>
      </w:pPr>
    </w:p>
    <w:p w14:paraId="001752C3" w14:textId="714E15A9" w:rsidR="00357182" w:rsidRPr="00056725" w:rsidRDefault="00357182" w:rsidP="00357182">
      <w:pPr>
        <w:pStyle w:val="ExhibitText"/>
        <w:rPr>
          <w:lang w:val="en-GB"/>
        </w:rPr>
      </w:pPr>
      <w:r w:rsidRPr="00056725">
        <w:rPr>
          <w:lang w:val="en-GB"/>
        </w:rPr>
        <w:t xml:space="preserve">Wang and </w:t>
      </w:r>
      <w:r w:rsidR="009B63A9">
        <w:rPr>
          <w:lang w:val="en-GB"/>
        </w:rPr>
        <w:t>G</w:t>
      </w:r>
      <w:r w:rsidR="009B63A9" w:rsidRPr="007F5890">
        <w:rPr>
          <w:lang w:val="en-GB"/>
        </w:rPr>
        <w:t>reatwall Enterprise Institute</w:t>
      </w:r>
      <w:r w:rsidR="009B63A9">
        <w:rPr>
          <w:lang w:val="en-GB"/>
        </w:rPr>
        <w:t xml:space="preserve"> (</w:t>
      </w:r>
      <w:r w:rsidRPr="00056725">
        <w:rPr>
          <w:lang w:val="en-GB"/>
        </w:rPr>
        <w:t>GEI</w:t>
      </w:r>
      <w:r w:rsidR="009B63A9">
        <w:rPr>
          <w:lang w:val="en-GB"/>
        </w:rPr>
        <w:t>)</w:t>
      </w:r>
      <w:r w:rsidRPr="00056725">
        <w:rPr>
          <w:lang w:val="en-GB"/>
        </w:rPr>
        <w:t xml:space="preserve"> emphasized the ability to </w:t>
      </w:r>
      <w:r w:rsidRPr="00056725">
        <w:rPr>
          <w:i/>
          <w:lang w:val="en-GB"/>
        </w:rPr>
        <w:t xml:space="preserve">generate insights </w:t>
      </w:r>
      <w:r w:rsidRPr="00056725">
        <w:rPr>
          <w:lang w:val="en-GB"/>
        </w:rPr>
        <w:t xml:space="preserve">for clients. Wang defined insights as “new, important views on a subject that </w:t>
      </w:r>
      <w:r w:rsidR="00743B41" w:rsidRPr="00056725">
        <w:rPr>
          <w:lang w:val="en-GB"/>
        </w:rPr>
        <w:t>we</w:t>
      </w:r>
      <w:r w:rsidR="00BD77E4" w:rsidRPr="00056725">
        <w:rPr>
          <w:lang w:val="en-GB"/>
        </w:rPr>
        <w:t xml:space="preserve">re </w:t>
      </w:r>
      <w:r w:rsidRPr="00056725">
        <w:rPr>
          <w:lang w:val="en-GB"/>
        </w:rPr>
        <w:t xml:space="preserve">not obvious and that </w:t>
      </w:r>
      <w:r w:rsidR="00BD77E4" w:rsidRPr="00056725">
        <w:rPr>
          <w:lang w:val="en-GB"/>
        </w:rPr>
        <w:t xml:space="preserve">might </w:t>
      </w:r>
      <w:r w:rsidRPr="00056725">
        <w:rPr>
          <w:lang w:val="en-GB"/>
        </w:rPr>
        <w:t xml:space="preserve">change the existing views of the experts on the subject.” Insights </w:t>
      </w:r>
      <w:r w:rsidR="00BD77E4" w:rsidRPr="00056725">
        <w:rPr>
          <w:lang w:val="en-GB"/>
        </w:rPr>
        <w:t xml:space="preserve">were </w:t>
      </w:r>
      <w:r w:rsidRPr="00056725">
        <w:rPr>
          <w:lang w:val="en-GB"/>
        </w:rPr>
        <w:t xml:space="preserve">derived from “the ability to comprehend a phenomenon with accuracy and depth.” </w:t>
      </w:r>
    </w:p>
    <w:p w14:paraId="039B7945" w14:textId="77777777" w:rsidR="00BD77E4" w:rsidRPr="00056725" w:rsidRDefault="00BD77E4" w:rsidP="00357182">
      <w:pPr>
        <w:pStyle w:val="ExhibitText"/>
        <w:rPr>
          <w:lang w:val="en-GB"/>
        </w:rPr>
      </w:pPr>
    </w:p>
    <w:p w14:paraId="19CEA875" w14:textId="4442613D" w:rsidR="00357182" w:rsidRPr="00056725" w:rsidRDefault="00357182" w:rsidP="00357182">
      <w:pPr>
        <w:pStyle w:val="ExhibitText"/>
        <w:rPr>
          <w:lang w:val="en-GB"/>
        </w:rPr>
      </w:pPr>
      <w:r w:rsidRPr="00056725">
        <w:rPr>
          <w:lang w:val="en-GB"/>
        </w:rPr>
        <w:t xml:space="preserve">Wang valued </w:t>
      </w:r>
      <w:r w:rsidR="00BD77E4" w:rsidRPr="00056725">
        <w:rPr>
          <w:lang w:val="en-GB"/>
        </w:rPr>
        <w:t>consultant</w:t>
      </w:r>
      <w:r w:rsidR="0085580A">
        <w:rPr>
          <w:lang w:val="en-GB"/>
        </w:rPr>
        <w:t>s</w:t>
      </w:r>
      <w:r w:rsidR="00BD77E4" w:rsidRPr="00056725">
        <w:rPr>
          <w:lang w:val="en-GB"/>
        </w:rPr>
        <w:t>’</w:t>
      </w:r>
      <w:r w:rsidRPr="00056725">
        <w:rPr>
          <w:lang w:val="en-GB"/>
        </w:rPr>
        <w:t xml:space="preserve"> </w:t>
      </w:r>
      <w:r w:rsidR="00BD77E4" w:rsidRPr="00056725">
        <w:rPr>
          <w:lang w:val="en-GB"/>
        </w:rPr>
        <w:t xml:space="preserve">breadth </w:t>
      </w:r>
      <w:r w:rsidRPr="00056725">
        <w:rPr>
          <w:lang w:val="en-GB"/>
        </w:rPr>
        <w:t>of knowledge more than the</w:t>
      </w:r>
      <w:r w:rsidR="00BD77E4" w:rsidRPr="00056725">
        <w:rPr>
          <w:lang w:val="en-GB"/>
        </w:rPr>
        <w:t>ir</w:t>
      </w:r>
      <w:r w:rsidRPr="00056725">
        <w:rPr>
          <w:lang w:val="en-GB"/>
        </w:rPr>
        <w:t xml:space="preserve"> depth of knowledge. He believed that broad knowledge, such as interdisciplinary knowledge or the ability to cross subject areas, helped a consultant to achieve more general insights.</w:t>
      </w:r>
    </w:p>
    <w:p w14:paraId="7313B080" w14:textId="77777777" w:rsidR="00EC6426" w:rsidRPr="00056725" w:rsidRDefault="00EC6426" w:rsidP="00357182">
      <w:pPr>
        <w:pStyle w:val="ExhibitText"/>
        <w:rPr>
          <w:lang w:val="en-GB"/>
        </w:rPr>
      </w:pPr>
    </w:p>
    <w:p w14:paraId="28214B07" w14:textId="112DCA17" w:rsidR="00357182" w:rsidRPr="00056725" w:rsidRDefault="00357182" w:rsidP="00357182">
      <w:pPr>
        <w:pStyle w:val="ExhibitText"/>
        <w:rPr>
          <w:lang w:val="en-GB"/>
        </w:rPr>
      </w:pPr>
      <w:r w:rsidRPr="00056725">
        <w:rPr>
          <w:lang w:val="en-GB"/>
        </w:rPr>
        <w:t xml:space="preserve">GEI put great emphasis on its ability to generate insights for its clients. Wang reported that he </w:t>
      </w:r>
      <w:r w:rsidR="00743B41" w:rsidRPr="00056725">
        <w:rPr>
          <w:lang w:val="en-GB"/>
        </w:rPr>
        <w:t xml:space="preserve">believed </w:t>
      </w:r>
      <w:r w:rsidRPr="00056725">
        <w:rPr>
          <w:lang w:val="en-GB"/>
        </w:rPr>
        <w:t xml:space="preserve">this </w:t>
      </w:r>
      <w:r w:rsidR="00743B41" w:rsidRPr="00056725">
        <w:rPr>
          <w:lang w:val="en-GB"/>
        </w:rPr>
        <w:t xml:space="preserve">was </w:t>
      </w:r>
      <w:r w:rsidRPr="00056725">
        <w:rPr>
          <w:lang w:val="en-GB"/>
        </w:rPr>
        <w:t xml:space="preserve">a key feature of a great consulting firm. GEI </w:t>
      </w:r>
      <w:r w:rsidR="00743B41" w:rsidRPr="00056725">
        <w:rPr>
          <w:lang w:val="en-GB"/>
        </w:rPr>
        <w:t xml:space="preserve">had </w:t>
      </w:r>
      <w:r w:rsidRPr="00056725">
        <w:rPr>
          <w:lang w:val="en-GB"/>
        </w:rPr>
        <w:t>been exploring ways to improve its consultants’ ability to generate insights. So far, these ways included adjusting mindset</w:t>
      </w:r>
      <w:r w:rsidR="00743B41" w:rsidRPr="00056725">
        <w:rPr>
          <w:lang w:val="en-GB"/>
        </w:rPr>
        <w:t>s</w:t>
      </w:r>
      <w:r w:rsidRPr="00056725">
        <w:rPr>
          <w:lang w:val="en-GB"/>
        </w:rPr>
        <w:t xml:space="preserve"> (embracing new concepts), developing alertness for new ideas (valuing hunches), and distilling and synthesizing, in order to create insights.</w:t>
      </w:r>
    </w:p>
    <w:p w14:paraId="265E3526" w14:textId="77777777" w:rsidR="009E241F" w:rsidRPr="00056725" w:rsidRDefault="009E241F" w:rsidP="00357182">
      <w:pPr>
        <w:pStyle w:val="ExhibitText"/>
        <w:rPr>
          <w:lang w:val="en-GB"/>
        </w:rPr>
      </w:pPr>
    </w:p>
    <w:p w14:paraId="4DB35925" w14:textId="0C7D205A" w:rsidR="00787D50" w:rsidRDefault="00357182" w:rsidP="00787D50">
      <w:pPr>
        <w:pStyle w:val="Footnote"/>
        <w:rPr>
          <w:lang w:val="en-GB"/>
        </w:rPr>
      </w:pPr>
      <w:r w:rsidRPr="00056725">
        <w:rPr>
          <w:lang w:val="en-GB"/>
        </w:rPr>
        <w:t xml:space="preserve">Source: Created by </w:t>
      </w:r>
      <w:r w:rsidR="00ED004A">
        <w:rPr>
          <w:lang w:val="en-GB"/>
        </w:rPr>
        <w:t xml:space="preserve">the case </w:t>
      </w:r>
      <w:r w:rsidRPr="00056725">
        <w:rPr>
          <w:lang w:val="en-GB"/>
        </w:rPr>
        <w:t xml:space="preserve">author using </w:t>
      </w:r>
      <w:r w:rsidR="00ED004A">
        <w:rPr>
          <w:lang w:val="en-GB"/>
        </w:rPr>
        <w:t>company</w:t>
      </w:r>
      <w:r w:rsidRPr="00056725">
        <w:rPr>
          <w:lang w:val="en-GB"/>
        </w:rPr>
        <w:t xml:space="preserve"> information</w:t>
      </w:r>
      <w:r w:rsidR="00936468" w:rsidRPr="00056725">
        <w:rPr>
          <w:lang w:val="en-GB"/>
        </w:rPr>
        <w:t>.</w:t>
      </w:r>
    </w:p>
    <w:p w14:paraId="55AB6553" w14:textId="0729B69E" w:rsidR="00787D50" w:rsidRDefault="00787D50" w:rsidP="00787D50">
      <w:pPr>
        <w:pStyle w:val="ExhibitText"/>
        <w:rPr>
          <w:lang w:val="en-GB"/>
        </w:rPr>
      </w:pPr>
    </w:p>
    <w:p w14:paraId="664F8DA2" w14:textId="77777777" w:rsidR="009E241F" w:rsidRDefault="009E241F" w:rsidP="00787D50">
      <w:pPr>
        <w:pStyle w:val="ExhibitText"/>
        <w:rPr>
          <w:lang w:val="en-GB"/>
        </w:rPr>
      </w:pPr>
    </w:p>
    <w:p w14:paraId="0C13660F" w14:textId="77777777" w:rsidR="00787D50" w:rsidRDefault="00787D50" w:rsidP="00787D50">
      <w:pPr>
        <w:pStyle w:val="ExhibitText"/>
        <w:rPr>
          <w:lang w:val="en-GB"/>
        </w:rPr>
      </w:pPr>
    </w:p>
    <w:p w14:paraId="00BF8F11" w14:textId="374ECC47" w:rsidR="00063366" w:rsidRPr="00056725" w:rsidRDefault="00063366" w:rsidP="00787D50">
      <w:pPr>
        <w:pStyle w:val="ExhibitHeading"/>
        <w:rPr>
          <w:lang w:val="en-GB"/>
        </w:rPr>
      </w:pPr>
      <w:r w:rsidRPr="00056725">
        <w:rPr>
          <w:lang w:val="en-GB"/>
        </w:rPr>
        <w:t>EXHIBIT 8: SAMPLE G</w:t>
      </w:r>
      <w:r w:rsidR="00ED004A" w:rsidRPr="009310CF">
        <w:rPr>
          <w:lang w:val="en-GB"/>
        </w:rPr>
        <w:t>reatwall Enterprise Institute</w:t>
      </w:r>
      <w:r w:rsidRPr="00056725">
        <w:rPr>
          <w:lang w:val="en-GB"/>
        </w:rPr>
        <w:t xml:space="preserve"> PROJECTS</w:t>
      </w:r>
    </w:p>
    <w:p w14:paraId="4FE02012" w14:textId="77777777" w:rsidR="00063366" w:rsidRPr="00056725" w:rsidRDefault="00063366" w:rsidP="00787D50">
      <w:pPr>
        <w:pStyle w:val="ExhibitText"/>
        <w:rPr>
          <w:lang w:val="en-GB"/>
        </w:rPr>
      </w:pPr>
    </w:p>
    <w:p w14:paraId="643B2269" w14:textId="75BC6F52" w:rsidR="00063366" w:rsidRPr="00056725" w:rsidRDefault="009E241F" w:rsidP="00787D50">
      <w:pPr>
        <w:pStyle w:val="Casehead2"/>
        <w:rPr>
          <w:lang w:val="en-GB"/>
        </w:rPr>
      </w:pPr>
      <w:r w:rsidRPr="00056725">
        <w:rPr>
          <w:lang w:val="en-GB"/>
        </w:rPr>
        <w:t>S</w:t>
      </w:r>
      <w:r>
        <w:rPr>
          <w:lang w:val="en-GB"/>
        </w:rPr>
        <w:t xml:space="preserve">cience and </w:t>
      </w:r>
      <w:r w:rsidRPr="00056725">
        <w:rPr>
          <w:lang w:val="en-GB"/>
        </w:rPr>
        <w:t>T</w:t>
      </w:r>
      <w:r>
        <w:rPr>
          <w:lang w:val="en-GB"/>
        </w:rPr>
        <w:t xml:space="preserve">echnology </w:t>
      </w:r>
      <w:r w:rsidRPr="00056725">
        <w:rPr>
          <w:lang w:val="en-GB"/>
        </w:rPr>
        <w:t>P</w:t>
      </w:r>
      <w:r>
        <w:rPr>
          <w:lang w:val="en-GB"/>
        </w:rPr>
        <w:t>arks</w:t>
      </w:r>
      <w:r w:rsidRPr="00056725">
        <w:rPr>
          <w:lang w:val="en-GB"/>
        </w:rPr>
        <w:t xml:space="preserve"> </w:t>
      </w:r>
      <w:r>
        <w:rPr>
          <w:lang w:val="en-GB"/>
        </w:rPr>
        <w:t>(</w:t>
      </w:r>
      <w:r w:rsidR="00063366" w:rsidRPr="00056725">
        <w:rPr>
          <w:lang w:val="en-GB"/>
        </w:rPr>
        <w:t>STP</w:t>
      </w:r>
      <w:r>
        <w:rPr>
          <w:lang w:val="en-GB"/>
        </w:rPr>
        <w:t>)</w:t>
      </w:r>
      <w:r w:rsidR="00063366" w:rsidRPr="00056725">
        <w:rPr>
          <w:lang w:val="en-GB"/>
        </w:rPr>
        <w:t xml:space="preserve"> Administrative Committee Projects</w:t>
      </w:r>
    </w:p>
    <w:p w14:paraId="4BA41393" w14:textId="77777777" w:rsidR="00063366" w:rsidRPr="00056725" w:rsidRDefault="00063366" w:rsidP="00787D50">
      <w:pPr>
        <w:pStyle w:val="ExhibitText"/>
        <w:rPr>
          <w:lang w:val="en-GB"/>
        </w:rPr>
      </w:pPr>
    </w:p>
    <w:p w14:paraId="708FCAC9" w14:textId="48B48C65" w:rsidR="00063366" w:rsidRPr="00056725" w:rsidRDefault="00063366" w:rsidP="00787D50">
      <w:pPr>
        <w:pStyle w:val="ExhibitText"/>
        <w:rPr>
          <w:lang w:val="en-GB"/>
        </w:rPr>
      </w:pPr>
      <w:r w:rsidRPr="00056725">
        <w:rPr>
          <w:i/>
          <w:lang w:val="en-GB"/>
        </w:rPr>
        <w:t>Luoyang STP Administrative System Reform Project</w:t>
      </w:r>
      <w:r w:rsidRPr="00056725">
        <w:rPr>
          <w:lang w:val="en-GB"/>
        </w:rPr>
        <w:t xml:space="preserve"> (2017–</w:t>
      </w:r>
      <w:r w:rsidR="0085580A">
        <w:rPr>
          <w:lang w:val="en-GB"/>
        </w:rPr>
        <w:t xml:space="preserve"> </w:t>
      </w:r>
      <w:r w:rsidRPr="00056725">
        <w:rPr>
          <w:lang w:val="en-GB"/>
        </w:rPr>
        <w:t>)</w:t>
      </w:r>
      <w:r w:rsidR="0085580A">
        <w:rPr>
          <w:lang w:val="en-GB"/>
        </w:rPr>
        <w:t>:</w:t>
      </w:r>
      <w:r w:rsidRPr="00056725">
        <w:rPr>
          <w:lang w:val="en-GB"/>
        </w:rPr>
        <w:t xml:space="preserve"> Luoyang City (population 7.1 million) was in the central province of Henan. Its STP, with an area of 110 square kilometres, was founded in 1992. The project was to help the administrative committee design, develop, and implement reform plans in the following four areas: (1) organizational design and management for the STP, (2) job descriptions and recruitment, (3) performance evaluation, and (4) salary and incentive design. </w:t>
      </w:r>
    </w:p>
    <w:p w14:paraId="57637FCC" w14:textId="77777777" w:rsidR="00063366" w:rsidRPr="00056725" w:rsidRDefault="00063366" w:rsidP="00787D50">
      <w:pPr>
        <w:pStyle w:val="ExhibitText"/>
        <w:rPr>
          <w:lang w:val="en-GB"/>
        </w:rPr>
      </w:pPr>
    </w:p>
    <w:p w14:paraId="1F2A9BD7" w14:textId="272A3CB8" w:rsidR="00063366" w:rsidRPr="00056725" w:rsidRDefault="009E241F" w:rsidP="00787D50">
      <w:pPr>
        <w:pStyle w:val="ExhibitText"/>
        <w:rPr>
          <w:lang w:val="en-GB"/>
        </w:rPr>
      </w:pPr>
      <w:r>
        <w:rPr>
          <w:lang w:val="en-GB"/>
        </w:rPr>
        <w:t>G</w:t>
      </w:r>
      <w:r w:rsidRPr="007F5890">
        <w:rPr>
          <w:lang w:val="en-GB"/>
        </w:rPr>
        <w:t>reatwall Enterprise Institute</w:t>
      </w:r>
      <w:r>
        <w:rPr>
          <w:lang w:val="en-GB"/>
        </w:rPr>
        <w:t xml:space="preserve"> (</w:t>
      </w:r>
      <w:r w:rsidR="00063366" w:rsidRPr="00056725">
        <w:rPr>
          <w:lang w:val="en-GB"/>
        </w:rPr>
        <w:t>GEI</w:t>
      </w:r>
      <w:r>
        <w:rPr>
          <w:lang w:val="en-GB"/>
        </w:rPr>
        <w:t>)</w:t>
      </w:r>
      <w:r w:rsidR="00063366" w:rsidRPr="00056725">
        <w:rPr>
          <w:lang w:val="en-GB"/>
        </w:rPr>
        <w:t xml:space="preserve"> did similar projects for the following STPs:</w:t>
      </w:r>
    </w:p>
    <w:p w14:paraId="16191323" w14:textId="77777777" w:rsidR="009E241F" w:rsidRDefault="009E241F" w:rsidP="00787D50">
      <w:pPr>
        <w:pStyle w:val="ExhibitText"/>
        <w:rPr>
          <w:lang w:val="en-GB"/>
        </w:rPr>
      </w:pPr>
    </w:p>
    <w:p w14:paraId="40A93BB5" w14:textId="4EB1CD2D" w:rsidR="00063366" w:rsidRPr="00056725" w:rsidRDefault="00063366" w:rsidP="00787D50">
      <w:pPr>
        <w:pStyle w:val="ExhibitText"/>
        <w:rPr>
          <w:lang w:val="en-GB"/>
        </w:rPr>
      </w:pPr>
      <w:r w:rsidRPr="00056725">
        <w:rPr>
          <w:lang w:val="en-GB"/>
        </w:rPr>
        <w:t>Wuhan Donghu STP (Hubei); Shijiazhuang STP (Hebei); Chengdu STP (Sichuan); Hefei STP (Anhui); Foshan STP (Guangdong); National STP Administration (central government in Beijing); Zhengzhou STP (Henan); Lianyungang STP (</w:t>
      </w:r>
      <w:r w:rsidR="003A5BD7">
        <w:rPr>
          <w:lang w:val="en-GB"/>
        </w:rPr>
        <w:t>Jiangsu</w:t>
      </w:r>
      <w:r w:rsidRPr="00056725">
        <w:rPr>
          <w:lang w:val="en-GB"/>
        </w:rPr>
        <w:t>); Xuzhou STP (Jiangsu); Zhongguancun STP (Beijing); Haikou STP (Hainan); and Xiangfan STP (Hubei).</w:t>
      </w:r>
    </w:p>
    <w:p w14:paraId="376455DD" w14:textId="77777777" w:rsidR="00063366" w:rsidRPr="00056725" w:rsidRDefault="00063366" w:rsidP="00787D50">
      <w:pPr>
        <w:pStyle w:val="ExhibitText"/>
        <w:rPr>
          <w:lang w:val="en-GB"/>
        </w:rPr>
      </w:pPr>
    </w:p>
    <w:p w14:paraId="1F3EC139" w14:textId="77777777" w:rsidR="00063366" w:rsidRPr="00056725" w:rsidRDefault="00063366" w:rsidP="00787D50">
      <w:pPr>
        <w:pStyle w:val="ExhibitText"/>
        <w:rPr>
          <w:lang w:val="en-GB"/>
        </w:rPr>
      </w:pPr>
    </w:p>
    <w:p w14:paraId="45877B8D" w14:textId="77777777" w:rsidR="00063366" w:rsidRPr="00056725" w:rsidRDefault="00063366" w:rsidP="00787D50">
      <w:pPr>
        <w:pStyle w:val="ExhibitText"/>
        <w:rPr>
          <w:b/>
          <w:lang w:val="en-GB"/>
        </w:rPr>
      </w:pPr>
      <w:r w:rsidRPr="00056725">
        <w:rPr>
          <w:b/>
          <w:lang w:val="en-GB"/>
        </w:rPr>
        <w:t>Hybrid Projects</w:t>
      </w:r>
    </w:p>
    <w:p w14:paraId="799BB3E0" w14:textId="77777777" w:rsidR="00063366" w:rsidRPr="00056725" w:rsidRDefault="00063366" w:rsidP="00787D50">
      <w:pPr>
        <w:pStyle w:val="ExhibitText"/>
        <w:rPr>
          <w:lang w:val="en-GB"/>
        </w:rPr>
      </w:pPr>
    </w:p>
    <w:p w14:paraId="0BBBC9F5" w14:textId="761D61EA" w:rsidR="00787D50" w:rsidRDefault="00063366" w:rsidP="00787D50">
      <w:pPr>
        <w:pStyle w:val="ExhibitText"/>
        <w:rPr>
          <w:lang w:val="en-GB"/>
        </w:rPr>
      </w:pPr>
      <w:r w:rsidRPr="00056725">
        <w:rPr>
          <w:i/>
          <w:lang w:val="en-GB"/>
        </w:rPr>
        <w:t xml:space="preserve">Wuhan Donghu STP Gazelle Development Project </w:t>
      </w:r>
      <w:r w:rsidRPr="00056725">
        <w:rPr>
          <w:lang w:val="en-GB"/>
        </w:rPr>
        <w:t>(2011–</w:t>
      </w:r>
      <w:r w:rsidR="0085580A">
        <w:rPr>
          <w:lang w:val="en-GB"/>
        </w:rPr>
        <w:t xml:space="preserve"> </w:t>
      </w:r>
      <w:r w:rsidRPr="00056725">
        <w:rPr>
          <w:lang w:val="en-GB"/>
        </w:rPr>
        <w:t>)</w:t>
      </w:r>
      <w:r w:rsidR="0085580A">
        <w:rPr>
          <w:lang w:val="en-GB"/>
        </w:rPr>
        <w:t>:</w:t>
      </w:r>
      <w:r w:rsidRPr="00056725">
        <w:rPr>
          <w:lang w:val="en-GB"/>
        </w:rPr>
        <w:t xml:space="preserve"> Wuhan (population 10.6 million) was a major city in the central province of Hubei. The Donghu STP, </w:t>
      </w:r>
      <w:r w:rsidR="009E241F">
        <w:rPr>
          <w:lang w:val="en-GB"/>
        </w:rPr>
        <w:t>at</w:t>
      </w:r>
      <w:r w:rsidRPr="00056725">
        <w:rPr>
          <w:lang w:val="en-GB"/>
        </w:rPr>
        <w:t xml:space="preserve"> 518 square kilometres, was founded in 1988. It commissioned GEI to carry out this project to identify and designate “gazelle” firms. GEI helped Donghu STP identify and designate 102 gazelles in 2012, and by 2017, the number of gazelle firms had increased to 320. GEI provided consulting services to the top 10 gazelles each year. The projects were funded by STP administrative committees (75</w:t>
      </w:r>
      <w:r w:rsidR="009E241F">
        <w:rPr>
          <w:lang w:val="en-GB"/>
        </w:rPr>
        <w:t xml:space="preserve"> per cent</w:t>
      </w:r>
      <w:r w:rsidRPr="00056725">
        <w:rPr>
          <w:lang w:val="en-GB"/>
        </w:rPr>
        <w:t>) and by the firms (25</w:t>
      </w:r>
      <w:r w:rsidR="009E241F">
        <w:rPr>
          <w:lang w:val="en-GB"/>
        </w:rPr>
        <w:t xml:space="preserve"> per cent</w:t>
      </w:r>
      <w:r w:rsidRPr="00056725">
        <w:rPr>
          <w:lang w:val="en-GB"/>
        </w:rPr>
        <w:t xml:space="preserve">). Services included firm diagnosis, positioning, business focus, business model development, strategic development, organizational optimization, and human resource upgrading. </w:t>
      </w:r>
    </w:p>
    <w:p w14:paraId="3777ABC4" w14:textId="77777777" w:rsidR="00787D50" w:rsidRDefault="00787D50" w:rsidP="00787D50">
      <w:pPr>
        <w:pStyle w:val="ExhibitText"/>
        <w:rPr>
          <w:lang w:val="en-GB"/>
        </w:rPr>
      </w:pPr>
    </w:p>
    <w:p w14:paraId="6E53F858" w14:textId="21AA237D" w:rsidR="00787D50" w:rsidRDefault="00063366" w:rsidP="00787D50">
      <w:pPr>
        <w:pStyle w:val="ExhibitText"/>
        <w:rPr>
          <w:lang w:val="en-GB"/>
        </w:rPr>
      </w:pPr>
      <w:r w:rsidRPr="00056725">
        <w:rPr>
          <w:lang w:val="en-GB"/>
        </w:rPr>
        <w:t>Similar projects handled by GEI in other regions included Zhongguancun STP (Beijing); Daqing (Heilongjiang); Ningbo (Zhejiang); Binhai (Tianjin); Guangzhou (Guangdong); Huizhou (Guangdong); Jinan (Shandong); Chengdu (Sichuan); and Nanjing (Jiangsu).</w:t>
      </w:r>
    </w:p>
    <w:p w14:paraId="17202537" w14:textId="77777777" w:rsidR="00787D50" w:rsidRDefault="00787D50">
      <w:pPr>
        <w:spacing w:after="200" w:line="276" w:lineRule="auto"/>
        <w:rPr>
          <w:rFonts w:ascii="Arial" w:hAnsi="Arial" w:cs="Arial"/>
          <w:lang w:val="en-GB"/>
        </w:rPr>
      </w:pPr>
      <w:r>
        <w:rPr>
          <w:lang w:val="en-GB"/>
        </w:rPr>
        <w:br w:type="page"/>
      </w:r>
    </w:p>
    <w:p w14:paraId="49315DEE" w14:textId="1284155A" w:rsidR="00787D50" w:rsidRDefault="00787D50" w:rsidP="00787D50">
      <w:pPr>
        <w:pStyle w:val="ExhibitHeading"/>
        <w:rPr>
          <w:lang w:val="en-GB"/>
        </w:rPr>
      </w:pPr>
      <w:r w:rsidRPr="00056725">
        <w:rPr>
          <w:lang w:val="en-GB"/>
        </w:rPr>
        <w:lastRenderedPageBreak/>
        <w:t>EXHIBIT 8</w:t>
      </w:r>
      <w:r>
        <w:rPr>
          <w:lang w:val="en-GB"/>
        </w:rPr>
        <w:t>: (Continued)</w:t>
      </w:r>
    </w:p>
    <w:p w14:paraId="370F64AB" w14:textId="77777777" w:rsidR="00787D50" w:rsidRDefault="00787D50" w:rsidP="007D62D5">
      <w:pPr>
        <w:pStyle w:val="ExhibitText"/>
        <w:keepNext/>
        <w:keepLines/>
        <w:rPr>
          <w:b/>
          <w:lang w:val="en-GB"/>
        </w:rPr>
      </w:pPr>
    </w:p>
    <w:p w14:paraId="22C5AF49" w14:textId="71C8952A" w:rsidR="00063366" w:rsidRPr="00056725" w:rsidRDefault="00063366" w:rsidP="007D62D5">
      <w:pPr>
        <w:pStyle w:val="ExhibitText"/>
        <w:keepNext/>
        <w:keepLines/>
        <w:rPr>
          <w:b/>
          <w:lang w:val="en-GB"/>
        </w:rPr>
      </w:pPr>
      <w:r w:rsidRPr="00056725">
        <w:rPr>
          <w:b/>
          <w:lang w:val="en-GB"/>
        </w:rPr>
        <w:t>Business Projects</w:t>
      </w:r>
    </w:p>
    <w:p w14:paraId="14E23A98" w14:textId="77777777" w:rsidR="00063366" w:rsidRPr="00056725" w:rsidRDefault="00063366" w:rsidP="007D62D5">
      <w:pPr>
        <w:pStyle w:val="ExhibitText"/>
        <w:keepNext/>
        <w:keepLines/>
        <w:rPr>
          <w:lang w:val="en-GB"/>
        </w:rPr>
      </w:pPr>
    </w:p>
    <w:p w14:paraId="45EEA01A" w14:textId="675566AD" w:rsidR="00063366" w:rsidRPr="00056725" w:rsidRDefault="00063366" w:rsidP="007D62D5">
      <w:pPr>
        <w:pStyle w:val="ExhibitText"/>
        <w:keepNext/>
        <w:keepLines/>
        <w:rPr>
          <w:lang w:val="en-GB"/>
        </w:rPr>
      </w:pPr>
      <w:r w:rsidRPr="00056725">
        <w:rPr>
          <w:lang w:val="en-GB"/>
        </w:rPr>
        <w:t>Jing Brand Co. Strategic Consulting Project (1995–</w:t>
      </w:r>
      <w:r w:rsidR="0085580A">
        <w:rPr>
          <w:lang w:val="en-GB"/>
        </w:rPr>
        <w:t xml:space="preserve"> </w:t>
      </w:r>
      <w:r w:rsidRPr="00056725">
        <w:rPr>
          <w:lang w:val="en-GB"/>
        </w:rPr>
        <w:t>)</w:t>
      </w:r>
      <w:r w:rsidR="0085580A">
        <w:rPr>
          <w:lang w:val="en-GB"/>
        </w:rPr>
        <w:t>:</w:t>
      </w:r>
      <w:r w:rsidRPr="00056725">
        <w:rPr>
          <w:lang w:val="en-GB"/>
        </w:rPr>
        <w:t xml:space="preserve"> Jing Brand Co. (</w:t>
      </w:r>
      <w:r w:rsidRPr="00056725">
        <w:rPr>
          <w:rFonts w:ascii="Microsoft JhengHei" w:eastAsia="Microsoft JhengHei" w:hAnsi="Microsoft JhengHei" w:cs="Microsoft JhengHei"/>
          <w:lang w:val="en-GB"/>
        </w:rPr>
        <w:t>劲牌有限公司</w:t>
      </w:r>
      <w:r w:rsidRPr="00056725">
        <w:rPr>
          <w:lang w:val="en-GB"/>
        </w:rPr>
        <w:t>), located in the central province of Hubei, was a brewer specializing in making an alcohol beverage with herbs that was believed to have healing and health benefits. Begun as a state-owned firm in 1953, it was a small, little-known firm with an annual output of a few million yuan in the early 1990s. In 1995, it contacted GEI for help. The initial services provided by GEI were so satisfactory for Jing Brand that it grew into a full-scale, long-term service relationship that covered strategy, marketing, government relations, ownership restructuring (privatization), human resources, and other areas. Since then, Jing Brand experienced explosive growth</w:t>
      </w:r>
      <w:r w:rsidR="009E241F">
        <w:rPr>
          <w:lang w:val="en-GB"/>
        </w:rPr>
        <w:t xml:space="preserve"> to become</w:t>
      </w:r>
      <w:r w:rsidRPr="00056725">
        <w:rPr>
          <w:lang w:val="en-GB"/>
        </w:rPr>
        <w:t xml:space="preserve"> a well-known brand in China, with an annual revenue of ¥10.4 billion in 2017 ($1.3 billion). </w:t>
      </w:r>
    </w:p>
    <w:p w14:paraId="6DD5AB09" w14:textId="77777777" w:rsidR="009E241F" w:rsidRDefault="009E241F" w:rsidP="007D62D5">
      <w:pPr>
        <w:pStyle w:val="ExhibitText"/>
        <w:keepNext/>
        <w:keepLines/>
        <w:rPr>
          <w:lang w:val="en-GB"/>
        </w:rPr>
      </w:pPr>
    </w:p>
    <w:p w14:paraId="6E80D8D7" w14:textId="5250F461" w:rsidR="00063366" w:rsidRDefault="00063366" w:rsidP="007D62D5">
      <w:pPr>
        <w:pStyle w:val="ExhibitText"/>
        <w:keepNext/>
        <w:keepLines/>
        <w:rPr>
          <w:lang w:val="en-GB"/>
        </w:rPr>
      </w:pPr>
      <w:r w:rsidRPr="00056725">
        <w:rPr>
          <w:lang w:val="en-GB"/>
        </w:rPr>
        <w:t>GEI also helped the following gazelle firms:</w:t>
      </w:r>
    </w:p>
    <w:p w14:paraId="2B0B867B" w14:textId="77777777" w:rsidR="009E241F" w:rsidRPr="00056725" w:rsidRDefault="009E241F" w:rsidP="007D62D5">
      <w:pPr>
        <w:pStyle w:val="ExhibitText"/>
        <w:keepNext/>
        <w:keepLines/>
        <w:rPr>
          <w:lang w:val="en-GB"/>
        </w:rPr>
      </w:pPr>
    </w:p>
    <w:p w14:paraId="600B9050" w14:textId="77777777" w:rsidR="00063366" w:rsidRPr="00056725" w:rsidRDefault="00063366" w:rsidP="007D62D5">
      <w:pPr>
        <w:pStyle w:val="ExhibitText"/>
        <w:keepNext/>
        <w:keepLines/>
        <w:rPr>
          <w:lang w:val="en-GB"/>
        </w:rPr>
      </w:pPr>
      <w:r w:rsidRPr="00056725">
        <w:rPr>
          <w:lang w:val="en-GB"/>
        </w:rPr>
        <w:t>New Hope Group Co. Ltd. (</w:t>
      </w:r>
      <w:r w:rsidRPr="00056725">
        <w:rPr>
          <w:rFonts w:ascii="MS Gothic" w:eastAsia="MS Gothic" w:hAnsi="MS Gothic" w:cs="MS Gothic"/>
          <w:lang w:val="en-GB"/>
        </w:rPr>
        <w:t>新希望集</w:t>
      </w:r>
      <w:r w:rsidRPr="00056725">
        <w:rPr>
          <w:rFonts w:ascii="Microsoft JhengHei" w:eastAsia="Microsoft JhengHei" w:hAnsi="Microsoft JhengHei" w:cs="Microsoft JhengHei"/>
          <w:lang w:val="en-GB"/>
        </w:rPr>
        <w:t>团</w:t>
      </w:r>
      <w:r w:rsidRPr="00056725">
        <w:rPr>
          <w:lang w:val="en-GB"/>
        </w:rPr>
        <w:t>), Jumbo Chains Co. (</w:t>
      </w:r>
      <w:r w:rsidRPr="00056725">
        <w:rPr>
          <w:rFonts w:ascii="MS Gothic" w:eastAsia="MS Gothic" w:hAnsi="MS Gothic" w:cs="MS Gothic"/>
          <w:lang w:val="en-GB"/>
        </w:rPr>
        <w:t>均豪企</w:t>
      </w:r>
      <w:r w:rsidRPr="00056725">
        <w:rPr>
          <w:rFonts w:ascii="Microsoft JhengHei" w:eastAsia="Microsoft JhengHei" w:hAnsi="Microsoft JhengHei" w:cs="Microsoft JhengHei"/>
          <w:lang w:val="en-GB"/>
        </w:rPr>
        <w:t>业</w:t>
      </w:r>
      <w:r w:rsidRPr="00056725">
        <w:rPr>
          <w:lang w:val="en-GB"/>
        </w:rPr>
        <w:t>), Phase (</w:t>
      </w:r>
      <w:r w:rsidRPr="00056725">
        <w:rPr>
          <w:rFonts w:ascii="MS Gothic" w:eastAsia="MS Gothic" w:hAnsi="MS Gothic" w:cs="MS Gothic"/>
          <w:lang w:val="en-GB"/>
        </w:rPr>
        <w:t>宁波菲仕</w:t>
      </w:r>
      <w:r w:rsidRPr="00056725">
        <w:rPr>
          <w:rFonts w:ascii="Microsoft JhengHei" w:eastAsia="Microsoft JhengHei" w:hAnsi="Microsoft JhengHei" w:cs="Microsoft JhengHei"/>
          <w:lang w:val="en-GB"/>
        </w:rPr>
        <w:t>电机</w:t>
      </w:r>
      <w:r w:rsidRPr="00056725">
        <w:rPr>
          <w:lang w:val="en-GB"/>
        </w:rPr>
        <w:t>), IETS (</w:t>
      </w:r>
      <w:r w:rsidRPr="00056725">
        <w:rPr>
          <w:rFonts w:ascii="MS Gothic" w:eastAsia="MS Gothic" w:hAnsi="MS Gothic" w:cs="MS Gothic"/>
          <w:lang w:val="en-GB"/>
        </w:rPr>
        <w:t>大丰能源</w:t>
      </w:r>
      <w:r w:rsidRPr="00056725">
        <w:rPr>
          <w:lang w:val="en-GB"/>
        </w:rPr>
        <w:t>), and Ningbo Dahongying University (</w:t>
      </w:r>
      <w:r w:rsidRPr="00056725">
        <w:rPr>
          <w:rFonts w:ascii="MS Gothic" w:eastAsia="MS Gothic" w:hAnsi="MS Gothic" w:cs="MS Gothic"/>
          <w:lang w:val="en-GB"/>
        </w:rPr>
        <w:t>宁波大</w:t>
      </w:r>
      <w:r w:rsidRPr="00056725">
        <w:rPr>
          <w:rFonts w:ascii="Microsoft JhengHei" w:eastAsia="Microsoft JhengHei" w:hAnsi="Microsoft JhengHei" w:cs="Microsoft JhengHei"/>
          <w:lang w:val="en-GB"/>
        </w:rPr>
        <w:t>红鹰学院</w:t>
      </w:r>
      <w:r w:rsidRPr="00056725">
        <w:rPr>
          <w:lang w:val="en-GB"/>
        </w:rPr>
        <w:t>).</w:t>
      </w:r>
    </w:p>
    <w:p w14:paraId="604839F3" w14:textId="77777777" w:rsidR="009E241F" w:rsidRPr="00056725" w:rsidRDefault="009E241F" w:rsidP="007D62D5">
      <w:pPr>
        <w:pStyle w:val="ExhibitText"/>
        <w:keepNext/>
        <w:keepLines/>
        <w:rPr>
          <w:i/>
          <w:lang w:val="en-GB"/>
        </w:rPr>
      </w:pPr>
    </w:p>
    <w:p w14:paraId="06AAAE98" w14:textId="79FA72CF" w:rsidR="00063366" w:rsidRPr="00056725" w:rsidRDefault="00063366" w:rsidP="007D62D5">
      <w:pPr>
        <w:pStyle w:val="Footnote"/>
        <w:keepNext/>
        <w:keepLines/>
        <w:rPr>
          <w:lang w:val="en-GB"/>
        </w:rPr>
      </w:pPr>
      <w:r w:rsidRPr="00056725">
        <w:rPr>
          <w:lang w:val="en-GB"/>
        </w:rPr>
        <w:t xml:space="preserve">Source: Created by </w:t>
      </w:r>
      <w:r w:rsidR="00ED004A">
        <w:rPr>
          <w:lang w:val="en-GB"/>
        </w:rPr>
        <w:t xml:space="preserve">the case </w:t>
      </w:r>
      <w:r w:rsidRPr="00056725">
        <w:rPr>
          <w:lang w:val="en-GB"/>
        </w:rPr>
        <w:t xml:space="preserve">author using </w:t>
      </w:r>
      <w:r w:rsidR="00ED004A">
        <w:rPr>
          <w:lang w:val="en-GB"/>
        </w:rPr>
        <w:t>company</w:t>
      </w:r>
      <w:r w:rsidRPr="00056725">
        <w:rPr>
          <w:lang w:val="en-GB"/>
        </w:rPr>
        <w:t xml:space="preserve"> information.</w:t>
      </w:r>
    </w:p>
    <w:p w14:paraId="5CF89E8F" w14:textId="77777777" w:rsidR="00063366" w:rsidRPr="00056725" w:rsidRDefault="00063366" w:rsidP="00063366">
      <w:pPr>
        <w:spacing w:after="200" w:line="276" w:lineRule="auto"/>
        <w:rPr>
          <w:rFonts w:ascii="Arial" w:hAnsi="Arial" w:cs="Arial"/>
          <w:lang w:val="en-GB"/>
        </w:rPr>
      </w:pPr>
    </w:p>
    <w:p w14:paraId="1AB1B2DF" w14:textId="77777777" w:rsidR="004A0A1E" w:rsidRPr="00056725" w:rsidRDefault="004A0A1E" w:rsidP="00EC6426">
      <w:pPr>
        <w:pStyle w:val="ExhibitText"/>
        <w:rPr>
          <w:lang w:val="en-GB"/>
        </w:rPr>
      </w:pPr>
    </w:p>
    <w:sectPr w:rsidR="004A0A1E" w:rsidRPr="00056725" w:rsidSect="00751E0B">
      <w:headerReference w:type="default" r:id="rId17"/>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612F5" w16cid:durableId="217641AD"/>
  <w16cid:commentId w16cid:paraId="15330C2B" w16cid:durableId="217642E7"/>
  <w16cid:commentId w16cid:paraId="5F45AC42" w16cid:durableId="2176442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30D0D" w14:textId="77777777" w:rsidR="00063366" w:rsidRDefault="00063366" w:rsidP="00D75295">
      <w:r>
        <w:separator/>
      </w:r>
    </w:p>
  </w:endnote>
  <w:endnote w:type="continuationSeparator" w:id="0">
    <w:p w14:paraId="2F8CD1D4" w14:textId="77777777" w:rsidR="00063366" w:rsidRDefault="0006336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48C7B" w14:textId="77777777" w:rsidR="00063366" w:rsidRDefault="00063366" w:rsidP="00D75295">
      <w:r>
        <w:separator/>
      </w:r>
    </w:p>
  </w:footnote>
  <w:footnote w:type="continuationSeparator" w:id="0">
    <w:p w14:paraId="7CC259C6" w14:textId="77777777" w:rsidR="00063366" w:rsidRDefault="00063366" w:rsidP="00D75295">
      <w:r>
        <w:continuationSeparator/>
      </w:r>
    </w:p>
  </w:footnote>
  <w:footnote w:id="1">
    <w:p w14:paraId="6F3AC8CB" w14:textId="10562617" w:rsidR="00063366" w:rsidRPr="00F313D6" w:rsidRDefault="00063366" w:rsidP="00EE6D06">
      <w:pPr>
        <w:pStyle w:val="Footnote"/>
        <w:rPr>
          <w:lang w:val="en-CA"/>
        </w:rPr>
      </w:pPr>
      <w:r>
        <w:rPr>
          <w:rStyle w:val="FootnoteReference"/>
        </w:rPr>
        <w:footnoteRef/>
      </w:r>
      <w:r>
        <w:t xml:space="preserve"> </w:t>
      </w:r>
      <w:r w:rsidRPr="00652C1E">
        <w:rPr>
          <w:spacing w:val="-4"/>
          <w:lang w:val="en-CA"/>
        </w:rPr>
        <w:t>¥ = CNY = Chinese yuan renminbi; ¥1 = US$0.1</w:t>
      </w:r>
      <w:r w:rsidR="00981F1E">
        <w:rPr>
          <w:spacing w:val="-4"/>
          <w:lang w:val="en-CA"/>
        </w:rPr>
        <w:t>5</w:t>
      </w:r>
      <w:r w:rsidRPr="00652C1E">
        <w:rPr>
          <w:spacing w:val="-4"/>
          <w:lang w:val="en-CA"/>
        </w:rPr>
        <w:t xml:space="preserve"> </w:t>
      </w:r>
      <w:r w:rsidR="00CB0831">
        <w:rPr>
          <w:spacing w:val="-4"/>
          <w:lang w:val="en-CA"/>
        </w:rPr>
        <w:t>o</w:t>
      </w:r>
      <w:r w:rsidRPr="00652C1E">
        <w:rPr>
          <w:spacing w:val="-4"/>
          <w:lang w:val="en-CA"/>
        </w:rPr>
        <w:t>n January</w:t>
      </w:r>
      <w:r w:rsidR="00CB0831">
        <w:rPr>
          <w:spacing w:val="-4"/>
          <w:lang w:val="en-CA"/>
        </w:rPr>
        <w:t xml:space="preserve"> 1,</w:t>
      </w:r>
      <w:r w:rsidRPr="00652C1E">
        <w:rPr>
          <w:spacing w:val="-4"/>
          <w:lang w:val="en-CA"/>
        </w:rPr>
        <w:t xml:space="preserve"> 2019</w:t>
      </w:r>
      <w:r w:rsidR="00CB0831">
        <w:rPr>
          <w:spacing w:val="-4"/>
          <w:lang w:val="en-CA"/>
        </w:rPr>
        <w:t>; a</w:t>
      </w:r>
      <w:r w:rsidRPr="00652C1E">
        <w:rPr>
          <w:spacing w:val="-4"/>
          <w:lang w:val="en-CA"/>
        </w:rPr>
        <w:t xml:space="preserve">ll currency amounts are in ¥ unless </w:t>
      </w:r>
      <w:r w:rsidR="00CB0831">
        <w:rPr>
          <w:spacing w:val="-4"/>
          <w:lang w:val="en-CA"/>
        </w:rPr>
        <w:t xml:space="preserve">otherwise </w:t>
      </w:r>
      <w:r w:rsidRPr="00652C1E">
        <w:rPr>
          <w:spacing w:val="-4"/>
          <w:lang w:val="en-CA"/>
        </w:rPr>
        <w:t>specified.</w:t>
      </w:r>
    </w:p>
  </w:footnote>
  <w:footnote w:id="2">
    <w:p w14:paraId="5CE2E91B" w14:textId="40F9E357" w:rsidR="00AB50C6" w:rsidRDefault="00AB50C6" w:rsidP="00AB50C6">
      <w:pPr>
        <w:pStyle w:val="Footnote"/>
      </w:pPr>
      <w:r>
        <w:rPr>
          <w:rStyle w:val="FootnoteReference"/>
        </w:rPr>
        <w:footnoteRef/>
      </w:r>
      <w:r>
        <w:t xml:space="preserve"> </w:t>
      </w:r>
      <w:r>
        <w:rPr>
          <w:noProof/>
        </w:rPr>
        <w:t xml:space="preserve">June Teufel Dreyer, </w:t>
      </w:r>
      <w:r w:rsidRPr="00092E2C">
        <w:rPr>
          <w:i/>
          <w:noProof/>
        </w:rPr>
        <w:t>China</w:t>
      </w:r>
      <w:r>
        <w:rPr>
          <w:i/>
          <w:noProof/>
        </w:rPr>
        <w:t>’</w:t>
      </w:r>
      <w:r w:rsidRPr="00092E2C">
        <w:rPr>
          <w:i/>
          <w:noProof/>
        </w:rPr>
        <w:t>s Political System: Modernization and Tradition</w:t>
      </w:r>
      <w:r>
        <w:rPr>
          <w:noProof/>
        </w:rPr>
        <w:t>, 7th ed. (New York: Longman, 2010).</w:t>
      </w:r>
    </w:p>
  </w:footnote>
  <w:footnote w:id="3">
    <w:p w14:paraId="72ADAE4B" w14:textId="0D50442E" w:rsidR="00063366" w:rsidRDefault="00063366" w:rsidP="004A0A1E">
      <w:pPr>
        <w:pStyle w:val="Footnote"/>
      </w:pPr>
      <w:r>
        <w:rPr>
          <w:rStyle w:val="FootnoteReference"/>
        </w:rPr>
        <w:footnoteRef/>
      </w:r>
      <w:r>
        <w:t xml:space="preserve"> </w:t>
      </w:r>
      <w:r w:rsidR="00AB50C6">
        <w:t>Ibid.</w:t>
      </w:r>
    </w:p>
  </w:footnote>
  <w:footnote w:id="4">
    <w:p w14:paraId="7C7EC35B" w14:textId="4AD6C1FA" w:rsidR="00AB50C6" w:rsidRDefault="00AB50C6">
      <w:pPr>
        <w:pStyle w:val="FootnoteText"/>
      </w:pPr>
      <w:r>
        <w:rPr>
          <w:rStyle w:val="FootnoteReference"/>
        </w:rPr>
        <w:footnoteRef/>
      </w:r>
      <w:r>
        <w:t xml:space="preserve"> </w:t>
      </w:r>
      <w:r>
        <w:rPr>
          <w:rStyle w:val="FootnoteChar"/>
        </w:rPr>
        <w:t>Ibid.</w:t>
      </w:r>
    </w:p>
  </w:footnote>
  <w:footnote w:id="5">
    <w:p w14:paraId="0C0464B1" w14:textId="3E03CE9E" w:rsidR="00063366" w:rsidRDefault="00063366" w:rsidP="004A0A1E">
      <w:pPr>
        <w:pStyle w:val="Footnote"/>
      </w:pPr>
      <w:r>
        <w:rPr>
          <w:rStyle w:val="FootnoteReference"/>
        </w:rPr>
        <w:footnoteRef/>
      </w:r>
      <w:r>
        <w:t xml:space="preserve"> </w:t>
      </w:r>
      <w:r w:rsidRPr="004E4EDB">
        <w:t>Dongsheng</w:t>
      </w:r>
      <w:r>
        <w:rPr>
          <w:noProof/>
        </w:rPr>
        <w:t xml:space="preserve"> Zhou, </w:t>
      </w:r>
      <w:r w:rsidRPr="004E4EDB">
        <w:rPr>
          <w:noProof/>
        </w:rPr>
        <w:t xml:space="preserve">Shaomin </w:t>
      </w:r>
      <w:r>
        <w:rPr>
          <w:noProof/>
        </w:rPr>
        <w:t xml:space="preserve">Li, and </w:t>
      </w:r>
      <w:r w:rsidRPr="009F4F2A">
        <w:rPr>
          <w:noProof/>
        </w:rPr>
        <w:t>K. Tse David</w:t>
      </w:r>
      <w:r w:rsidRPr="00384D65">
        <w:rPr>
          <w:rFonts w:cstheme="minorHAnsi"/>
          <w:noProof/>
        </w:rPr>
        <w:t xml:space="preserve">, </w:t>
      </w:r>
      <w:r>
        <w:rPr>
          <w:rFonts w:cstheme="minorHAnsi"/>
          <w:noProof/>
        </w:rPr>
        <w:t>“</w:t>
      </w:r>
      <w:r w:rsidRPr="00384D65">
        <w:rPr>
          <w:rFonts w:cstheme="minorHAnsi"/>
          <w:noProof/>
        </w:rPr>
        <w:t>The Impact of F</w:t>
      </w:r>
      <w:r>
        <w:rPr>
          <w:rFonts w:cstheme="minorHAnsi"/>
          <w:noProof/>
        </w:rPr>
        <w:t>DI</w:t>
      </w:r>
      <w:r w:rsidRPr="00384D65">
        <w:rPr>
          <w:rFonts w:cstheme="minorHAnsi"/>
          <w:noProof/>
        </w:rPr>
        <w:t xml:space="preserve"> on the Productivity of Domestic Firms: The Case of China,</w:t>
      </w:r>
      <w:r>
        <w:rPr>
          <w:rFonts w:cstheme="minorHAnsi"/>
          <w:noProof/>
        </w:rPr>
        <w:t>”</w:t>
      </w:r>
      <w:r w:rsidRPr="00384D65">
        <w:rPr>
          <w:rFonts w:cstheme="minorHAnsi"/>
          <w:noProof/>
        </w:rPr>
        <w:t xml:space="preserve"> </w:t>
      </w:r>
      <w:r w:rsidRPr="00384D65">
        <w:rPr>
          <w:rFonts w:cstheme="minorHAnsi"/>
          <w:i/>
          <w:noProof/>
        </w:rPr>
        <w:t>International Business Review</w:t>
      </w:r>
      <w:r w:rsidRPr="00384D65">
        <w:rPr>
          <w:rFonts w:cstheme="minorHAnsi"/>
          <w:noProof/>
        </w:rPr>
        <w:t xml:space="preserve"> 11, no. 4 (2002): 465</w:t>
      </w:r>
      <w:r>
        <w:rPr>
          <w:rFonts w:cstheme="minorHAnsi"/>
          <w:noProof/>
        </w:rPr>
        <w:t>–4</w:t>
      </w:r>
      <w:r w:rsidRPr="00384D65">
        <w:rPr>
          <w:rFonts w:cstheme="minorHAnsi"/>
          <w:noProof/>
        </w:rPr>
        <w:t xml:space="preserve">84; Shaomin Li, Shuhe Li, and Weiying Zhang, </w:t>
      </w:r>
      <w:r>
        <w:rPr>
          <w:rFonts w:cstheme="minorHAnsi"/>
          <w:noProof/>
        </w:rPr>
        <w:t>“</w:t>
      </w:r>
      <w:r w:rsidRPr="00384D65">
        <w:rPr>
          <w:rFonts w:cstheme="minorHAnsi"/>
          <w:noProof/>
        </w:rPr>
        <w:t>The Road to Capitalism: Competition</w:t>
      </w:r>
      <w:r>
        <w:rPr>
          <w:noProof/>
        </w:rPr>
        <w:t xml:space="preserve"> and Institutional Change in China,” </w:t>
      </w:r>
      <w:r w:rsidRPr="00092E2C">
        <w:rPr>
          <w:i/>
          <w:noProof/>
        </w:rPr>
        <w:t>Journal of Comparative Economics</w:t>
      </w:r>
      <w:r>
        <w:rPr>
          <w:noProof/>
        </w:rPr>
        <w:t xml:space="preserve"> 28, no. 2 (2000): 269–292; </w:t>
      </w:r>
      <w:r w:rsidR="00804FEE">
        <w:rPr>
          <w:noProof/>
        </w:rPr>
        <w:t xml:space="preserve">June Teufel </w:t>
      </w:r>
      <w:r>
        <w:rPr>
          <w:noProof/>
        </w:rPr>
        <w:t>Dreyer, op. cit.</w:t>
      </w:r>
    </w:p>
  </w:footnote>
  <w:footnote w:id="6">
    <w:p w14:paraId="35947C4A" w14:textId="02C87823" w:rsidR="00A6162C" w:rsidRDefault="00A6162C" w:rsidP="00A6162C">
      <w:pPr>
        <w:pStyle w:val="Footnote"/>
      </w:pPr>
      <w:r>
        <w:rPr>
          <w:rStyle w:val="FootnoteReference"/>
        </w:rPr>
        <w:footnoteRef/>
      </w:r>
      <w:r>
        <w:t xml:space="preserve"> </w:t>
      </w:r>
      <w:r w:rsidRPr="007776FD">
        <w:rPr>
          <w:noProof/>
        </w:rPr>
        <w:t xml:space="preserve">Shaomin Li, </w:t>
      </w:r>
      <w:r w:rsidRPr="007776FD">
        <w:rPr>
          <w:i/>
          <w:noProof/>
        </w:rPr>
        <w:t>Chinese Intellectuals View Politics, Society, and Economics</w:t>
      </w:r>
      <w:r w:rsidRPr="007776FD">
        <w:rPr>
          <w:noProof/>
        </w:rPr>
        <w:t>, ed. Shaomin Li (Taipei: Guiguan Books, 1988)</w:t>
      </w:r>
      <w:r>
        <w:rPr>
          <w:noProof/>
        </w:rPr>
        <w:t>.</w:t>
      </w:r>
    </w:p>
  </w:footnote>
  <w:footnote w:id="7">
    <w:p w14:paraId="1F978E14" w14:textId="53072692" w:rsidR="00063366" w:rsidRDefault="00063366" w:rsidP="004A0A1E">
      <w:pPr>
        <w:pStyle w:val="Footnote"/>
      </w:pPr>
      <w:r>
        <w:rPr>
          <w:rStyle w:val="FootnoteReference"/>
        </w:rPr>
        <w:footnoteRef/>
      </w:r>
      <w:r>
        <w:t xml:space="preserve"> </w:t>
      </w:r>
      <w:r>
        <w:rPr>
          <w:noProof/>
        </w:rPr>
        <w:t xml:space="preserve">Honglin Li, </w:t>
      </w:r>
      <w:r w:rsidRPr="00092E2C">
        <w:rPr>
          <w:i/>
          <w:noProof/>
        </w:rPr>
        <w:t>A History of China</w:t>
      </w:r>
      <w:r>
        <w:rPr>
          <w:i/>
          <w:noProof/>
        </w:rPr>
        <w:t>’</w:t>
      </w:r>
      <w:r w:rsidRPr="00092E2C">
        <w:rPr>
          <w:i/>
          <w:noProof/>
        </w:rPr>
        <w:t>s Thought Movement: 1949</w:t>
      </w:r>
      <w:r>
        <w:rPr>
          <w:i/>
          <w:noProof/>
        </w:rPr>
        <w:t>–</w:t>
      </w:r>
      <w:r w:rsidRPr="00092E2C">
        <w:rPr>
          <w:i/>
          <w:noProof/>
        </w:rPr>
        <w:t xml:space="preserve">1989 </w:t>
      </w:r>
      <w:r w:rsidR="00EE41B2">
        <w:rPr>
          <w:noProof/>
        </w:rPr>
        <w:t xml:space="preserve">(in Chinese) </w:t>
      </w:r>
      <w:r>
        <w:rPr>
          <w:noProof/>
        </w:rPr>
        <w:t>(Hong Kong: Cosmos Books, 1999).</w:t>
      </w:r>
    </w:p>
  </w:footnote>
  <w:footnote w:id="8">
    <w:p w14:paraId="14325C73" w14:textId="17382AA9" w:rsidR="00063366" w:rsidRDefault="00063366" w:rsidP="004A0A1E">
      <w:pPr>
        <w:pStyle w:val="Footnote"/>
      </w:pPr>
      <w:r>
        <w:rPr>
          <w:rStyle w:val="FootnoteReference"/>
        </w:rPr>
        <w:footnoteRef/>
      </w:r>
      <w:r>
        <w:t xml:space="preserve"> </w:t>
      </w:r>
      <w:r w:rsidR="00804FEE">
        <w:rPr>
          <w:noProof/>
        </w:rPr>
        <w:t xml:space="preserve">June Teufel </w:t>
      </w:r>
      <w:r>
        <w:rPr>
          <w:noProof/>
        </w:rPr>
        <w:t xml:space="preserve">Dreyer, </w:t>
      </w:r>
      <w:r w:rsidRPr="009F4F2A">
        <w:rPr>
          <w:noProof/>
        </w:rPr>
        <w:t>op. cit.</w:t>
      </w:r>
    </w:p>
  </w:footnote>
  <w:footnote w:id="9">
    <w:p w14:paraId="45921D5C" w14:textId="77777777" w:rsidR="00981F1E" w:rsidRDefault="00981F1E" w:rsidP="00981F1E">
      <w:pPr>
        <w:pStyle w:val="Footnote"/>
      </w:pPr>
      <w:r>
        <w:rPr>
          <w:rStyle w:val="FootnoteReference"/>
        </w:rPr>
        <w:footnoteRef/>
      </w:r>
      <w:r>
        <w:t xml:space="preserve"> </w:t>
      </w:r>
      <w:r>
        <w:rPr>
          <w:noProof/>
        </w:rPr>
        <w:t>Ibid.</w:t>
      </w:r>
    </w:p>
  </w:footnote>
  <w:footnote w:id="10">
    <w:p w14:paraId="171CB94D" w14:textId="7E030CBB" w:rsidR="00063366" w:rsidRDefault="00063366" w:rsidP="004A0A1E">
      <w:pPr>
        <w:pStyle w:val="Footnote"/>
      </w:pPr>
      <w:r>
        <w:rPr>
          <w:rStyle w:val="FootnoteReference"/>
        </w:rPr>
        <w:footnoteRef/>
      </w:r>
      <w:r>
        <w:t xml:space="preserve"> </w:t>
      </w:r>
      <w:r>
        <w:rPr>
          <w:noProof/>
        </w:rPr>
        <w:t xml:space="preserve">NBS, </w:t>
      </w:r>
      <w:r w:rsidRPr="00092E2C">
        <w:rPr>
          <w:i/>
          <w:noProof/>
        </w:rPr>
        <w:t>China Statistical Yearbook</w:t>
      </w:r>
      <w:r>
        <w:rPr>
          <w:noProof/>
        </w:rPr>
        <w:t xml:space="preserve"> (Beijing: National Bureau of Statistics of China, 1997).</w:t>
      </w:r>
    </w:p>
  </w:footnote>
  <w:footnote w:id="11">
    <w:p w14:paraId="43FD7CA4" w14:textId="0403D7E3" w:rsidR="00063366" w:rsidRPr="002E7F31" w:rsidRDefault="00063366" w:rsidP="004A0A1E">
      <w:pPr>
        <w:pStyle w:val="Footnote"/>
        <w:rPr>
          <w:spacing w:val="-4"/>
        </w:rPr>
      </w:pPr>
      <w:r w:rsidRPr="002E7F31">
        <w:rPr>
          <w:rStyle w:val="FootnoteReference"/>
          <w:spacing w:val="-4"/>
        </w:rPr>
        <w:footnoteRef/>
      </w:r>
      <w:r w:rsidRPr="002E7F31">
        <w:rPr>
          <w:spacing w:val="-4"/>
        </w:rPr>
        <w:t xml:space="preserve"> </w:t>
      </w:r>
      <w:r w:rsidRPr="002E7F31">
        <w:rPr>
          <w:noProof/>
          <w:spacing w:val="-4"/>
        </w:rPr>
        <w:t>“Ministries of the State Council</w:t>
      </w:r>
      <w:r w:rsidR="000158D7">
        <w:rPr>
          <w:noProof/>
          <w:spacing w:val="-4"/>
        </w:rPr>
        <w:t>,”</w:t>
      </w:r>
      <w:r w:rsidRPr="002E7F31">
        <w:rPr>
          <w:noProof/>
          <w:spacing w:val="-4"/>
        </w:rPr>
        <w:t xml:space="preserve"> </w:t>
      </w:r>
      <w:r w:rsidR="000158D7">
        <w:rPr>
          <w:noProof/>
          <w:spacing w:val="-4"/>
        </w:rPr>
        <w:t>(</w:t>
      </w:r>
      <w:r w:rsidRPr="002E7F31">
        <w:rPr>
          <w:noProof/>
          <w:spacing w:val="-4"/>
        </w:rPr>
        <w:t>in Chinese</w:t>
      </w:r>
      <w:r w:rsidR="000158D7">
        <w:rPr>
          <w:noProof/>
          <w:spacing w:val="-4"/>
        </w:rPr>
        <w:t>)</w:t>
      </w:r>
      <w:r w:rsidRPr="002E7F31">
        <w:rPr>
          <w:noProof/>
          <w:spacing w:val="-4"/>
        </w:rPr>
        <w:t xml:space="preserve">, </w:t>
      </w:r>
      <w:r w:rsidR="000158D7" w:rsidRPr="002E7F31">
        <w:rPr>
          <w:noProof/>
          <w:spacing w:val="-4"/>
        </w:rPr>
        <w:t xml:space="preserve">Government of China, </w:t>
      </w:r>
      <w:r w:rsidRPr="002E7F31">
        <w:rPr>
          <w:noProof/>
          <w:spacing w:val="-4"/>
        </w:rPr>
        <w:t>China Government Network, accessed April 2, 2019, www.gov.cn/guowuyuan/gwy_zzjg.htm.</w:t>
      </w:r>
    </w:p>
  </w:footnote>
  <w:footnote w:id="12">
    <w:p w14:paraId="06DB4711" w14:textId="77777777" w:rsidR="00A6162C" w:rsidRDefault="00A6162C" w:rsidP="00A6162C">
      <w:pPr>
        <w:pStyle w:val="Footnote"/>
      </w:pPr>
      <w:r w:rsidRPr="002E7F31">
        <w:rPr>
          <w:rStyle w:val="FootnoteReference"/>
          <w:spacing w:val="-4"/>
        </w:rPr>
        <w:footnoteRef/>
      </w:r>
      <w:r w:rsidRPr="002E7F31">
        <w:rPr>
          <w:spacing w:val="-4"/>
        </w:rPr>
        <w:t xml:space="preserve"> </w:t>
      </w:r>
      <w:r w:rsidRPr="002E7F31">
        <w:rPr>
          <w:noProof/>
          <w:spacing w:val="-4"/>
        </w:rPr>
        <w:t>“Missions of the Ministry of Science and Technology,” Government of China, Ministry of Science and Technology, a</w:t>
      </w:r>
      <w:r w:rsidRPr="002E7F31">
        <w:rPr>
          <w:spacing w:val="-4"/>
        </w:rPr>
        <w:t>ccessed February 9, 2019, www.most.gov.cn/eng/organization/Mission/index.htm</w:t>
      </w:r>
      <w:r w:rsidRPr="002E7F31">
        <w:rPr>
          <w:noProof/>
          <w:spacing w:val="-4"/>
        </w:rPr>
        <w:t xml:space="preserve"> (2018).</w:t>
      </w:r>
    </w:p>
  </w:footnote>
  <w:footnote w:id="13">
    <w:p w14:paraId="6C8A0B62" w14:textId="4774744B" w:rsidR="00A6162C" w:rsidRDefault="00A6162C" w:rsidP="00A6162C">
      <w:pPr>
        <w:pStyle w:val="Footnote"/>
      </w:pPr>
      <w:r>
        <w:rPr>
          <w:rStyle w:val="FootnoteReference"/>
        </w:rPr>
        <w:footnoteRef/>
      </w:r>
      <w:r>
        <w:t xml:space="preserve"> </w:t>
      </w:r>
      <w:r w:rsidRPr="007776FD">
        <w:fldChar w:fldCharType="begin"/>
      </w:r>
      <w:r w:rsidRPr="007776FD">
        <w:instrText xml:space="preserve"> ADDIN EN.CITE &lt;EndNote&gt;&lt;Cite&gt;&lt;Author&gt;Porter&lt;/Author&gt;&lt;Year&gt;1990&lt;/Year&gt;&lt;RecNum&gt;246&lt;/RecNum&gt;&lt;DisplayText&gt;M. Porter, &lt;style face="italic"&gt;The Competitive Advantages of Nations&lt;/style&gt;  (New York: Free Press, 1990).&lt;/DisplayText&gt;&lt;record&gt;&lt;rec-number&gt;246&lt;/rec-number&gt;&lt;foreign-keys&gt;&lt;key app="EN" db-id="xa0dxvrxvddt03etsdov5v5st2v5wexvt5ex"&gt;246&lt;/key&gt;&lt;/foreign-keys&gt;&lt;ref-type name="Book"&gt;6&lt;/ref-type&gt;&lt;contributors&gt;&lt;authors&gt;&lt;author&gt;Porter, M.&lt;/author&gt;&lt;/authors&gt;&lt;/contributors&gt;&lt;titles&gt;&lt;title&gt;The Competitive Advantages of Nations&lt;/title&gt;&lt;/titles&gt;&lt;dates&gt;&lt;year&gt;1990&lt;/year&gt;&lt;/dates&gt;&lt;pub-location&gt;New York&lt;/pub-location&gt;&lt;publisher&gt;Free Press&lt;/publisher&gt;&lt;urls&gt;&lt;/urls&gt;&lt;/record&gt;&lt;/Cite&gt;&lt;/EndNote&gt;</w:instrText>
      </w:r>
      <w:r w:rsidRPr="007776FD">
        <w:fldChar w:fldCharType="separate"/>
      </w:r>
      <w:r w:rsidRPr="007776FD">
        <w:rPr>
          <w:noProof/>
        </w:rPr>
        <w:t>M</w:t>
      </w:r>
      <w:r w:rsidR="00F61FED">
        <w:rPr>
          <w:noProof/>
        </w:rPr>
        <w:t>ichael</w:t>
      </w:r>
      <w:r w:rsidRPr="007776FD">
        <w:rPr>
          <w:noProof/>
        </w:rPr>
        <w:t xml:space="preserve"> Porter, </w:t>
      </w:r>
      <w:r w:rsidRPr="007776FD">
        <w:rPr>
          <w:i/>
          <w:noProof/>
        </w:rPr>
        <w:t>The Competitive Advantages of Nations</w:t>
      </w:r>
      <w:r w:rsidRPr="007776FD">
        <w:rPr>
          <w:noProof/>
        </w:rPr>
        <w:t xml:space="preserve">  (New York: Free Press, 1990).</w:t>
      </w:r>
      <w:r w:rsidRPr="007776FD">
        <w:fldChar w:fldCharType="end"/>
      </w:r>
    </w:p>
  </w:footnote>
  <w:footnote w:id="14">
    <w:p w14:paraId="7A7C5198" w14:textId="4928CBD3" w:rsidR="00A6162C" w:rsidRDefault="00A6162C" w:rsidP="00A6162C">
      <w:pPr>
        <w:pStyle w:val="Footnote"/>
      </w:pPr>
      <w:r>
        <w:rPr>
          <w:rStyle w:val="FootnoteReference"/>
        </w:rPr>
        <w:footnoteRef/>
      </w:r>
      <w:r>
        <w:t xml:space="preserve"> </w:t>
      </w:r>
      <w:r w:rsidRPr="007776FD">
        <w:fldChar w:fldCharType="begin"/>
      </w:r>
      <w:r w:rsidRPr="007776FD">
        <w:instrText xml:space="preserve"> ADDIN EN.CITE &lt;EndNote&gt;&lt;Cite&gt;&lt;Author&gt;Pattberg&lt;/Author&gt;&lt;Year&gt;2014&lt;/Year&gt;&lt;RecNum&gt;1669&lt;/RecNum&gt;&lt;DisplayText&gt;T. J. Pattberg, &amp;quot;And the Best University in China Is...&amp;quot; &lt;style face="italic"&gt;Big Think&lt;/style&gt; May 27, 2014, no. https://bigthink.com/dragons-and-pandas/and-the-best-university-in-china-is (2014).&lt;/DisplayText&gt;&lt;record&gt;&lt;rec-number&gt;1669&lt;/rec-number&gt;&lt;foreign-keys&gt;&lt;key app="EN" db-id="xa0dxvrxvddt03etsdov5v5st2v5wexvt5ex"&gt;1669&lt;/key&gt;&lt;/foreign-keys&gt;&lt;ref-type name="Journal Article"&gt;17&lt;/ref-type&gt;&lt;contributors&gt;&lt;authors&gt;&lt;author&gt;T. J. Pattberg&lt;/author&gt;&lt;/authors&gt;&lt;/contributors&gt;&lt;titles&gt;&lt;title&gt;And the Best University in China Is...&lt;/title&gt;&lt;secondary-title&gt;Big Think&lt;/secondary-title&gt;&lt;/titles&gt;&lt;periodical&gt;&lt;full-title&gt;Big Think&lt;/full-title&gt;&lt;/periodical&gt;&lt;pages&gt;Accessed Nov 21, 2019&lt;/pages&gt;&lt;volume&gt;May 27, 2014&lt;/volume&gt;&lt;number&gt;https://bigthink.com/dragons-and-pandas/and-the-best-university-in-china-is&lt;/number&gt;&lt;dates&gt;&lt;year&gt;2014&lt;/year&gt;&lt;/dates&gt;&lt;urls&gt;&lt;/urls&gt;&lt;/record&gt;&lt;/Cite&gt;&lt;/EndNote&gt;</w:instrText>
      </w:r>
      <w:r w:rsidRPr="007776FD">
        <w:fldChar w:fldCharType="separate"/>
      </w:r>
      <w:r w:rsidRPr="007776FD">
        <w:rPr>
          <w:noProof/>
        </w:rPr>
        <w:t xml:space="preserve">T. J. Pattberg, "And the Best University in China Is..." </w:t>
      </w:r>
      <w:r w:rsidRPr="007776FD">
        <w:rPr>
          <w:i/>
          <w:noProof/>
        </w:rPr>
        <w:t>Big Think</w:t>
      </w:r>
      <w:r w:rsidRPr="007776FD">
        <w:rPr>
          <w:noProof/>
        </w:rPr>
        <w:t xml:space="preserve"> May 27, 2014, no. https://bigthink.com/dragons-and-pandas/and-the-best-university-in-china-is (2014).</w:t>
      </w:r>
      <w:r w:rsidRPr="007776FD">
        <w:fldChar w:fldCharType="end"/>
      </w:r>
    </w:p>
  </w:footnote>
  <w:footnote w:id="15">
    <w:p w14:paraId="0D87914D" w14:textId="0CB13EBB" w:rsidR="00063366" w:rsidRDefault="00063366" w:rsidP="004A0A1E">
      <w:pPr>
        <w:pStyle w:val="Footnote"/>
      </w:pPr>
      <w:r>
        <w:rPr>
          <w:rStyle w:val="FootnoteReference"/>
        </w:rPr>
        <w:footnoteRef/>
      </w:r>
      <w:r>
        <w:t xml:space="preserve"> </w:t>
      </w:r>
      <w:r>
        <w:rPr>
          <w:noProof/>
        </w:rPr>
        <w:t xml:space="preserve">Zhongguancun Administrative Committee, </w:t>
      </w:r>
      <w:r w:rsidRPr="00092E2C">
        <w:rPr>
          <w:i/>
          <w:noProof/>
        </w:rPr>
        <w:t>Statistical Handbook of Zhongguancun High-Tech Zone</w:t>
      </w:r>
      <w:r>
        <w:rPr>
          <w:noProof/>
        </w:rPr>
        <w:t xml:space="preserve"> (Beijing: Zhongguancun Administrative Committee, 2018).</w:t>
      </w:r>
    </w:p>
  </w:footnote>
  <w:footnote w:id="16">
    <w:p w14:paraId="4BE42FD4" w14:textId="36EAF89E" w:rsidR="00A6162C" w:rsidRDefault="00A6162C">
      <w:pPr>
        <w:pStyle w:val="FootnoteText"/>
      </w:pPr>
      <w:r w:rsidRPr="00A6162C">
        <w:rPr>
          <w:rStyle w:val="FootnoteChar"/>
          <w:vertAlign w:val="superscript"/>
        </w:rPr>
        <w:footnoteRef/>
      </w:r>
      <w:r w:rsidRPr="00A6162C">
        <w:rPr>
          <w:rStyle w:val="FootnoteChar"/>
        </w:rPr>
        <w:t xml:space="preserve"> Baike. "Zhongguancun Stp Administrative Committee." Baike.baidu.com Nov 11, 2019, accessed, November 21, 2019, https:// baike.baidu.com/I tem/%E4%B8%AD%E5% 85%B3%E6%9D%91%E7%A7%91% E6%8A %80%E5%9B%AD%E5%8C%BA%E7%AE%A1%E7%90%86%E5%A7%94%E5%91%98%E4%BC%9A</w:t>
      </w:r>
      <w:r w:rsidRPr="00A6162C">
        <w:t xml:space="preserve"> </w:t>
      </w:r>
      <w:r>
        <w:t>.</w:t>
      </w:r>
    </w:p>
  </w:footnote>
  <w:footnote w:id="17">
    <w:p w14:paraId="2C6422FA" w14:textId="79F89F1B" w:rsidR="005568F6" w:rsidRDefault="005568F6" w:rsidP="005568F6">
      <w:pPr>
        <w:pStyle w:val="FootnoteText"/>
      </w:pPr>
      <w:r w:rsidRPr="00067593">
        <w:rPr>
          <w:rStyle w:val="FootnoteChar"/>
          <w:vertAlign w:val="superscript"/>
        </w:rPr>
        <w:footnoteRef/>
      </w:r>
      <w:r w:rsidRPr="00067593">
        <w:rPr>
          <w:rStyle w:val="FootnoteChar"/>
        </w:rPr>
        <w:t xml:space="preserve"> “China’s 30 Years of STPs, 1988–2018” (in Chinese), Torch High Technology Industry Development Center, Ministry of Science and Technology, accessed March 2, 2019, www.chinatorch.org.cn/gxq30/index.shtml</w:t>
      </w:r>
      <w:r>
        <w:rPr>
          <w:lang w:val="en-GB"/>
        </w:rPr>
        <w:t>.</w:t>
      </w:r>
    </w:p>
  </w:footnote>
  <w:footnote w:id="18">
    <w:p w14:paraId="5D4B7F03" w14:textId="74700F4C" w:rsidR="00295CFF" w:rsidRDefault="00295CFF">
      <w:pPr>
        <w:pStyle w:val="FootnoteText"/>
      </w:pPr>
      <w:r>
        <w:rPr>
          <w:rStyle w:val="FootnoteReference"/>
        </w:rPr>
        <w:footnoteRef/>
      </w:r>
      <w:r>
        <w:t xml:space="preserve"> </w:t>
      </w:r>
      <w:r w:rsidRPr="007776FD">
        <w:rPr>
          <w:rFonts w:ascii="Arial" w:hAnsi="Arial" w:cs="Arial"/>
          <w:sz w:val="17"/>
          <w:szCs w:val="17"/>
        </w:rPr>
        <w:t>This refers to the high failure rate associated with the early stage of a firm.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3CF20D15" w:rsidR="00063366" w:rsidRPr="00C92CC4" w:rsidRDefault="0006336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9056B">
      <w:rPr>
        <w:rFonts w:ascii="Arial" w:hAnsi="Arial"/>
        <w:b/>
        <w:noProof/>
      </w:rPr>
      <w:t>14</w:t>
    </w:r>
    <w:r>
      <w:rPr>
        <w:rFonts w:ascii="Arial" w:hAnsi="Arial"/>
        <w:b/>
      </w:rPr>
      <w:fldChar w:fldCharType="end"/>
    </w:r>
    <w:r>
      <w:rPr>
        <w:rFonts w:ascii="Arial" w:hAnsi="Arial"/>
        <w:b/>
      </w:rPr>
      <w:tab/>
    </w:r>
    <w:r w:rsidR="004F5980">
      <w:rPr>
        <w:rFonts w:ascii="Arial" w:hAnsi="Arial"/>
        <w:b/>
      </w:rPr>
      <w:t>9B19M135</w:t>
    </w:r>
  </w:p>
  <w:p w14:paraId="2B53C0A0" w14:textId="77777777" w:rsidR="00063366" w:rsidRDefault="00063366" w:rsidP="00D13667">
    <w:pPr>
      <w:pStyle w:val="Header"/>
      <w:tabs>
        <w:tab w:val="clear" w:pos="4680"/>
      </w:tabs>
      <w:rPr>
        <w:sz w:val="18"/>
        <w:szCs w:val="18"/>
      </w:rPr>
    </w:pPr>
  </w:p>
  <w:p w14:paraId="47119730" w14:textId="77777777" w:rsidR="00063366" w:rsidRPr="00C92CC4" w:rsidRDefault="0006336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6B0"/>
    <w:rsid w:val="00013360"/>
    <w:rsid w:val="0001355D"/>
    <w:rsid w:val="00014650"/>
    <w:rsid w:val="000158D7"/>
    <w:rsid w:val="00016759"/>
    <w:rsid w:val="000216CE"/>
    <w:rsid w:val="00024ED4"/>
    <w:rsid w:val="00025DC7"/>
    <w:rsid w:val="00035F09"/>
    <w:rsid w:val="000364F5"/>
    <w:rsid w:val="00044ECC"/>
    <w:rsid w:val="000531D3"/>
    <w:rsid w:val="0005646B"/>
    <w:rsid w:val="00056725"/>
    <w:rsid w:val="000615D1"/>
    <w:rsid w:val="00063366"/>
    <w:rsid w:val="00067593"/>
    <w:rsid w:val="0007526C"/>
    <w:rsid w:val="0008102D"/>
    <w:rsid w:val="000832D9"/>
    <w:rsid w:val="00086B26"/>
    <w:rsid w:val="00092D7B"/>
    <w:rsid w:val="00094C0E"/>
    <w:rsid w:val="000A146D"/>
    <w:rsid w:val="000A3F9A"/>
    <w:rsid w:val="000C47A0"/>
    <w:rsid w:val="000C7906"/>
    <w:rsid w:val="000D0BD7"/>
    <w:rsid w:val="000D2A2F"/>
    <w:rsid w:val="000D4B00"/>
    <w:rsid w:val="000D7091"/>
    <w:rsid w:val="000F0C22"/>
    <w:rsid w:val="000F6AAE"/>
    <w:rsid w:val="000F6B09"/>
    <w:rsid w:val="000F6FDC"/>
    <w:rsid w:val="00104567"/>
    <w:rsid w:val="00104916"/>
    <w:rsid w:val="00104AA7"/>
    <w:rsid w:val="00110EBD"/>
    <w:rsid w:val="0012732D"/>
    <w:rsid w:val="00141197"/>
    <w:rsid w:val="00143F25"/>
    <w:rsid w:val="00152682"/>
    <w:rsid w:val="00154FC9"/>
    <w:rsid w:val="00175039"/>
    <w:rsid w:val="001901C0"/>
    <w:rsid w:val="0019241A"/>
    <w:rsid w:val="00192A18"/>
    <w:rsid w:val="001949F5"/>
    <w:rsid w:val="001A22D1"/>
    <w:rsid w:val="001A752D"/>
    <w:rsid w:val="001A757E"/>
    <w:rsid w:val="001B08B6"/>
    <w:rsid w:val="001B5032"/>
    <w:rsid w:val="001C1B62"/>
    <w:rsid w:val="001C7777"/>
    <w:rsid w:val="001D1F09"/>
    <w:rsid w:val="001D344B"/>
    <w:rsid w:val="001E364F"/>
    <w:rsid w:val="001F4222"/>
    <w:rsid w:val="00203AA1"/>
    <w:rsid w:val="00204581"/>
    <w:rsid w:val="00213E98"/>
    <w:rsid w:val="00216358"/>
    <w:rsid w:val="00217698"/>
    <w:rsid w:val="00221936"/>
    <w:rsid w:val="002232CC"/>
    <w:rsid w:val="00230150"/>
    <w:rsid w:val="0023081A"/>
    <w:rsid w:val="00233111"/>
    <w:rsid w:val="00257011"/>
    <w:rsid w:val="00265FA8"/>
    <w:rsid w:val="002703BD"/>
    <w:rsid w:val="00271DF7"/>
    <w:rsid w:val="00280A95"/>
    <w:rsid w:val="0029056B"/>
    <w:rsid w:val="00295CFF"/>
    <w:rsid w:val="002B40FF"/>
    <w:rsid w:val="002C4E29"/>
    <w:rsid w:val="002E7F31"/>
    <w:rsid w:val="002F460C"/>
    <w:rsid w:val="002F48D6"/>
    <w:rsid w:val="00317391"/>
    <w:rsid w:val="00326216"/>
    <w:rsid w:val="00336580"/>
    <w:rsid w:val="00352699"/>
    <w:rsid w:val="00354899"/>
    <w:rsid w:val="00355FD6"/>
    <w:rsid w:val="00357182"/>
    <w:rsid w:val="00364A5C"/>
    <w:rsid w:val="00365F63"/>
    <w:rsid w:val="00373FB1"/>
    <w:rsid w:val="003801A7"/>
    <w:rsid w:val="00391B31"/>
    <w:rsid w:val="00396C76"/>
    <w:rsid w:val="003A5BD7"/>
    <w:rsid w:val="003B30D8"/>
    <w:rsid w:val="003B7EF2"/>
    <w:rsid w:val="003C3DB9"/>
    <w:rsid w:val="003C3FA4"/>
    <w:rsid w:val="003D0BA1"/>
    <w:rsid w:val="003F298D"/>
    <w:rsid w:val="003F2B0C"/>
    <w:rsid w:val="003F4493"/>
    <w:rsid w:val="004072B5"/>
    <w:rsid w:val="004105B2"/>
    <w:rsid w:val="0041145A"/>
    <w:rsid w:val="00412900"/>
    <w:rsid w:val="0041342F"/>
    <w:rsid w:val="004221E4"/>
    <w:rsid w:val="004273F8"/>
    <w:rsid w:val="004355A3"/>
    <w:rsid w:val="00446546"/>
    <w:rsid w:val="00452769"/>
    <w:rsid w:val="00452C2E"/>
    <w:rsid w:val="00454017"/>
    <w:rsid w:val="00454FA7"/>
    <w:rsid w:val="00461CA4"/>
    <w:rsid w:val="00463E87"/>
    <w:rsid w:val="00465348"/>
    <w:rsid w:val="004979A5"/>
    <w:rsid w:val="004A0A1E"/>
    <w:rsid w:val="004A25E0"/>
    <w:rsid w:val="004B1CCB"/>
    <w:rsid w:val="004B5025"/>
    <w:rsid w:val="004B632F"/>
    <w:rsid w:val="004C49D6"/>
    <w:rsid w:val="004D3FB1"/>
    <w:rsid w:val="004D6F21"/>
    <w:rsid w:val="004D73A5"/>
    <w:rsid w:val="004E4EDB"/>
    <w:rsid w:val="004E6F33"/>
    <w:rsid w:val="004F5980"/>
    <w:rsid w:val="005160F1"/>
    <w:rsid w:val="00524F2F"/>
    <w:rsid w:val="00527E5C"/>
    <w:rsid w:val="005302F4"/>
    <w:rsid w:val="00532CF5"/>
    <w:rsid w:val="00534C37"/>
    <w:rsid w:val="005427CA"/>
    <w:rsid w:val="005463CF"/>
    <w:rsid w:val="00547B62"/>
    <w:rsid w:val="005528CB"/>
    <w:rsid w:val="005568F6"/>
    <w:rsid w:val="00566771"/>
    <w:rsid w:val="00581E2E"/>
    <w:rsid w:val="00584F15"/>
    <w:rsid w:val="0059514B"/>
    <w:rsid w:val="005A1B0F"/>
    <w:rsid w:val="005B4CE6"/>
    <w:rsid w:val="005B5EFE"/>
    <w:rsid w:val="005D57DD"/>
    <w:rsid w:val="005F5191"/>
    <w:rsid w:val="006163F7"/>
    <w:rsid w:val="00624AFC"/>
    <w:rsid w:val="00627C63"/>
    <w:rsid w:val="0063350B"/>
    <w:rsid w:val="00641194"/>
    <w:rsid w:val="00652606"/>
    <w:rsid w:val="00652C1E"/>
    <w:rsid w:val="00655578"/>
    <w:rsid w:val="00691721"/>
    <w:rsid w:val="006946EE"/>
    <w:rsid w:val="006A58A9"/>
    <w:rsid w:val="006A606D"/>
    <w:rsid w:val="006C0371"/>
    <w:rsid w:val="006C08B6"/>
    <w:rsid w:val="006C0B1A"/>
    <w:rsid w:val="006C0FB7"/>
    <w:rsid w:val="006C6065"/>
    <w:rsid w:val="006C7F9F"/>
    <w:rsid w:val="006D63B5"/>
    <w:rsid w:val="006E2F6D"/>
    <w:rsid w:val="006E58F6"/>
    <w:rsid w:val="006E77E1"/>
    <w:rsid w:val="006F131D"/>
    <w:rsid w:val="006F397C"/>
    <w:rsid w:val="00711642"/>
    <w:rsid w:val="007138F2"/>
    <w:rsid w:val="00725203"/>
    <w:rsid w:val="00743B41"/>
    <w:rsid w:val="007507C6"/>
    <w:rsid w:val="00751E0B"/>
    <w:rsid w:val="00752BCD"/>
    <w:rsid w:val="00766DA1"/>
    <w:rsid w:val="00780D94"/>
    <w:rsid w:val="007866A6"/>
    <w:rsid w:val="00787D50"/>
    <w:rsid w:val="007A130D"/>
    <w:rsid w:val="007A2CD0"/>
    <w:rsid w:val="007D1A2D"/>
    <w:rsid w:val="007D32E6"/>
    <w:rsid w:val="007D4102"/>
    <w:rsid w:val="007D62D5"/>
    <w:rsid w:val="007E389A"/>
    <w:rsid w:val="007E54A7"/>
    <w:rsid w:val="007F43B7"/>
    <w:rsid w:val="007F5890"/>
    <w:rsid w:val="00804FEE"/>
    <w:rsid w:val="008102B6"/>
    <w:rsid w:val="00821FFC"/>
    <w:rsid w:val="008271CA"/>
    <w:rsid w:val="00832FD1"/>
    <w:rsid w:val="008467D5"/>
    <w:rsid w:val="0085511C"/>
    <w:rsid w:val="0085580A"/>
    <w:rsid w:val="00865DCC"/>
    <w:rsid w:val="008A0B3B"/>
    <w:rsid w:val="008A475F"/>
    <w:rsid w:val="008A4DC4"/>
    <w:rsid w:val="008B0F54"/>
    <w:rsid w:val="008B438C"/>
    <w:rsid w:val="008C7834"/>
    <w:rsid w:val="008D06CA"/>
    <w:rsid w:val="008D1896"/>
    <w:rsid w:val="008D3A46"/>
    <w:rsid w:val="008E67F7"/>
    <w:rsid w:val="008F2385"/>
    <w:rsid w:val="009067A4"/>
    <w:rsid w:val="00921E18"/>
    <w:rsid w:val="00930885"/>
    <w:rsid w:val="009310CF"/>
    <w:rsid w:val="00933D68"/>
    <w:rsid w:val="009340DB"/>
    <w:rsid w:val="009358DF"/>
    <w:rsid w:val="00936468"/>
    <w:rsid w:val="009447F2"/>
    <w:rsid w:val="0094618C"/>
    <w:rsid w:val="0095684B"/>
    <w:rsid w:val="00972498"/>
    <w:rsid w:val="0097481F"/>
    <w:rsid w:val="00974CC6"/>
    <w:rsid w:val="00976AD4"/>
    <w:rsid w:val="00981F1E"/>
    <w:rsid w:val="00995547"/>
    <w:rsid w:val="009A312F"/>
    <w:rsid w:val="009A5348"/>
    <w:rsid w:val="009A5B77"/>
    <w:rsid w:val="009B0AB7"/>
    <w:rsid w:val="009B63A9"/>
    <w:rsid w:val="009C76D5"/>
    <w:rsid w:val="009D0DA7"/>
    <w:rsid w:val="009E241F"/>
    <w:rsid w:val="009E43A8"/>
    <w:rsid w:val="009F4F2A"/>
    <w:rsid w:val="009F7AA4"/>
    <w:rsid w:val="00A10AD7"/>
    <w:rsid w:val="00A323B0"/>
    <w:rsid w:val="00A36A84"/>
    <w:rsid w:val="00A559DB"/>
    <w:rsid w:val="00A569EA"/>
    <w:rsid w:val="00A6162C"/>
    <w:rsid w:val="00A676A0"/>
    <w:rsid w:val="00A72CA5"/>
    <w:rsid w:val="00A879F6"/>
    <w:rsid w:val="00A92D14"/>
    <w:rsid w:val="00AA6E82"/>
    <w:rsid w:val="00AB50C6"/>
    <w:rsid w:val="00AD4EF7"/>
    <w:rsid w:val="00AD7EC0"/>
    <w:rsid w:val="00AF35FC"/>
    <w:rsid w:val="00AF5556"/>
    <w:rsid w:val="00AF6050"/>
    <w:rsid w:val="00B02999"/>
    <w:rsid w:val="00B03639"/>
    <w:rsid w:val="00B0652A"/>
    <w:rsid w:val="00B40937"/>
    <w:rsid w:val="00B423EF"/>
    <w:rsid w:val="00B453DE"/>
    <w:rsid w:val="00B56248"/>
    <w:rsid w:val="00B62497"/>
    <w:rsid w:val="00B72597"/>
    <w:rsid w:val="00B8028D"/>
    <w:rsid w:val="00B87DC0"/>
    <w:rsid w:val="00B901F9"/>
    <w:rsid w:val="00BC0CC3"/>
    <w:rsid w:val="00BC4D98"/>
    <w:rsid w:val="00BD5119"/>
    <w:rsid w:val="00BD6EFB"/>
    <w:rsid w:val="00BD77E4"/>
    <w:rsid w:val="00BE3DF5"/>
    <w:rsid w:val="00BF5EAB"/>
    <w:rsid w:val="00C02410"/>
    <w:rsid w:val="00C05413"/>
    <w:rsid w:val="00C1584D"/>
    <w:rsid w:val="00C15BE2"/>
    <w:rsid w:val="00C3080A"/>
    <w:rsid w:val="00C3447F"/>
    <w:rsid w:val="00C44714"/>
    <w:rsid w:val="00C67102"/>
    <w:rsid w:val="00C7025B"/>
    <w:rsid w:val="00C81491"/>
    <w:rsid w:val="00C81676"/>
    <w:rsid w:val="00C85C5D"/>
    <w:rsid w:val="00C92CC4"/>
    <w:rsid w:val="00CA0AFB"/>
    <w:rsid w:val="00CA2CE1"/>
    <w:rsid w:val="00CA3976"/>
    <w:rsid w:val="00CA50E3"/>
    <w:rsid w:val="00CA757B"/>
    <w:rsid w:val="00CB0831"/>
    <w:rsid w:val="00CC1787"/>
    <w:rsid w:val="00CC182C"/>
    <w:rsid w:val="00CD0824"/>
    <w:rsid w:val="00CD2908"/>
    <w:rsid w:val="00CF4294"/>
    <w:rsid w:val="00D03A82"/>
    <w:rsid w:val="00D13667"/>
    <w:rsid w:val="00D15344"/>
    <w:rsid w:val="00D23F57"/>
    <w:rsid w:val="00D31BEC"/>
    <w:rsid w:val="00D63150"/>
    <w:rsid w:val="00D636BA"/>
    <w:rsid w:val="00D64A32"/>
    <w:rsid w:val="00D64EFC"/>
    <w:rsid w:val="00D71A46"/>
    <w:rsid w:val="00D75295"/>
    <w:rsid w:val="00D76CE9"/>
    <w:rsid w:val="00D92FBB"/>
    <w:rsid w:val="00D97F12"/>
    <w:rsid w:val="00DA6095"/>
    <w:rsid w:val="00DB42E7"/>
    <w:rsid w:val="00DC09D8"/>
    <w:rsid w:val="00DD2BE5"/>
    <w:rsid w:val="00DE01A6"/>
    <w:rsid w:val="00DE7A98"/>
    <w:rsid w:val="00DF07F4"/>
    <w:rsid w:val="00DF32C2"/>
    <w:rsid w:val="00E168FD"/>
    <w:rsid w:val="00E22504"/>
    <w:rsid w:val="00E26958"/>
    <w:rsid w:val="00E471A7"/>
    <w:rsid w:val="00E635CF"/>
    <w:rsid w:val="00E919BE"/>
    <w:rsid w:val="00E94366"/>
    <w:rsid w:val="00EB1E3B"/>
    <w:rsid w:val="00EC6426"/>
    <w:rsid w:val="00EC6E0A"/>
    <w:rsid w:val="00ED004A"/>
    <w:rsid w:val="00ED099A"/>
    <w:rsid w:val="00ED4E18"/>
    <w:rsid w:val="00ED7922"/>
    <w:rsid w:val="00EE02C4"/>
    <w:rsid w:val="00EE1F37"/>
    <w:rsid w:val="00EE41B2"/>
    <w:rsid w:val="00EE6D06"/>
    <w:rsid w:val="00F0159C"/>
    <w:rsid w:val="00F105B7"/>
    <w:rsid w:val="00F13220"/>
    <w:rsid w:val="00F17A21"/>
    <w:rsid w:val="00F313D6"/>
    <w:rsid w:val="00F36FC2"/>
    <w:rsid w:val="00F37B27"/>
    <w:rsid w:val="00F46556"/>
    <w:rsid w:val="00F50E91"/>
    <w:rsid w:val="00F56799"/>
    <w:rsid w:val="00F57D29"/>
    <w:rsid w:val="00F60786"/>
    <w:rsid w:val="00F61980"/>
    <w:rsid w:val="00F61FED"/>
    <w:rsid w:val="00F62514"/>
    <w:rsid w:val="00F91BC7"/>
    <w:rsid w:val="00F96201"/>
    <w:rsid w:val="00FA1BBC"/>
    <w:rsid w:val="00FB5B48"/>
    <w:rsid w:val="00FC4FDA"/>
    <w:rsid w:val="00FC7506"/>
    <w:rsid w:val="00FD0B18"/>
    <w:rsid w:val="00FD2FAD"/>
    <w:rsid w:val="00FE4B5E"/>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204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16/09/relationships/commentsIds" Target="commentsIds.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J:\GEI%20total%20employe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GEI%20total%20employees%20STP%20STP%20firms%20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J:\GEI%20total%20employe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Sheet1!$C$1</c:f>
              <c:strCache>
                <c:ptCount val="1"/>
                <c:pt idx="0">
                  <c:v>Full Time</c:v>
                </c:pt>
              </c:strCache>
            </c:strRef>
          </c:tx>
          <c:spPr>
            <a:solidFill>
              <a:schemeClr val="dk1">
                <a:tint val="88500"/>
              </a:schemeClr>
            </a:solidFill>
            <a:ln>
              <a:noFill/>
            </a:ln>
            <a:effectLst/>
          </c:spPr>
          <c:invertIfNegative val="0"/>
          <c:cat>
            <c:numRef>
              <c:f>Sheet1!$A$2:$B$19</c:f>
              <c:numCache>
                <c:formatCode>General</c:formatCode>
                <c:ptCount val="18"/>
                <c:pt idx="0">
                  <c:v>1993</c:v>
                </c:pt>
                <c:pt idx="1">
                  <c:v>1998</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numCache>
            </c:numRef>
          </c:cat>
          <c:val>
            <c:numRef>
              <c:f>Sheet1!$C$2:$C$19</c:f>
              <c:numCache>
                <c:formatCode>General</c:formatCode>
                <c:ptCount val="18"/>
                <c:pt idx="0">
                  <c:v>4</c:v>
                </c:pt>
                <c:pt idx="1">
                  <c:v>13</c:v>
                </c:pt>
                <c:pt idx="2">
                  <c:v>22</c:v>
                </c:pt>
                <c:pt idx="3">
                  <c:v>49</c:v>
                </c:pt>
                <c:pt idx="4">
                  <c:v>54</c:v>
                </c:pt>
                <c:pt idx="5">
                  <c:v>68</c:v>
                </c:pt>
                <c:pt idx="6">
                  <c:v>88</c:v>
                </c:pt>
                <c:pt idx="7">
                  <c:v>108</c:v>
                </c:pt>
                <c:pt idx="8">
                  <c:v>113</c:v>
                </c:pt>
                <c:pt idx="9">
                  <c:v>145</c:v>
                </c:pt>
                <c:pt idx="10">
                  <c:v>204</c:v>
                </c:pt>
                <c:pt idx="11">
                  <c:v>218</c:v>
                </c:pt>
                <c:pt idx="12">
                  <c:v>241</c:v>
                </c:pt>
                <c:pt idx="13">
                  <c:v>247</c:v>
                </c:pt>
                <c:pt idx="14">
                  <c:v>261</c:v>
                </c:pt>
                <c:pt idx="15">
                  <c:v>264</c:v>
                </c:pt>
                <c:pt idx="16">
                  <c:v>293</c:v>
                </c:pt>
                <c:pt idx="17">
                  <c:v>343</c:v>
                </c:pt>
              </c:numCache>
            </c:numRef>
          </c:val>
          <c:extLst>
            <c:ext xmlns:c16="http://schemas.microsoft.com/office/drawing/2014/chart" uri="{C3380CC4-5D6E-409C-BE32-E72D297353CC}">
              <c16:uniqueId val="{00000000-02A7-4017-A62E-0B1164B60F6A}"/>
            </c:ext>
          </c:extLst>
        </c:ser>
        <c:ser>
          <c:idx val="1"/>
          <c:order val="1"/>
          <c:tx>
            <c:strRef>
              <c:f>Sheet1!$D$1</c:f>
              <c:strCache>
                <c:ptCount val="1"/>
              </c:strCache>
            </c:strRef>
          </c:tx>
          <c:spPr>
            <a:solidFill>
              <a:schemeClr val="dk1">
                <a:tint val="55000"/>
              </a:schemeClr>
            </a:solidFill>
            <a:ln>
              <a:noFill/>
            </a:ln>
            <a:effectLst/>
          </c:spPr>
          <c:invertIfNegative val="0"/>
          <c:cat>
            <c:numRef>
              <c:f>Sheet1!$A$2:$B$19</c:f>
              <c:numCache>
                <c:formatCode>General</c:formatCode>
                <c:ptCount val="18"/>
                <c:pt idx="0">
                  <c:v>1993</c:v>
                </c:pt>
                <c:pt idx="1">
                  <c:v>1998</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numCache>
            </c:numRef>
          </c:cat>
          <c:val>
            <c:numRef>
              <c:f>Sheet1!$D$2:$D$19</c:f>
            </c:numRef>
          </c:val>
          <c:extLst>
            <c:ext xmlns:c16="http://schemas.microsoft.com/office/drawing/2014/chart" uri="{C3380CC4-5D6E-409C-BE32-E72D297353CC}">
              <c16:uniqueId val="{00000001-02A7-4017-A62E-0B1164B60F6A}"/>
            </c:ext>
          </c:extLst>
        </c:ser>
        <c:ser>
          <c:idx val="2"/>
          <c:order val="2"/>
          <c:tx>
            <c:strRef>
              <c:f>Sheet1!$E$1</c:f>
              <c:strCache>
                <c:ptCount val="1"/>
                <c:pt idx="0">
                  <c:v>Part Time</c:v>
                </c:pt>
              </c:strCache>
            </c:strRef>
          </c:tx>
          <c:spPr>
            <a:solidFill>
              <a:schemeClr val="dk1">
                <a:tint val="75000"/>
              </a:schemeClr>
            </a:solidFill>
            <a:ln>
              <a:noFill/>
            </a:ln>
            <a:effectLst/>
          </c:spPr>
          <c:invertIfNegative val="0"/>
          <c:cat>
            <c:numRef>
              <c:f>Sheet1!$A$2:$B$19</c:f>
              <c:numCache>
                <c:formatCode>General</c:formatCode>
                <c:ptCount val="18"/>
                <c:pt idx="0">
                  <c:v>1993</c:v>
                </c:pt>
                <c:pt idx="1">
                  <c:v>1998</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numCache>
            </c:numRef>
          </c:cat>
          <c:val>
            <c:numRef>
              <c:f>Sheet1!$E$2:$E$19</c:f>
              <c:numCache>
                <c:formatCode>General</c:formatCode>
                <c:ptCount val="18"/>
                <c:pt idx="0">
                  <c:v>5</c:v>
                </c:pt>
                <c:pt idx="1">
                  <c:v>2</c:v>
                </c:pt>
                <c:pt idx="2">
                  <c:v>3</c:v>
                </c:pt>
                <c:pt idx="3">
                  <c:v>12</c:v>
                </c:pt>
                <c:pt idx="4">
                  <c:v>29</c:v>
                </c:pt>
                <c:pt idx="5">
                  <c:v>32</c:v>
                </c:pt>
                <c:pt idx="6">
                  <c:v>27</c:v>
                </c:pt>
                <c:pt idx="7">
                  <c:v>15</c:v>
                </c:pt>
                <c:pt idx="8">
                  <c:v>22</c:v>
                </c:pt>
                <c:pt idx="9">
                  <c:v>40</c:v>
                </c:pt>
                <c:pt idx="10">
                  <c:v>27</c:v>
                </c:pt>
                <c:pt idx="11">
                  <c:v>49</c:v>
                </c:pt>
                <c:pt idx="12">
                  <c:v>45</c:v>
                </c:pt>
                <c:pt idx="13">
                  <c:v>47</c:v>
                </c:pt>
                <c:pt idx="14">
                  <c:v>56</c:v>
                </c:pt>
                <c:pt idx="15">
                  <c:v>53</c:v>
                </c:pt>
                <c:pt idx="16">
                  <c:v>35</c:v>
                </c:pt>
                <c:pt idx="17">
                  <c:v>35</c:v>
                </c:pt>
              </c:numCache>
            </c:numRef>
          </c:val>
          <c:extLst>
            <c:ext xmlns:c16="http://schemas.microsoft.com/office/drawing/2014/chart" uri="{C3380CC4-5D6E-409C-BE32-E72D297353CC}">
              <c16:uniqueId val="{00000002-02A7-4017-A62E-0B1164B60F6A}"/>
            </c:ext>
          </c:extLst>
        </c:ser>
        <c:dLbls>
          <c:showLegendKey val="0"/>
          <c:showVal val="0"/>
          <c:showCatName val="0"/>
          <c:showSerName val="0"/>
          <c:showPercent val="0"/>
          <c:showBubbleSize val="0"/>
        </c:dLbls>
        <c:gapWidth val="150"/>
        <c:axId val="421469736"/>
        <c:axId val="421473656"/>
      </c:barChart>
      <c:catAx>
        <c:axId val="421469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21473656"/>
        <c:crosses val="autoZero"/>
        <c:auto val="1"/>
        <c:lblAlgn val="ctr"/>
        <c:lblOffset val="100"/>
        <c:noMultiLvlLbl val="0"/>
      </c:catAx>
      <c:valAx>
        <c:axId val="42147365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Number of employees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21469736"/>
        <c:crossesAt val="1"/>
        <c:crossBetween val="between"/>
      </c:valAx>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Entry>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STPs!$A$2:$A$11</c:f>
              <c:numCache>
                <c:formatCode>General</c:formatCode>
                <c:ptCount val="10"/>
                <c:pt idx="0">
                  <c:v>1988</c:v>
                </c:pt>
                <c:pt idx="1">
                  <c:v>1991</c:v>
                </c:pt>
                <c:pt idx="2">
                  <c:v>1992</c:v>
                </c:pt>
                <c:pt idx="3">
                  <c:v>2005</c:v>
                </c:pt>
                <c:pt idx="4">
                  <c:v>2006</c:v>
                </c:pt>
                <c:pt idx="5">
                  <c:v>2011</c:v>
                </c:pt>
                <c:pt idx="6">
                  <c:v>2012</c:v>
                </c:pt>
                <c:pt idx="7">
                  <c:v>2013</c:v>
                </c:pt>
                <c:pt idx="8">
                  <c:v>2015</c:v>
                </c:pt>
                <c:pt idx="9">
                  <c:v>2018</c:v>
                </c:pt>
              </c:numCache>
            </c:numRef>
          </c:xVal>
          <c:yVal>
            <c:numRef>
              <c:f>STPs!$B$2:$B$11</c:f>
              <c:numCache>
                <c:formatCode>General</c:formatCode>
                <c:ptCount val="10"/>
                <c:pt idx="0">
                  <c:v>2</c:v>
                </c:pt>
                <c:pt idx="1">
                  <c:v>26</c:v>
                </c:pt>
                <c:pt idx="2">
                  <c:v>52</c:v>
                </c:pt>
                <c:pt idx="3">
                  <c:v>57</c:v>
                </c:pt>
                <c:pt idx="4">
                  <c:v>57</c:v>
                </c:pt>
                <c:pt idx="5">
                  <c:v>88</c:v>
                </c:pt>
                <c:pt idx="6">
                  <c:v>105</c:v>
                </c:pt>
                <c:pt idx="7">
                  <c:v>114</c:v>
                </c:pt>
                <c:pt idx="8">
                  <c:v>147</c:v>
                </c:pt>
                <c:pt idx="9">
                  <c:v>168</c:v>
                </c:pt>
              </c:numCache>
            </c:numRef>
          </c:yVal>
          <c:smooth val="0"/>
          <c:extLst>
            <c:ext xmlns:c16="http://schemas.microsoft.com/office/drawing/2014/chart" uri="{C3380CC4-5D6E-409C-BE32-E72D297353CC}">
              <c16:uniqueId val="{00000000-4064-479B-8D57-F7D77D50B49C}"/>
            </c:ext>
          </c:extLst>
        </c:ser>
        <c:dLbls>
          <c:showLegendKey val="0"/>
          <c:showVal val="0"/>
          <c:showCatName val="0"/>
          <c:showSerName val="0"/>
          <c:showPercent val="0"/>
          <c:showBubbleSize val="0"/>
        </c:dLbls>
        <c:axId val="336603320"/>
        <c:axId val="336603648"/>
      </c:scatterChart>
      <c:valAx>
        <c:axId val="336603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36603648"/>
        <c:crosses val="autoZero"/>
        <c:crossBetween val="midCat"/>
      </c:valAx>
      <c:valAx>
        <c:axId val="33660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Number of  STPs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36603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8575" cap="rnd" cmpd="sng" algn="ctr">
              <a:solidFill>
                <a:schemeClr val="dk1">
                  <a:tint val="88500"/>
                  <a:shade val="95000"/>
                  <a:satMod val="105000"/>
                </a:schemeClr>
              </a:solidFill>
              <a:prstDash val="solid"/>
              <a:round/>
            </a:ln>
            <a:effectLst/>
          </c:spPr>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xVal>
            <c:numRef>
              <c:f>STPs!$D$9:$D$29</c:f>
              <c:numCache>
                <c:formatCode>General</c:formatCode>
                <c:ptCount val="21"/>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2015</c:v>
                </c:pt>
                <c:pt idx="20">
                  <c:v>2017</c:v>
                </c:pt>
              </c:numCache>
            </c:numRef>
          </c:xVal>
          <c:yVal>
            <c:numRef>
              <c:f>STPs!$E$9:$E$29</c:f>
              <c:numCache>
                <c:formatCode>General</c:formatCode>
                <c:ptCount val="21"/>
                <c:pt idx="0">
                  <c:v>12980</c:v>
                </c:pt>
                <c:pt idx="1">
                  <c:v>13722</c:v>
                </c:pt>
                <c:pt idx="2">
                  <c:v>13681</c:v>
                </c:pt>
                <c:pt idx="3">
                  <c:v>16097</c:v>
                </c:pt>
                <c:pt idx="4">
                  <c:v>17498</c:v>
                </c:pt>
                <c:pt idx="5">
                  <c:v>20796</c:v>
                </c:pt>
                <c:pt idx="6">
                  <c:v>21293</c:v>
                </c:pt>
                <c:pt idx="7">
                  <c:v>28338</c:v>
                </c:pt>
                <c:pt idx="8">
                  <c:v>32857</c:v>
                </c:pt>
                <c:pt idx="9">
                  <c:v>38565</c:v>
                </c:pt>
                <c:pt idx="10">
                  <c:v>41990</c:v>
                </c:pt>
                <c:pt idx="11">
                  <c:v>45828</c:v>
                </c:pt>
                <c:pt idx="12">
                  <c:v>48472</c:v>
                </c:pt>
                <c:pt idx="13">
                  <c:v>52632</c:v>
                </c:pt>
                <c:pt idx="14">
                  <c:v>53692</c:v>
                </c:pt>
                <c:pt idx="15">
                  <c:v>55243</c:v>
                </c:pt>
                <c:pt idx="16">
                  <c:v>57033</c:v>
                </c:pt>
                <c:pt idx="17">
                  <c:v>63926</c:v>
                </c:pt>
                <c:pt idx="18">
                  <c:v>71180</c:v>
                </c:pt>
                <c:pt idx="19">
                  <c:v>84798</c:v>
                </c:pt>
                <c:pt idx="20">
                  <c:v>103631</c:v>
                </c:pt>
              </c:numCache>
            </c:numRef>
          </c:yVal>
          <c:smooth val="0"/>
          <c:extLst>
            <c:ext xmlns:c16="http://schemas.microsoft.com/office/drawing/2014/chart" uri="{C3380CC4-5D6E-409C-BE32-E72D297353CC}">
              <c16:uniqueId val="{00000000-A520-4D0A-A90C-5B7E8448677F}"/>
            </c:ext>
          </c:extLst>
        </c:ser>
        <c:dLbls>
          <c:showLegendKey val="0"/>
          <c:showVal val="0"/>
          <c:showCatName val="0"/>
          <c:showSerName val="0"/>
          <c:showPercent val="0"/>
          <c:showBubbleSize val="0"/>
        </c:dLbls>
        <c:axId val="421468560"/>
        <c:axId val="421468952"/>
      </c:scatterChart>
      <c:valAx>
        <c:axId val="421468560"/>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solidFill>
                      <a:sysClr val="windowText" lastClr="000000"/>
                    </a:solidFill>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1468952"/>
        <c:crosses val="autoZero"/>
        <c:crossBetween val="midCat"/>
      </c:valAx>
      <c:valAx>
        <c:axId val="42146895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solidFill>
                      <a:sysClr val="windowText" lastClr="000000"/>
                    </a:solidFill>
                    <a:latin typeface="Arial" panose="020B0604020202020204" pitchFamily="34" charset="0"/>
                    <a:cs typeface="Arial" panose="020B0604020202020204" pitchFamily="34" charset="0"/>
                  </a:rPr>
                  <a:t>Number</a:t>
                </a:r>
                <a:r>
                  <a:rPr lang="en-US" baseline="0">
                    <a:solidFill>
                      <a:sysClr val="windowText" lastClr="000000"/>
                    </a:solidFill>
                    <a:latin typeface="Arial" panose="020B0604020202020204" pitchFamily="34" charset="0"/>
                    <a:cs typeface="Arial" panose="020B0604020202020204" pitchFamily="34" charset="0"/>
                  </a:rPr>
                  <a:t> of Firms</a:t>
                </a:r>
                <a:endParaRPr lang="en-US">
                  <a:solidFill>
                    <a:sysClr val="windowText" lastClr="000000"/>
                  </a:solidFill>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1468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72E655-C591-4190-914C-0434D21F274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74C83D5-1F4F-4200-8DC6-C53BB10C78B8}">
      <dgm:prSet phldrT="[Text]" custT="1"/>
      <dgm:spPr/>
      <dgm:t>
        <a:bodyPr/>
        <a:lstStyle/>
        <a:p>
          <a:r>
            <a:rPr lang="en-US" sz="900" b="1">
              <a:latin typeface="Arial" panose="020B0604020202020204" pitchFamily="34" charset="0"/>
              <a:cs typeface="Arial" panose="020B0604020202020204" pitchFamily="34" charset="0"/>
            </a:rPr>
            <a:t>G</a:t>
          </a:r>
          <a:r>
            <a:rPr lang="en-CA" sz="900" b="1">
              <a:latin typeface="Arial" panose="020B0604020202020204" pitchFamily="34" charset="0"/>
              <a:cs typeface="Arial" panose="020B0604020202020204" pitchFamily="34" charset="0"/>
            </a:rPr>
            <a:t>reatwall Enterprise Institute</a:t>
          </a:r>
          <a:endParaRPr lang="en-US" sz="900" b="1">
            <a:latin typeface="Arial" panose="020B0604020202020204" pitchFamily="34" charset="0"/>
            <a:cs typeface="Arial" panose="020B0604020202020204" pitchFamily="34" charset="0"/>
          </a:endParaRPr>
        </a:p>
        <a:p>
          <a:r>
            <a:rPr lang="en-US" sz="900" b="0" i="1">
              <a:latin typeface="Arial" panose="020B0604020202020204" pitchFamily="34" charset="0"/>
              <a:cs typeface="Arial" panose="020B0604020202020204" pitchFamily="34" charset="0"/>
            </a:rPr>
            <a:t>Headquarters (Beijing)</a:t>
          </a:r>
        </a:p>
      </dgm:t>
    </dgm:pt>
    <dgm:pt modelId="{E3B5F845-1CE2-45CE-AD21-A5BACD5193D8}" type="parTrans" cxnId="{F31A4CB1-BBE1-4DA2-96A8-CA70A4B56D1F}">
      <dgm:prSet/>
      <dgm:spPr/>
      <dgm:t>
        <a:bodyPr/>
        <a:lstStyle/>
        <a:p>
          <a:endParaRPr lang="en-US"/>
        </a:p>
      </dgm:t>
    </dgm:pt>
    <dgm:pt modelId="{571F3B11-7006-475A-B11F-2EAEB0895F01}" type="sibTrans" cxnId="{F31A4CB1-BBE1-4DA2-96A8-CA70A4B56D1F}">
      <dgm:prSet/>
      <dgm:spPr/>
      <dgm:t>
        <a:bodyPr/>
        <a:lstStyle/>
        <a:p>
          <a:endParaRPr lang="en-US"/>
        </a:p>
      </dgm:t>
    </dgm:pt>
    <dgm:pt modelId="{82BDFFCC-E0A9-4459-B34D-D4565E9D4D4C}">
      <dgm:prSet phldrT="[Text]" custT="1"/>
      <dgm:spPr/>
      <dgm:t>
        <a:bodyPr/>
        <a:lstStyle/>
        <a:p>
          <a:r>
            <a:rPr lang="en-US" sz="900" b="1">
              <a:latin typeface="Arial" panose="020B0604020202020204" pitchFamily="34" charset="0"/>
              <a:cs typeface="Arial" panose="020B0604020202020204" pitchFamily="34" charset="0"/>
            </a:rPr>
            <a:t>Five Functional Departments</a:t>
          </a:r>
        </a:p>
        <a:p>
          <a:r>
            <a:rPr lang="en-US" sz="900" i="1">
              <a:latin typeface="Arial" panose="020B0604020202020204" pitchFamily="34" charset="0"/>
              <a:cs typeface="Arial" panose="020B0604020202020204" pitchFamily="34" charset="0"/>
            </a:rPr>
            <a:t>Business Management</a:t>
          </a:r>
        </a:p>
        <a:p>
          <a:r>
            <a:rPr lang="en-US" sz="900" i="1">
              <a:latin typeface="Arial" panose="020B0604020202020204" pitchFamily="34" charset="0"/>
              <a:cs typeface="Arial" panose="020B0604020202020204" pitchFamily="34" charset="0"/>
            </a:rPr>
            <a:t>Human Resources</a:t>
          </a:r>
        </a:p>
        <a:p>
          <a:r>
            <a:rPr lang="en-US" sz="900" i="1">
              <a:latin typeface="Arial" panose="020B0604020202020204" pitchFamily="34" charset="0"/>
              <a:cs typeface="Arial" panose="020B0604020202020204" pitchFamily="34" charset="0"/>
            </a:rPr>
            <a:t>Marketing</a:t>
          </a:r>
        </a:p>
        <a:p>
          <a:r>
            <a:rPr lang="en-US" sz="900" i="1">
              <a:latin typeface="Arial" panose="020B0604020202020204" pitchFamily="34" charset="0"/>
              <a:cs typeface="Arial" panose="020B0604020202020204" pitchFamily="34" charset="0"/>
            </a:rPr>
            <a:t>Administration</a:t>
          </a:r>
        </a:p>
        <a:p>
          <a:r>
            <a:rPr lang="en-US" sz="900" i="1">
              <a:latin typeface="Arial" panose="020B0604020202020204" pitchFamily="34" charset="0"/>
              <a:cs typeface="Arial" panose="020B0604020202020204" pitchFamily="34" charset="0"/>
            </a:rPr>
            <a:t>Finance and Accountin</a:t>
          </a:r>
          <a:r>
            <a:rPr lang="en-US" sz="1100" i="1"/>
            <a:t>g</a:t>
          </a:r>
        </a:p>
      </dgm:t>
    </dgm:pt>
    <dgm:pt modelId="{70446B9E-00F5-4309-8F2B-D910106592F9}" type="parTrans" cxnId="{4DF12AF1-7D6F-4819-A9F9-918B94E25A58}">
      <dgm:prSet/>
      <dgm:spPr/>
      <dgm:t>
        <a:bodyPr/>
        <a:lstStyle/>
        <a:p>
          <a:endParaRPr lang="en-US"/>
        </a:p>
      </dgm:t>
    </dgm:pt>
    <dgm:pt modelId="{F7B97E4B-87A6-41E9-A9AA-650137B1A6C2}" type="sibTrans" cxnId="{4DF12AF1-7D6F-4819-A9F9-918B94E25A58}">
      <dgm:prSet/>
      <dgm:spPr/>
      <dgm:t>
        <a:bodyPr/>
        <a:lstStyle/>
        <a:p>
          <a:endParaRPr lang="en-US"/>
        </a:p>
      </dgm:t>
    </dgm:pt>
    <dgm:pt modelId="{681AC554-9F44-4FA1-B808-D10CFAD43FCE}">
      <dgm:prSet phldrT="[Text]" custT="1"/>
      <dgm:spPr/>
      <dgm:t>
        <a:bodyPr/>
        <a:lstStyle/>
        <a:p>
          <a:r>
            <a:rPr lang="en-US" sz="900" b="1">
              <a:latin typeface="Arial" panose="020B0604020202020204" pitchFamily="34" charset="0"/>
              <a:cs typeface="Arial" panose="020B0604020202020204" pitchFamily="34" charset="0"/>
            </a:rPr>
            <a:t>10 Business Divisions</a:t>
          </a:r>
        </a:p>
        <a:p>
          <a:r>
            <a:rPr lang="en-US" sz="900" i="1">
              <a:latin typeface="Arial" panose="020B0604020202020204" pitchFamily="34" charset="0"/>
              <a:cs typeface="Arial" panose="020B0604020202020204" pitchFamily="34" charset="0"/>
            </a:rPr>
            <a:t>Regional STP</a:t>
          </a:r>
        </a:p>
        <a:p>
          <a:r>
            <a:rPr lang="en-US" sz="900" i="1">
              <a:latin typeface="Arial" panose="020B0604020202020204" pitchFamily="34" charset="0"/>
              <a:cs typeface="Arial" panose="020B0604020202020204" pitchFamily="34" charset="0"/>
            </a:rPr>
            <a:t>High-Tech Zones</a:t>
          </a:r>
        </a:p>
        <a:p>
          <a:r>
            <a:rPr lang="en-US" sz="900" i="1">
              <a:latin typeface="Arial" panose="020B0604020202020204" pitchFamily="34" charset="0"/>
              <a:cs typeface="Arial" panose="020B0604020202020204" pitchFamily="34" charset="0"/>
            </a:rPr>
            <a:t>Industry Consulting</a:t>
          </a:r>
        </a:p>
        <a:p>
          <a:r>
            <a:rPr lang="en-US" sz="900" i="1">
              <a:latin typeface="Arial" panose="020B0604020202020204" pitchFamily="34" charset="0"/>
              <a:cs typeface="Arial" panose="020B0604020202020204" pitchFamily="34" charset="0"/>
            </a:rPr>
            <a:t>Science and Technology Management</a:t>
          </a:r>
        </a:p>
        <a:p>
          <a:r>
            <a:rPr lang="en-US" sz="900" i="1">
              <a:latin typeface="Arial" panose="020B0604020202020204" pitchFamily="34" charset="0"/>
              <a:cs typeface="Arial" panose="020B0604020202020204" pitchFamily="34" charset="0"/>
            </a:rPr>
            <a:t>Digital Economy</a:t>
          </a:r>
        </a:p>
        <a:p>
          <a:r>
            <a:rPr lang="en-US" sz="900" i="1">
              <a:latin typeface="Arial" panose="020B0604020202020204" pitchFamily="34" charset="0"/>
              <a:cs typeface="Arial" panose="020B0604020202020204" pitchFamily="34" charset="0"/>
            </a:rPr>
            <a:t>International Business</a:t>
          </a:r>
        </a:p>
        <a:p>
          <a:r>
            <a:rPr lang="en-US" sz="900" i="1">
              <a:latin typeface="Arial" panose="020B0604020202020204" pitchFamily="34" charset="0"/>
              <a:cs typeface="Arial" panose="020B0604020202020204" pitchFamily="34" charset="0"/>
            </a:rPr>
            <a:t>Platform Development Centre</a:t>
          </a:r>
        </a:p>
        <a:p>
          <a:r>
            <a:rPr lang="en-US" sz="900" i="1">
              <a:latin typeface="Arial" panose="020B0604020202020204" pitchFamily="34" charset="0"/>
              <a:cs typeface="Arial" panose="020B0604020202020204" pitchFamily="34" charset="0"/>
            </a:rPr>
            <a:t>Industrial Service Centre</a:t>
          </a:r>
        </a:p>
      </dgm:t>
    </dgm:pt>
    <dgm:pt modelId="{7526CD5B-1922-45BB-B59E-5E3AF70EDA95}" type="parTrans" cxnId="{2A7A2C80-E3C2-40B5-8BA3-579356465B36}">
      <dgm:prSet/>
      <dgm:spPr/>
      <dgm:t>
        <a:bodyPr/>
        <a:lstStyle/>
        <a:p>
          <a:endParaRPr lang="en-US"/>
        </a:p>
      </dgm:t>
    </dgm:pt>
    <dgm:pt modelId="{9C8B6B46-E110-4C01-B9E6-AF8B44ECA3D8}" type="sibTrans" cxnId="{2A7A2C80-E3C2-40B5-8BA3-579356465B36}">
      <dgm:prSet/>
      <dgm:spPr/>
      <dgm:t>
        <a:bodyPr/>
        <a:lstStyle/>
        <a:p>
          <a:endParaRPr lang="en-US"/>
        </a:p>
      </dgm:t>
    </dgm:pt>
    <dgm:pt modelId="{95D6DFBB-31DF-474E-9ECF-6A94E615A20F}">
      <dgm:prSet phldrT="[Text]" custT="1"/>
      <dgm:spPr/>
      <dgm:t>
        <a:bodyPr/>
        <a:lstStyle/>
        <a:p>
          <a:endParaRPr lang="en-US" sz="1200" b="1"/>
        </a:p>
        <a:p>
          <a:r>
            <a:rPr lang="en-US" sz="900" b="1">
              <a:latin typeface="Arial" panose="020B0604020202020204" pitchFamily="34" charset="0"/>
              <a:cs typeface="Arial" panose="020B0604020202020204" pitchFamily="34" charset="0"/>
            </a:rPr>
            <a:t>12 Regional Business Centres</a:t>
          </a:r>
        </a:p>
        <a:p>
          <a:r>
            <a:rPr lang="en-US" sz="900" i="1">
              <a:latin typeface="Arial" panose="020B0604020202020204" pitchFamily="34" charset="0"/>
              <a:cs typeface="Arial" panose="020B0604020202020204" pitchFamily="34" charset="0"/>
            </a:rPr>
            <a:t>Ningbo</a:t>
          </a:r>
        </a:p>
        <a:p>
          <a:r>
            <a:rPr lang="en-US" sz="900" i="1">
              <a:latin typeface="Arial" panose="020B0604020202020204" pitchFamily="34" charset="0"/>
              <a:cs typeface="Arial" panose="020B0604020202020204" pitchFamily="34" charset="0"/>
            </a:rPr>
            <a:t>Wuhan</a:t>
          </a:r>
        </a:p>
        <a:p>
          <a:r>
            <a:rPr lang="en-US" sz="900" i="1">
              <a:latin typeface="Arial" panose="020B0604020202020204" pitchFamily="34" charset="0"/>
              <a:cs typeface="Arial" panose="020B0604020202020204" pitchFamily="34" charset="0"/>
            </a:rPr>
            <a:t>Guangzhou</a:t>
          </a:r>
        </a:p>
        <a:p>
          <a:r>
            <a:rPr lang="en-US" sz="900" i="1">
              <a:latin typeface="Arial" panose="020B0604020202020204" pitchFamily="34" charset="0"/>
              <a:cs typeface="Arial" panose="020B0604020202020204" pitchFamily="34" charset="0"/>
            </a:rPr>
            <a:t>Tianjin</a:t>
          </a:r>
        </a:p>
        <a:p>
          <a:r>
            <a:rPr lang="en-US" sz="900" i="1">
              <a:latin typeface="Arial" panose="020B0604020202020204" pitchFamily="34" charset="0"/>
              <a:cs typeface="Arial" panose="020B0604020202020204" pitchFamily="34" charset="0"/>
            </a:rPr>
            <a:t>Chengdu</a:t>
          </a:r>
        </a:p>
        <a:p>
          <a:r>
            <a:rPr lang="en-US" sz="900" i="1">
              <a:latin typeface="Arial" panose="020B0604020202020204" pitchFamily="34" charset="0"/>
              <a:cs typeface="Arial" panose="020B0604020202020204" pitchFamily="34" charset="0"/>
            </a:rPr>
            <a:t>Jinan</a:t>
          </a:r>
        </a:p>
        <a:p>
          <a:r>
            <a:rPr lang="en-US" sz="900" i="1">
              <a:latin typeface="Arial" panose="020B0604020202020204" pitchFamily="34" charset="0"/>
              <a:cs typeface="Arial" panose="020B0604020202020204" pitchFamily="34" charset="0"/>
            </a:rPr>
            <a:t>Shenyang</a:t>
          </a:r>
        </a:p>
        <a:p>
          <a:r>
            <a:rPr lang="en-US" sz="900" i="1">
              <a:latin typeface="Arial" panose="020B0604020202020204" pitchFamily="34" charset="0"/>
              <a:cs typeface="Arial" panose="020B0604020202020204" pitchFamily="34" charset="0"/>
            </a:rPr>
            <a:t>Xi'an</a:t>
          </a:r>
        </a:p>
        <a:p>
          <a:r>
            <a:rPr lang="en-US" sz="900" i="1">
              <a:latin typeface="Arial" panose="020B0604020202020204" pitchFamily="34" charset="0"/>
              <a:cs typeface="Arial" panose="020B0604020202020204" pitchFamily="34" charset="0"/>
            </a:rPr>
            <a:t>Hefei</a:t>
          </a:r>
        </a:p>
        <a:p>
          <a:r>
            <a:rPr lang="en-US" sz="900" i="1">
              <a:latin typeface="Arial" panose="020B0604020202020204" pitchFamily="34" charset="0"/>
              <a:cs typeface="Arial" panose="020B0604020202020204" pitchFamily="34" charset="0"/>
            </a:rPr>
            <a:t>Hangzhou</a:t>
          </a:r>
        </a:p>
        <a:p>
          <a:r>
            <a:rPr lang="en-US" sz="900" i="1">
              <a:latin typeface="Arial" panose="020B0604020202020204" pitchFamily="34" charset="0"/>
              <a:cs typeface="Arial" panose="020B0604020202020204" pitchFamily="34" charset="0"/>
            </a:rPr>
            <a:t>Zhengzhou</a:t>
          </a:r>
        </a:p>
        <a:p>
          <a:r>
            <a:rPr lang="en-US" sz="900" i="1">
              <a:latin typeface="Arial" panose="020B0604020202020204" pitchFamily="34" charset="0"/>
              <a:cs typeface="Arial" panose="020B0604020202020204" pitchFamily="34" charset="0"/>
            </a:rPr>
            <a:t>Nanjing</a:t>
          </a:r>
        </a:p>
        <a:p>
          <a:endParaRPr lang="en-US" sz="900">
            <a:latin typeface="Arial" panose="020B0604020202020204" pitchFamily="34" charset="0"/>
            <a:cs typeface="Arial" panose="020B0604020202020204" pitchFamily="34" charset="0"/>
          </a:endParaRPr>
        </a:p>
      </dgm:t>
    </dgm:pt>
    <dgm:pt modelId="{3C3AF430-66B0-4E1B-8338-38E42A7A6A53}" type="parTrans" cxnId="{B4775CFF-BCD3-4368-8C4E-90CE1C52DB2E}">
      <dgm:prSet/>
      <dgm:spPr/>
      <dgm:t>
        <a:bodyPr/>
        <a:lstStyle/>
        <a:p>
          <a:endParaRPr lang="en-US"/>
        </a:p>
      </dgm:t>
    </dgm:pt>
    <dgm:pt modelId="{4E853A41-AEB2-4424-9A04-66902DC38A33}" type="sibTrans" cxnId="{B4775CFF-BCD3-4368-8C4E-90CE1C52DB2E}">
      <dgm:prSet/>
      <dgm:spPr/>
      <dgm:t>
        <a:bodyPr/>
        <a:lstStyle/>
        <a:p>
          <a:endParaRPr lang="en-US"/>
        </a:p>
      </dgm:t>
    </dgm:pt>
    <dgm:pt modelId="{899D37DC-EDAC-43B6-B181-70EFE25DEEA0}" type="pres">
      <dgm:prSet presAssocID="{5872E655-C591-4190-914C-0434D21F274E}" presName="hierChild1" presStyleCnt="0">
        <dgm:presLayoutVars>
          <dgm:orgChart val="1"/>
          <dgm:chPref val="1"/>
          <dgm:dir/>
          <dgm:animOne val="branch"/>
          <dgm:animLvl val="lvl"/>
          <dgm:resizeHandles/>
        </dgm:presLayoutVars>
      </dgm:prSet>
      <dgm:spPr/>
      <dgm:t>
        <a:bodyPr/>
        <a:lstStyle/>
        <a:p>
          <a:endParaRPr lang="en-US"/>
        </a:p>
      </dgm:t>
    </dgm:pt>
    <dgm:pt modelId="{270B65B1-5F13-4136-B999-E9CFDAEDF7A3}" type="pres">
      <dgm:prSet presAssocID="{B74C83D5-1F4F-4200-8DC6-C53BB10C78B8}" presName="hierRoot1" presStyleCnt="0">
        <dgm:presLayoutVars>
          <dgm:hierBranch val="init"/>
        </dgm:presLayoutVars>
      </dgm:prSet>
      <dgm:spPr/>
    </dgm:pt>
    <dgm:pt modelId="{65DE8F4A-C771-432B-AAC3-BBD558209D55}" type="pres">
      <dgm:prSet presAssocID="{B74C83D5-1F4F-4200-8DC6-C53BB10C78B8}" presName="rootComposite1" presStyleCnt="0"/>
      <dgm:spPr/>
    </dgm:pt>
    <dgm:pt modelId="{3F979304-5615-4638-A13C-C7E76B4EC00A}" type="pres">
      <dgm:prSet presAssocID="{B74C83D5-1F4F-4200-8DC6-C53BB10C78B8}" presName="rootText1" presStyleLbl="node0" presStyleIdx="0" presStyleCnt="1" custScaleX="266412" custScaleY="157909">
        <dgm:presLayoutVars>
          <dgm:chPref val="3"/>
        </dgm:presLayoutVars>
      </dgm:prSet>
      <dgm:spPr/>
      <dgm:t>
        <a:bodyPr/>
        <a:lstStyle/>
        <a:p>
          <a:endParaRPr lang="en-US"/>
        </a:p>
      </dgm:t>
    </dgm:pt>
    <dgm:pt modelId="{208DC0AC-8825-49EC-B208-2C689FB85FF3}" type="pres">
      <dgm:prSet presAssocID="{B74C83D5-1F4F-4200-8DC6-C53BB10C78B8}" presName="rootConnector1" presStyleLbl="node1" presStyleIdx="0" presStyleCnt="0"/>
      <dgm:spPr/>
      <dgm:t>
        <a:bodyPr/>
        <a:lstStyle/>
        <a:p>
          <a:endParaRPr lang="en-US"/>
        </a:p>
      </dgm:t>
    </dgm:pt>
    <dgm:pt modelId="{BAAED97B-5387-4215-A91F-7584FB28FF6A}" type="pres">
      <dgm:prSet presAssocID="{B74C83D5-1F4F-4200-8DC6-C53BB10C78B8}" presName="hierChild2" presStyleCnt="0"/>
      <dgm:spPr/>
    </dgm:pt>
    <dgm:pt modelId="{18B6E492-41E9-4D48-9EFE-4F23A23C7C47}" type="pres">
      <dgm:prSet presAssocID="{70446B9E-00F5-4309-8F2B-D910106592F9}" presName="Name37" presStyleLbl="parChTrans1D2" presStyleIdx="0" presStyleCnt="3"/>
      <dgm:spPr/>
      <dgm:t>
        <a:bodyPr/>
        <a:lstStyle/>
        <a:p>
          <a:endParaRPr lang="en-US"/>
        </a:p>
      </dgm:t>
    </dgm:pt>
    <dgm:pt modelId="{A44441CF-308E-495B-AB74-E717B75F4422}" type="pres">
      <dgm:prSet presAssocID="{82BDFFCC-E0A9-4459-B34D-D4565E9D4D4C}" presName="hierRoot2" presStyleCnt="0">
        <dgm:presLayoutVars>
          <dgm:hierBranch val="init"/>
        </dgm:presLayoutVars>
      </dgm:prSet>
      <dgm:spPr/>
    </dgm:pt>
    <dgm:pt modelId="{166C2156-EB52-4683-8F44-33EE4B73D555}" type="pres">
      <dgm:prSet presAssocID="{82BDFFCC-E0A9-4459-B34D-D4565E9D4D4C}" presName="rootComposite" presStyleCnt="0"/>
      <dgm:spPr/>
    </dgm:pt>
    <dgm:pt modelId="{E52E0597-026C-42A6-982D-D09EB631F4EF}" type="pres">
      <dgm:prSet presAssocID="{82BDFFCC-E0A9-4459-B34D-D4565E9D4D4C}" presName="rootText" presStyleLbl="node2" presStyleIdx="0" presStyleCnt="3" custScaleX="200649" custScaleY="480353">
        <dgm:presLayoutVars>
          <dgm:chPref val="3"/>
        </dgm:presLayoutVars>
      </dgm:prSet>
      <dgm:spPr/>
      <dgm:t>
        <a:bodyPr/>
        <a:lstStyle/>
        <a:p>
          <a:endParaRPr lang="en-US"/>
        </a:p>
      </dgm:t>
    </dgm:pt>
    <dgm:pt modelId="{07A161B1-E87C-49E5-BBF0-862D6CA0F8EC}" type="pres">
      <dgm:prSet presAssocID="{82BDFFCC-E0A9-4459-B34D-D4565E9D4D4C}" presName="rootConnector" presStyleLbl="node2" presStyleIdx="0" presStyleCnt="3"/>
      <dgm:spPr/>
      <dgm:t>
        <a:bodyPr/>
        <a:lstStyle/>
        <a:p>
          <a:endParaRPr lang="en-US"/>
        </a:p>
      </dgm:t>
    </dgm:pt>
    <dgm:pt modelId="{47BC7AA5-C28D-4917-AC75-6E17DC7E9CDA}" type="pres">
      <dgm:prSet presAssocID="{82BDFFCC-E0A9-4459-B34D-D4565E9D4D4C}" presName="hierChild4" presStyleCnt="0"/>
      <dgm:spPr/>
    </dgm:pt>
    <dgm:pt modelId="{40E5121C-9571-4E70-BEC9-ECA9D0620CA2}" type="pres">
      <dgm:prSet presAssocID="{82BDFFCC-E0A9-4459-B34D-D4565E9D4D4C}" presName="hierChild5" presStyleCnt="0"/>
      <dgm:spPr/>
    </dgm:pt>
    <dgm:pt modelId="{25F58B9E-FE5B-486E-A28A-455E5E3871E7}" type="pres">
      <dgm:prSet presAssocID="{7526CD5B-1922-45BB-B59E-5E3AF70EDA95}" presName="Name37" presStyleLbl="parChTrans1D2" presStyleIdx="1" presStyleCnt="3"/>
      <dgm:spPr/>
      <dgm:t>
        <a:bodyPr/>
        <a:lstStyle/>
        <a:p>
          <a:endParaRPr lang="en-US"/>
        </a:p>
      </dgm:t>
    </dgm:pt>
    <dgm:pt modelId="{130A893D-D7DB-4F25-A49F-55CF0508D2AC}" type="pres">
      <dgm:prSet presAssocID="{681AC554-9F44-4FA1-B808-D10CFAD43FCE}" presName="hierRoot2" presStyleCnt="0">
        <dgm:presLayoutVars>
          <dgm:hierBranch val="init"/>
        </dgm:presLayoutVars>
      </dgm:prSet>
      <dgm:spPr/>
    </dgm:pt>
    <dgm:pt modelId="{280EF975-E14D-4C8E-A2C5-2D7CFE8A239A}" type="pres">
      <dgm:prSet presAssocID="{681AC554-9F44-4FA1-B808-D10CFAD43FCE}" presName="rootComposite" presStyleCnt="0"/>
      <dgm:spPr/>
    </dgm:pt>
    <dgm:pt modelId="{D9141E0A-A321-4E7A-A92E-BF78C5762CAE}" type="pres">
      <dgm:prSet presAssocID="{681AC554-9F44-4FA1-B808-D10CFAD43FCE}" presName="rootText" presStyleLbl="node2" presStyleIdx="1" presStyleCnt="3" custScaleX="206345" custScaleY="798364">
        <dgm:presLayoutVars>
          <dgm:chPref val="3"/>
        </dgm:presLayoutVars>
      </dgm:prSet>
      <dgm:spPr/>
      <dgm:t>
        <a:bodyPr/>
        <a:lstStyle/>
        <a:p>
          <a:endParaRPr lang="en-US"/>
        </a:p>
      </dgm:t>
    </dgm:pt>
    <dgm:pt modelId="{69645B80-4B83-442A-A5A1-7EF7FF12A540}" type="pres">
      <dgm:prSet presAssocID="{681AC554-9F44-4FA1-B808-D10CFAD43FCE}" presName="rootConnector" presStyleLbl="node2" presStyleIdx="1" presStyleCnt="3"/>
      <dgm:spPr/>
      <dgm:t>
        <a:bodyPr/>
        <a:lstStyle/>
        <a:p>
          <a:endParaRPr lang="en-US"/>
        </a:p>
      </dgm:t>
    </dgm:pt>
    <dgm:pt modelId="{A823AC8E-D7BE-4580-BF6A-D4E19AF733CE}" type="pres">
      <dgm:prSet presAssocID="{681AC554-9F44-4FA1-B808-D10CFAD43FCE}" presName="hierChild4" presStyleCnt="0"/>
      <dgm:spPr/>
    </dgm:pt>
    <dgm:pt modelId="{441E8C00-DC40-40F2-BED7-A69AA4C551D2}" type="pres">
      <dgm:prSet presAssocID="{681AC554-9F44-4FA1-B808-D10CFAD43FCE}" presName="hierChild5" presStyleCnt="0"/>
      <dgm:spPr/>
    </dgm:pt>
    <dgm:pt modelId="{E739FD39-ABCC-4651-8C01-6A57FE150901}" type="pres">
      <dgm:prSet presAssocID="{3C3AF430-66B0-4E1B-8338-38E42A7A6A53}" presName="Name37" presStyleLbl="parChTrans1D2" presStyleIdx="2" presStyleCnt="3"/>
      <dgm:spPr/>
      <dgm:t>
        <a:bodyPr/>
        <a:lstStyle/>
        <a:p>
          <a:endParaRPr lang="en-US"/>
        </a:p>
      </dgm:t>
    </dgm:pt>
    <dgm:pt modelId="{44274B20-638C-41EB-9168-1FAC635D13CB}" type="pres">
      <dgm:prSet presAssocID="{95D6DFBB-31DF-474E-9ECF-6A94E615A20F}" presName="hierRoot2" presStyleCnt="0">
        <dgm:presLayoutVars>
          <dgm:hierBranch val="init"/>
        </dgm:presLayoutVars>
      </dgm:prSet>
      <dgm:spPr/>
    </dgm:pt>
    <dgm:pt modelId="{EB16E1E5-C729-4FFD-A2DF-4256A3D28DEE}" type="pres">
      <dgm:prSet presAssocID="{95D6DFBB-31DF-474E-9ECF-6A94E615A20F}" presName="rootComposite" presStyleCnt="0"/>
      <dgm:spPr/>
    </dgm:pt>
    <dgm:pt modelId="{0C826641-2065-4095-B75C-4B38B7DA9A37}" type="pres">
      <dgm:prSet presAssocID="{95D6DFBB-31DF-474E-9ECF-6A94E615A20F}" presName="rootText" presStyleLbl="node2" presStyleIdx="2" presStyleCnt="3" custScaleX="173052" custScaleY="902998">
        <dgm:presLayoutVars>
          <dgm:chPref val="3"/>
        </dgm:presLayoutVars>
      </dgm:prSet>
      <dgm:spPr/>
      <dgm:t>
        <a:bodyPr/>
        <a:lstStyle/>
        <a:p>
          <a:endParaRPr lang="en-US"/>
        </a:p>
      </dgm:t>
    </dgm:pt>
    <dgm:pt modelId="{A706D59D-0FBD-46B8-9702-C555CD6F0B6F}" type="pres">
      <dgm:prSet presAssocID="{95D6DFBB-31DF-474E-9ECF-6A94E615A20F}" presName="rootConnector" presStyleLbl="node2" presStyleIdx="2" presStyleCnt="3"/>
      <dgm:spPr/>
      <dgm:t>
        <a:bodyPr/>
        <a:lstStyle/>
        <a:p>
          <a:endParaRPr lang="en-US"/>
        </a:p>
      </dgm:t>
    </dgm:pt>
    <dgm:pt modelId="{45759A6A-3442-43C7-911F-71EDE3A7F193}" type="pres">
      <dgm:prSet presAssocID="{95D6DFBB-31DF-474E-9ECF-6A94E615A20F}" presName="hierChild4" presStyleCnt="0"/>
      <dgm:spPr/>
    </dgm:pt>
    <dgm:pt modelId="{F1B58ED5-3CF9-464B-9FD5-DD273820E0DE}" type="pres">
      <dgm:prSet presAssocID="{95D6DFBB-31DF-474E-9ECF-6A94E615A20F}" presName="hierChild5" presStyleCnt="0"/>
      <dgm:spPr/>
    </dgm:pt>
    <dgm:pt modelId="{5699C877-7106-4781-85E1-0DAC705ACBE4}" type="pres">
      <dgm:prSet presAssocID="{B74C83D5-1F4F-4200-8DC6-C53BB10C78B8}" presName="hierChild3" presStyleCnt="0"/>
      <dgm:spPr/>
    </dgm:pt>
  </dgm:ptLst>
  <dgm:cxnLst>
    <dgm:cxn modelId="{07F88E91-F112-4BBB-9DC9-7A4BF5ACE796}" type="presOf" srcId="{82BDFFCC-E0A9-4459-B34D-D4565E9D4D4C}" destId="{E52E0597-026C-42A6-982D-D09EB631F4EF}" srcOrd="0" destOrd="0" presId="urn:microsoft.com/office/officeart/2005/8/layout/orgChart1"/>
    <dgm:cxn modelId="{534F8E2E-9882-4268-A702-E6B6AA031D07}" type="presOf" srcId="{B74C83D5-1F4F-4200-8DC6-C53BB10C78B8}" destId="{208DC0AC-8825-49EC-B208-2C689FB85FF3}" srcOrd="1" destOrd="0" presId="urn:microsoft.com/office/officeart/2005/8/layout/orgChart1"/>
    <dgm:cxn modelId="{B4775CFF-BCD3-4368-8C4E-90CE1C52DB2E}" srcId="{B74C83D5-1F4F-4200-8DC6-C53BB10C78B8}" destId="{95D6DFBB-31DF-474E-9ECF-6A94E615A20F}" srcOrd="2" destOrd="0" parTransId="{3C3AF430-66B0-4E1B-8338-38E42A7A6A53}" sibTransId="{4E853A41-AEB2-4424-9A04-66902DC38A33}"/>
    <dgm:cxn modelId="{2A7A2C80-E3C2-40B5-8BA3-579356465B36}" srcId="{B74C83D5-1F4F-4200-8DC6-C53BB10C78B8}" destId="{681AC554-9F44-4FA1-B808-D10CFAD43FCE}" srcOrd="1" destOrd="0" parTransId="{7526CD5B-1922-45BB-B59E-5E3AF70EDA95}" sibTransId="{9C8B6B46-E110-4C01-B9E6-AF8B44ECA3D8}"/>
    <dgm:cxn modelId="{F31A4CB1-BBE1-4DA2-96A8-CA70A4B56D1F}" srcId="{5872E655-C591-4190-914C-0434D21F274E}" destId="{B74C83D5-1F4F-4200-8DC6-C53BB10C78B8}" srcOrd="0" destOrd="0" parTransId="{E3B5F845-1CE2-45CE-AD21-A5BACD5193D8}" sibTransId="{571F3B11-7006-475A-B11F-2EAEB0895F01}"/>
    <dgm:cxn modelId="{3E5687EE-3F71-4B5C-8941-BE11958599E0}" type="presOf" srcId="{681AC554-9F44-4FA1-B808-D10CFAD43FCE}" destId="{69645B80-4B83-442A-A5A1-7EF7FF12A540}" srcOrd="1" destOrd="0" presId="urn:microsoft.com/office/officeart/2005/8/layout/orgChart1"/>
    <dgm:cxn modelId="{A9C214A8-8E8C-46D0-BFB4-7B98371E850B}" type="presOf" srcId="{95D6DFBB-31DF-474E-9ECF-6A94E615A20F}" destId="{A706D59D-0FBD-46B8-9702-C555CD6F0B6F}" srcOrd="1" destOrd="0" presId="urn:microsoft.com/office/officeart/2005/8/layout/orgChart1"/>
    <dgm:cxn modelId="{614840B8-7C3C-4CB2-A125-AF427B1FCA70}" type="presOf" srcId="{82BDFFCC-E0A9-4459-B34D-D4565E9D4D4C}" destId="{07A161B1-E87C-49E5-BBF0-862D6CA0F8EC}" srcOrd="1" destOrd="0" presId="urn:microsoft.com/office/officeart/2005/8/layout/orgChart1"/>
    <dgm:cxn modelId="{9B785A0D-82E2-4ACE-A7E5-3A839ED4C903}" type="presOf" srcId="{7526CD5B-1922-45BB-B59E-5E3AF70EDA95}" destId="{25F58B9E-FE5B-486E-A28A-455E5E3871E7}" srcOrd="0" destOrd="0" presId="urn:microsoft.com/office/officeart/2005/8/layout/orgChart1"/>
    <dgm:cxn modelId="{54D40A71-C0A9-4871-BC51-B7E7AB03F639}" type="presOf" srcId="{70446B9E-00F5-4309-8F2B-D910106592F9}" destId="{18B6E492-41E9-4D48-9EFE-4F23A23C7C47}" srcOrd="0" destOrd="0" presId="urn:microsoft.com/office/officeart/2005/8/layout/orgChart1"/>
    <dgm:cxn modelId="{A8496A21-E05C-46DA-947A-6D4B89C750BC}" type="presOf" srcId="{681AC554-9F44-4FA1-B808-D10CFAD43FCE}" destId="{D9141E0A-A321-4E7A-A92E-BF78C5762CAE}" srcOrd="0" destOrd="0" presId="urn:microsoft.com/office/officeart/2005/8/layout/orgChart1"/>
    <dgm:cxn modelId="{4DF12AF1-7D6F-4819-A9F9-918B94E25A58}" srcId="{B74C83D5-1F4F-4200-8DC6-C53BB10C78B8}" destId="{82BDFFCC-E0A9-4459-B34D-D4565E9D4D4C}" srcOrd="0" destOrd="0" parTransId="{70446B9E-00F5-4309-8F2B-D910106592F9}" sibTransId="{F7B97E4B-87A6-41E9-A9AA-650137B1A6C2}"/>
    <dgm:cxn modelId="{11938A46-DC6B-453A-A903-D88E01C21AFE}" type="presOf" srcId="{B74C83D5-1F4F-4200-8DC6-C53BB10C78B8}" destId="{3F979304-5615-4638-A13C-C7E76B4EC00A}" srcOrd="0" destOrd="0" presId="urn:microsoft.com/office/officeart/2005/8/layout/orgChart1"/>
    <dgm:cxn modelId="{D4F737C5-61F6-4F16-BD10-2BEA73707455}" type="presOf" srcId="{5872E655-C591-4190-914C-0434D21F274E}" destId="{899D37DC-EDAC-43B6-B181-70EFE25DEEA0}" srcOrd="0" destOrd="0" presId="urn:microsoft.com/office/officeart/2005/8/layout/orgChart1"/>
    <dgm:cxn modelId="{97389412-E12D-4D0D-A350-2E5340AF923F}" type="presOf" srcId="{95D6DFBB-31DF-474E-9ECF-6A94E615A20F}" destId="{0C826641-2065-4095-B75C-4B38B7DA9A37}" srcOrd="0" destOrd="0" presId="urn:microsoft.com/office/officeart/2005/8/layout/orgChart1"/>
    <dgm:cxn modelId="{41A1003F-FCF0-45A4-B4D9-A81C89857440}" type="presOf" srcId="{3C3AF430-66B0-4E1B-8338-38E42A7A6A53}" destId="{E739FD39-ABCC-4651-8C01-6A57FE150901}" srcOrd="0" destOrd="0" presId="urn:microsoft.com/office/officeart/2005/8/layout/orgChart1"/>
    <dgm:cxn modelId="{787E8E8C-4F09-4D2E-843E-11A90AAC4A05}" type="presParOf" srcId="{899D37DC-EDAC-43B6-B181-70EFE25DEEA0}" destId="{270B65B1-5F13-4136-B999-E9CFDAEDF7A3}" srcOrd="0" destOrd="0" presId="urn:microsoft.com/office/officeart/2005/8/layout/orgChart1"/>
    <dgm:cxn modelId="{6515E41C-92BD-44BD-A9B7-C5D260E1784B}" type="presParOf" srcId="{270B65B1-5F13-4136-B999-E9CFDAEDF7A3}" destId="{65DE8F4A-C771-432B-AAC3-BBD558209D55}" srcOrd="0" destOrd="0" presId="urn:microsoft.com/office/officeart/2005/8/layout/orgChart1"/>
    <dgm:cxn modelId="{1A72325C-1390-435E-A92B-6F69ECF51C86}" type="presParOf" srcId="{65DE8F4A-C771-432B-AAC3-BBD558209D55}" destId="{3F979304-5615-4638-A13C-C7E76B4EC00A}" srcOrd="0" destOrd="0" presId="urn:microsoft.com/office/officeart/2005/8/layout/orgChart1"/>
    <dgm:cxn modelId="{057331B9-D4F2-43FB-BADB-970ABD82801F}" type="presParOf" srcId="{65DE8F4A-C771-432B-AAC3-BBD558209D55}" destId="{208DC0AC-8825-49EC-B208-2C689FB85FF3}" srcOrd="1" destOrd="0" presId="urn:microsoft.com/office/officeart/2005/8/layout/orgChart1"/>
    <dgm:cxn modelId="{CCDFDC02-8429-4189-8F80-585B7B72AAE1}" type="presParOf" srcId="{270B65B1-5F13-4136-B999-E9CFDAEDF7A3}" destId="{BAAED97B-5387-4215-A91F-7584FB28FF6A}" srcOrd="1" destOrd="0" presId="urn:microsoft.com/office/officeart/2005/8/layout/orgChart1"/>
    <dgm:cxn modelId="{1E18C38B-4D0F-4F38-958B-B37929DD6F16}" type="presParOf" srcId="{BAAED97B-5387-4215-A91F-7584FB28FF6A}" destId="{18B6E492-41E9-4D48-9EFE-4F23A23C7C47}" srcOrd="0" destOrd="0" presId="urn:microsoft.com/office/officeart/2005/8/layout/orgChart1"/>
    <dgm:cxn modelId="{E9C3E81C-2B52-480D-900C-1E55DDA30305}" type="presParOf" srcId="{BAAED97B-5387-4215-A91F-7584FB28FF6A}" destId="{A44441CF-308E-495B-AB74-E717B75F4422}" srcOrd="1" destOrd="0" presId="urn:microsoft.com/office/officeart/2005/8/layout/orgChart1"/>
    <dgm:cxn modelId="{65244B47-6F1C-4AC3-BDC8-7C87368732DB}" type="presParOf" srcId="{A44441CF-308E-495B-AB74-E717B75F4422}" destId="{166C2156-EB52-4683-8F44-33EE4B73D555}" srcOrd="0" destOrd="0" presId="urn:microsoft.com/office/officeart/2005/8/layout/orgChart1"/>
    <dgm:cxn modelId="{7BCE6C04-1001-43CA-A36B-CA9535D7A498}" type="presParOf" srcId="{166C2156-EB52-4683-8F44-33EE4B73D555}" destId="{E52E0597-026C-42A6-982D-D09EB631F4EF}" srcOrd="0" destOrd="0" presId="urn:microsoft.com/office/officeart/2005/8/layout/orgChart1"/>
    <dgm:cxn modelId="{E58B1816-3E48-4F05-BA2E-FB44B63ED518}" type="presParOf" srcId="{166C2156-EB52-4683-8F44-33EE4B73D555}" destId="{07A161B1-E87C-49E5-BBF0-862D6CA0F8EC}" srcOrd="1" destOrd="0" presId="urn:microsoft.com/office/officeart/2005/8/layout/orgChart1"/>
    <dgm:cxn modelId="{04FF5D69-F4F5-4DA7-B289-6E35D41972E6}" type="presParOf" srcId="{A44441CF-308E-495B-AB74-E717B75F4422}" destId="{47BC7AA5-C28D-4917-AC75-6E17DC7E9CDA}" srcOrd="1" destOrd="0" presId="urn:microsoft.com/office/officeart/2005/8/layout/orgChart1"/>
    <dgm:cxn modelId="{A9B721C1-4592-4CAE-A2A9-2D69FD3BA507}" type="presParOf" srcId="{A44441CF-308E-495B-AB74-E717B75F4422}" destId="{40E5121C-9571-4E70-BEC9-ECA9D0620CA2}" srcOrd="2" destOrd="0" presId="urn:microsoft.com/office/officeart/2005/8/layout/orgChart1"/>
    <dgm:cxn modelId="{C31E9008-FE5B-4697-B97D-9A642F0B19D6}" type="presParOf" srcId="{BAAED97B-5387-4215-A91F-7584FB28FF6A}" destId="{25F58B9E-FE5B-486E-A28A-455E5E3871E7}" srcOrd="2" destOrd="0" presId="urn:microsoft.com/office/officeart/2005/8/layout/orgChart1"/>
    <dgm:cxn modelId="{7D0E423A-C544-4608-BB29-AA661C1FDDCE}" type="presParOf" srcId="{BAAED97B-5387-4215-A91F-7584FB28FF6A}" destId="{130A893D-D7DB-4F25-A49F-55CF0508D2AC}" srcOrd="3" destOrd="0" presId="urn:microsoft.com/office/officeart/2005/8/layout/orgChart1"/>
    <dgm:cxn modelId="{7219653B-A7A3-476E-8DE2-BB287469C43E}" type="presParOf" srcId="{130A893D-D7DB-4F25-A49F-55CF0508D2AC}" destId="{280EF975-E14D-4C8E-A2C5-2D7CFE8A239A}" srcOrd="0" destOrd="0" presId="urn:microsoft.com/office/officeart/2005/8/layout/orgChart1"/>
    <dgm:cxn modelId="{B95A2409-81FF-4A86-ACDC-8507CB237F3D}" type="presParOf" srcId="{280EF975-E14D-4C8E-A2C5-2D7CFE8A239A}" destId="{D9141E0A-A321-4E7A-A92E-BF78C5762CAE}" srcOrd="0" destOrd="0" presId="urn:microsoft.com/office/officeart/2005/8/layout/orgChart1"/>
    <dgm:cxn modelId="{B776D322-126E-4E7A-AC4F-A09A77CF9A1A}" type="presParOf" srcId="{280EF975-E14D-4C8E-A2C5-2D7CFE8A239A}" destId="{69645B80-4B83-442A-A5A1-7EF7FF12A540}" srcOrd="1" destOrd="0" presId="urn:microsoft.com/office/officeart/2005/8/layout/orgChart1"/>
    <dgm:cxn modelId="{6AE8F631-A609-447A-BF0B-F0DF6BAD263A}" type="presParOf" srcId="{130A893D-D7DB-4F25-A49F-55CF0508D2AC}" destId="{A823AC8E-D7BE-4580-BF6A-D4E19AF733CE}" srcOrd="1" destOrd="0" presId="urn:microsoft.com/office/officeart/2005/8/layout/orgChart1"/>
    <dgm:cxn modelId="{F50E4686-3B9B-4AF5-A1A0-2E9543DA513C}" type="presParOf" srcId="{130A893D-D7DB-4F25-A49F-55CF0508D2AC}" destId="{441E8C00-DC40-40F2-BED7-A69AA4C551D2}" srcOrd="2" destOrd="0" presId="urn:microsoft.com/office/officeart/2005/8/layout/orgChart1"/>
    <dgm:cxn modelId="{11DF94E5-F71F-4FDE-ACBF-0A499F2D26EA}" type="presParOf" srcId="{BAAED97B-5387-4215-A91F-7584FB28FF6A}" destId="{E739FD39-ABCC-4651-8C01-6A57FE150901}" srcOrd="4" destOrd="0" presId="urn:microsoft.com/office/officeart/2005/8/layout/orgChart1"/>
    <dgm:cxn modelId="{749CABC8-447C-4428-804C-10C23C48EB56}" type="presParOf" srcId="{BAAED97B-5387-4215-A91F-7584FB28FF6A}" destId="{44274B20-638C-41EB-9168-1FAC635D13CB}" srcOrd="5" destOrd="0" presId="urn:microsoft.com/office/officeart/2005/8/layout/orgChart1"/>
    <dgm:cxn modelId="{CE45FD7B-B735-47B8-AA75-1C03AB5379A6}" type="presParOf" srcId="{44274B20-638C-41EB-9168-1FAC635D13CB}" destId="{EB16E1E5-C729-4FFD-A2DF-4256A3D28DEE}" srcOrd="0" destOrd="0" presId="urn:microsoft.com/office/officeart/2005/8/layout/orgChart1"/>
    <dgm:cxn modelId="{960D3F6B-7A63-41F9-9770-EB33285B8226}" type="presParOf" srcId="{EB16E1E5-C729-4FFD-A2DF-4256A3D28DEE}" destId="{0C826641-2065-4095-B75C-4B38B7DA9A37}" srcOrd="0" destOrd="0" presId="urn:microsoft.com/office/officeart/2005/8/layout/orgChart1"/>
    <dgm:cxn modelId="{CD6519B6-9DCA-4CBB-ABE9-51DEF280E305}" type="presParOf" srcId="{EB16E1E5-C729-4FFD-A2DF-4256A3D28DEE}" destId="{A706D59D-0FBD-46B8-9702-C555CD6F0B6F}" srcOrd="1" destOrd="0" presId="urn:microsoft.com/office/officeart/2005/8/layout/orgChart1"/>
    <dgm:cxn modelId="{CBD9E42C-006E-48FD-B24D-99F1DDB85B6D}" type="presParOf" srcId="{44274B20-638C-41EB-9168-1FAC635D13CB}" destId="{45759A6A-3442-43C7-911F-71EDE3A7F193}" srcOrd="1" destOrd="0" presId="urn:microsoft.com/office/officeart/2005/8/layout/orgChart1"/>
    <dgm:cxn modelId="{28AD4C6F-235F-47C8-ADD6-C3B73C8D29B9}" type="presParOf" srcId="{44274B20-638C-41EB-9168-1FAC635D13CB}" destId="{F1B58ED5-3CF9-464B-9FD5-DD273820E0DE}" srcOrd="2" destOrd="0" presId="urn:microsoft.com/office/officeart/2005/8/layout/orgChart1"/>
    <dgm:cxn modelId="{47CC44CC-56DF-476D-A4DC-1E8843B3C40B}" type="presParOf" srcId="{270B65B1-5F13-4136-B999-E9CFDAEDF7A3}" destId="{5699C877-7106-4781-85E1-0DAC705ACBE4}"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39FD39-ABCC-4651-8C01-6A57FE150901}">
      <dsp:nvSpPr>
        <dsp:cNvPr id="0" name=""/>
        <dsp:cNvSpPr/>
      </dsp:nvSpPr>
      <dsp:spPr>
        <a:xfrm>
          <a:off x="2971800" y="499117"/>
          <a:ext cx="1415027" cy="132365"/>
        </a:xfrm>
        <a:custGeom>
          <a:avLst/>
          <a:gdLst/>
          <a:ahLst/>
          <a:cxnLst/>
          <a:rect l="0" t="0" r="0" b="0"/>
          <a:pathLst>
            <a:path>
              <a:moveTo>
                <a:pt x="0" y="0"/>
              </a:moveTo>
              <a:lnTo>
                <a:pt x="0" y="66182"/>
              </a:lnTo>
              <a:lnTo>
                <a:pt x="1415027" y="66182"/>
              </a:lnTo>
              <a:lnTo>
                <a:pt x="1415027" y="13236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58B9E-FE5B-486E-A28A-455E5E3871E7}">
      <dsp:nvSpPr>
        <dsp:cNvPr id="0" name=""/>
        <dsp:cNvSpPr/>
      </dsp:nvSpPr>
      <dsp:spPr>
        <a:xfrm>
          <a:off x="2926080" y="499117"/>
          <a:ext cx="91440" cy="132365"/>
        </a:xfrm>
        <a:custGeom>
          <a:avLst/>
          <a:gdLst/>
          <a:ahLst/>
          <a:cxnLst/>
          <a:rect l="0" t="0" r="0" b="0"/>
          <a:pathLst>
            <a:path>
              <a:moveTo>
                <a:pt x="45720" y="0"/>
              </a:moveTo>
              <a:lnTo>
                <a:pt x="45720" y="66182"/>
              </a:lnTo>
              <a:lnTo>
                <a:pt x="132693" y="66182"/>
              </a:lnTo>
              <a:lnTo>
                <a:pt x="132693" y="13236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B6E492-41E9-4D48-9EFE-4F23A23C7C47}">
      <dsp:nvSpPr>
        <dsp:cNvPr id="0" name=""/>
        <dsp:cNvSpPr/>
      </dsp:nvSpPr>
      <dsp:spPr>
        <a:xfrm>
          <a:off x="1643745" y="499117"/>
          <a:ext cx="1328054" cy="132365"/>
        </a:xfrm>
        <a:custGeom>
          <a:avLst/>
          <a:gdLst/>
          <a:ahLst/>
          <a:cxnLst/>
          <a:rect l="0" t="0" r="0" b="0"/>
          <a:pathLst>
            <a:path>
              <a:moveTo>
                <a:pt x="1328054" y="0"/>
              </a:moveTo>
              <a:lnTo>
                <a:pt x="1328054" y="66182"/>
              </a:lnTo>
              <a:lnTo>
                <a:pt x="0" y="66182"/>
              </a:lnTo>
              <a:lnTo>
                <a:pt x="0" y="13236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979304-5615-4638-A13C-C7E76B4EC00A}">
      <dsp:nvSpPr>
        <dsp:cNvPr id="0" name=""/>
        <dsp:cNvSpPr/>
      </dsp:nvSpPr>
      <dsp:spPr>
        <a:xfrm>
          <a:off x="2132188" y="1458"/>
          <a:ext cx="1679222" cy="4976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a:t>
          </a:r>
          <a:r>
            <a:rPr lang="en-CA" sz="900" b="1" kern="1200">
              <a:latin typeface="Arial" panose="020B0604020202020204" pitchFamily="34" charset="0"/>
              <a:cs typeface="Arial" panose="020B0604020202020204" pitchFamily="34" charset="0"/>
            </a:rPr>
            <a:t>reatwall Enterprise Institute</a:t>
          </a: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0" i="1" kern="1200">
              <a:latin typeface="Arial" panose="020B0604020202020204" pitchFamily="34" charset="0"/>
              <a:cs typeface="Arial" panose="020B0604020202020204" pitchFamily="34" charset="0"/>
            </a:rPr>
            <a:t>Headquarters (Beijing)</a:t>
          </a:r>
        </a:p>
      </dsp:txBody>
      <dsp:txXfrm>
        <a:off x="2132188" y="1458"/>
        <a:ext cx="1679222" cy="497658"/>
      </dsp:txXfrm>
    </dsp:sp>
    <dsp:sp modelId="{E52E0597-026C-42A6-982D-D09EB631F4EF}">
      <dsp:nvSpPr>
        <dsp:cNvPr id="0" name=""/>
        <dsp:cNvSpPr/>
      </dsp:nvSpPr>
      <dsp:spPr>
        <a:xfrm>
          <a:off x="1011389" y="631482"/>
          <a:ext cx="1264711" cy="15138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Five Functional Departments</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Business Management</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Human Resources</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Marketing</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Administration</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Finance and Accountin</a:t>
          </a:r>
          <a:r>
            <a:rPr lang="en-US" sz="1100" i="1" kern="1200"/>
            <a:t>g</a:t>
          </a:r>
        </a:p>
      </dsp:txBody>
      <dsp:txXfrm>
        <a:off x="1011389" y="631482"/>
        <a:ext cx="1264711" cy="1513857"/>
      </dsp:txXfrm>
    </dsp:sp>
    <dsp:sp modelId="{D9141E0A-A321-4E7A-A92E-BF78C5762CAE}">
      <dsp:nvSpPr>
        <dsp:cNvPr id="0" name=""/>
        <dsp:cNvSpPr/>
      </dsp:nvSpPr>
      <dsp:spPr>
        <a:xfrm>
          <a:off x="2408466" y="631482"/>
          <a:ext cx="1300613" cy="251608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10 Business Divisions</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Regional STP</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High-Tech Zones</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Industry Consulting</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Science and Technology Management</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Digital Economy</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International Business</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Platform Development Centre</a:t>
          </a:r>
        </a:p>
        <a:p>
          <a:pPr lvl="0" algn="ctr" defTabSz="40005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Industrial Service Centre</a:t>
          </a:r>
        </a:p>
      </dsp:txBody>
      <dsp:txXfrm>
        <a:off x="2408466" y="631482"/>
        <a:ext cx="1300613" cy="2516085"/>
      </dsp:txXfrm>
    </dsp:sp>
    <dsp:sp modelId="{0C826641-2065-4095-B75C-4B38B7DA9A37}">
      <dsp:nvSpPr>
        <dsp:cNvPr id="0" name=""/>
        <dsp:cNvSpPr/>
      </dsp:nvSpPr>
      <dsp:spPr>
        <a:xfrm>
          <a:off x="3841445" y="631482"/>
          <a:ext cx="1090764" cy="284584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1" kern="1200"/>
        </a:p>
        <a:p>
          <a:pPr lvl="0" algn="ctr" defTabSz="53340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12 Regional Business Centres</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Ningbo</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Wuhan</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Guangzhou</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Tianjin</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Chengdu</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Jinan</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Shenyang</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Xi'an</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Hefei</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Hangzhou</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Zhengzhou</a:t>
          </a:r>
        </a:p>
        <a:p>
          <a:pPr lvl="0" algn="ctr" defTabSz="533400">
            <a:lnSpc>
              <a:spcPct val="90000"/>
            </a:lnSpc>
            <a:spcBef>
              <a:spcPct val="0"/>
            </a:spcBef>
            <a:spcAft>
              <a:spcPct val="35000"/>
            </a:spcAft>
          </a:pPr>
          <a:r>
            <a:rPr lang="en-US" sz="900" i="1" kern="1200">
              <a:latin typeface="Arial" panose="020B0604020202020204" pitchFamily="34" charset="0"/>
              <a:cs typeface="Arial" panose="020B0604020202020204" pitchFamily="34" charset="0"/>
            </a:rPr>
            <a:t>Nanjing</a:t>
          </a:r>
        </a:p>
        <a:p>
          <a:pPr lvl="0" algn="ctr" defTabSz="533400">
            <a:lnSpc>
              <a:spcPct val="90000"/>
            </a:lnSpc>
            <a:spcBef>
              <a:spcPct val="0"/>
            </a:spcBef>
            <a:spcAft>
              <a:spcPct val="35000"/>
            </a:spcAft>
          </a:pPr>
          <a:endParaRPr lang="en-US" sz="900" kern="1200">
            <a:latin typeface="Arial" panose="020B0604020202020204" pitchFamily="34" charset="0"/>
            <a:cs typeface="Arial" panose="020B0604020202020204" pitchFamily="34" charset="0"/>
          </a:endParaRPr>
        </a:p>
      </dsp:txBody>
      <dsp:txXfrm>
        <a:off x="3841445" y="631482"/>
        <a:ext cx="1090764" cy="28458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96CE52A-FB9F-4CC8-98CB-7EBA03798A3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988210A-8C17-4120-A1E1-701EE1F1CF6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ADFA-314E-4F9B-AFA1-B381B9B7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5774</Words>
  <Characters>32914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17</cp:revision>
  <cp:lastPrinted>2019-11-14T20:15:00Z</cp:lastPrinted>
  <dcterms:created xsi:type="dcterms:W3CDTF">2019-11-14T20:15:00Z</dcterms:created>
  <dcterms:modified xsi:type="dcterms:W3CDTF">2019-11-26T15:38:00Z</dcterms:modified>
</cp:coreProperties>
</file>