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3F479" w14:textId="37055CA9" w:rsidR="00AE7F91" w:rsidRPr="00F40142" w:rsidRDefault="00CB3AF5"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63C086E0" wp14:editId="6C03242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4B6ACAE" w:rsidR="00C02410" w:rsidRPr="00F40142" w:rsidRDefault="00AE7F91" w:rsidP="00C02410">
      <w:pPr>
        <w:pStyle w:val="ProductNumber"/>
        <w:rPr>
          <w:lang w:val="en-GB"/>
        </w:rPr>
      </w:pPr>
      <w:r>
        <w:rPr>
          <w:lang w:val="en-GB"/>
        </w:rPr>
        <w:t>9B19M139</w:t>
      </w:r>
    </w:p>
    <w:p w14:paraId="4E057522" w14:textId="7A113CB1" w:rsidR="00D75295" w:rsidRPr="00F40142" w:rsidRDefault="00D75295" w:rsidP="00D75295">
      <w:pPr>
        <w:jc w:val="right"/>
        <w:rPr>
          <w:rFonts w:ascii="Arial" w:hAnsi="Arial"/>
          <w:b/>
          <w:lang w:val="en-GB"/>
        </w:rPr>
      </w:pPr>
    </w:p>
    <w:p w14:paraId="02524312" w14:textId="77777777" w:rsidR="001901C0" w:rsidRPr="00F40142" w:rsidRDefault="001901C0" w:rsidP="00D75295">
      <w:pPr>
        <w:jc w:val="right"/>
        <w:rPr>
          <w:rFonts w:ascii="Arial" w:hAnsi="Arial"/>
          <w:b/>
          <w:lang w:val="en-GB"/>
        </w:rPr>
      </w:pPr>
    </w:p>
    <w:p w14:paraId="2F03D26A" w14:textId="6F7A1788" w:rsidR="00013360" w:rsidRPr="00F40142" w:rsidRDefault="009B2532" w:rsidP="00013360">
      <w:pPr>
        <w:pStyle w:val="CaseTitle"/>
        <w:spacing w:after="0" w:line="240" w:lineRule="auto"/>
        <w:rPr>
          <w:sz w:val="20"/>
          <w:szCs w:val="20"/>
          <w:lang w:val="en-GB"/>
        </w:rPr>
      </w:pPr>
      <w:r w:rsidRPr="00F40142">
        <w:rPr>
          <w:lang w:val="en-GB"/>
        </w:rPr>
        <w:t>DIAMOND ESTATE WINES &amp; SPIRITS</w:t>
      </w:r>
      <w:r w:rsidR="005151BA">
        <w:rPr>
          <w:lang w:val="en-GB"/>
        </w:rPr>
        <w:t>,</w:t>
      </w:r>
      <w:r w:rsidRPr="00F40142">
        <w:rPr>
          <w:lang w:val="en-GB"/>
        </w:rPr>
        <w:t xml:space="preserve"> INC.: GROWTH CHALLENGES IN A FRAGMENTED INDUSTRY</w:t>
      </w:r>
      <w:r w:rsidR="005151BA">
        <w:rPr>
          <w:rStyle w:val="EndnoteReference"/>
          <w:lang w:val="en-GB"/>
        </w:rPr>
        <w:endnoteReference w:id="2"/>
      </w:r>
    </w:p>
    <w:p w14:paraId="40ABF6FD" w14:textId="77777777" w:rsidR="00CA3976" w:rsidRPr="00F40142" w:rsidRDefault="00CA3976" w:rsidP="00013360">
      <w:pPr>
        <w:pStyle w:val="CaseTitle"/>
        <w:spacing w:after="0" w:line="240" w:lineRule="auto"/>
        <w:rPr>
          <w:sz w:val="20"/>
          <w:szCs w:val="20"/>
          <w:lang w:val="en-GB"/>
        </w:rPr>
      </w:pPr>
    </w:p>
    <w:p w14:paraId="202F1085" w14:textId="77777777" w:rsidR="00013360" w:rsidRPr="00F40142" w:rsidRDefault="00013360" w:rsidP="00013360">
      <w:pPr>
        <w:pStyle w:val="CaseTitle"/>
        <w:spacing w:after="0" w:line="240" w:lineRule="auto"/>
        <w:rPr>
          <w:sz w:val="20"/>
          <w:szCs w:val="20"/>
          <w:lang w:val="en-GB"/>
        </w:rPr>
      </w:pPr>
    </w:p>
    <w:p w14:paraId="58B0C73F" w14:textId="00A76903" w:rsidR="00086B26" w:rsidRPr="00F40142" w:rsidRDefault="009B2532" w:rsidP="00086B26">
      <w:pPr>
        <w:pStyle w:val="StyleCopyrightStatementAfter0ptBottomSinglesolidline1"/>
        <w:rPr>
          <w:lang w:val="en-GB"/>
        </w:rPr>
      </w:pPr>
      <w:r w:rsidRPr="00F40142">
        <w:rPr>
          <w:lang w:val="en-GB"/>
        </w:rPr>
        <w:t>Ann Dulhanty and John Love</w:t>
      </w:r>
      <w:r w:rsidR="00ED7922" w:rsidRPr="00F40142">
        <w:rPr>
          <w:rFonts w:cs="Arial"/>
          <w:szCs w:val="16"/>
          <w:lang w:val="en-GB"/>
        </w:rPr>
        <w:t xml:space="preserve"> </w:t>
      </w:r>
      <w:r w:rsidR="00086B26" w:rsidRPr="00F40142">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40142" w:rsidRDefault="00086B26" w:rsidP="00086B26">
      <w:pPr>
        <w:pStyle w:val="StyleCopyrightStatementAfter0ptBottomSinglesolidline1"/>
        <w:rPr>
          <w:lang w:val="en-GB"/>
        </w:rPr>
      </w:pPr>
    </w:p>
    <w:p w14:paraId="39845ADF" w14:textId="77777777" w:rsidR="00CD5F8F" w:rsidRPr="00A323B0" w:rsidRDefault="00CD5F8F" w:rsidP="00CD5F8F">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59EEED6" w14:textId="77777777" w:rsidR="00CD5F8F" w:rsidRPr="00A323B0" w:rsidRDefault="00CD5F8F" w:rsidP="00CD5F8F">
      <w:pPr>
        <w:pStyle w:val="StyleStyleCopyrightStatementAfter0ptBottomSinglesolid"/>
        <w:rPr>
          <w:rFonts w:cs="Arial"/>
          <w:szCs w:val="16"/>
        </w:rPr>
      </w:pPr>
    </w:p>
    <w:p w14:paraId="3922E14F" w14:textId="606471F2" w:rsidR="00751E0B" w:rsidRPr="00F40142" w:rsidRDefault="00CD5F8F" w:rsidP="00CD5F8F">
      <w:pPr>
        <w:pStyle w:val="StyleStyleCopyrightStatementAfter0ptBottomSinglesolid"/>
        <w:rPr>
          <w:rFonts w:cs="Arial"/>
          <w:szCs w:val="16"/>
          <w:lang w:val="en-GB"/>
        </w:rPr>
      </w:pPr>
      <w:r w:rsidRPr="00A323B0">
        <w:rPr>
          <w:rFonts w:cs="Arial"/>
          <w:iCs w:val="0"/>
          <w:color w:val="auto"/>
          <w:szCs w:val="16"/>
        </w:rPr>
        <w:t>Copyright © 20</w:t>
      </w:r>
      <w:r w:rsidR="00C94A4E">
        <w:rPr>
          <w:rFonts w:cs="Arial"/>
          <w:iCs w:val="0"/>
          <w:color w:val="auto"/>
          <w:szCs w:val="16"/>
        </w:rPr>
        <w:t>20</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40142">
        <w:rPr>
          <w:rFonts w:cs="Arial"/>
          <w:iCs w:val="0"/>
          <w:color w:val="auto"/>
          <w:szCs w:val="16"/>
          <w:lang w:val="en-GB"/>
        </w:rPr>
        <w:tab/>
        <w:t xml:space="preserve">Version: </w:t>
      </w:r>
      <w:r w:rsidR="00C94A4E">
        <w:rPr>
          <w:rFonts w:cs="Arial"/>
          <w:iCs w:val="0"/>
          <w:color w:val="auto"/>
          <w:szCs w:val="16"/>
          <w:lang w:val="en-GB"/>
        </w:rPr>
        <w:t>2020-10-23</w:t>
      </w:r>
    </w:p>
    <w:p w14:paraId="0A2A54E4" w14:textId="77777777" w:rsidR="00751E0B" w:rsidRPr="00F40142" w:rsidRDefault="00751E0B" w:rsidP="00751E0B">
      <w:pPr>
        <w:pStyle w:val="StyleCopyrightStatementAfter0ptBottomSinglesolidline1"/>
        <w:rPr>
          <w:rFonts w:ascii="Times New Roman" w:hAnsi="Times New Roman"/>
          <w:sz w:val="20"/>
          <w:lang w:val="en-GB"/>
        </w:rPr>
      </w:pPr>
    </w:p>
    <w:p w14:paraId="2C183161" w14:textId="6A3980A6" w:rsidR="00B87DC0" w:rsidRPr="00F40142" w:rsidRDefault="00B87DC0" w:rsidP="009B2532">
      <w:pPr>
        <w:pStyle w:val="BodyTextMain"/>
        <w:rPr>
          <w:lang w:val="en-GB"/>
        </w:rPr>
      </w:pPr>
    </w:p>
    <w:p w14:paraId="7736D2F8" w14:textId="40BD4DED" w:rsidR="009B2532" w:rsidRPr="000D18FA" w:rsidRDefault="008A31F5" w:rsidP="009B2532">
      <w:pPr>
        <w:pStyle w:val="BodyTextMain"/>
        <w:rPr>
          <w:rFonts w:eastAsia="Cambria"/>
          <w:spacing w:val="-2"/>
          <w:lang w:val="en-GB" w:bidi="hi-IN"/>
        </w:rPr>
      </w:pPr>
      <w:r w:rsidRPr="000D18FA">
        <w:rPr>
          <w:rFonts w:eastAsia="Cambria"/>
          <w:spacing w:val="-2"/>
          <w:lang w:val="en-GB" w:bidi="hi-IN"/>
        </w:rPr>
        <w:t>In 2019, 15 years after it entered</w:t>
      </w:r>
      <w:r w:rsidR="00F4239A" w:rsidRPr="000D18FA">
        <w:rPr>
          <w:rFonts w:eastAsia="Cambria"/>
          <w:spacing w:val="-2"/>
          <w:lang w:val="en-GB" w:bidi="hi-IN"/>
        </w:rPr>
        <w:t xml:space="preserve"> the Canadian </w:t>
      </w:r>
      <w:r w:rsidR="00CD6439" w:rsidRPr="000D18FA">
        <w:rPr>
          <w:rFonts w:eastAsia="Cambria"/>
          <w:spacing w:val="-2"/>
          <w:lang w:val="en-GB" w:bidi="hi-IN"/>
        </w:rPr>
        <w:t>wine</w:t>
      </w:r>
      <w:r w:rsidR="00F4239A" w:rsidRPr="000D18FA">
        <w:rPr>
          <w:rFonts w:eastAsia="Cambria"/>
          <w:spacing w:val="-2"/>
          <w:lang w:val="en-GB" w:bidi="hi-IN"/>
        </w:rPr>
        <w:t xml:space="preserve"> industry, </w:t>
      </w:r>
      <w:r w:rsidR="009B2532" w:rsidRPr="000D18FA">
        <w:rPr>
          <w:rFonts w:eastAsia="Cambria"/>
          <w:spacing w:val="-2"/>
          <w:lang w:val="en-GB" w:bidi="hi-IN"/>
        </w:rPr>
        <w:t xml:space="preserve">Diamond Estate Wines </w:t>
      </w:r>
      <w:r w:rsidR="00EE0C5B" w:rsidRPr="000D18FA">
        <w:rPr>
          <w:rFonts w:eastAsia="Cambria"/>
          <w:spacing w:val="-2"/>
          <w:lang w:val="en-GB" w:bidi="hi-IN"/>
        </w:rPr>
        <w:t>&amp;</w:t>
      </w:r>
      <w:r w:rsidR="009B2532" w:rsidRPr="000D18FA">
        <w:rPr>
          <w:rFonts w:eastAsia="Cambria"/>
          <w:spacing w:val="-2"/>
          <w:lang w:val="en-GB" w:bidi="hi-IN"/>
        </w:rPr>
        <w:t xml:space="preserve"> Spirits</w:t>
      </w:r>
      <w:r w:rsidR="00EE0C5B" w:rsidRPr="000D18FA">
        <w:rPr>
          <w:rFonts w:eastAsia="Cambria"/>
          <w:spacing w:val="-2"/>
          <w:lang w:val="en-GB" w:bidi="hi-IN"/>
        </w:rPr>
        <w:t xml:space="preserve"> Inc.</w:t>
      </w:r>
      <w:r w:rsidR="009B2532" w:rsidRPr="000D18FA">
        <w:rPr>
          <w:rFonts w:eastAsia="Cambria"/>
          <w:spacing w:val="-2"/>
          <w:lang w:val="en-GB" w:bidi="hi-IN"/>
        </w:rPr>
        <w:t xml:space="preserve"> (Diamond) was poised for growth. In a fragmented industry with local, national</w:t>
      </w:r>
      <w:r w:rsidR="00CD6439" w:rsidRPr="000D18FA">
        <w:rPr>
          <w:rFonts w:eastAsia="Cambria"/>
          <w:spacing w:val="-2"/>
          <w:lang w:val="en-GB" w:bidi="hi-IN"/>
        </w:rPr>
        <w:t>,</w:t>
      </w:r>
      <w:r w:rsidR="009B2532" w:rsidRPr="000D18FA">
        <w:rPr>
          <w:rFonts w:eastAsia="Cambria"/>
          <w:spacing w:val="-2"/>
          <w:lang w:val="en-GB" w:bidi="hi-IN"/>
        </w:rPr>
        <w:t xml:space="preserve"> and international competition from well-established and new players, Diamond had </w:t>
      </w:r>
      <w:r w:rsidR="00AE7F91" w:rsidRPr="000D18FA">
        <w:rPr>
          <w:rFonts w:eastAsia="Cambria"/>
          <w:spacing w:val="-2"/>
          <w:lang w:val="en-GB" w:bidi="hi-IN"/>
        </w:rPr>
        <w:t xml:space="preserve">a </w:t>
      </w:r>
      <w:r w:rsidR="009B2532" w:rsidRPr="000D18FA">
        <w:rPr>
          <w:rFonts w:eastAsia="Cambria"/>
          <w:spacing w:val="-2"/>
          <w:lang w:val="en-GB" w:bidi="hi-IN"/>
        </w:rPr>
        <w:t xml:space="preserve">position in many industry subsegments. Selecting </w:t>
      </w:r>
      <w:r w:rsidR="00CD6439" w:rsidRPr="000D18FA">
        <w:rPr>
          <w:rFonts w:eastAsia="Cambria"/>
          <w:spacing w:val="-2"/>
          <w:lang w:val="en-GB" w:bidi="hi-IN"/>
        </w:rPr>
        <w:t>a</w:t>
      </w:r>
      <w:r w:rsidR="009B2532" w:rsidRPr="000D18FA">
        <w:rPr>
          <w:rFonts w:eastAsia="Cambria"/>
          <w:spacing w:val="-2"/>
          <w:lang w:val="en-GB" w:bidi="hi-IN"/>
        </w:rPr>
        <w:t xml:space="preserve"> path to achieve its growth objective presented a formidable challenge for this small Ontario business.</w:t>
      </w:r>
    </w:p>
    <w:p w14:paraId="0D486038" w14:textId="77777777" w:rsidR="009B2532" w:rsidRPr="000D18FA" w:rsidRDefault="009B2532" w:rsidP="009B2532">
      <w:pPr>
        <w:pStyle w:val="BodyTextMain"/>
        <w:rPr>
          <w:rFonts w:eastAsia="Cambria"/>
          <w:szCs w:val="14"/>
          <w:lang w:val="en-GB" w:bidi="hi-IN"/>
        </w:rPr>
      </w:pPr>
    </w:p>
    <w:p w14:paraId="2C9FFC04" w14:textId="77777777" w:rsidR="009B2532" w:rsidRPr="000D18FA" w:rsidRDefault="009B2532" w:rsidP="009B2532">
      <w:pPr>
        <w:pStyle w:val="BodyTextMain"/>
        <w:rPr>
          <w:rFonts w:eastAsia="Arial Unicode MS"/>
          <w:szCs w:val="14"/>
          <w:lang w:val="en-GB" w:bidi="hi-IN"/>
        </w:rPr>
      </w:pPr>
    </w:p>
    <w:p w14:paraId="1093FDB9" w14:textId="77777777" w:rsidR="009B2532" w:rsidRPr="00C70964" w:rsidRDefault="009B2532" w:rsidP="009B2532">
      <w:pPr>
        <w:pStyle w:val="Casehead1"/>
        <w:rPr>
          <w:rFonts w:eastAsia="Cambria"/>
          <w:lang w:val="en-GB" w:eastAsia="hi-IN" w:bidi="hi-IN"/>
        </w:rPr>
      </w:pPr>
      <w:r w:rsidRPr="00C70964">
        <w:rPr>
          <w:rFonts w:eastAsia="Arial Unicode MS"/>
          <w:lang w:val="en-GB" w:eastAsia="ar-SA"/>
        </w:rPr>
        <w:t>The Wine Industry</w:t>
      </w:r>
    </w:p>
    <w:p w14:paraId="187954A3" w14:textId="77777777" w:rsidR="009B2532" w:rsidRPr="00C70964" w:rsidRDefault="009B2532" w:rsidP="009B2532">
      <w:pPr>
        <w:pStyle w:val="BodyTextMain"/>
        <w:rPr>
          <w:rFonts w:eastAsia="Cambria"/>
          <w:lang w:val="en-GB" w:eastAsia="hi-IN" w:bidi="hi-IN"/>
        </w:rPr>
      </w:pPr>
    </w:p>
    <w:p w14:paraId="01B0AE10" w14:textId="1A770B19" w:rsidR="009B2532" w:rsidRPr="00863E79" w:rsidRDefault="009B2532" w:rsidP="009B2532">
      <w:pPr>
        <w:pStyle w:val="BodyTextMain"/>
        <w:rPr>
          <w:rFonts w:eastAsia="Cambria"/>
          <w:spacing w:val="-2"/>
          <w:lang w:val="en-GB" w:eastAsia="hi-IN" w:bidi="hi-IN"/>
        </w:rPr>
      </w:pPr>
      <w:r w:rsidRPr="00863E79">
        <w:rPr>
          <w:rFonts w:eastAsia="Cambria"/>
          <w:spacing w:val="-2"/>
          <w:lang w:val="en-GB" w:eastAsia="hi-IN" w:bidi="hi-IN"/>
        </w:rPr>
        <w:t xml:space="preserve">Wine </w:t>
      </w:r>
      <w:r w:rsidR="0058020B" w:rsidRPr="00863E79">
        <w:rPr>
          <w:rFonts w:eastAsia="Cambria"/>
          <w:spacing w:val="-2"/>
          <w:lang w:val="en-GB" w:eastAsia="hi-IN" w:bidi="hi-IN"/>
        </w:rPr>
        <w:t>was</w:t>
      </w:r>
      <w:r w:rsidRPr="00863E79">
        <w:rPr>
          <w:rFonts w:eastAsia="Cambria"/>
          <w:spacing w:val="-2"/>
          <w:lang w:val="en-GB" w:eastAsia="hi-IN" w:bidi="hi-IN"/>
        </w:rPr>
        <w:t xml:space="preserve"> an interesting product</w:t>
      </w:r>
      <w:r w:rsidR="0058020B" w:rsidRPr="00863E79">
        <w:rPr>
          <w:rFonts w:eastAsia="Cambria"/>
          <w:spacing w:val="-2"/>
          <w:lang w:val="en-GB" w:eastAsia="hi-IN" w:bidi="hi-IN"/>
        </w:rPr>
        <w:t>:</w:t>
      </w:r>
      <w:r w:rsidRPr="00863E79">
        <w:rPr>
          <w:rFonts w:eastAsia="Cambria"/>
          <w:spacing w:val="-2"/>
          <w:lang w:val="en-GB" w:eastAsia="hi-IN" w:bidi="hi-IN"/>
        </w:rPr>
        <w:t xml:space="preserve"> </w:t>
      </w:r>
      <w:r w:rsidR="0058020B" w:rsidRPr="00863E79">
        <w:rPr>
          <w:rFonts w:eastAsia="Cambria"/>
          <w:spacing w:val="-2"/>
          <w:lang w:val="en-GB" w:eastAsia="hi-IN" w:bidi="hi-IN"/>
        </w:rPr>
        <w:t>it</w:t>
      </w:r>
      <w:r w:rsidRPr="00863E79">
        <w:rPr>
          <w:rFonts w:eastAsia="Cambria"/>
          <w:spacing w:val="-2"/>
          <w:lang w:val="en-GB" w:eastAsia="hi-IN" w:bidi="hi-IN"/>
        </w:rPr>
        <w:t xml:space="preserve"> </w:t>
      </w:r>
      <w:r w:rsidR="0058020B" w:rsidRPr="00863E79">
        <w:rPr>
          <w:rFonts w:eastAsia="Cambria"/>
          <w:spacing w:val="-2"/>
          <w:lang w:val="en-GB" w:eastAsia="hi-IN" w:bidi="hi-IN"/>
        </w:rPr>
        <w:t>was</w:t>
      </w:r>
      <w:r w:rsidRPr="00863E79">
        <w:rPr>
          <w:rFonts w:eastAsia="Cambria"/>
          <w:spacing w:val="-2"/>
          <w:lang w:val="en-GB" w:eastAsia="hi-IN" w:bidi="hi-IN"/>
        </w:rPr>
        <w:t xml:space="preserve"> a beverage, but also a social occasion</w:t>
      </w:r>
      <w:r w:rsidR="00BB3F83" w:rsidRPr="00863E79">
        <w:rPr>
          <w:rFonts w:eastAsia="Cambria"/>
          <w:spacing w:val="-2"/>
          <w:lang w:val="en-GB" w:eastAsia="hi-IN" w:bidi="hi-IN"/>
        </w:rPr>
        <w:t>.</w:t>
      </w:r>
      <w:r w:rsidR="0058020B" w:rsidRPr="00863E79">
        <w:rPr>
          <w:rFonts w:eastAsia="Cambria"/>
          <w:spacing w:val="-2"/>
          <w:lang w:val="en-GB" w:eastAsia="hi-IN" w:bidi="hi-IN"/>
        </w:rPr>
        <w:t xml:space="preserve"> </w:t>
      </w:r>
      <w:r w:rsidR="00BB3F83" w:rsidRPr="00863E79">
        <w:rPr>
          <w:rFonts w:eastAsia="Cambria"/>
          <w:spacing w:val="-2"/>
          <w:lang w:val="en-GB" w:eastAsia="hi-IN" w:bidi="hi-IN"/>
        </w:rPr>
        <w:t>It</w:t>
      </w:r>
      <w:r w:rsidR="0058020B" w:rsidRPr="00863E79">
        <w:rPr>
          <w:rFonts w:eastAsia="Cambria"/>
          <w:spacing w:val="-2"/>
          <w:lang w:val="en-GB" w:eastAsia="hi-IN" w:bidi="hi-IN"/>
        </w:rPr>
        <w:t xml:space="preserve"> could</w:t>
      </w:r>
      <w:r w:rsidRPr="00863E79">
        <w:rPr>
          <w:rFonts w:eastAsia="Cambria"/>
          <w:spacing w:val="-2"/>
          <w:lang w:val="en-GB" w:eastAsia="hi-IN" w:bidi="hi-IN"/>
        </w:rPr>
        <w:t xml:space="preserve"> </w:t>
      </w:r>
      <w:r w:rsidR="0058020B" w:rsidRPr="00863E79">
        <w:rPr>
          <w:rFonts w:eastAsia="Cambria"/>
          <w:spacing w:val="-2"/>
          <w:lang w:val="en-GB" w:eastAsia="hi-IN" w:bidi="hi-IN"/>
        </w:rPr>
        <w:t>also</w:t>
      </w:r>
      <w:r w:rsidR="00BB3F83" w:rsidRPr="00863E79">
        <w:rPr>
          <w:rFonts w:eastAsia="Cambria"/>
          <w:spacing w:val="-2"/>
          <w:lang w:val="en-GB" w:eastAsia="hi-IN" w:bidi="hi-IN"/>
        </w:rPr>
        <w:t xml:space="preserve"> be</w:t>
      </w:r>
      <w:r w:rsidR="0058020B" w:rsidRPr="00863E79">
        <w:rPr>
          <w:rFonts w:eastAsia="Cambria"/>
          <w:spacing w:val="-2"/>
          <w:lang w:val="en-GB" w:eastAsia="hi-IN" w:bidi="hi-IN"/>
        </w:rPr>
        <w:t xml:space="preserve"> </w:t>
      </w:r>
      <w:r w:rsidRPr="00863E79">
        <w:rPr>
          <w:rFonts w:eastAsia="Cambria"/>
          <w:spacing w:val="-2"/>
          <w:lang w:val="en-GB" w:eastAsia="hi-IN" w:bidi="hi-IN"/>
        </w:rPr>
        <w:t xml:space="preserve">given as a gift and </w:t>
      </w:r>
      <w:r w:rsidR="00BB3F83" w:rsidRPr="00863E79">
        <w:rPr>
          <w:rFonts w:eastAsia="Cambria"/>
          <w:spacing w:val="-2"/>
          <w:lang w:val="en-GB" w:eastAsia="hi-IN" w:bidi="hi-IN"/>
        </w:rPr>
        <w:t xml:space="preserve">had </w:t>
      </w:r>
      <w:r w:rsidRPr="00863E79">
        <w:rPr>
          <w:rFonts w:eastAsia="Cambria"/>
          <w:spacing w:val="-2"/>
          <w:lang w:val="en-GB" w:eastAsia="hi-IN" w:bidi="hi-IN"/>
        </w:rPr>
        <w:t xml:space="preserve">cultural </w:t>
      </w:r>
      <w:r w:rsidR="0058020B" w:rsidRPr="00863E79">
        <w:rPr>
          <w:rFonts w:eastAsia="Cambria"/>
          <w:spacing w:val="-2"/>
          <w:lang w:val="en-GB" w:eastAsia="hi-IN" w:bidi="hi-IN"/>
        </w:rPr>
        <w:t>and</w:t>
      </w:r>
      <w:r w:rsidRPr="00863E79">
        <w:rPr>
          <w:rFonts w:eastAsia="Cambria"/>
          <w:spacing w:val="-2"/>
          <w:lang w:val="en-GB" w:eastAsia="hi-IN" w:bidi="hi-IN"/>
        </w:rPr>
        <w:t xml:space="preserve"> aspirational connections. </w:t>
      </w:r>
      <w:r w:rsidR="00BB3F83" w:rsidRPr="00863E79">
        <w:rPr>
          <w:rFonts w:eastAsia="Cambria"/>
          <w:spacing w:val="-2"/>
          <w:lang w:val="en-GB" w:eastAsia="hi-IN" w:bidi="hi-IN"/>
        </w:rPr>
        <w:t>Although there</w:t>
      </w:r>
      <w:r w:rsidR="0058020B" w:rsidRPr="00863E79">
        <w:rPr>
          <w:rFonts w:eastAsia="Cambria"/>
          <w:spacing w:val="-2"/>
          <w:lang w:val="en-GB" w:eastAsia="hi-IN" w:bidi="hi-IN"/>
        </w:rPr>
        <w:t xml:space="preserve"> may have been healthy</w:t>
      </w:r>
      <w:r w:rsidRPr="00863E79">
        <w:rPr>
          <w:rFonts w:eastAsia="Cambria"/>
          <w:spacing w:val="-2"/>
          <w:lang w:val="en-GB" w:eastAsia="hi-IN" w:bidi="hi-IN"/>
        </w:rPr>
        <w:t xml:space="preserve"> benefits </w:t>
      </w:r>
      <w:r w:rsidR="0058020B" w:rsidRPr="00863E79">
        <w:rPr>
          <w:rFonts w:eastAsia="Cambria"/>
          <w:spacing w:val="-2"/>
          <w:lang w:val="en-GB" w:eastAsia="hi-IN" w:bidi="hi-IN"/>
        </w:rPr>
        <w:t>associated with wine</w:t>
      </w:r>
      <w:r w:rsidRPr="00863E79">
        <w:rPr>
          <w:rFonts w:eastAsia="Cambria"/>
          <w:spacing w:val="-2"/>
          <w:lang w:val="en-GB" w:eastAsia="hi-IN" w:bidi="hi-IN"/>
        </w:rPr>
        <w:t xml:space="preserve">, </w:t>
      </w:r>
      <w:r w:rsidR="0058020B" w:rsidRPr="00863E79">
        <w:rPr>
          <w:rFonts w:eastAsia="Cambria"/>
          <w:spacing w:val="-2"/>
          <w:lang w:val="en-GB" w:eastAsia="hi-IN" w:bidi="hi-IN"/>
        </w:rPr>
        <w:t xml:space="preserve">alcohol </w:t>
      </w:r>
      <w:r w:rsidRPr="00863E79">
        <w:rPr>
          <w:rFonts w:eastAsia="Cambria"/>
          <w:spacing w:val="-2"/>
          <w:lang w:val="en-GB" w:eastAsia="hi-IN" w:bidi="hi-IN"/>
        </w:rPr>
        <w:t xml:space="preserve">abuse </w:t>
      </w:r>
      <w:r w:rsidR="0058020B" w:rsidRPr="00863E79">
        <w:rPr>
          <w:rFonts w:eastAsia="Cambria"/>
          <w:spacing w:val="-2"/>
          <w:lang w:val="en-GB" w:eastAsia="hi-IN" w:bidi="hi-IN"/>
        </w:rPr>
        <w:t>was</w:t>
      </w:r>
      <w:r w:rsidRPr="00863E79">
        <w:rPr>
          <w:rFonts w:eastAsia="Cambria"/>
          <w:spacing w:val="-2"/>
          <w:lang w:val="en-GB" w:eastAsia="hi-IN" w:bidi="hi-IN"/>
        </w:rPr>
        <w:t xml:space="preserve"> clearly </w:t>
      </w:r>
      <w:r w:rsidR="00BB3F83" w:rsidRPr="00863E79">
        <w:rPr>
          <w:rFonts w:eastAsia="Cambria"/>
          <w:spacing w:val="-2"/>
          <w:lang w:val="en-GB" w:eastAsia="hi-IN" w:bidi="hi-IN"/>
        </w:rPr>
        <w:t>linked to</w:t>
      </w:r>
      <w:r w:rsidRPr="00863E79">
        <w:rPr>
          <w:rFonts w:eastAsia="Cambria"/>
          <w:spacing w:val="-2"/>
          <w:lang w:val="en-GB" w:eastAsia="hi-IN" w:bidi="hi-IN"/>
        </w:rPr>
        <w:t xml:space="preserve"> serious threats to human health and safety.</w:t>
      </w:r>
      <w:r w:rsidR="00AE7F91">
        <w:rPr>
          <w:rStyle w:val="EndnoteReference"/>
          <w:rFonts w:eastAsia="Cambria"/>
          <w:spacing w:val="-2"/>
          <w:lang w:val="en-GB" w:eastAsia="hi-IN" w:bidi="hi-IN"/>
        </w:rPr>
        <w:endnoteReference w:id="3"/>
      </w:r>
      <w:r w:rsidRPr="00863E79">
        <w:rPr>
          <w:rFonts w:eastAsia="Cambria"/>
          <w:spacing w:val="-2"/>
          <w:lang w:val="en-GB" w:eastAsia="hi-IN" w:bidi="hi-IN"/>
        </w:rPr>
        <w:t xml:space="preserve"> Despite an ancient history, the wine industry</w:t>
      </w:r>
      <w:r w:rsidR="0058020B" w:rsidRPr="00863E79">
        <w:rPr>
          <w:rFonts w:eastAsia="Cambria"/>
          <w:spacing w:val="-2"/>
          <w:lang w:val="en-GB" w:eastAsia="hi-IN" w:bidi="hi-IN"/>
        </w:rPr>
        <w:t>, both</w:t>
      </w:r>
      <w:r w:rsidRPr="00863E79">
        <w:rPr>
          <w:rFonts w:eastAsia="Cambria"/>
          <w:spacing w:val="-2"/>
          <w:lang w:val="en-GB" w:eastAsia="hi-IN" w:bidi="hi-IN"/>
        </w:rPr>
        <w:t xml:space="preserve"> worldwide and in Canada</w:t>
      </w:r>
      <w:r w:rsidR="0058020B" w:rsidRPr="00863E79">
        <w:rPr>
          <w:rFonts w:eastAsia="Cambria"/>
          <w:spacing w:val="-2"/>
          <w:lang w:val="en-GB" w:eastAsia="hi-IN" w:bidi="hi-IN"/>
        </w:rPr>
        <w:t>,</w:t>
      </w:r>
      <w:r w:rsidRPr="00863E79">
        <w:rPr>
          <w:rFonts w:eastAsia="Cambria"/>
          <w:spacing w:val="-2"/>
          <w:lang w:val="en-GB" w:eastAsia="hi-IN" w:bidi="hi-IN"/>
        </w:rPr>
        <w:t xml:space="preserve"> was projected to continue modest growth over the next few years.</w:t>
      </w:r>
      <w:r w:rsidR="00AE7F91">
        <w:rPr>
          <w:rStyle w:val="EndnoteReference"/>
          <w:rFonts w:eastAsia="Cambria"/>
          <w:spacing w:val="-2"/>
          <w:lang w:val="en-GB" w:eastAsia="hi-IN" w:bidi="hi-IN"/>
        </w:rPr>
        <w:endnoteReference w:id="4"/>
      </w:r>
      <w:r w:rsidRPr="00863E79">
        <w:rPr>
          <w:rFonts w:eastAsia="Cambria"/>
          <w:spacing w:val="-2"/>
          <w:lang w:val="en-GB" w:eastAsia="hi-IN" w:bidi="hi-IN"/>
        </w:rPr>
        <w:t xml:space="preserve"> Some jurisdictions, such as France, Italy, and Quebec</w:t>
      </w:r>
      <w:r w:rsidR="0058020B" w:rsidRPr="00863E79">
        <w:rPr>
          <w:rFonts w:eastAsia="Cambria"/>
          <w:spacing w:val="-2"/>
          <w:lang w:val="en-GB" w:eastAsia="hi-IN" w:bidi="hi-IN"/>
        </w:rPr>
        <w:t>,</w:t>
      </w:r>
      <w:r w:rsidRPr="00863E79">
        <w:rPr>
          <w:rFonts w:eastAsia="Cambria"/>
          <w:spacing w:val="-2"/>
          <w:lang w:val="en-GB" w:eastAsia="hi-IN" w:bidi="hi-IN"/>
        </w:rPr>
        <w:t xml:space="preserve"> </w:t>
      </w:r>
      <w:r w:rsidR="0058020B" w:rsidRPr="00863E79">
        <w:rPr>
          <w:rFonts w:eastAsia="Cambria"/>
          <w:spacing w:val="-2"/>
          <w:lang w:val="en-GB" w:eastAsia="hi-IN" w:bidi="hi-IN"/>
        </w:rPr>
        <w:t>reflected</w:t>
      </w:r>
      <w:r w:rsidRPr="00863E79">
        <w:rPr>
          <w:rFonts w:eastAsia="Cambria"/>
          <w:spacing w:val="-2"/>
          <w:lang w:val="en-GB" w:eastAsia="hi-IN" w:bidi="hi-IN"/>
        </w:rPr>
        <w:t xml:space="preserve"> mature wine-consuming markets. Other</w:t>
      </w:r>
      <w:r w:rsidR="0058020B" w:rsidRPr="00863E79">
        <w:rPr>
          <w:rFonts w:eastAsia="Cambria"/>
          <w:spacing w:val="-2"/>
          <w:lang w:val="en-GB" w:eastAsia="hi-IN" w:bidi="hi-IN"/>
        </w:rPr>
        <w:t xml:space="preserve"> markets demonstrated </w:t>
      </w:r>
      <w:r w:rsidRPr="00863E79">
        <w:rPr>
          <w:rFonts w:eastAsia="Cambria"/>
          <w:spacing w:val="-2"/>
          <w:lang w:val="en-GB" w:eastAsia="hi-IN" w:bidi="hi-IN"/>
        </w:rPr>
        <w:t xml:space="preserve">growth, such as China, the </w:t>
      </w:r>
      <w:r w:rsidR="0058020B" w:rsidRPr="00863E79">
        <w:rPr>
          <w:rFonts w:eastAsia="Cambria"/>
          <w:spacing w:val="-2"/>
          <w:lang w:val="en-GB" w:eastAsia="hi-IN" w:bidi="hi-IN"/>
        </w:rPr>
        <w:t>United Kingdom</w:t>
      </w:r>
      <w:r w:rsidRPr="00863E79">
        <w:rPr>
          <w:rFonts w:eastAsia="Cambria"/>
          <w:spacing w:val="-2"/>
          <w:lang w:val="en-GB" w:eastAsia="hi-IN" w:bidi="hi-IN"/>
        </w:rPr>
        <w:t>, and Ontario.</w:t>
      </w:r>
      <w:r w:rsidR="000702E9">
        <w:rPr>
          <w:rStyle w:val="EndnoteReference"/>
          <w:rFonts w:eastAsia="Cambria"/>
          <w:spacing w:val="-2"/>
          <w:lang w:val="en-GB" w:eastAsia="hi-IN" w:bidi="hi-IN"/>
        </w:rPr>
        <w:endnoteReference w:id="5"/>
      </w:r>
      <w:r w:rsidRPr="00863E79">
        <w:rPr>
          <w:rFonts w:eastAsia="Cambria"/>
          <w:spacing w:val="-2"/>
          <w:lang w:val="en-GB" w:eastAsia="hi-IN" w:bidi="hi-IN"/>
        </w:rPr>
        <w:t xml:space="preserve"> </w:t>
      </w:r>
    </w:p>
    <w:p w14:paraId="72123BCE" w14:textId="77777777" w:rsidR="009B2532" w:rsidRPr="00C70964" w:rsidRDefault="009B2532" w:rsidP="009B2532">
      <w:pPr>
        <w:pStyle w:val="BodyTextMain"/>
        <w:rPr>
          <w:rFonts w:eastAsia="Cambria"/>
          <w:lang w:val="en-GB" w:eastAsia="hi-IN" w:bidi="hi-IN"/>
        </w:rPr>
      </w:pPr>
    </w:p>
    <w:p w14:paraId="408D3D2F" w14:textId="15DF8DE8" w:rsidR="00DB78B7" w:rsidRPr="00C70964" w:rsidRDefault="009B2532" w:rsidP="009B2532">
      <w:pPr>
        <w:pStyle w:val="BodyTextMain"/>
        <w:rPr>
          <w:rFonts w:eastAsia="KaiTi_GB2312"/>
          <w:lang w:val="en-GB" w:eastAsia="ar-SA"/>
        </w:rPr>
      </w:pPr>
      <w:r w:rsidRPr="00C70964">
        <w:rPr>
          <w:rFonts w:eastAsia="Cambria"/>
          <w:lang w:val="en-GB" w:eastAsia="hi-IN" w:bidi="hi-IN"/>
        </w:rPr>
        <w:t xml:space="preserve">Worldwide, 28.4 billion </w:t>
      </w:r>
      <w:r w:rsidRPr="00C70964">
        <w:rPr>
          <w:rFonts w:eastAsia="Arial Unicode MS"/>
          <w:lang w:val="en-GB"/>
        </w:rPr>
        <w:t>litres</w:t>
      </w:r>
      <w:r w:rsidRPr="00C70964">
        <w:rPr>
          <w:rFonts w:eastAsia="Cambria"/>
          <w:lang w:val="en-GB" w:eastAsia="hi-IN" w:bidi="hi-IN"/>
        </w:rPr>
        <w:t xml:space="preserve"> of wine were produced in 2015, with Italy and France contributing 17</w:t>
      </w:r>
      <w:r w:rsidR="00316393" w:rsidRPr="00C70964">
        <w:rPr>
          <w:rFonts w:eastAsia="Cambria"/>
          <w:lang w:val="en-GB" w:eastAsia="hi-IN" w:bidi="hi-IN"/>
        </w:rPr>
        <w:t xml:space="preserve"> per cent</w:t>
      </w:r>
      <w:r w:rsidRPr="00C70964">
        <w:rPr>
          <w:rFonts w:eastAsia="Cambria"/>
          <w:lang w:val="en-GB" w:eastAsia="hi-IN" w:bidi="hi-IN"/>
        </w:rPr>
        <w:t xml:space="preserve"> each, followed by Spain </w:t>
      </w:r>
      <w:r w:rsidR="00316393" w:rsidRPr="00C70964">
        <w:rPr>
          <w:rFonts w:eastAsia="Cambria"/>
          <w:lang w:val="en-GB" w:eastAsia="hi-IN" w:bidi="hi-IN"/>
        </w:rPr>
        <w:t>(</w:t>
      </w:r>
      <w:r w:rsidRPr="00C70964">
        <w:rPr>
          <w:rFonts w:eastAsia="Cambria"/>
          <w:lang w:val="en-GB" w:eastAsia="hi-IN" w:bidi="hi-IN"/>
        </w:rPr>
        <w:t>13</w:t>
      </w:r>
      <w:r w:rsidR="00316393" w:rsidRPr="00C70964">
        <w:rPr>
          <w:rFonts w:eastAsia="Cambria"/>
          <w:lang w:val="en-GB" w:eastAsia="hi-IN" w:bidi="hi-IN"/>
        </w:rPr>
        <w:t xml:space="preserve"> per cent)</w:t>
      </w:r>
      <w:r w:rsidRPr="00C70964">
        <w:rPr>
          <w:rFonts w:eastAsia="Cambria"/>
          <w:lang w:val="en-GB" w:eastAsia="hi-IN" w:bidi="hi-IN"/>
        </w:rPr>
        <w:t xml:space="preserve">, the </w:t>
      </w:r>
      <w:r w:rsidR="00316393" w:rsidRPr="00C70964">
        <w:rPr>
          <w:rFonts w:eastAsia="Cambria"/>
          <w:lang w:val="en-GB" w:eastAsia="hi-IN" w:bidi="hi-IN"/>
        </w:rPr>
        <w:t>United States</w:t>
      </w:r>
      <w:r w:rsidRPr="00C70964">
        <w:rPr>
          <w:rFonts w:eastAsia="Cambria"/>
          <w:lang w:val="en-GB" w:eastAsia="hi-IN" w:bidi="hi-IN"/>
        </w:rPr>
        <w:t xml:space="preserve"> </w:t>
      </w:r>
      <w:r w:rsidR="00316393" w:rsidRPr="00C70964">
        <w:rPr>
          <w:rFonts w:eastAsia="Cambria"/>
          <w:lang w:val="en-GB" w:eastAsia="hi-IN" w:bidi="hi-IN"/>
        </w:rPr>
        <w:t>(</w:t>
      </w:r>
      <w:r w:rsidRPr="00C70964">
        <w:rPr>
          <w:rFonts w:eastAsia="Cambria"/>
          <w:lang w:val="en-GB" w:eastAsia="hi-IN" w:bidi="hi-IN"/>
        </w:rPr>
        <w:t>10</w:t>
      </w:r>
      <w:r w:rsidR="00316393" w:rsidRPr="00C70964">
        <w:rPr>
          <w:rFonts w:eastAsia="Cambria"/>
          <w:lang w:val="en-GB" w:eastAsia="hi-IN" w:bidi="hi-IN"/>
        </w:rPr>
        <w:t xml:space="preserve"> per cent)</w:t>
      </w:r>
      <w:r w:rsidRPr="00C70964">
        <w:rPr>
          <w:rFonts w:eastAsia="Cambria"/>
          <w:lang w:val="en-GB" w:eastAsia="hi-IN" w:bidi="hi-IN"/>
        </w:rPr>
        <w:t xml:space="preserve">, Chile </w:t>
      </w:r>
      <w:r w:rsidR="00316393" w:rsidRPr="00C70964">
        <w:rPr>
          <w:rFonts w:eastAsia="Cambria"/>
          <w:lang w:val="en-GB" w:eastAsia="hi-IN" w:bidi="hi-IN"/>
        </w:rPr>
        <w:t>(</w:t>
      </w:r>
      <w:r w:rsidRPr="00C70964">
        <w:rPr>
          <w:rFonts w:eastAsia="Cambria"/>
          <w:lang w:val="en-GB" w:eastAsia="hi-IN" w:bidi="hi-IN"/>
        </w:rPr>
        <w:t>4.5</w:t>
      </w:r>
      <w:r w:rsidR="00316393" w:rsidRPr="00C70964">
        <w:rPr>
          <w:rFonts w:eastAsia="Cambria"/>
          <w:lang w:val="en-GB" w:eastAsia="hi-IN" w:bidi="hi-IN"/>
        </w:rPr>
        <w:t xml:space="preserve"> per cent)</w:t>
      </w:r>
      <w:r w:rsidRPr="00C70964">
        <w:rPr>
          <w:rFonts w:eastAsia="Cambria"/>
          <w:lang w:val="en-GB" w:eastAsia="hi-IN" w:bidi="hi-IN"/>
        </w:rPr>
        <w:t xml:space="preserve">, and Australia </w:t>
      </w:r>
      <w:r w:rsidR="00316393" w:rsidRPr="00C70964">
        <w:rPr>
          <w:rFonts w:eastAsia="Cambria"/>
          <w:lang w:val="en-GB" w:eastAsia="hi-IN" w:bidi="hi-IN"/>
        </w:rPr>
        <w:t>(</w:t>
      </w:r>
      <w:r w:rsidRPr="00C70964">
        <w:rPr>
          <w:rFonts w:eastAsia="Cambria"/>
          <w:lang w:val="en-GB" w:eastAsia="hi-IN" w:bidi="hi-IN"/>
        </w:rPr>
        <w:t>4.2</w:t>
      </w:r>
      <w:r w:rsidR="00DB78B7" w:rsidRPr="00C70964">
        <w:rPr>
          <w:rFonts w:eastAsia="Cambria"/>
          <w:lang w:val="en-GB" w:eastAsia="hi-IN" w:bidi="hi-IN"/>
        </w:rPr>
        <w:t xml:space="preserve"> per cent).</w:t>
      </w:r>
      <w:r w:rsidR="005151BA" w:rsidRPr="00C70964">
        <w:rPr>
          <w:rStyle w:val="EndnoteReference"/>
          <w:rFonts w:eastAsia="Cambria"/>
          <w:lang w:val="en-GB" w:eastAsia="hi-IN" w:bidi="hi-IN"/>
        </w:rPr>
        <w:endnoteReference w:id="6"/>
      </w:r>
      <w:r w:rsidR="00DB78B7" w:rsidRPr="00C70964">
        <w:rPr>
          <w:rFonts w:eastAsia="Cambria"/>
          <w:lang w:val="en-GB" w:eastAsia="hi-IN" w:bidi="hi-IN"/>
        </w:rPr>
        <w:t xml:space="preserve"> Wine that was 100 per cent Canadian only constituted 0.3 per cent of the world’s supply, ranking Canada 35th on the list of wine exporters; 62 per cent of Canadian exports by value was ice wine.</w:t>
      </w:r>
      <w:r w:rsidR="00DB78B7" w:rsidRPr="00C70964">
        <w:rPr>
          <w:rFonts w:eastAsia="KaiTi_GB2312"/>
          <w:vertAlign w:val="superscript"/>
          <w:lang w:val="en-GB" w:eastAsia="ar-SA"/>
        </w:rPr>
        <w:endnoteReference w:id="7"/>
      </w:r>
      <w:r w:rsidR="00DB78B7" w:rsidRPr="00C70964">
        <w:rPr>
          <w:rFonts w:eastAsia="Cambria"/>
          <w:lang w:val="en-GB" w:eastAsia="hi-IN" w:bidi="hi-IN"/>
        </w:rPr>
        <w:t xml:space="preserve"> In 2015, Canada was the 11th-largest consumer of wine in the world, consuming 522 million litres.</w:t>
      </w:r>
      <w:r w:rsidR="00DB78B7" w:rsidRPr="00C70964">
        <w:rPr>
          <w:rFonts w:eastAsia="KaiTi_GB2312"/>
          <w:vertAlign w:val="superscript"/>
          <w:lang w:val="en-GB" w:eastAsia="ar-SA"/>
        </w:rPr>
        <w:endnoteReference w:id="8"/>
      </w:r>
      <w:r w:rsidR="00DB78B7" w:rsidRPr="00C70964">
        <w:rPr>
          <w:rFonts w:eastAsia="Cambria"/>
          <w:lang w:val="en-GB" w:eastAsia="hi-IN" w:bidi="hi-IN"/>
        </w:rPr>
        <w:t xml:space="preserve"> The United States was the largest consumer of the fermented grape, followed by France and Italy; however, per capita wine consumption was somewhat different, with 15 European countries ranking higher than the United States.</w:t>
      </w:r>
      <w:r w:rsidR="00345500" w:rsidRPr="00C70964">
        <w:rPr>
          <w:rStyle w:val="EndnoteReference"/>
          <w:rFonts w:eastAsia="Cambria"/>
          <w:lang w:val="en-GB" w:eastAsia="hi-IN" w:bidi="hi-IN"/>
        </w:rPr>
        <w:endnoteReference w:id="9"/>
      </w:r>
      <w:r w:rsidR="00DB78B7" w:rsidRPr="00C70964">
        <w:rPr>
          <w:rFonts w:eastAsia="Cambria"/>
          <w:lang w:val="en-GB" w:eastAsia="hi-IN" w:bidi="hi-IN"/>
        </w:rPr>
        <w:t xml:space="preserve"> Like Canada, the US market had recently seen annual growth in sales in the 5–6 per cent range.</w:t>
      </w:r>
      <w:r w:rsidR="005151BA" w:rsidRPr="00C70964">
        <w:rPr>
          <w:rStyle w:val="EndnoteReference"/>
          <w:rFonts w:eastAsia="Cambria"/>
          <w:lang w:val="en-GB" w:eastAsia="hi-IN" w:bidi="hi-IN"/>
        </w:rPr>
        <w:endnoteReference w:id="10"/>
      </w:r>
    </w:p>
    <w:p w14:paraId="0570FB7C" w14:textId="77777777" w:rsidR="00DB78B7" w:rsidRPr="00C70964" w:rsidRDefault="00DB78B7" w:rsidP="009B2532">
      <w:pPr>
        <w:pStyle w:val="BodyTextMain"/>
        <w:rPr>
          <w:rFonts w:eastAsia="KaiTi_GB2312"/>
          <w:lang w:val="en-GB" w:eastAsia="ar-SA"/>
        </w:rPr>
      </w:pPr>
    </w:p>
    <w:p w14:paraId="5A6C7B7E" w14:textId="24CDFB40" w:rsidR="00DB78B7" w:rsidRDefault="00DB78B7" w:rsidP="009B2532">
      <w:pPr>
        <w:widowControl w:val="0"/>
        <w:suppressAutoHyphens/>
        <w:spacing w:line="100" w:lineRule="atLeast"/>
        <w:jc w:val="both"/>
        <w:rPr>
          <w:rFonts w:eastAsia="Cambria"/>
          <w:color w:val="000000"/>
          <w:spacing w:val="-2"/>
          <w:sz w:val="22"/>
          <w:szCs w:val="22"/>
          <w:lang w:val="en-GB" w:eastAsia="hi-IN" w:bidi="hi-IN"/>
        </w:rPr>
      </w:pPr>
      <w:r w:rsidRPr="00863E79">
        <w:rPr>
          <w:rFonts w:eastAsia="Cambria"/>
          <w:color w:val="000000"/>
          <w:spacing w:val="-2"/>
          <w:sz w:val="22"/>
          <w:szCs w:val="22"/>
          <w:lang w:val="en-GB" w:eastAsia="hi-IN" w:bidi="hi-IN"/>
        </w:rPr>
        <w:t>The gap between the consumption and production of wine in Canada was filled by imported wines (see Exhibit 1). The market share held by Canadian wines was the result of a hard-won evolution. Shifts in consumer preferences, grape growing, and legislation allowed Canadian products to wrestle 30 per cent market share from imports.</w:t>
      </w:r>
      <w:r w:rsidRPr="00863E79">
        <w:rPr>
          <w:rFonts w:eastAsia="Cambria"/>
          <w:color w:val="000000"/>
          <w:spacing w:val="-2"/>
          <w:sz w:val="22"/>
          <w:vertAlign w:val="superscript"/>
          <w:lang w:val="en-GB"/>
        </w:rPr>
        <w:endnoteReference w:id="11"/>
      </w:r>
      <w:r w:rsidRPr="00863E79">
        <w:rPr>
          <w:rFonts w:eastAsia="Cambria"/>
          <w:color w:val="000000"/>
          <w:spacing w:val="-2"/>
          <w:sz w:val="22"/>
          <w:vertAlign w:val="superscript"/>
          <w:lang w:val="en-GB"/>
        </w:rPr>
        <w:t xml:space="preserve"> </w:t>
      </w:r>
      <w:r w:rsidRPr="00863E79">
        <w:rPr>
          <w:rFonts w:eastAsia="Cambria"/>
          <w:color w:val="000000"/>
          <w:spacing w:val="-2"/>
          <w:sz w:val="22"/>
          <w:szCs w:val="22"/>
          <w:lang w:val="en-GB" w:eastAsia="hi-IN" w:bidi="hi-IN"/>
        </w:rPr>
        <w:t xml:space="preserve">While the quality and breadth of wines produced in Canada continued to grow, competition with imports remained intense. The amount of wine imported into Canada from Italy and France was relatively stable, whereas there was an increasing volume of Australian and Chilean wine (see Exhibit 1). </w:t>
      </w:r>
    </w:p>
    <w:p w14:paraId="08CA3F4B" w14:textId="1FE8B333"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lastRenderedPageBreak/>
        <w:t>Wine production in Canada consisted primarily of bottling and blending. In 2013, only 30 per cent of wine offered by Canadian manufacturers was from 100 per cent Canadian grapes.</w:t>
      </w:r>
      <w:r w:rsidRPr="00C70964">
        <w:rPr>
          <w:rFonts w:eastAsia="KaiTi_GB2312"/>
          <w:color w:val="000000"/>
          <w:vertAlign w:val="superscript"/>
          <w:lang w:val="en-GB" w:eastAsia="ar-SA"/>
        </w:rPr>
        <w:endnoteReference w:id="12"/>
      </w:r>
      <w:r w:rsidRPr="00C70964">
        <w:rPr>
          <w:rFonts w:eastAsia="Cambria"/>
          <w:color w:val="000000"/>
          <w:lang w:val="en-GB" w:eastAsia="hi-IN" w:bidi="hi-IN"/>
        </w:rPr>
        <w:t xml:space="preserve"> Similarly, of the Canadian wine consumed by Canadians, 20 per cent was made from 100 per cent Canadian grapes.</w:t>
      </w:r>
      <w:r w:rsidRPr="00C70964">
        <w:rPr>
          <w:rFonts w:eastAsia="KaiTi_GB2312"/>
          <w:color w:val="000000"/>
          <w:vertAlign w:val="superscript"/>
          <w:lang w:val="en-GB" w:eastAsia="ar-SA"/>
        </w:rPr>
        <w:endnoteReference w:id="13"/>
      </w:r>
      <w:r w:rsidRPr="00C70964">
        <w:rPr>
          <w:rFonts w:eastAsia="Cambria"/>
          <w:color w:val="000000"/>
          <w:lang w:val="en-GB" w:eastAsia="hi-IN" w:bidi="hi-IN"/>
        </w:rPr>
        <w:t xml:space="preserve"> However, the number of wineries in Canada increased 8 per cent annually between 2011 and 2015. Many of the 600 Canadian wineries were family run, with just a few acres, but were more likely </w:t>
      </w:r>
      <w:r w:rsidR="005151BA" w:rsidRPr="00C70964">
        <w:rPr>
          <w:rFonts w:eastAsia="Cambria"/>
          <w:color w:val="000000"/>
          <w:lang w:val="en-GB" w:eastAsia="hi-IN" w:bidi="hi-IN"/>
        </w:rPr>
        <w:t xml:space="preserve">than larger wineries </w:t>
      </w:r>
      <w:r w:rsidRPr="00C70964">
        <w:rPr>
          <w:rFonts w:eastAsia="Cambria"/>
          <w:color w:val="000000"/>
          <w:lang w:val="en-GB" w:eastAsia="hi-IN" w:bidi="hi-IN"/>
        </w:rPr>
        <w:t>to create 100 per cent Canadian wines. The industry made important contributions to the economy through wine-related tourism and the average CA$4.58</w:t>
      </w:r>
      <w:r w:rsidRPr="00C70964">
        <w:rPr>
          <w:rStyle w:val="EndnoteReference"/>
          <w:rFonts w:eastAsia="Cambria"/>
          <w:color w:val="000000"/>
          <w:lang w:val="en-GB" w:eastAsia="hi-IN" w:bidi="hi-IN"/>
        </w:rPr>
        <w:endnoteReference w:id="14"/>
      </w:r>
      <w:r w:rsidRPr="00C70964">
        <w:rPr>
          <w:rFonts w:eastAsia="Cambria"/>
          <w:color w:val="000000"/>
          <w:lang w:val="en-GB" w:eastAsia="hi-IN" w:bidi="hi-IN"/>
        </w:rPr>
        <w:t xml:space="preserve"> per bottle of tax revenue (half provincial and half federal).</w:t>
      </w:r>
      <w:r w:rsidRPr="00C70964">
        <w:rPr>
          <w:rFonts w:eastAsia="KaiTi_GB2312"/>
          <w:color w:val="000000"/>
          <w:vertAlign w:val="superscript"/>
          <w:lang w:val="en-GB" w:eastAsia="ar-SA"/>
        </w:rPr>
        <w:endnoteReference w:id="15"/>
      </w:r>
    </w:p>
    <w:p w14:paraId="51EADBF7" w14:textId="77777777" w:rsidR="00DB78B7" w:rsidRPr="00C70964" w:rsidRDefault="00DB78B7" w:rsidP="009B2532">
      <w:pPr>
        <w:pStyle w:val="BodyTextMain"/>
        <w:rPr>
          <w:rFonts w:eastAsia="Cambria"/>
          <w:color w:val="000000"/>
          <w:lang w:val="en-GB" w:eastAsia="hi-IN" w:bidi="hi-IN"/>
        </w:rPr>
      </w:pPr>
    </w:p>
    <w:p w14:paraId="3A0563A7" w14:textId="3D2F5CC1"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t>In Ontario and Canada, a significant shift had occurred in wine purchases over the past few years. Overall, Canadians purchased $22.1 billion dollars of alcoholic beverages in 2016, of which, 41.5 per cent was beer and 31.6 per cent was wine.</w:t>
      </w:r>
      <w:r w:rsidRPr="00C70964">
        <w:rPr>
          <w:rFonts w:eastAsia="KaiTi_GB2312"/>
          <w:color w:val="000000"/>
          <w:vertAlign w:val="superscript"/>
          <w:lang w:val="en-GB" w:eastAsia="ar-SA"/>
        </w:rPr>
        <w:endnoteReference w:id="16"/>
      </w:r>
      <w:r w:rsidRPr="00C70964">
        <w:rPr>
          <w:rFonts w:eastAsia="Cambria"/>
          <w:color w:val="000000"/>
          <w:lang w:val="en-GB" w:eastAsia="hi-IN" w:bidi="hi-IN"/>
        </w:rPr>
        <w:t xml:space="preserve"> This sharply contrasted with the previous decade, when beer made up 46.7 per cent of sales and wine only 27 per cent. In a Liquor Control Board of Ontario (LCBO) survey, when asked why they had switched from beer to wine, customers cited a desire for a healthier lifestyle and wine’s possible health benefits; however, the availability of moderately priced and easy to drink wines was also recognized as a factor (see Exhibit 2). </w:t>
      </w:r>
    </w:p>
    <w:p w14:paraId="7BCCDE19" w14:textId="77777777" w:rsidR="00DB78B7" w:rsidRPr="00C70964" w:rsidRDefault="00DB78B7" w:rsidP="009B2532">
      <w:pPr>
        <w:pStyle w:val="BodyTextMain"/>
        <w:rPr>
          <w:rFonts w:eastAsia="Cambria"/>
          <w:color w:val="000000"/>
          <w:lang w:val="en-GB" w:eastAsia="hi-IN" w:bidi="hi-IN"/>
        </w:rPr>
      </w:pPr>
    </w:p>
    <w:p w14:paraId="7D715C84" w14:textId="26550E4B" w:rsidR="00DB78B7" w:rsidRPr="00C70964" w:rsidRDefault="00DB78B7" w:rsidP="009B2532">
      <w:pPr>
        <w:pStyle w:val="BodyTextMain"/>
        <w:rPr>
          <w:rFonts w:eastAsia="Arial Unicode MS" w:cs="Arial Unicode MS"/>
          <w:color w:val="000000"/>
          <w:lang w:val="en-GB" w:eastAsia="hi-IN" w:bidi="hi-IN"/>
        </w:rPr>
      </w:pPr>
      <w:r w:rsidRPr="00C70964">
        <w:rPr>
          <w:rFonts w:eastAsia="Cambria"/>
          <w:color w:val="000000"/>
          <w:lang w:val="en-GB" w:eastAsia="hi-IN" w:bidi="hi-IN"/>
        </w:rPr>
        <w:t xml:space="preserve">As the legalization of recreational cannabis unfolded in Canada, industry observers heatedly debated the impact on various segments of the alcoholic beverages industry. Cannabis might </w:t>
      </w:r>
      <w:r w:rsidR="00345500" w:rsidRPr="00C70964">
        <w:rPr>
          <w:rFonts w:eastAsia="Cambria"/>
          <w:color w:val="000000"/>
          <w:lang w:val="en-GB" w:eastAsia="hi-IN" w:bidi="hi-IN"/>
        </w:rPr>
        <w:t>fulfil</w:t>
      </w:r>
      <w:r w:rsidRPr="00C70964">
        <w:rPr>
          <w:rFonts w:eastAsia="Cambria"/>
          <w:color w:val="000000"/>
          <w:lang w:val="en-GB" w:eastAsia="hi-IN" w:bidi="hi-IN"/>
        </w:rPr>
        <w:t xml:space="preserve"> certain entertainment and social needs in the same way as alcoholic beverages, and it could hold advantages in health benefits, either through direct means (e.g., fewer calories, no hangover) or long-term effects (which were not as well known for cannabis). Would there be a selective impact on one category of beverage—wine, beer, or spirits—or on certain market subsegments?</w:t>
      </w:r>
    </w:p>
    <w:p w14:paraId="00F7227A" w14:textId="77777777" w:rsidR="00DB78B7" w:rsidRPr="00CD6AEA" w:rsidRDefault="00DB78B7" w:rsidP="009B2532">
      <w:pPr>
        <w:pStyle w:val="BodyTextMain"/>
        <w:rPr>
          <w:rFonts w:eastAsia="Arial Unicode MS" w:cs="Arial Unicode MS"/>
          <w:color w:val="000000"/>
          <w:sz w:val="14"/>
          <w:szCs w:val="14"/>
          <w:lang w:val="en-GB" w:eastAsia="hi-IN" w:bidi="hi-IN"/>
        </w:rPr>
      </w:pPr>
    </w:p>
    <w:p w14:paraId="23F252CD" w14:textId="77777777" w:rsidR="00DB78B7" w:rsidRPr="00CD6AEA" w:rsidRDefault="00DB78B7" w:rsidP="009B2532">
      <w:pPr>
        <w:pStyle w:val="BodyTextMain"/>
        <w:rPr>
          <w:rFonts w:eastAsia="Arial Unicode MS" w:cs="Arial Unicode MS"/>
          <w:color w:val="000000"/>
          <w:sz w:val="14"/>
          <w:szCs w:val="14"/>
          <w:lang w:val="en-GB" w:eastAsia="hi-IN" w:bidi="hi-IN"/>
        </w:rPr>
      </w:pPr>
    </w:p>
    <w:p w14:paraId="225F49F5" w14:textId="77777777" w:rsidR="00DB78B7" w:rsidRPr="00C70964" w:rsidRDefault="00DB78B7" w:rsidP="009B2532">
      <w:pPr>
        <w:pStyle w:val="Casehead2"/>
        <w:rPr>
          <w:rFonts w:eastAsia="Cambria" w:cs="Cambria"/>
          <w:color w:val="222222"/>
          <w:lang w:val="en-GB" w:eastAsia="ar-SA"/>
        </w:rPr>
      </w:pPr>
      <w:r w:rsidRPr="00C70964">
        <w:rPr>
          <w:rFonts w:eastAsia="Arial Unicode MS"/>
          <w:lang w:val="en-GB" w:eastAsia="ar-SA"/>
        </w:rPr>
        <w:t>Wine Product and Production</w:t>
      </w:r>
    </w:p>
    <w:p w14:paraId="3CA505EC" w14:textId="77777777" w:rsidR="00DB78B7" w:rsidRPr="00C70964" w:rsidRDefault="00DB78B7" w:rsidP="009B2532">
      <w:pPr>
        <w:pStyle w:val="BodyTextMain"/>
        <w:rPr>
          <w:rFonts w:eastAsia="Cambria"/>
          <w:lang w:val="en-GB" w:eastAsia="ar-SA"/>
        </w:rPr>
      </w:pPr>
    </w:p>
    <w:p w14:paraId="21E0FCA0" w14:textId="051AEC1F"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t>The main wine product categories were red, white, rosé, and sparkling wines. In 2016, wine sales in Canada were split 54.5 per cent red, 32 per cent white, and 5.2 per cent sparkling wine.</w:t>
      </w:r>
      <w:r w:rsidR="00345500" w:rsidRPr="00C70964">
        <w:rPr>
          <w:rStyle w:val="EndnoteReference"/>
          <w:rFonts w:eastAsia="Cambria"/>
          <w:color w:val="000000"/>
          <w:lang w:val="en-GB" w:eastAsia="hi-IN" w:bidi="hi-IN"/>
        </w:rPr>
        <w:endnoteReference w:id="17"/>
      </w:r>
      <w:r w:rsidRPr="00C70964">
        <w:rPr>
          <w:rFonts w:eastAsia="Cambria"/>
          <w:color w:val="000000"/>
          <w:lang w:val="en-GB" w:eastAsia="hi-IN" w:bidi="hi-IN"/>
        </w:rPr>
        <w:t xml:space="preserve"> Wines were characterized by the type of grape used to make the wine, the region where the grapes were grown, the winery, and the label or product line. Wines were either made exclusively from one type of grape or were blended. Of the three value categories—vin ordinaire (also called “table wine”), mid-value wines, and premium wines—table wine tended to be blended, while premium wines were varietals with specific appellations from award-winning wineries. Old world or new world wines referred respectively to grapes grown in centuries-old European vineyards or to those produced in “newly” settled countries in the Americas as well as Australia. In Canada, the vines had to survive the harsh winter conditions, and so hybrids were grown—crosses of the local grape stock with European varietals such as Chardonnay and Cabernet Sauvignon. One-third of Ontario’s 15,000 acres of vineyards grew hybrids such as Vidal, </w:t>
      </w:r>
      <w:proofErr w:type="spellStart"/>
      <w:r w:rsidRPr="00C70964">
        <w:rPr>
          <w:rFonts w:eastAsia="Cambria"/>
          <w:color w:val="000000"/>
          <w:lang w:val="en-GB" w:eastAsia="hi-IN" w:bidi="hi-IN"/>
        </w:rPr>
        <w:t>Seyval</w:t>
      </w:r>
      <w:proofErr w:type="spellEnd"/>
      <w:r w:rsidRPr="00C70964">
        <w:rPr>
          <w:rFonts w:eastAsia="Cambria"/>
          <w:color w:val="000000"/>
          <w:lang w:val="en-GB" w:eastAsia="hi-IN" w:bidi="hi-IN"/>
        </w:rPr>
        <w:t xml:space="preserve"> Blanc, </w:t>
      </w:r>
      <w:proofErr w:type="spellStart"/>
      <w:r w:rsidRPr="00C70964">
        <w:rPr>
          <w:rFonts w:eastAsia="Cambria"/>
          <w:color w:val="000000"/>
          <w:lang w:val="en-GB" w:eastAsia="hi-IN" w:bidi="hi-IN"/>
        </w:rPr>
        <w:t>Baco</w:t>
      </w:r>
      <w:proofErr w:type="spellEnd"/>
      <w:r w:rsidRPr="00C70964">
        <w:rPr>
          <w:rFonts w:eastAsia="Cambria"/>
          <w:color w:val="000000"/>
          <w:lang w:val="en-GB" w:eastAsia="hi-IN" w:bidi="hi-IN"/>
        </w:rPr>
        <w:t xml:space="preserve"> Noir, and Marechal Foch, while the remainder were varietals.</w:t>
      </w:r>
      <w:r w:rsidRPr="00C70964">
        <w:rPr>
          <w:rFonts w:eastAsia="KaiTi_GB2312"/>
          <w:color w:val="000000"/>
          <w:vertAlign w:val="superscript"/>
          <w:lang w:val="en-GB" w:eastAsia="ar-SA"/>
        </w:rPr>
        <w:endnoteReference w:id="18"/>
      </w:r>
      <w:r w:rsidRPr="00C70964">
        <w:rPr>
          <w:rFonts w:eastAsia="Cambria"/>
          <w:color w:val="000000"/>
          <w:lang w:val="en-GB" w:eastAsia="hi-IN" w:bidi="hi-IN"/>
        </w:rPr>
        <w:t xml:space="preserve"> All wine grapes were one species, with 10,000 different strains. Other species were used for non-alcoholic juices or eaten as fruit.</w:t>
      </w:r>
      <w:r w:rsidR="000702E9">
        <w:rPr>
          <w:rStyle w:val="EndnoteReference"/>
          <w:rFonts w:eastAsia="Cambria"/>
          <w:color w:val="000000"/>
          <w:lang w:val="en-GB" w:eastAsia="hi-IN" w:bidi="hi-IN"/>
        </w:rPr>
        <w:endnoteReference w:id="19"/>
      </w:r>
      <w:r w:rsidRPr="00C70964">
        <w:rPr>
          <w:rFonts w:eastAsia="Cambria"/>
          <w:color w:val="000000"/>
          <w:lang w:val="en-GB" w:eastAsia="hi-IN" w:bidi="hi-IN"/>
        </w:rPr>
        <w:t xml:space="preserve"> </w:t>
      </w:r>
    </w:p>
    <w:p w14:paraId="4F4845AA" w14:textId="77777777" w:rsidR="00DB78B7" w:rsidRPr="00C70964" w:rsidRDefault="00DB78B7" w:rsidP="009B2532">
      <w:pPr>
        <w:pStyle w:val="BodyTextMain"/>
        <w:rPr>
          <w:rFonts w:eastAsia="Cambria"/>
          <w:color w:val="000000"/>
          <w:lang w:val="en-GB" w:eastAsia="hi-IN" w:bidi="hi-IN"/>
        </w:rPr>
      </w:pPr>
    </w:p>
    <w:p w14:paraId="22A565CC" w14:textId="3C53C331"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t>The most popular wine types as described by wine connoisseurs were, in the category of reds, Cabernet Sauvignon, Merlot, Pinot Noir, and Shiraz; in the category of whites, they were Chardonnay, Sauvignon Blanc, Riesling, and Pinot Grigio.</w:t>
      </w:r>
      <w:r w:rsidRPr="00C70964">
        <w:rPr>
          <w:rFonts w:eastAsia="KaiTi_GB2312"/>
          <w:color w:val="000000"/>
          <w:vertAlign w:val="superscript"/>
          <w:lang w:val="en-GB" w:eastAsia="ar-SA"/>
        </w:rPr>
        <w:endnoteReference w:id="20"/>
      </w:r>
      <w:r w:rsidRPr="00C70964">
        <w:rPr>
          <w:rFonts w:eastAsia="KaiTi_GB2312"/>
          <w:color w:val="000000"/>
          <w:vertAlign w:val="superscript"/>
          <w:lang w:val="en-GB" w:eastAsia="ar-SA"/>
        </w:rPr>
        <w:t xml:space="preserve"> </w:t>
      </w:r>
      <w:r w:rsidRPr="00C70964">
        <w:rPr>
          <w:rFonts w:eastAsia="KaiTi_GB2312"/>
          <w:color w:val="000000"/>
          <w:lang w:val="en-GB" w:eastAsia="ar-SA"/>
        </w:rPr>
        <w:t>B</w:t>
      </w:r>
      <w:r w:rsidRPr="00C70964">
        <w:rPr>
          <w:rFonts w:eastAsia="Cambria"/>
          <w:color w:val="000000"/>
          <w:lang w:val="en-GB" w:eastAsia="hi-IN" w:bidi="hi-IN"/>
        </w:rPr>
        <w:t>y area planted, Cabernet Sauvignon, Chardonnay, Merlot, Shiraz, Grenache, Sauvignon Blanc, and Pinot Noir dominated.</w:t>
      </w:r>
      <w:r w:rsidRPr="00C70964">
        <w:rPr>
          <w:rFonts w:eastAsia="KaiTi_GB2312"/>
          <w:color w:val="000000"/>
          <w:vertAlign w:val="superscript"/>
          <w:lang w:val="en-GB" w:eastAsia="ar-SA"/>
        </w:rPr>
        <w:endnoteReference w:id="21"/>
      </w:r>
      <w:r w:rsidRPr="00C70964">
        <w:rPr>
          <w:rFonts w:eastAsia="Cambria"/>
          <w:color w:val="000000"/>
          <w:lang w:val="en-GB" w:eastAsia="hi-IN" w:bidi="hi-IN"/>
        </w:rPr>
        <w:t xml:space="preserve"> </w:t>
      </w:r>
    </w:p>
    <w:p w14:paraId="3E3F112F" w14:textId="77777777" w:rsidR="00DB78B7" w:rsidRPr="00C70964" w:rsidRDefault="00DB78B7" w:rsidP="009B2532">
      <w:pPr>
        <w:pStyle w:val="BodyTextMain"/>
        <w:rPr>
          <w:rFonts w:eastAsia="Cambria"/>
          <w:color w:val="000000"/>
          <w:lang w:val="en-GB" w:eastAsia="hi-IN" w:bidi="hi-IN"/>
        </w:rPr>
      </w:pPr>
    </w:p>
    <w:p w14:paraId="14831C42" w14:textId="54BB1AC8"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t xml:space="preserve">Wines from different wineries made with the same type of grape shared some characteristics, but not all. For example, Pinot Noir red wines were lighter than Merlot or the Cabernet Sauvignon that might accompany a meal, while Shiraz were considered easy-drinking wines. Sauvignon Blanc was a dry white wine, more so than Chardonnay or a sweet Riesling. </w:t>
      </w:r>
      <w:r w:rsidR="00345500" w:rsidRPr="00C70964">
        <w:rPr>
          <w:rFonts w:eastAsia="Cambria"/>
          <w:color w:val="000000"/>
          <w:lang w:val="en-GB" w:eastAsia="hi-IN" w:bidi="hi-IN"/>
        </w:rPr>
        <w:t>Differences resulted from g</w:t>
      </w:r>
      <w:r w:rsidRPr="00C70964">
        <w:rPr>
          <w:rFonts w:eastAsia="Cambria"/>
          <w:color w:val="000000"/>
          <w:lang w:val="en-GB" w:eastAsia="hi-IN" w:bidi="hi-IN"/>
        </w:rPr>
        <w:t xml:space="preserve">rapes </w:t>
      </w:r>
      <w:r w:rsidR="00345500" w:rsidRPr="00C70964">
        <w:rPr>
          <w:rFonts w:eastAsia="Cambria"/>
          <w:color w:val="000000"/>
          <w:lang w:val="en-GB" w:eastAsia="hi-IN" w:bidi="hi-IN"/>
        </w:rPr>
        <w:t xml:space="preserve">that </w:t>
      </w:r>
      <w:r w:rsidRPr="00C70964">
        <w:rPr>
          <w:rFonts w:eastAsia="Cambria"/>
          <w:color w:val="000000"/>
          <w:lang w:val="en-GB" w:eastAsia="hi-IN" w:bidi="hi-IN"/>
        </w:rPr>
        <w:t>differ</w:t>
      </w:r>
      <w:r w:rsidR="00345500" w:rsidRPr="00C70964">
        <w:rPr>
          <w:rFonts w:eastAsia="Cambria"/>
          <w:color w:val="000000"/>
          <w:lang w:val="en-GB" w:eastAsia="hi-IN" w:bidi="hi-IN"/>
        </w:rPr>
        <w:t>ed</w:t>
      </w:r>
      <w:r w:rsidRPr="00C70964">
        <w:rPr>
          <w:rFonts w:eastAsia="Cambria"/>
          <w:color w:val="000000"/>
          <w:lang w:val="en-GB" w:eastAsia="hi-IN" w:bidi="hi-IN"/>
        </w:rPr>
        <w:t xml:space="preserve"> in sugar </w:t>
      </w:r>
      <w:r w:rsidRPr="00C70964">
        <w:rPr>
          <w:rFonts w:eastAsia="Cambria"/>
          <w:color w:val="000000"/>
          <w:lang w:val="en-GB" w:eastAsia="hi-IN" w:bidi="hi-IN"/>
        </w:rPr>
        <w:lastRenderedPageBreak/>
        <w:t>content, influencing the sweetness of the wine and the alcohol content</w:t>
      </w:r>
      <w:r w:rsidR="00E82CA3" w:rsidRPr="00C70964">
        <w:rPr>
          <w:rFonts w:eastAsia="Cambria"/>
          <w:color w:val="000000"/>
          <w:lang w:val="en-GB" w:eastAsia="hi-IN" w:bidi="hi-IN"/>
        </w:rPr>
        <w:t>;</w:t>
      </w:r>
      <w:r w:rsidRPr="00C70964">
        <w:rPr>
          <w:rFonts w:eastAsia="Cambria"/>
          <w:color w:val="000000"/>
          <w:lang w:val="en-GB" w:eastAsia="hi-IN" w:bidi="hi-IN"/>
        </w:rPr>
        <w:t xml:space="preserve"> tannin levels affected flavour, acidity, colour, and astringency.</w:t>
      </w:r>
      <w:r w:rsidR="007C4B40">
        <w:rPr>
          <w:rStyle w:val="EndnoteReference"/>
          <w:rFonts w:eastAsia="Cambria"/>
          <w:color w:val="000000"/>
          <w:lang w:val="en-GB" w:eastAsia="hi-IN" w:bidi="hi-IN"/>
        </w:rPr>
        <w:endnoteReference w:id="22"/>
      </w:r>
      <w:r w:rsidRPr="00C70964">
        <w:rPr>
          <w:rFonts w:eastAsia="Cambria"/>
          <w:color w:val="000000"/>
          <w:lang w:val="en-GB" w:eastAsia="hi-IN" w:bidi="hi-IN"/>
        </w:rPr>
        <w:t xml:space="preserve"> </w:t>
      </w:r>
    </w:p>
    <w:p w14:paraId="04DFBDD6" w14:textId="77777777" w:rsidR="00DB78B7" w:rsidRPr="00C70964" w:rsidRDefault="00DB78B7" w:rsidP="009B2532">
      <w:pPr>
        <w:pStyle w:val="BodyTextMain"/>
        <w:rPr>
          <w:rFonts w:eastAsia="Cambria"/>
          <w:color w:val="000000"/>
          <w:lang w:val="en-GB" w:eastAsia="hi-IN" w:bidi="hi-IN"/>
        </w:rPr>
      </w:pPr>
    </w:p>
    <w:p w14:paraId="16827484" w14:textId="05AD8CB4"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t>Grapes were the single most important contributor to wine quality. Determinants of grape quality included the orchard, weather, and discretionary features imparted by the knowledge and experience of the head grower. Generally, hand-picking was more expensive than mechanical harvesting but provided a better raw material for winemaking. Cold-climate growing areas tended to have variable yields, and harsh weather could completely wipe out a vineyard. Wineries might grow all of their own grapes, or they might buy from grape producers. Depending on whether the wine was blended or varietal, the price varied by a factor of four. In 2017, hybrid grapes cost about $1,000 per ton in Canada, and the most desirable Shiraz cost over $2,000 per ton.</w:t>
      </w:r>
      <w:r w:rsidRPr="00C70964">
        <w:rPr>
          <w:rFonts w:eastAsia="KaiTi_GB2312"/>
          <w:color w:val="000000"/>
          <w:vertAlign w:val="superscript"/>
          <w:lang w:val="en-GB" w:eastAsia="ar-SA"/>
        </w:rPr>
        <w:endnoteReference w:id="23"/>
      </w:r>
      <w:r w:rsidRPr="00C70964">
        <w:rPr>
          <w:rFonts w:eastAsia="Cambria"/>
          <w:color w:val="000000"/>
          <w:lang w:val="en-GB" w:eastAsia="hi-IN" w:bidi="hi-IN"/>
        </w:rPr>
        <w:t xml:space="preserve"> Blending of wines allowed the winery to create products that were more attractive than</w:t>
      </w:r>
      <w:r w:rsidR="00E82CA3" w:rsidRPr="00C70964">
        <w:rPr>
          <w:rFonts w:eastAsia="Cambria"/>
          <w:color w:val="000000"/>
          <w:lang w:val="en-GB" w:eastAsia="hi-IN" w:bidi="hi-IN"/>
        </w:rPr>
        <w:t xml:space="preserve"> single-grape </w:t>
      </w:r>
      <w:r w:rsidRPr="00C70964">
        <w:rPr>
          <w:rFonts w:eastAsia="Cambria"/>
          <w:color w:val="000000"/>
          <w:lang w:val="en-GB" w:eastAsia="hi-IN" w:bidi="hi-IN"/>
        </w:rPr>
        <w:t xml:space="preserve">products, </w:t>
      </w:r>
      <w:r w:rsidR="00E82CA3" w:rsidRPr="00C70964">
        <w:rPr>
          <w:rFonts w:eastAsia="Cambria"/>
          <w:color w:val="000000"/>
          <w:lang w:val="en-GB" w:eastAsia="hi-IN" w:bidi="hi-IN"/>
        </w:rPr>
        <w:t xml:space="preserve">and premium products </w:t>
      </w:r>
      <w:r w:rsidRPr="00C70964">
        <w:rPr>
          <w:rFonts w:eastAsia="Cambria"/>
          <w:color w:val="000000"/>
          <w:lang w:val="en-GB" w:eastAsia="hi-IN" w:bidi="hi-IN"/>
        </w:rPr>
        <w:t>with added taste complexity.</w:t>
      </w:r>
      <w:r w:rsidR="007C4B40">
        <w:rPr>
          <w:rStyle w:val="EndnoteReference"/>
          <w:rFonts w:eastAsia="Cambria"/>
          <w:color w:val="000000"/>
          <w:lang w:val="en-GB" w:eastAsia="hi-IN" w:bidi="hi-IN"/>
        </w:rPr>
        <w:endnoteReference w:id="24"/>
      </w:r>
      <w:r w:rsidRPr="00C70964">
        <w:rPr>
          <w:rFonts w:eastAsia="Cambria"/>
          <w:color w:val="000000"/>
          <w:lang w:val="en-GB" w:eastAsia="hi-IN" w:bidi="hi-IN"/>
        </w:rPr>
        <w:t xml:space="preserve"> </w:t>
      </w:r>
    </w:p>
    <w:p w14:paraId="25BCA127" w14:textId="77777777" w:rsidR="00DB78B7" w:rsidRPr="00C70964" w:rsidRDefault="00DB78B7" w:rsidP="009B2532">
      <w:pPr>
        <w:pStyle w:val="BodyTextMain"/>
        <w:rPr>
          <w:rFonts w:eastAsia="Cambria"/>
          <w:color w:val="000000"/>
          <w:lang w:val="en-GB" w:eastAsia="hi-IN" w:bidi="hi-IN"/>
        </w:rPr>
      </w:pPr>
    </w:p>
    <w:p w14:paraId="507F2DA8" w14:textId="21AED2EB" w:rsidR="00DB78B7" w:rsidRPr="00C70964" w:rsidRDefault="00DB78B7" w:rsidP="009B2532">
      <w:pPr>
        <w:pStyle w:val="BodyTextMain"/>
        <w:rPr>
          <w:rFonts w:eastAsia="Cambria"/>
          <w:color w:val="000000"/>
          <w:lang w:val="en-GB" w:eastAsia="hi-IN" w:bidi="hi-IN"/>
        </w:rPr>
      </w:pPr>
      <w:r w:rsidRPr="00C70964">
        <w:rPr>
          <w:rFonts w:eastAsia="Cambria"/>
          <w:color w:val="000000"/>
          <w:lang w:val="en-GB" w:eastAsia="hi-IN" w:bidi="hi-IN"/>
        </w:rPr>
        <w:t>Ice wine could only be produced in climates that were warm enough to grow grapes in the summer but cold enough to freeze them in late fall—a critical step that could not be imitated by technology (yet). Only Canada and certain Scandinavian countries produced this sweet wine that was often consumed with, or as, dessert—like a liqueur would be. It was said that ice wine had provided Canada with credibility in the international wine industry.</w:t>
      </w:r>
      <w:r w:rsidRPr="00C70964">
        <w:rPr>
          <w:rFonts w:eastAsia="KaiTi_GB2312"/>
          <w:color w:val="000000"/>
          <w:vertAlign w:val="superscript"/>
          <w:lang w:val="en-GB" w:eastAsia="ar-SA"/>
        </w:rPr>
        <w:endnoteReference w:id="25"/>
      </w:r>
    </w:p>
    <w:p w14:paraId="3A0773BA" w14:textId="77777777" w:rsidR="00DB78B7" w:rsidRPr="00C70964" w:rsidRDefault="00DB78B7" w:rsidP="009B2532">
      <w:pPr>
        <w:pStyle w:val="BodyTextMain"/>
        <w:rPr>
          <w:rFonts w:eastAsia="Cambria"/>
          <w:color w:val="000000"/>
          <w:lang w:val="en-GB" w:eastAsia="hi-IN" w:bidi="hi-IN"/>
        </w:rPr>
      </w:pPr>
    </w:p>
    <w:p w14:paraId="4AEF7D69" w14:textId="039915C0" w:rsidR="00DB78B7" w:rsidRPr="00C70964" w:rsidRDefault="00DB78B7" w:rsidP="009B2532">
      <w:pPr>
        <w:pStyle w:val="BodyTextMain"/>
        <w:rPr>
          <w:rFonts w:eastAsia="Arial Unicode MS" w:cs="Arial Unicode MS"/>
          <w:color w:val="000000"/>
          <w:lang w:val="en-GB" w:eastAsia="hi-IN" w:bidi="hi-IN"/>
        </w:rPr>
      </w:pPr>
      <w:r w:rsidRPr="00C70964">
        <w:rPr>
          <w:rFonts w:eastAsia="Cambria"/>
          <w:color w:val="000000"/>
          <w:lang w:val="en-GB" w:eastAsia="hi-IN" w:bidi="hi-IN"/>
        </w:rPr>
        <w:t>Wine quality could be associated with an appellation—that is, a name or description, legally defined and protected, that ensured certain aspects of the wine. In Canada, Vintners Quality Alliance (VQA) imposed criteria on where the grapes were grown; ensured that the wine was made with 100 per cent fresh grapes of verified quality (by sugar content), without the addition of water; and certified correct labelling and that the wine had been evaluated by an expert panel for quality. The designation was important to wine lovers, reflecting place while also promising quality and authenticity.</w:t>
      </w:r>
      <w:r w:rsidRPr="00C70964">
        <w:rPr>
          <w:rFonts w:eastAsia="KaiTi_GB2312"/>
          <w:color w:val="000000"/>
          <w:vertAlign w:val="superscript"/>
          <w:lang w:val="en-GB" w:eastAsia="ar-SA"/>
        </w:rPr>
        <w:endnoteReference w:id="26"/>
      </w:r>
      <w:r w:rsidRPr="00C70964">
        <w:rPr>
          <w:rFonts w:eastAsia="Arial Unicode MS" w:cs="Arial Unicode MS"/>
          <w:color w:val="000000"/>
          <w:lang w:val="en-GB" w:eastAsia="hi-IN" w:bidi="hi-IN"/>
        </w:rPr>
        <w:t xml:space="preserve"> </w:t>
      </w:r>
    </w:p>
    <w:p w14:paraId="60AB12FD" w14:textId="77777777" w:rsidR="00DB78B7" w:rsidRPr="00C70964" w:rsidRDefault="00DB78B7" w:rsidP="009B2532">
      <w:pPr>
        <w:pStyle w:val="BodyTextMain"/>
        <w:rPr>
          <w:rFonts w:eastAsia="Arial Unicode MS" w:cs="Arial Unicode MS"/>
          <w:color w:val="000000"/>
          <w:lang w:val="en-GB" w:eastAsia="hi-IN" w:bidi="hi-IN"/>
        </w:rPr>
      </w:pPr>
    </w:p>
    <w:p w14:paraId="1E0458B1" w14:textId="36B2A97D" w:rsidR="00DB78B7" w:rsidRPr="00C70964" w:rsidRDefault="00DB78B7" w:rsidP="009B2532">
      <w:pPr>
        <w:pStyle w:val="BodyTextMain"/>
        <w:rPr>
          <w:rFonts w:eastAsia="Arial Unicode MS"/>
          <w:color w:val="000000"/>
          <w:lang w:val="en-GB" w:eastAsia="hi-IN" w:bidi="hi-IN"/>
        </w:rPr>
      </w:pPr>
      <w:r w:rsidRPr="00C70964">
        <w:rPr>
          <w:rFonts w:eastAsia="Arial Unicode MS"/>
          <w:color w:val="000000"/>
          <w:lang w:val="en-GB" w:eastAsia="hi-IN" w:bidi="hi-IN"/>
        </w:rPr>
        <w:t>The winemaking process had been much the same for centuries, consisting of pressing the selected grapes, fermentation, processing, and aging</w:t>
      </w:r>
      <w:r w:rsidRPr="00C70964">
        <w:rPr>
          <w:rFonts w:eastAsia="Cambria"/>
          <w:color w:val="000000"/>
          <w:lang w:val="en-GB" w:eastAsia="hi-IN" w:bidi="hi-IN"/>
        </w:rPr>
        <w:t>.</w:t>
      </w:r>
      <w:r w:rsidRPr="00C70964">
        <w:rPr>
          <w:rFonts w:eastAsia="KaiTi_GB2312"/>
          <w:color w:val="000000"/>
          <w:vertAlign w:val="superscript"/>
          <w:lang w:val="en-GB" w:eastAsia="ar-SA"/>
        </w:rPr>
        <w:endnoteReference w:id="27"/>
      </w:r>
      <w:r w:rsidRPr="00C70964">
        <w:rPr>
          <w:rFonts w:eastAsia="Cambria"/>
          <w:color w:val="000000"/>
          <w:lang w:val="en-GB" w:eastAsia="hi-IN" w:bidi="hi-IN"/>
        </w:rPr>
        <w:t xml:space="preserve"> </w:t>
      </w:r>
      <w:r w:rsidRPr="00C70964">
        <w:rPr>
          <w:rFonts w:eastAsia="Arial Unicode MS"/>
          <w:color w:val="000000"/>
          <w:lang w:val="en-GB" w:eastAsia="hi-IN" w:bidi="hi-IN"/>
        </w:rPr>
        <w:t>However, data analysis approaches were being broadly introduced to improve the quality and efficiency of grape-growing and winemaking. Good manufacturing practices were observed to ensure physical, chemical, and biological safety for the product as well as the workers.</w:t>
      </w:r>
      <w:r w:rsidR="007C4B40">
        <w:rPr>
          <w:rStyle w:val="EndnoteReference"/>
          <w:rFonts w:eastAsia="Arial Unicode MS"/>
          <w:color w:val="000000"/>
          <w:lang w:val="en-GB" w:eastAsia="hi-IN" w:bidi="hi-IN"/>
        </w:rPr>
        <w:endnoteReference w:id="28"/>
      </w:r>
      <w:r w:rsidRPr="00C70964">
        <w:rPr>
          <w:rFonts w:eastAsia="Arial Unicode MS"/>
          <w:color w:val="000000"/>
          <w:lang w:val="en-GB" w:eastAsia="hi-IN" w:bidi="hi-IN"/>
        </w:rPr>
        <w:t xml:space="preserve"> </w:t>
      </w:r>
    </w:p>
    <w:p w14:paraId="27CB3D8B" w14:textId="77777777" w:rsidR="00DB78B7" w:rsidRPr="00C70964" w:rsidRDefault="00DB78B7" w:rsidP="009B2532">
      <w:pPr>
        <w:pStyle w:val="BodyTextMain"/>
        <w:rPr>
          <w:rFonts w:eastAsia="Arial Unicode MS"/>
          <w:color w:val="000000"/>
          <w:lang w:val="en-GB" w:eastAsia="hi-IN" w:bidi="hi-IN"/>
        </w:rPr>
      </w:pPr>
    </w:p>
    <w:p w14:paraId="3B04BCA9" w14:textId="7E5B1750" w:rsidR="00DB78B7" w:rsidRPr="00C70964" w:rsidRDefault="00DB78B7" w:rsidP="009B2532">
      <w:pPr>
        <w:pStyle w:val="BodyTextMain"/>
        <w:rPr>
          <w:rFonts w:eastAsia="Arial Unicode MS"/>
          <w:color w:val="000000"/>
          <w:lang w:val="en-GB" w:eastAsia="hi-IN" w:bidi="hi-IN"/>
        </w:rPr>
      </w:pPr>
      <w:r w:rsidRPr="00C70964">
        <w:rPr>
          <w:rFonts w:eastAsia="Arial Unicode MS"/>
          <w:color w:val="000000"/>
          <w:lang w:val="en-GB" w:eastAsia="hi-IN" w:bidi="hi-IN"/>
        </w:rPr>
        <w:t xml:space="preserve">Starting a winery was a significant investment. In </w:t>
      </w:r>
      <w:r w:rsidRPr="00C70964">
        <w:rPr>
          <w:rStyle w:val="None"/>
          <w:rFonts w:eastAsia="Cambria"/>
          <w:i/>
          <w:lang w:val="en-GB"/>
        </w:rPr>
        <w:t>Small Winery Investment and Operating Costs</w:t>
      </w:r>
      <w:r w:rsidRPr="00C70964">
        <w:rPr>
          <w:rStyle w:val="None"/>
          <w:rFonts w:eastAsia="Cambria"/>
          <w:lang w:val="en-GB"/>
        </w:rPr>
        <w:t>,</w:t>
      </w:r>
      <w:r w:rsidRPr="00C70964">
        <w:rPr>
          <w:rFonts w:eastAsia="Arial Unicode MS"/>
          <w:color w:val="000000"/>
          <w:lang w:val="en-GB" w:eastAsia="hi-IN" w:bidi="hi-IN"/>
        </w:rPr>
        <w:t xml:space="preserve"> Le Ann A. Fickle</w:t>
      </w:r>
      <w:r w:rsidRPr="00C70964">
        <w:rPr>
          <w:rFonts w:eastAsia="Cambria"/>
          <w:lang w:val="en-GB" w:eastAsia="hi-IN" w:bidi="hi-IN"/>
        </w:rPr>
        <w:t xml:space="preserve"> and colleagues</w:t>
      </w:r>
      <w:r w:rsidRPr="00C70964">
        <w:rPr>
          <w:rFonts w:eastAsia="Arial Unicode MS"/>
          <w:color w:val="000000"/>
          <w:lang w:val="en-GB" w:eastAsia="hi-IN" w:bidi="hi-IN"/>
        </w:rPr>
        <w:t xml:space="preserve"> suggested that a modest operation of 5,000 cases per year required close to </w:t>
      </w:r>
      <w:r w:rsidR="00E82CA3" w:rsidRPr="00C70964">
        <w:rPr>
          <w:rFonts w:eastAsia="Arial Unicode MS"/>
          <w:color w:val="000000"/>
          <w:lang w:val="en-GB" w:eastAsia="hi-IN" w:bidi="hi-IN"/>
        </w:rPr>
        <w:t>US</w:t>
      </w:r>
      <w:r w:rsidRPr="00C70964">
        <w:rPr>
          <w:rFonts w:eastAsia="Arial Unicode MS"/>
          <w:color w:val="000000"/>
          <w:lang w:val="en-GB" w:eastAsia="hi-IN" w:bidi="hi-IN"/>
        </w:rPr>
        <w:t>$1 million in grape-growing and winemaking equipment, land, bottling supplies, and labour.</w:t>
      </w:r>
      <w:r w:rsidRPr="00C70964">
        <w:rPr>
          <w:rFonts w:eastAsia="KaiTi_GB2312"/>
          <w:color w:val="000000"/>
          <w:vertAlign w:val="superscript"/>
          <w:lang w:val="en-GB" w:eastAsia="ar-SA"/>
        </w:rPr>
        <w:endnoteReference w:id="29"/>
      </w:r>
      <w:r w:rsidRPr="00C70964">
        <w:rPr>
          <w:rFonts w:eastAsia="Arial Unicode MS"/>
          <w:color w:val="000000"/>
          <w:lang w:val="en-GB" w:eastAsia="hi-IN" w:bidi="hi-IN"/>
        </w:rPr>
        <w:t xml:space="preserve"> Agricultural land was sold at a premium in designated </w:t>
      </w:r>
      <w:proofErr w:type="spellStart"/>
      <w:r w:rsidRPr="00C70964">
        <w:rPr>
          <w:rFonts w:eastAsia="Arial Unicode MS"/>
          <w:color w:val="000000"/>
          <w:lang w:val="en-GB" w:eastAsia="hi-IN" w:bidi="hi-IN"/>
        </w:rPr>
        <w:t>viticultural</w:t>
      </w:r>
      <w:proofErr w:type="spellEnd"/>
      <w:r w:rsidRPr="00C70964">
        <w:rPr>
          <w:rFonts w:eastAsia="Arial Unicode MS"/>
          <w:color w:val="000000"/>
          <w:lang w:val="en-GB" w:eastAsia="hi-IN" w:bidi="hi-IN"/>
        </w:rPr>
        <w:t xml:space="preserve"> areas. Wooden barrels for aging wine—cooperage —could be 9 to 22 per cent of the initial investment</w:t>
      </w:r>
      <w:r w:rsidRPr="00C70964">
        <w:rPr>
          <w:rFonts w:eastAsia="Cambria"/>
          <w:lang w:val="en-GB" w:eastAsia="hi-IN" w:bidi="hi-IN"/>
        </w:rPr>
        <w:t>.</w:t>
      </w:r>
      <w:r w:rsidRPr="00C70964">
        <w:rPr>
          <w:rFonts w:eastAsia="Arial Unicode MS"/>
          <w:color w:val="000000"/>
          <w:lang w:val="en-GB" w:eastAsia="hi-IN" w:bidi="hi-IN"/>
        </w:rPr>
        <w:t xml:space="preserve"> Economies of scale in wineries were realized in marketing and administration costs.</w:t>
      </w:r>
      <w:r w:rsidR="007C4B40">
        <w:rPr>
          <w:rStyle w:val="EndnoteReference"/>
          <w:rFonts w:eastAsia="Arial Unicode MS"/>
          <w:color w:val="000000"/>
          <w:lang w:val="en-GB" w:eastAsia="hi-IN" w:bidi="hi-IN"/>
        </w:rPr>
        <w:endnoteReference w:id="30"/>
      </w:r>
      <w:r w:rsidRPr="00C70964">
        <w:rPr>
          <w:rFonts w:eastAsia="Arial Unicode MS"/>
          <w:color w:val="000000"/>
          <w:lang w:val="en-GB" w:eastAsia="hi-IN" w:bidi="hi-IN"/>
        </w:rPr>
        <w:t xml:space="preserve"> </w:t>
      </w:r>
    </w:p>
    <w:p w14:paraId="3FC67DF4" w14:textId="77777777" w:rsidR="00DB78B7" w:rsidRPr="00C70964" w:rsidRDefault="00DB78B7" w:rsidP="009B2532">
      <w:pPr>
        <w:pStyle w:val="BodyTextMain"/>
        <w:rPr>
          <w:rFonts w:eastAsia="Arial Unicode MS"/>
          <w:color w:val="000000"/>
          <w:lang w:val="en-GB" w:eastAsia="hi-IN" w:bidi="hi-IN"/>
        </w:rPr>
      </w:pPr>
    </w:p>
    <w:p w14:paraId="3CDADC52" w14:textId="2E82280B" w:rsidR="00DB78B7" w:rsidRPr="00C70964" w:rsidRDefault="00DB78B7" w:rsidP="009B2532">
      <w:pPr>
        <w:pStyle w:val="BodyTextMain"/>
        <w:rPr>
          <w:rFonts w:eastAsia="Cambria"/>
          <w:color w:val="000000"/>
          <w:lang w:val="en-GB" w:eastAsia="hi-IN" w:bidi="hi-IN"/>
        </w:rPr>
      </w:pPr>
      <w:r w:rsidRPr="00C70964">
        <w:rPr>
          <w:rFonts w:eastAsia="Arial Unicode MS"/>
          <w:color w:val="000000"/>
          <w:lang w:val="en-GB" w:eastAsia="hi-IN" w:bidi="hi-IN"/>
        </w:rPr>
        <w:t>In Ontario and in Canada as a whole, operating a winery was heavily regulated.</w:t>
      </w:r>
      <w:r w:rsidRPr="00C70964">
        <w:rPr>
          <w:rFonts w:eastAsia="KaiTi_GB2312"/>
          <w:color w:val="000000"/>
          <w:vertAlign w:val="superscript"/>
          <w:lang w:val="en-GB" w:eastAsia="ar-SA"/>
        </w:rPr>
        <w:endnoteReference w:id="31"/>
      </w:r>
      <w:r w:rsidRPr="00C70964">
        <w:rPr>
          <w:rFonts w:eastAsia="Arial Unicode MS"/>
          <w:color w:val="000000"/>
          <w:lang w:val="en-GB" w:eastAsia="hi-IN" w:bidi="hi-IN"/>
        </w:rPr>
        <w:t xml:space="preserve"> Even processing wine grapes required a permit, issued by the Ontario Farm Products Marketing Commission. Wine sales, including pricing, were regulated by the LCBO—even for sales conducted outside their stores. In addition to sales and excise taxes, labelling, product size, and product content were regulated by bodies such as the Alcohol and Gaming Commission of Ontario and VQA Ontario. Headlines highlighted the challenges with the interprovincial trade of alcoholic beverages, which became particularly vexing as online shopping grew into an interesting channel for wine.</w:t>
      </w:r>
      <w:r w:rsidRPr="00C70964">
        <w:rPr>
          <w:rFonts w:eastAsia="KaiTi_GB2312"/>
          <w:color w:val="000000"/>
          <w:vertAlign w:val="superscript"/>
          <w:lang w:val="en-GB" w:eastAsia="ar-SA"/>
        </w:rPr>
        <w:endnoteReference w:id="32"/>
      </w:r>
      <w:r w:rsidRPr="00C70964">
        <w:rPr>
          <w:rFonts w:eastAsia="Arial Unicode MS"/>
          <w:color w:val="000000"/>
          <w:lang w:val="en-GB" w:eastAsia="hi-IN" w:bidi="hi-IN"/>
        </w:rPr>
        <w:t xml:space="preserve"> With the global nature of wine sales, sales restrictions imposed by local governments were contentious</w:t>
      </w:r>
      <w:r w:rsidRPr="00C70964">
        <w:rPr>
          <w:rFonts w:eastAsia="Cambria"/>
          <w:lang w:val="en-GB" w:eastAsia="hi-IN" w:bidi="hi-IN"/>
        </w:rPr>
        <w:t>.</w:t>
      </w:r>
      <w:r w:rsidRPr="00C70964">
        <w:rPr>
          <w:rFonts w:eastAsia="KaiTi_GB2312"/>
          <w:color w:val="000000"/>
          <w:vertAlign w:val="superscript"/>
          <w:lang w:val="en-GB" w:eastAsia="ar-SA"/>
        </w:rPr>
        <w:endnoteReference w:id="33"/>
      </w:r>
    </w:p>
    <w:p w14:paraId="33431819" w14:textId="77777777" w:rsidR="00DB78B7" w:rsidRPr="00C70964" w:rsidRDefault="00DB78B7" w:rsidP="009B2532">
      <w:pPr>
        <w:pStyle w:val="BodyTextMain"/>
        <w:rPr>
          <w:rFonts w:eastAsia="Cambria"/>
          <w:color w:val="000000"/>
          <w:lang w:val="en-GB" w:eastAsia="hi-IN" w:bidi="hi-IN"/>
        </w:rPr>
      </w:pPr>
    </w:p>
    <w:p w14:paraId="3000368C" w14:textId="0119E95C" w:rsidR="00DB78B7" w:rsidRPr="00C70964" w:rsidRDefault="00DB78B7" w:rsidP="009B2532">
      <w:pPr>
        <w:pStyle w:val="BodyTextMain"/>
        <w:rPr>
          <w:rFonts w:eastAsia="Arial Unicode MS" w:cs="Arial Unicode MS"/>
          <w:color w:val="000000"/>
          <w:lang w:val="en-GB" w:eastAsia="hi-IN" w:bidi="hi-IN"/>
        </w:rPr>
      </w:pPr>
      <w:r w:rsidRPr="00C70964">
        <w:rPr>
          <w:rFonts w:eastAsia="Arial Unicode MS" w:cs="Arial Unicode MS"/>
          <w:color w:val="000000"/>
          <w:lang w:val="en-GB" w:eastAsia="hi-IN" w:bidi="hi-IN"/>
        </w:rPr>
        <w:t>Wine sales in Ontario grocery stores favoured locally produced wines, but this channel was only available at a quarter of the planned locations in 2018.</w:t>
      </w:r>
      <w:r w:rsidRPr="00C70964">
        <w:rPr>
          <w:rFonts w:eastAsia="KaiTi_GB2312"/>
          <w:color w:val="000000"/>
          <w:vertAlign w:val="superscript"/>
          <w:lang w:val="en-GB" w:eastAsia="ar-SA"/>
        </w:rPr>
        <w:endnoteReference w:id="34"/>
      </w:r>
      <w:r w:rsidRPr="00C70964">
        <w:rPr>
          <w:rFonts w:eastAsia="Arial Unicode MS" w:cs="Arial Unicode MS"/>
          <w:color w:val="000000"/>
          <w:lang w:val="en-GB" w:eastAsia="hi-IN" w:bidi="hi-IN"/>
        </w:rPr>
        <w:t xml:space="preserve"> It was possible that retail in Ontario would move to the </w:t>
      </w:r>
      <w:r w:rsidRPr="00C70964">
        <w:rPr>
          <w:rFonts w:eastAsia="Arial Unicode MS" w:cs="Arial Unicode MS"/>
          <w:color w:val="000000"/>
          <w:lang w:val="en-GB" w:eastAsia="hi-IN" w:bidi="hi-IN"/>
        </w:rPr>
        <w:lastRenderedPageBreak/>
        <w:t>Quebec model, with wine and beer available in corner stores</w:t>
      </w:r>
      <w:r w:rsidRPr="00C70964">
        <w:rPr>
          <w:rFonts w:eastAsia="Cambria"/>
          <w:color w:val="000000"/>
          <w:lang w:val="en-GB" w:eastAsia="hi-IN" w:bidi="hi-IN"/>
        </w:rPr>
        <w:t>.</w:t>
      </w:r>
      <w:r w:rsidRPr="00C70964">
        <w:rPr>
          <w:rFonts w:eastAsia="KaiTi_GB2312"/>
          <w:color w:val="000000"/>
          <w:vertAlign w:val="superscript"/>
          <w:lang w:val="en-GB" w:eastAsia="ar-SA"/>
        </w:rPr>
        <w:endnoteReference w:id="35"/>
      </w:r>
      <w:r w:rsidRPr="00C70964">
        <w:rPr>
          <w:rFonts w:eastAsia="Arial Unicode MS" w:cs="Arial Unicode MS"/>
          <w:color w:val="000000"/>
          <w:lang w:val="en-GB" w:eastAsia="hi-IN" w:bidi="hi-IN"/>
        </w:rPr>
        <w:t xml:space="preserve"> Most wineries sold their product through their own online channel. In a 2017 US study, direct-to-consumer (D2C) sales made up about 4</w:t>
      </w:r>
      <w:r w:rsidR="00A14121">
        <w:rPr>
          <w:rFonts w:eastAsia="Arial Unicode MS" w:cs="Arial Unicode MS"/>
          <w:color w:val="000000"/>
          <w:lang w:val="en-GB" w:eastAsia="hi-IN" w:bidi="hi-IN"/>
        </w:rPr>
        <w:t>.0</w:t>
      </w:r>
      <w:r w:rsidRPr="00C70964">
        <w:rPr>
          <w:rFonts w:eastAsia="Arial Unicode MS" w:cs="Arial Unicode MS"/>
          <w:color w:val="000000"/>
          <w:lang w:val="en-GB" w:eastAsia="hi-IN" w:bidi="hi-IN"/>
        </w:rPr>
        <w:t xml:space="preserve"> per cent of total wine sales and were growing at 15.5 per cent year over year.</w:t>
      </w:r>
      <w:r w:rsidRPr="00C70964">
        <w:rPr>
          <w:rFonts w:eastAsia="KaiTi_GB2312"/>
          <w:color w:val="000000"/>
          <w:vertAlign w:val="superscript"/>
          <w:lang w:val="en-GB" w:eastAsia="ar-SA"/>
        </w:rPr>
        <w:endnoteReference w:id="36"/>
      </w:r>
      <w:r w:rsidRPr="00C70964">
        <w:rPr>
          <w:rFonts w:eastAsia="Arial Unicode MS" w:cs="Arial Unicode MS"/>
          <w:color w:val="000000"/>
          <w:lang w:val="en-GB" w:eastAsia="hi-IN" w:bidi="hi-IN"/>
        </w:rPr>
        <w:t xml:space="preserve"> </w:t>
      </w:r>
    </w:p>
    <w:p w14:paraId="13396CEF" w14:textId="31E2AEAB" w:rsidR="00DB78B7" w:rsidRPr="00CD6AEA" w:rsidRDefault="00DB78B7" w:rsidP="009B2532">
      <w:pPr>
        <w:pStyle w:val="BodyTextMain"/>
        <w:rPr>
          <w:rFonts w:eastAsia="Arial Unicode MS" w:cs="Arial Unicode MS"/>
          <w:color w:val="000000"/>
          <w:sz w:val="14"/>
          <w:szCs w:val="14"/>
          <w:lang w:val="en-GB" w:eastAsia="hi-IN" w:bidi="hi-IN"/>
        </w:rPr>
      </w:pPr>
    </w:p>
    <w:p w14:paraId="6053A638" w14:textId="77777777" w:rsidR="00842F2B" w:rsidRPr="00CD6AEA" w:rsidRDefault="00842F2B" w:rsidP="009B2532">
      <w:pPr>
        <w:pStyle w:val="BodyTextMain"/>
        <w:rPr>
          <w:rFonts w:eastAsia="Arial Unicode MS" w:cs="Arial Unicode MS"/>
          <w:color w:val="000000"/>
          <w:sz w:val="14"/>
          <w:szCs w:val="14"/>
          <w:lang w:val="en-GB" w:eastAsia="hi-IN" w:bidi="hi-IN"/>
        </w:rPr>
      </w:pPr>
    </w:p>
    <w:p w14:paraId="3EFCE8D6" w14:textId="77777777" w:rsidR="00DB78B7" w:rsidRPr="00C70964" w:rsidRDefault="00DB78B7" w:rsidP="009B2532">
      <w:pPr>
        <w:pStyle w:val="Casehead2"/>
        <w:rPr>
          <w:rFonts w:eastAsia="Cambria"/>
          <w:lang w:val="en-GB" w:eastAsia="ar-SA"/>
        </w:rPr>
      </w:pPr>
      <w:r w:rsidRPr="00C70964">
        <w:rPr>
          <w:rFonts w:eastAsia="Arial Unicode MS"/>
          <w:lang w:val="en-GB" w:eastAsia="ar-SA"/>
        </w:rPr>
        <w:t>Wine Consumers and Consumption</w:t>
      </w:r>
    </w:p>
    <w:p w14:paraId="077D317D" w14:textId="77777777" w:rsidR="00DB78B7" w:rsidRPr="00C70964" w:rsidRDefault="00DB78B7" w:rsidP="009B2532">
      <w:pPr>
        <w:pStyle w:val="BodyTextMain"/>
        <w:rPr>
          <w:rFonts w:eastAsia="Cambria"/>
          <w:lang w:val="en-GB" w:eastAsia="ar-SA"/>
        </w:rPr>
      </w:pPr>
    </w:p>
    <w:p w14:paraId="68E0306B" w14:textId="48240A03" w:rsidR="00DB78B7" w:rsidRPr="00C70964" w:rsidRDefault="00DB78B7" w:rsidP="009B2532">
      <w:pPr>
        <w:pStyle w:val="BodyTextMain"/>
        <w:rPr>
          <w:rFonts w:eastAsia="Arial Unicode MS" w:cs="Arial Unicode MS"/>
          <w:lang w:val="en-GB" w:eastAsia="hi-IN" w:bidi="hi-IN"/>
        </w:rPr>
      </w:pPr>
      <w:r w:rsidRPr="00C70964">
        <w:rPr>
          <w:rFonts w:eastAsia="Cambria"/>
          <w:lang w:val="en-GB" w:eastAsia="hi-IN" w:bidi="hi-IN"/>
        </w:rPr>
        <w:t>Wine buyers selected their wine on the basis of familiarity with the wine or country of origin, were influenced by price and feature tags that described similarities to other wines, selected new wines they had read about or been recommended by friends, were attracted to the label design, and, if they had tasted the wine, were influenced by the aroma, structure, taste, and depth.</w:t>
      </w:r>
      <w:r w:rsidRPr="00C70964">
        <w:rPr>
          <w:rFonts w:eastAsia="KaiTi_GB2312"/>
          <w:vertAlign w:val="superscript"/>
          <w:lang w:val="en-GB" w:eastAsia="ar-SA"/>
        </w:rPr>
        <w:endnoteReference w:id="37"/>
      </w:r>
      <w:r w:rsidRPr="00C70964">
        <w:rPr>
          <w:rFonts w:eastAsia="Arial Unicode MS" w:cs="Arial Unicode MS"/>
          <w:lang w:val="en-GB" w:eastAsia="hi-IN" w:bidi="hi-IN"/>
        </w:rPr>
        <w:t xml:space="preserve"> When selecting between red varietals, price, reputation, taste, food pairing, alcohol content, sweetness, and new or old world influence were factors.</w:t>
      </w:r>
      <w:r w:rsidRPr="00C70964">
        <w:rPr>
          <w:rFonts w:eastAsia="KaiTi_GB2312"/>
          <w:vertAlign w:val="superscript"/>
          <w:lang w:val="en-GB" w:eastAsia="ar-SA"/>
        </w:rPr>
        <w:endnoteReference w:id="38"/>
      </w:r>
      <w:r w:rsidRPr="00C70964">
        <w:rPr>
          <w:rFonts w:eastAsia="Arial Unicode MS" w:cs="Arial Unicode MS"/>
          <w:lang w:val="en-GB" w:eastAsia="hi-IN" w:bidi="hi-IN"/>
        </w:rPr>
        <w:t xml:space="preserve"> Price, brand, and region of origin were associated with trust in consumers, but overall, the key attributes of wine were price, region of origin, grape variety, and brand. Notably, brand loyalty and price promotions were not a strong influence on buyers.</w:t>
      </w:r>
      <w:r w:rsidRPr="00C70964">
        <w:rPr>
          <w:rFonts w:eastAsia="KaiTi_GB2312"/>
          <w:vertAlign w:val="superscript"/>
          <w:lang w:val="en-GB" w:eastAsia="ar-SA"/>
        </w:rPr>
        <w:endnoteReference w:id="39"/>
      </w:r>
      <w:r w:rsidRPr="00C70964">
        <w:rPr>
          <w:rFonts w:eastAsia="Arial Unicode MS" w:cs="Arial Unicode MS"/>
          <w:lang w:val="en-GB" w:eastAsia="hi-IN" w:bidi="hi-IN"/>
        </w:rPr>
        <w:t xml:space="preserve"> Quite a few wine buyers (18 per cent of a representative sample of Canadians) were either confused by the choices or felt intimidated when buying wine, while only 7 per cent found buying wine easy</w:t>
      </w:r>
      <w:r w:rsidRPr="00C70964">
        <w:rPr>
          <w:rFonts w:eastAsia="Cambria"/>
          <w:lang w:val="en-GB" w:eastAsia="hi-IN" w:bidi="hi-IN"/>
        </w:rPr>
        <w:t>.</w:t>
      </w:r>
      <w:r w:rsidRPr="00C70964">
        <w:rPr>
          <w:rFonts w:eastAsia="KaiTi_GB2312"/>
          <w:vertAlign w:val="superscript"/>
          <w:lang w:val="en-GB" w:eastAsia="ar-SA"/>
        </w:rPr>
        <w:endnoteReference w:id="40"/>
      </w:r>
      <w:r w:rsidRPr="00C70964">
        <w:rPr>
          <w:rFonts w:eastAsia="Cambria"/>
          <w:lang w:val="en-GB" w:eastAsia="hi-IN" w:bidi="hi-IN"/>
        </w:rPr>
        <w:t xml:space="preserve"> </w:t>
      </w:r>
      <w:r w:rsidRPr="00C70964">
        <w:rPr>
          <w:rFonts w:eastAsia="Arial Unicode MS" w:cs="Arial Unicode MS"/>
          <w:lang w:val="en-GB" w:eastAsia="hi-IN" w:bidi="hi-IN"/>
        </w:rPr>
        <w:t>Sales of wine peaked in December and were lowest in the months that followed the holiday season.</w:t>
      </w:r>
      <w:r w:rsidR="007C4B40">
        <w:rPr>
          <w:rStyle w:val="EndnoteReference"/>
          <w:rFonts w:eastAsia="Arial Unicode MS" w:cs="Arial Unicode MS"/>
          <w:lang w:val="en-GB" w:eastAsia="hi-IN" w:bidi="hi-IN"/>
        </w:rPr>
        <w:endnoteReference w:id="41"/>
      </w:r>
      <w:r w:rsidRPr="00C70964">
        <w:rPr>
          <w:rFonts w:eastAsia="Arial Unicode MS" w:cs="Arial Unicode MS"/>
          <w:lang w:val="en-GB" w:eastAsia="hi-IN" w:bidi="hi-IN"/>
        </w:rPr>
        <w:t xml:space="preserve"> </w:t>
      </w:r>
    </w:p>
    <w:p w14:paraId="7BAE78EC" w14:textId="77777777" w:rsidR="00DB78B7" w:rsidRPr="00C70964" w:rsidRDefault="00DB78B7" w:rsidP="009B2532">
      <w:pPr>
        <w:pStyle w:val="BodyTextMain"/>
        <w:rPr>
          <w:rFonts w:eastAsia="Arial Unicode MS" w:cs="Arial Unicode MS"/>
          <w:lang w:val="en-GB" w:eastAsia="hi-IN" w:bidi="hi-IN"/>
        </w:rPr>
      </w:pPr>
    </w:p>
    <w:p w14:paraId="6F61DFD5" w14:textId="18CEA55B"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High-frequency wine consumers (</w:t>
      </w:r>
      <w:r w:rsidR="00E82CA3" w:rsidRPr="00C70964">
        <w:rPr>
          <w:rFonts w:eastAsia="Arial Unicode MS"/>
          <w:lang w:val="en-GB" w:eastAsia="hi-IN" w:bidi="hi-IN"/>
        </w:rPr>
        <w:t>greater</w:t>
      </w:r>
      <w:r w:rsidRPr="00C70964">
        <w:rPr>
          <w:rFonts w:eastAsia="Arial Unicode MS"/>
          <w:lang w:val="en-GB" w:eastAsia="hi-IN" w:bidi="hi-IN"/>
        </w:rPr>
        <w:t xml:space="preserve"> than one</w:t>
      </w:r>
      <w:r w:rsidR="00E82CA3" w:rsidRPr="00C70964">
        <w:rPr>
          <w:rFonts w:eastAsia="Arial Unicode MS"/>
          <w:lang w:val="en-GB" w:eastAsia="hi-IN" w:bidi="hi-IN"/>
        </w:rPr>
        <w:t xml:space="preserve"> instance per</w:t>
      </w:r>
      <w:r w:rsidRPr="00C70964">
        <w:rPr>
          <w:rFonts w:eastAsia="Arial Unicode MS"/>
          <w:lang w:val="en-GB" w:eastAsia="hi-IN" w:bidi="hi-IN"/>
        </w:rPr>
        <w:t xml:space="preserve"> week) drove growth in the US market, consuming 81 per cent of the country’s wine. Splitting this group into high, medium, or low spenders for a bottle of wine, the high spenders were the most involved with wine, enjoyed wine tourism, and were more likely to buy directly from the winery or online. The low spenders were more likely to buy their wine at the grocery store and use apps for coupons. The average age of the high and medium spenders was significantly younger than that of the low spenders.</w:t>
      </w:r>
      <w:r w:rsidRPr="00C70964">
        <w:rPr>
          <w:rFonts w:eastAsia="KaiTi_GB2312"/>
          <w:vertAlign w:val="superscript"/>
          <w:lang w:val="en-GB" w:eastAsia="ar-SA"/>
        </w:rPr>
        <w:endnoteReference w:id="42"/>
      </w:r>
    </w:p>
    <w:p w14:paraId="18D4D003" w14:textId="77777777" w:rsidR="00DB78B7" w:rsidRPr="00C70964" w:rsidRDefault="00DB78B7" w:rsidP="009B2532">
      <w:pPr>
        <w:pStyle w:val="BodyTextMain"/>
        <w:rPr>
          <w:rFonts w:eastAsia="Arial Unicode MS"/>
          <w:lang w:val="en-GB" w:eastAsia="hi-IN" w:bidi="hi-IN"/>
        </w:rPr>
      </w:pPr>
    </w:p>
    <w:p w14:paraId="373CD0A4" w14:textId="56CC77DA" w:rsidR="00DB78B7" w:rsidRPr="00C70964" w:rsidRDefault="00DB78B7" w:rsidP="009B2532">
      <w:pPr>
        <w:pStyle w:val="BodyTextMain"/>
        <w:rPr>
          <w:rFonts w:eastAsia="Arial Unicode MS"/>
          <w:sz w:val="24"/>
          <w:szCs w:val="24"/>
          <w:lang w:val="en-GB" w:eastAsia="hi-IN" w:bidi="hi-IN"/>
        </w:rPr>
      </w:pPr>
      <w:r w:rsidRPr="00C70964">
        <w:rPr>
          <w:rFonts w:eastAsia="Arial Unicode MS"/>
          <w:lang w:val="en-GB" w:eastAsia="hi-IN" w:bidi="hi-IN"/>
        </w:rPr>
        <w:t xml:space="preserve">In 2016, wine consumption in the United States roughly paralleled population demographics, with </w:t>
      </w:r>
      <w:r w:rsidR="00E82CA3" w:rsidRPr="00C70964">
        <w:rPr>
          <w:rFonts w:eastAsia="Arial Unicode MS"/>
          <w:lang w:val="en-GB" w:eastAsia="hi-IN" w:bidi="hi-IN"/>
        </w:rPr>
        <w:t>baby-</w:t>
      </w:r>
      <w:r w:rsidRPr="00C70964">
        <w:rPr>
          <w:rFonts w:eastAsia="Arial Unicode MS"/>
          <w:lang w:val="en-GB" w:eastAsia="hi-IN" w:bidi="hi-IN"/>
        </w:rPr>
        <w:t>boomers consuming 34 per cent, millennials 36 per cent, and Generation X</w:t>
      </w:r>
      <w:r w:rsidR="00E82CA3" w:rsidRPr="00C70964">
        <w:rPr>
          <w:rFonts w:eastAsia="Arial Unicode MS"/>
          <w:lang w:val="en-GB" w:eastAsia="hi-IN" w:bidi="hi-IN"/>
        </w:rPr>
        <w:t>-</w:t>
      </w:r>
      <w:proofErr w:type="spellStart"/>
      <w:r w:rsidRPr="00C70964">
        <w:rPr>
          <w:rFonts w:eastAsia="Arial Unicode MS"/>
          <w:lang w:val="en-GB" w:eastAsia="hi-IN" w:bidi="hi-IN"/>
        </w:rPr>
        <w:t>ers</w:t>
      </w:r>
      <w:proofErr w:type="spellEnd"/>
      <w:r w:rsidRPr="00C70964">
        <w:rPr>
          <w:rFonts w:eastAsia="Arial Unicode MS"/>
          <w:lang w:val="en-GB" w:eastAsia="hi-IN" w:bidi="hi-IN"/>
        </w:rPr>
        <w:t xml:space="preserve"> 18 per cent</w:t>
      </w:r>
      <w:r w:rsidRPr="00C70964">
        <w:rPr>
          <w:rFonts w:ascii="Cambria" w:eastAsia="Cambria" w:hAnsi="Cambria" w:cs="Cambria"/>
          <w:color w:val="222222"/>
          <w:lang w:val="en-GB" w:eastAsia="hi-IN" w:bidi="hi-IN"/>
        </w:rPr>
        <w:t>.</w:t>
      </w:r>
      <w:r w:rsidRPr="00C70964">
        <w:rPr>
          <w:rFonts w:eastAsia="KaiTi_GB2312"/>
          <w:vertAlign w:val="superscript"/>
          <w:lang w:val="en-GB" w:eastAsia="ar-SA"/>
        </w:rPr>
        <w:endnoteReference w:id="43"/>
      </w:r>
      <w:r w:rsidRPr="00C70964">
        <w:rPr>
          <w:rFonts w:ascii="Cambria" w:eastAsia="Cambria" w:hAnsi="Cambria" w:cs="Cambria"/>
          <w:color w:val="222222"/>
          <w:lang w:val="en-GB" w:eastAsia="hi-IN" w:bidi="hi-IN"/>
        </w:rPr>
        <w:t xml:space="preserve"> </w:t>
      </w:r>
      <w:r w:rsidRPr="00C70964">
        <w:rPr>
          <w:rFonts w:eastAsia="Arial Unicode MS"/>
          <w:lang w:val="en-GB" w:eastAsia="hi-IN" w:bidi="hi-IN"/>
        </w:rPr>
        <w:t>This trend was echoed in Canada, where the LCBO divided their customers as 33 per cent baby boomers, 36 per cent millennials, and 18 per cent Generation X</w:t>
      </w:r>
      <w:r w:rsidR="00E82CA3" w:rsidRPr="00C70964">
        <w:rPr>
          <w:rFonts w:eastAsia="Arial Unicode MS"/>
          <w:lang w:val="en-GB" w:eastAsia="hi-IN" w:bidi="hi-IN"/>
        </w:rPr>
        <w:t>-</w:t>
      </w:r>
      <w:proofErr w:type="spellStart"/>
      <w:r w:rsidRPr="00C70964">
        <w:rPr>
          <w:rFonts w:eastAsia="Arial Unicode MS"/>
          <w:lang w:val="en-GB" w:eastAsia="hi-IN" w:bidi="hi-IN"/>
        </w:rPr>
        <w:t>ers</w:t>
      </w:r>
      <w:proofErr w:type="spellEnd"/>
      <w:r w:rsidRPr="00C70964">
        <w:rPr>
          <w:rFonts w:ascii="Cambria" w:eastAsia="Cambria" w:hAnsi="Cambria" w:cs="Cambria"/>
          <w:color w:val="222222"/>
          <w:lang w:val="en-GB" w:eastAsia="hi-IN" w:bidi="hi-IN"/>
        </w:rPr>
        <w:t>.</w:t>
      </w:r>
      <w:r w:rsidRPr="00C70964">
        <w:rPr>
          <w:rFonts w:eastAsia="Arial Unicode MS"/>
          <w:lang w:val="en-GB" w:eastAsia="hi-IN" w:bidi="hi-IN"/>
        </w:rPr>
        <w:t xml:space="preserve"> In the younger generations, wine was more likely to be consumed socially than with a meal, as it was by older generations</w:t>
      </w:r>
      <w:r w:rsidRPr="00C70964">
        <w:rPr>
          <w:rFonts w:eastAsia="Arial Unicode MS"/>
          <w:color w:val="222222"/>
          <w:lang w:val="en-GB" w:eastAsia="hi-IN" w:bidi="hi-IN"/>
        </w:rPr>
        <w:t>.</w:t>
      </w:r>
      <w:r w:rsidRPr="00C70964">
        <w:rPr>
          <w:rFonts w:eastAsia="KaiTi_GB2312"/>
          <w:vertAlign w:val="superscript"/>
          <w:lang w:val="en-GB" w:eastAsia="ar-SA"/>
        </w:rPr>
        <w:endnoteReference w:id="44"/>
      </w:r>
      <w:r w:rsidRPr="00C70964">
        <w:rPr>
          <w:rFonts w:eastAsia="Arial Unicode MS"/>
          <w:color w:val="222222"/>
          <w:lang w:val="en-GB" w:eastAsia="hi-IN" w:bidi="hi-IN"/>
        </w:rPr>
        <w:t xml:space="preserve"> </w:t>
      </w:r>
      <w:r w:rsidRPr="00C70964">
        <w:rPr>
          <w:rFonts w:eastAsia="Arial Unicode MS"/>
          <w:lang w:val="en-GB" w:eastAsia="hi-IN" w:bidi="hi-IN"/>
        </w:rPr>
        <w:t>Younger or inexperienced wine consumers tended to prefer fruitier blends, such as red wine blends, sparkling and sweeter white wines, and those with sustainable business practices</w:t>
      </w:r>
      <w:r w:rsidRPr="00C70964">
        <w:rPr>
          <w:rFonts w:ascii="Cambria" w:eastAsia="Cambria" w:hAnsi="Cambria" w:cs="Cambria"/>
          <w:lang w:val="en-GB" w:eastAsia="hi-IN" w:bidi="hi-IN"/>
        </w:rPr>
        <w:t>.</w:t>
      </w:r>
      <w:r w:rsidRPr="00C70964">
        <w:rPr>
          <w:rFonts w:eastAsia="KaiTi_GB2312"/>
          <w:vertAlign w:val="superscript"/>
          <w:lang w:val="en-GB" w:eastAsia="ar-SA"/>
        </w:rPr>
        <w:endnoteReference w:id="45"/>
      </w:r>
      <w:r w:rsidRPr="00C70964">
        <w:rPr>
          <w:rFonts w:eastAsia="Arial Unicode MS"/>
          <w:vertAlign w:val="superscript"/>
          <w:lang w:val="en-GB" w:eastAsia="hi-IN" w:bidi="hi-IN"/>
        </w:rPr>
        <w:t xml:space="preserve"> </w:t>
      </w:r>
      <w:r w:rsidRPr="00C70964">
        <w:rPr>
          <w:rFonts w:eastAsia="Arial Unicode MS"/>
          <w:lang w:val="en-GB" w:eastAsia="hi-IN" w:bidi="hi-IN"/>
        </w:rPr>
        <w:t>This group was also more likely to purchase different brands; they sought variety. Expert consumers valued region of origin more than inexperienced wine consumers</w:t>
      </w:r>
      <w:r w:rsidRPr="00C70964">
        <w:rPr>
          <w:rFonts w:eastAsia="Arial Unicode MS"/>
          <w:color w:val="222222"/>
          <w:lang w:val="en-GB" w:eastAsia="hi-IN" w:bidi="hi-IN"/>
        </w:rPr>
        <w:t>.</w:t>
      </w:r>
      <w:r w:rsidR="00E82CA3" w:rsidRPr="00C70964">
        <w:rPr>
          <w:rFonts w:eastAsia="Arial Unicode MS"/>
          <w:color w:val="222222"/>
          <w:lang w:val="en-GB" w:eastAsia="hi-IN" w:bidi="hi-IN"/>
        </w:rPr>
        <w:t xml:space="preserve"> </w:t>
      </w:r>
      <w:r w:rsidRPr="00C70964">
        <w:rPr>
          <w:rFonts w:eastAsia="Arial Unicode MS"/>
          <w:lang w:val="en-GB" w:eastAsia="hi-IN" w:bidi="hi-IN"/>
        </w:rPr>
        <w:t>Knowledge was important for these expert consumers. Many apps tracked consumption and enabled wine knowledge sharing.</w:t>
      </w:r>
      <w:r w:rsidR="007C4B40">
        <w:rPr>
          <w:rStyle w:val="EndnoteReference"/>
          <w:rFonts w:eastAsia="Arial Unicode MS"/>
          <w:lang w:val="en-GB" w:eastAsia="hi-IN" w:bidi="hi-IN"/>
        </w:rPr>
        <w:endnoteReference w:id="46"/>
      </w:r>
    </w:p>
    <w:p w14:paraId="331CFD58" w14:textId="77777777" w:rsidR="00DB78B7" w:rsidRPr="00C70964" w:rsidRDefault="00DB78B7" w:rsidP="009B2532">
      <w:pPr>
        <w:pStyle w:val="BodyTextMain"/>
        <w:rPr>
          <w:rFonts w:eastAsia="Arial Unicode MS"/>
          <w:sz w:val="24"/>
          <w:szCs w:val="24"/>
          <w:lang w:val="en-GB" w:eastAsia="hi-IN" w:bidi="hi-IN"/>
        </w:rPr>
      </w:pPr>
    </w:p>
    <w:p w14:paraId="7A2FE3AB" w14:textId="1B6449E8" w:rsidR="00DB78B7" w:rsidRPr="00C70964" w:rsidRDefault="00DB78B7" w:rsidP="009B2532">
      <w:pPr>
        <w:pStyle w:val="BodyTextMain"/>
        <w:rPr>
          <w:rFonts w:eastAsia="Arial Unicode MS"/>
          <w:sz w:val="24"/>
          <w:szCs w:val="24"/>
          <w:lang w:val="en-GB" w:eastAsia="hi-IN" w:bidi="hi-IN"/>
        </w:rPr>
      </w:pPr>
      <w:r w:rsidRPr="00C70964">
        <w:rPr>
          <w:rFonts w:eastAsia="Arial Unicode MS"/>
          <w:lang w:val="en-GB" w:eastAsia="hi-IN" w:bidi="hi-IN"/>
        </w:rPr>
        <w:t>A small study of Chinese wine consumers indicated that wine was valued as a status symbol.</w:t>
      </w:r>
      <w:r w:rsidRPr="00C70964">
        <w:rPr>
          <w:rFonts w:eastAsia="KaiTi_GB2312"/>
          <w:vertAlign w:val="superscript"/>
          <w:lang w:val="en-GB" w:eastAsia="ar-SA"/>
        </w:rPr>
        <w:endnoteReference w:id="47"/>
      </w:r>
      <w:r w:rsidRPr="00C70964">
        <w:rPr>
          <w:rFonts w:eastAsia="Arial Unicode MS"/>
          <w:lang w:val="en-GB" w:eastAsia="hi-IN" w:bidi="hi-IN"/>
        </w:rPr>
        <w:t xml:space="preserve"> Three clusters of consumers with varying characteristics were identified: those with little wine experience favoured famous wine-growing regions, such as the French Bordeaux; traditional consumers sought an alcoholic beverage; and those looking for a quality wine product based their buying decision on the taste of the wine.</w:t>
      </w:r>
      <w:r w:rsidR="007C4B40">
        <w:rPr>
          <w:rStyle w:val="EndnoteReference"/>
          <w:rFonts w:eastAsia="Arial Unicode MS"/>
          <w:lang w:val="en-GB" w:eastAsia="hi-IN" w:bidi="hi-IN"/>
        </w:rPr>
        <w:endnoteReference w:id="48"/>
      </w:r>
      <w:r w:rsidRPr="00C70964">
        <w:rPr>
          <w:rFonts w:eastAsia="Arial Unicode MS"/>
          <w:lang w:val="en-GB" w:eastAsia="hi-IN" w:bidi="hi-IN"/>
        </w:rPr>
        <w:t xml:space="preserve"> </w:t>
      </w:r>
    </w:p>
    <w:p w14:paraId="1A3E1AFF" w14:textId="77777777" w:rsidR="00DB78B7" w:rsidRPr="00C70964" w:rsidRDefault="00DB78B7" w:rsidP="009B2532">
      <w:pPr>
        <w:pStyle w:val="BodyTextMain"/>
        <w:rPr>
          <w:rFonts w:eastAsia="Arial Unicode MS"/>
          <w:sz w:val="24"/>
          <w:szCs w:val="24"/>
          <w:lang w:val="en-GB" w:eastAsia="hi-IN" w:bidi="hi-IN"/>
        </w:rPr>
      </w:pPr>
    </w:p>
    <w:p w14:paraId="5B9E767C" w14:textId="45E97994" w:rsidR="00DB78B7" w:rsidRDefault="00DB78B7" w:rsidP="009B2532">
      <w:pPr>
        <w:pStyle w:val="BodyTextMain"/>
        <w:rPr>
          <w:rFonts w:eastAsia="Arial Unicode MS"/>
          <w:color w:val="222222"/>
          <w:lang w:val="en-GB" w:eastAsia="hi-IN" w:bidi="hi-IN"/>
        </w:rPr>
      </w:pPr>
      <w:r w:rsidRPr="00C70964">
        <w:rPr>
          <w:rFonts w:eastAsia="Arial Unicode MS"/>
          <w:lang w:val="en-GB" w:eastAsia="hi-IN" w:bidi="hi-IN"/>
        </w:rPr>
        <w:t>In a comparison of wine drinkers from European producer countries (the mature markets of France, Spain, and Italy) and those from growth markets (the United Kingdom and Germany), it was found that wine consumers in the growth markets resembled American consumers.</w:t>
      </w:r>
      <w:r w:rsidRPr="00C70964">
        <w:rPr>
          <w:rFonts w:eastAsia="KaiTi_GB2312"/>
          <w:vertAlign w:val="superscript"/>
          <w:lang w:val="en-GB" w:eastAsia="ar-SA"/>
        </w:rPr>
        <w:endnoteReference w:id="49"/>
      </w:r>
      <w:r w:rsidRPr="00C70964">
        <w:rPr>
          <w:rFonts w:eastAsia="Arial Unicode MS"/>
          <w:lang w:val="en-GB" w:eastAsia="hi-IN" w:bidi="hi-IN"/>
        </w:rPr>
        <w:t xml:space="preserve"> These wine drinkers were more likely to have a higher income, be married, and drink beer than the wine drinkers in the mature markets were. This </w:t>
      </w:r>
      <w:r w:rsidR="00E82CA3" w:rsidRPr="00C70964">
        <w:rPr>
          <w:rFonts w:eastAsia="Arial Unicode MS"/>
          <w:lang w:val="en-GB" w:eastAsia="hi-IN" w:bidi="hi-IN"/>
        </w:rPr>
        <w:t>suggested a similarity to Canadian wine consumers</w:t>
      </w:r>
      <w:r w:rsidRPr="00C70964">
        <w:rPr>
          <w:rFonts w:eastAsia="Arial Unicode MS"/>
          <w:lang w:val="en-GB" w:eastAsia="hi-IN" w:bidi="hi-IN"/>
        </w:rPr>
        <w:t>, who were switching to wine from beer, as it was perceived to be healthier. Food matching was important in the mature European markets</w:t>
      </w:r>
      <w:r w:rsidRPr="00C70964">
        <w:rPr>
          <w:rFonts w:eastAsia="Arial Unicode MS"/>
          <w:color w:val="222222"/>
          <w:lang w:val="en-GB" w:eastAsia="hi-IN" w:bidi="hi-IN"/>
        </w:rPr>
        <w:t>.</w:t>
      </w:r>
      <w:r w:rsidR="003D3767" w:rsidRPr="00C70964">
        <w:rPr>
          <w:rStyle w:val="EndnoteReference"/>
          <w:rFonts w:eastAsia="Arial Unicode MS"/>
          <w:color w:val="222222"/>
          <w:lang w:val="en-GB" w:eastAsia="hi-IN" w:bidi="hi-IN"/>
        </w:rPr>
        <w:endnoteReference w:id="50"/>
      </w:r>
    </w:p>
    <w:p w14:paraId="28E9FCAE" w14:textId="77777777" w:rsidR="00CD6AEA" w:rsidRPr="00C70964" w:rsidRDefault="00CD6AEA" w:rsidP="009B2532">
      <w:pPr>
        <w:pStyle w:val="BodyTextMain"/>
        <w:rPr>
          <w:rFonts w:eastAsia="Arial Unicode MS"/>
          <w:sz w:val="24"/>
          <w:szCs w:val="24"/>
          <w:lang w:val="en-GB" w:eastAsia="hi-IN" w:bidi="hi-IN"/>
        </w:rPr>
      </w:pPr>
    </w:p>
    <w:p w14:paraId="1AA0E229" w14:textId="2EA9B0B4"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lastRenderedPageBreak/>
        <w:t>The average price for a bottle of wine purchased through the D2C channel was about 50 per cent higher than that of a bottle purchased in a traditional retail setting, suggesting that the wine aficionados favoured the D2C channel.</w:t>
      </w:r>
      <w:r w:rsidR="003D3767" w:rsidRPr="00C70964">
        <w:rPr>
          <w:rStyle w:val="EndnoteReference"/>
          <w:rFonts w:eastAsia="Arial Unicode MS"/>
          <w:lang w:val="en-GB" w:eastAsia="hi-IN" w:bidi="hi-IN"/>
        </w:rPr>
        <w:endnoteReference w:id="51"/>
      </w:r>
      <w:r w:rsidR="003D3767" w:rsidRPr="00C70964">
        <w:rPr>
          <w:rFonts w:eastAsia="Arial Unicode MS"/>
          <w:lang w:val="en-GB" w:eastAsia="hi-IN" w:bidi="hi-IN"/>
        </w:rPr>
        <w:t xml:space="preserve"> </w:t>
      </w:r>
      <w:r w:rsidRPr="00C70964">
        <w:rPr>
          <w:rFonts w:eastAsia="Arial Unicode MS"/>
          <w:lang w:val="en-GB" w:eastAsia="hi-IN" w:bidi="hi-IN"/>
        </w:rPr>
        <w:t xml:space="preserve">While there were many similarities in the Canadian and US markets, in the United States, retail outlets for wine were more diverse than in Canada; for example, 10 per cent of wine sales were through Costco stores).  Cabernet Sauvignon and </w:t>
      </w:r>
      <w:proofErr w:type="spellStart"/>
      <w:r w:rsidRPr="00C70964">
        <w:rPr>
          <w:rFonts w:eastAsia="Arial Unicode MS"/>
          <w:lang w:val="en-GB" w:eastAsia="hi-IN" w:bidi="hi-IN"/>
        </w:rPr>
        <w:t>Baco</w:t>
      </w:r>
      <w:proofErr w:type="spellEnd"/>
      <w:r w:rsidRPr="00C70964">
        <w:rPr>
          <w:rFonts w:eastAsia="Arial Unicode MS"/>
          <w:lang w:val="en-GB" w:eastAsia="hi-IN" w:bidi="hi-IN"/>
        </w:rPr>
        <w:t xml:space="preserve"> Noir were the most popular wines purchased online. Interestingly, users of the D2C channel in the United States tended to be from states with many wineries. Wine was also purchased at bars and restaurants, where recommendations from waiters along with the grape variety were key factors in the purchase decision. In Canada, wine sales in restaurants were between 10 to 15 per cent of total wine sales, but this did not present a growth channel for the product.</w:t>
      </w:r>
      <w:r w:rsidR="00E615D3" w:rsidRPr="00C70964">
        <w:rPr>
          <w:rStyle w:val="EndnoteReference"/>
          <w:rFonts w:eastAsia="Arial Unicode MS"/>
          <w:lang w:val="en-GB" w:eastAsia="hi-IN" w:bidi="hi-IN"/>
        </w:rPr>
        <w:endnoteReference w:id="52"/>
      </w:r>
    </w:p>
    <w:p w14:paraId="2910F78B" w14:textId="77777777" w:rsidR="00DB78B7" w:rsidRPr="00C70964" w:rsidRDefault="00DB78B7" w:rsidP="009B2532">
      <w:pPr>
        <w:pStyle w:val="BodyTextMain"/>
        <w:rPr>
          <w:rFonts w:eastAsia="Arial Unicode MS"/>
          <w:lang w:val="en-GB" w:eastAsia="hi-IN" w:bidi="hi-IN"/>
        </w:rPr>
      </w:pPr>
    </w:p>
    <w:p w14:paraId="0AF54F43" w14:textId="52535FED"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 xml:space="preserve">Many wineries began selling through an on-site store before battling the complexities and competition of distribution through powerful retailers such as the LCBO. In fact, it may have been close to impossible for small wineries to meet volume requirements for the LCBO. Under the North America Free Trade Agreement, only the winery’s own products could be sold in these </w:t>
      </w:r>
      <w:r w:rsidR="00E82CA3" w:rsidRPr="00C70964">
        <w:rPr>
          <w:rFonts w:eastAsia="Arial Unicode MS"/>
          <w:lang w:val="en-GB" w:eastAsia="hi-IN" w:bidi="hi-IN"/>
        </w:rPr>
        <w:t>winery</w:t>
      </w:r>
      <w:r w:rsidRPr="00C70964">
        <w:rPr>
          <w:rFonts w:eastAsia="Arial Unicode MS"/>
          <w:lang w:val="en-GB" w:eastAsia="hi-IN" w:bidi="hi-IN"/>
        </w:rPr>
        <w:t xml:space="preserve"> stores. However, the LCBO had several programs, such as monthly features, and Wines to Watch, to support Ontario wineries. Price discounting by the LCBO could have a significant impact on sales. The winery store channel was more popular with those who were knowledgeable about wine, as it satisfied the need to find something different and more authentic or to make a connection with the winemaker. Most visitors were local (83 per cent of tourists who visited Ontario wineries were from Ontario), rather than from outside the province or country</w:t>
      </w:r>
      <w:r w:rsidRPr="00C70964">
        <w:rPr>
          <w:rFonts w:eastAsia="Cambria"/>
          <w:color w:val="222222"/>
          <w:lang w:val="en-GB" w:eastAsia="hi-IN" w:bidi="hi-IN"/>
        </w:rPr>
        <w:t>.</w:t>
      </w:r>
      <w:r w:rsidRPr="00C70964">
        <w:rPr>
          <w:rFonts w:eastAsia="KaiTi_GB2312"/>
          <w:vertAlign w:val="superscript"/>
          <w:lang w:val="en-GB" w:eastAsia="ar-SA"/>
        </w:rPr>
        <w:endnoteReference w:id="53"/>
      </w:r>
    </w:p>
    <w:p w14:paraId="7FEE86EA" w14:textId="77777777" w:rsidR="00DB78B7" w:rsidRPr="00C70964" w:rsidRDefault="00DB78B7" w:rsidP="009B2532">
      <w:pPr>
        <w:pStyle w:val="BodyTextMain"/>
        <w:rPr>
          <w:rFonts w:eastAsia="Arial Unicode MS"/>
          <w:lang w:val="en-GB" w:eastAsia="hi-IN" w:bidi="hi-IN"/>
        </w:rPr>
      </w:pPr>
    </w:p>
    <w:p w14:paraId="7CBACD71" w14:textId="1D31B344" w:rsidR="00DB78B7" w:rsidRPr="00C70964" w:rsidRDefault="00DB78B7" w:rsidP="009B2532">
      <w:pPr>
        <w:pStyle w:val="BodyTextMain"/>
        <w:rPr>
          <w:rFonts w:eastAsia="Arial Unicode MS"/>
          <w:sz w:val="24"/>
          <w:szCs w:val="24"/>
          <w:lang w:val="en-GB" w:eastAsia="hi-IN" w:bidi="hi-IN"/>
        </w:rPr>
      </w:pPr>
      <w:r w:rsidRPr="00C70964">
        <w:rPr>
          <w:rFonts w:eastAsia="Arial Unicode MS"/>
          <w:lang w:val="en-GB" w:eastAsia="hi-IN" w:bidi="hi-IN"/>
        </w:rPr>
        <w:t>Many industry participants recognized the “anything new” category as popular, particularly with millennial consumers. Newness could come from label, country of origin, or grape blend. Some predicted that larger bottle sizes, or alternative packaging such as boxes and bags, would sway buyers</w:t>
      </w:r>
      <w:r w:rsidRPr="00C70964">
        <w:rPr>
          <w:rFonts w:eastAsia="Cambria"/>
          <w:lang w:val="en-GB" w:eastAsia="hi-IN" w:bidi="hi-IN"/>
        </w:rPr>
        <w:t>.</w:t>
      </w:r>
      <w:r w:rsidRPr="00C70964">
        <w:rPr>
          <w:rFonts w:eastAsia="KaiTi_GB2312"/>
          <w:vertAlign w:val="superscript"/>
          <w:lang w:val="en-GB" w:eastAsia="ar-SA"/>
        </w:rPr>
        <w:endnoteReference w:id="54"/>
      </w:r>
      <w:r w:rsidRPr="00C70964">
        <w:rPr>
          <w:rFonts w:eastAsia="Cambria"/>
          <w:vertAlign w:val="superscript"/>
          <w:lang w:val="en-GB" w:eastAsia="hi-IN" w:bidi="hi-IN"/>
        </w:rPr>
        <w:t xml:space="preserve"> </w:t>
      </w:r>
      <w:r w:rsidRPr="00C70964">
        <w:rPr>
          <w:rFonts w:eastAsia="Arial Unicode MS"/>
          <w:lang w:val="en-GB" w:eastAsia="hi-IN" w:bidi="hi-IN"/>
        </w:rPr>
        <w:t>There was even a niche for “natural wine,” or that created in a non-factory environment, such as pressed the old-fashioned way—by foot</w:t>
      </w:r>
      <w:r w:rsidRPr="00C70964">
        <w:rPr>
          <w:rFonts w:eastAsia="Cambria"/>
          <w:lang w:val="en-GB" w:eastAsia="hi-IN" w:bidi="hi-IN"/>
        </w:rPr>
        <w:t>.</w:t>
      </w:r>
      <w:r w:rsidRPr="00C70964">
        <w:rPr>
          <w:rFonts w:eastAsia="KaiTi_GB2312"/>
          <w:vertAlign w:val="superscript"/>
          <w:lang w:val="en-GB" w:eastAsia="ar-SA"/>
        </w:rPr>
        <w:endnoteReference w:id="55"/>
      </w:r>
      <w:r w:rsidRPr="00C70964">
        <w:rPr>
          <w:rFonts w:eastAsia="KaiTi_GB2312"/>
          <w:vertAlign w:val="superscript"/>
          <w:lang w:val="en-GB" w:eastAsia="ar-SA"/>
        </w:rPr>
        <w:t xml:space="preserve"> </w:t>
      </w:r>
      <w:r w:rsidRPr="00C70964">
        <w:rPr>
          <w:rFonts w:eastAsia="Arial Unicode MS"/>
          <w:lang w:val="en-GB" w:eastAsia="hi-IN" w:bidi="hi-IN"/>
        </w:rPr>
        <w:t xml:space="preserve">In grape varieties, rosé </w:t>
      </w:r>
      <w:r w:rsidR="00E82CA3" w:rsidRPr="00C70964">
        <w:rPr>
          <w:rFonts w:eastAsia="Arial Unicode MS"/>
          <w:lang w:val="en-GB" w:eastAsia="hi-IN" w:bidi="hi-IN"/>
        </w:rPr>
        <w:t xml:space="preserve">wine </w:t>
      </w:r>
      <w:r w:rsidRPr="00C70964">
        <w:rPr>
          <w:rFonts w:eastAsia="Arial Unicode MS"/>
          <w:lang w:val="en-GB" w:eastAsia="hi-IN" w:bidi="hi-IN"/>
        </w:rPr>
        <w:t>sales were growing in both Canada and the United States,</w:t>
      </w:r>
      <w:r w:rsidRPr="00C70964">
        <w:rPr>
          <w:rFonts w:eastAsia="KaiTi_GB2312"/>
          <w:vertAlign w:val="superscript"/>
          <w:lang w:val="en-GB" w:eastAsia="ar-SA"/>
        </w:rPr>
        <w:endnoteReference w:id="56"/>
      </w:r>
      <w:r w:rsidRPr="00C70964">
        <w:rPr>
          <w:rFonts w:eastAsia="Cambria"/>
          <w:color w:val="222222"/>
          <w:lang w:val="en-GB" w:eastAsia="hi-IN" w:bidi="hi-IN"/>
        </w:rPr>
        <w:t xml:space="preserve"> while in Ontario, </w:t>
      </w:r>
      <w:proofErr w:type="spellStart"/>
      <w:r w:rsidRPr="00C70964">
        <w:rPr>
          <w:rFonts w:eastAsia="Cambria"/>
          <w:color w:val="222222"/>
          <w:lang w:val="en-GB" w:eastAsia="hi-IN" w:bidi="hi-IN"/>
        </w:rPr>
        <w:t>Baco</w:t>
      </w:r>
      <w:proofErr w:type="spellEnd"/>
      <w:r w:rsidRPr="00C70964">
        <w:rPr>
          <w:rFonts w:eastAsia="Cambria"/>
          <w:color w:val="222222"/>
          <w:lang w:val="en-GB" w:eastAsia="hi-IN" w:bidi="hi-IN"/>
        </w:rPr>
        <w:t xml:space="preserve"> Noir was the fastest-growing varietal in 2016.</w:t>
      </w:r>
      <w:r w:rsidR="0032134F" w:rsidRPr="00C70964">
        <w:rPr>
          <w:rStyle w:val="EndnoteReference"/>
          <w:rFonts w:eastAsia="Cambria"/>
          <w:color w:val="222222"/>
          <w:lang w:val="en-GB" w:eastAsia="hi-IN" w:bidi="hi-IN"/>
        </w:rPr>
        <w:endnoteReference w:id="57"/>
      </w:r>
      <w:r w:rsidRPr="00C70964">
        <w:rPr>
          <w:rFonts w:eastAsia="Cambria"/>
          <w:color w:val="222222"/>
          <w:lang w:val="en-GB" w:eastAsia="hi-IN" w:bidi="hi-IN"/>
        </w:rPr>
        <w:t xml:space="preserve"> In</w:t>
      </w:r>
      <w:r w:rsidRPr="00C70964">
        <w:rPr>
          <w:rFonts w:eastAsia="Arial Unicode MS"/>
          <w:lang w:val="en-GB" w:eastAsia="hi-IN" w:bidi="hi-IN"/>
        </w:rPr>
        <w:t xml:space="preserve"> 2016 in the United States, Prosecco, rosé, red blends, and Sauvignon Blanc were labelled the “in” wines</w:t>
      </w:r>
      <w:r w:rsidRPr="00C70964">
        <w:rPr>
          <w:rFonts w:eastAsia="Cambria"/>
          <w:color w:val="222222"/>
          <w:lang w:val="en-GB" w:eastAsia="hi-IN" w:bidi="hi-IN"/>
        </w:rPr>
        <w:t>.</w:t>
      </w:r>
      <w:r w:rsidRPr="00C70964">
        <w:rPr>
          <w:rFonts w:eastAsia="KaiTi_GB2312"/>
          <w:vertAlign w:val="superscript"/>
          <w:lang w:val="en-GB" w:eastAsia="ar-SA"/>
        </w:rPr>
        <w:endnoteReference w:id="58"/>
      </w:r>
      <w:r w:rsidRPr="00C70964">
        <w:rPr>
          <w:rFonts w:eastAsia="Arial Unicode MS"/>
          <w:lang w:val="en-GB" w:eastAsia="hi-IN" w:bidi="hi-IN"/>
        </w:rPr>
        <w:t xml:space="preserve"> The LCBO’s “favourite” wines from 2016 were Bodacious Smooth White (</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xml:space="preserve"> Wines Canada [</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and 19 Crimes Cabernet Sauvignon (Treasury Wine Estates [Treasury]). Sparkling wines were predicted to remain popular worldwide</w:t>
      </w:r>
      <w:r w:rsidRPr="00C70964">
        <w:rPr>
          <w:rFonts w:eastAsia="Cambria"/>
          <w:color w:val="222222"/>
          <w:lang w:val="en-GB" w:eastAsia="hi-IN" w:bidi="hi-IN"/>
        </w:rPr>
        <w:t>.</w:t>
      </w:r>
      <w:r w:rsidR="00E615D3" w:rsidRPr="00C70964">
        <w:rPr>
          <w:rStyle w:val="EndnoteReference"/>
          <w:rFonts w:eastAsia="Cambria"/>
          <w:color w:val="222222"/>
          <w:lang w:val="en-GB" w:eastAsia="hi-IN" w:bidi="hi-IN"/>
        </w:rPr>
        <w:endnoteReference w:id="59"/>
      </w:r>
    </w:p>
    <w:p w14:paraId="256873CB" w14:textId="77777777" w:rsidR="00DB78B7" w:rsidRPr="00C70964" w:rsidRDefault="00DB78B7" w:rsidP="009B2532">
      <w:pPr>
        <w:pStyle w:val="BodyTextMain"/>
        <w:rPr>
          <w:rFonts w:eastAsia="Arial Unicode MS"/>
          <w:sz w:val="24"/>
          <w:szCs w:val="24"/>
          <w:lang w:val="en-GB" w:eastAsia="hi-IN" w:bidi="hi-IN"/>
        </w:rPr>
      </w:pPr>
    </w:p>
    <w:p w14:paraId="332F0372" w14:textId="64A79017" w:rsidR="00DB78B7" w:rsidRPr="00C70964" w:rsidRDefault="00DB78B7" w:rsidP="009B2532">
      <w:pPr>
        <w:pStyle w:val="BodyTextMain"/>
        <w:rPr>
          <w:rFonts w:eastAsia="Cambria"/>
          <w:lang w:val="en-GB" w:eastAsia="ar-SA"/>
        </w:rPr>
      </w:pPr>
      <w:r w:rsidRPr="00C70964">
        <w:rPr>
          <w:rFonts w:eastAsia="Arial Unicode MS"/>
          <w:lang w:val="en-GB" w:eastAsia="hi-IN" w:bidi="hi-IN"/>
        </w:rPr>
        <w:t>Another trend observed in both countries was the premiumization of wine purchases. In the United States, higher-priced wine sales grew at 14 per cent, while lower-priced bottles fell 1 per cent in the same period.</w:t>
      </w:r>
      <w:r w:rsidRPr="00C70964">
        <w:rPr>
          <w:rFonts w:eastAsia="KaiTi_GB2312"/>
          <w:vertAlign w:val="superscript"/>
          <w:lang w:val="en-GB" w:eastAsia="ar-SA"/>
        </w:rPr>
        <w:endnoteReference w:id="60"/>
      </w:r>
      <w:r w:rsidRPr="00C70964">
        <w:rPr>
          <w:rFonts w:eastAsia="Arial Unicode MS"/>
          <w:lang w:val="en-GB" w:eastAsia="hi-IN" w:bidi="hi-IN"/>
        </w:rPr>
        <w:t xml:space="preserve"> An LCBO report for 2017 also indicated that sales of wines in the $15–$20 price category were the fastest-growing, at 15.4 per cent from the previous year</w:t>
      </w:r>
      <w:r w:rsidRPr="00C70964">
        <w:rPr>
          <w:rFonts w:eastAsia="Cambria"/>
          <w:color w:val="222222"/>
          <w:lang w:val="en-GB" w:eastAsia="hi-IN" w:bidi="hi-IN"/>
        </w:rPr>
        <w:t>.</w:t>
      </w:r>
      <w:r w:rsidR="006E362E" w:rsidRPr="00C70964">
        <w:rPr>
          <w:rStyle w:val="EndnoteReference"/>
          <w:rFonts w:eastAsia="Cambria"/>
          <w:color w:val="222222"/>
          <w:lang w:val="en-GB" w:eastAsia="hi-IN" w:bidi="hi-IN"/>
        </w:rPr>
        <w:endnoteReference w:id="61"/>
      </w:r>
      <w:r w:rsidRPr="00C70964">
        <w:rPr>
          <w:rFonts w:eastAsia="Arial Unicode MS"/>
          <w:lang w:val="en-GB" w:eastAsia="hi-IN" w:bidi="hi-IN"/>
        </w:rPr>
        <w:t xml:space="preserve"> This was a “trading up” phenomena, considered a more ethical approach to marketing than encouraging wine drinkers to consume more. Industry observers were closely watching for an impact of the craft beer industry on wine sales</w:t>
      </w:r>
      <w:r w:rsidRPr="00C70964">
        <w:rPr>
          <w:rFonts w:eastAsia="Cambria"/>
          <w:color w:val="222222"/>
          <w:lang w:val="en-GB" w:eastAsia="hi-IN" w:bidi="hi-IN"/>
        </w:rPr>
        <w:t>.</w:t>
      </w:r>
      <w:r w:rsidR="006E362E" w:rsidRPr="00C70964">
        <w:rPr>
          <w:rStyle w:val="EndnoteReference"/>
          <w:rFonts w:eastAsia="Cambria"/>
          <w:color w:val="222222"/>
          <w:lang w:val="en-GB" w:eastAsia="hi-IN" w:bidi="hi-IN"/>
        </w:rPr>
        <w:endnoteReference w:id="62"/>
      </w:r>
    </w:p>
    <w:p w14:paraId="2DA3F7F1" w14:textId="77777777" w:rsidR="00DB78B7" w:rsidRPr="00CD6AEA" w:rsidRDefault="00DB78B7" w:rsidP="009B2532">
      <w:pPr>
        <w:pStyle w:val="BodyTextMain"/>
        <w:rPr>
          <w:rFonts w:eastAsia="Cambria"/>
          <w:sz w:val="14"/>
          <w:szCs w:val="14"/>
          <w:lang w:val="en-GB" w:eastAsia="ar-SA"/>
        </w:rPr>
      </w:pPr>
    </w:p>
    <w:p w14:paraId="066BB5FD" w14:textId="77777777" w:rsidR="00DB78B7" w:rsidRPr="00CD6AEA" w:rsidRDefault="00DB78B7" w:rsidP="009B2532">
      <w:pPr>
        <w:pStyle w:val="BodyTextMain"/>
        <w:rPr>
          <w:rFonts w:eastAsia="Arial Unicode MS"/>
          <w:sz w:val="14"/>
          <w:szCs w:val="14"/>
          <w:lang w:val="en-GB" w:eastAsia="ar-SA"/>
        </w:rPr>
      </w:pPr>
    </w:p>
    <w:p w14:paraId="6D3171CA" w14:textId="13ACF413" w:rsidR="00DB78B7" w:rsidRPr="00C70964" w:rsidRDefault="00DB78B7" w:rsidP="003F3E1A">
      <w:pPr>
        <w:pStyle w:val="Casehead1"/>
        <w:keepNext/>
        <w:rPr>
          <w:rFonts w:eastAsia="Arial Unicode MS"/>
          <w:lang w:val="en-GB" w:eastAsia="ar-SA"/>
        </w:rPr>
      </w:pPr>
      <w:r w:rsidRPr="00C70964">
        <w:rPr>
          <w:rFonts w:eastAsia="Arial Unicode MS"/>
          <w:lang w:val="en-GB" w:eastAsia="ar-SA"/>
        </w:rPr>
        <w:t>Diamond Estate Wines &amp; Spirits</w:t>
      </w:r>
    </w:p>
    <w:p w14:paraId="1CE74C25" w14:textId="77777777" w:rsidR="00DB78B7" w:rsidRPr="00C70964" w:rsidRDefault="00DB78B7" w:rsidP="003F3E1A">
      <w:pPr>
        <w:pStyle w:val="BodyTextMain"/>
        <w:keepNext/>
        <w:rPr>
          <w:rFonts w:eastAsia="Arial Unicode MS"/>
          <w:lang w:val="en-GB" w:eastAsia="ar-SA"/>
        </w:rPr>
      </w:pPr>
    </w:p>
    <w:p w14:paraId="7060E15C" w14:textId="77777777" w:rsidR="00DB78B7" w:rsidRPr="00C70964" w:rsidRDefault="00DB78B7" w:rsidP="003F3E1A">
      <w:pPr>
        <w:pStyle w:val="Casehead2"/>
        <w:keepNext/>
        <w:rPr>
          <w:rFonts w:eastAsia="Arial Unicode MS"/>
          <w:lang w:val="en-GB" w:eastAsia="ar-SA"/>
        </w:rPr>
      </w:pPr>
      <w:r w:rsidRPr="00C70964">
        <w:rPr>
          <w:rFonts w:eastAsia="Arial Unicode MS"/>
          <w:lang w:val="en-GB" w:eastAsia="ar-SA"/>
        </w:rPr>
        <w:t>History and Structure</w:t>
      </w:r>
    </w:p>
    <w:p w14:paraId="4FB26FEC" w14:textId="77777777" w:rsidR="00DB78B7" w:rsidRPr="00C70964" w:rsidRDefault="00DB78B7" w:rsidP="003F3E1A">
      <w:pPr>
        <w:pStyle w:val="BodyTextMain"/>
        <w:keepNext/>
        <w:rPr>
          <w:rFonts w:eastAsia="Arial Unicode MS"/>
          <w:lang w:val="en-GB" w:eastAsia="ar-SA"/>
        </w:rPr>
      </w:pPr>
    </w:p>
    <w:p w14:paraId="0B7C80FC" w14:textId="4E0E892F" w:rsidR="00DB78B7" w:rsidRPr="00C70964" w:rsidRDefault="00DB78B7" w:rsidP="003F3E1A">
      <w:pPr>
        <w:pStyle w:val="BodyTextMain"/>
        <w:keepNext/>
        <w:rPr>
          <w:rFonts w:eastAsia="Arial Unicode MS"/>
          <w:color w:val="000000"/>
          <w:lang w:val="en-GB" w:eastAsia="hi-IN" w:bidi="hi-IN"/>
        </w:rPr>
      </w:pPr>
      <w:r w:rsidRPr="00C70964">
        <w:rPr>
          <w:rFonts w:eastAsia="Arial Unicode MS"/>
          <w:color w:val="000000"/>
          <w:lang w:val="en-GB" w:eastAsia="hi-IN" w:bidi="hi-IN"/>
        </w:rPr>
        <w:t xml:space="preserve">Diamond, located in the Niagara Peninsula of Ontario, the </w:t>
      </w:r>
      <w:proofErr w:type="spellStart"/>
      <w:r w:rsidRPr="00C70964">
        <w:rPr>
          <w:rFonts w:eastAsia="Arial Unicode MS"/>
          <w:color w:val="000000"/>
          <w:lang w:val="en-GB" w:eastAsia="hi-IN" w:bidi="hi-IN"/>
        </w:rPr>
        <w:t>viticultural</w:t>
      </w:r>
      <w:proofErr w:type="spellEnd"/>
      <w:r w:rsidRPr="00C70964">
        <w:rPr>
          <w:rFonts w:eastAsia="Arial Unicode MS"/>
          <w:color w:val="000000"/>
          <w:lang w:val="en-GB" w:eastAsia="hi-IN" w:bidi="hi-IN"/>
        </w:rPr>
        <w:t xml:space="preserve"> region that produce</w:t>
      </w:r>
      <w:r w:rsidR="008A31F5">
        <w:rPr>
          <w:rFonts w:eastAsia="Arial Unicode MS"/>
          <w:color w:val="000000"/>
          <w:lang w:val="en-GB" w:eastAsia="hi-IN" w:bidi="hi-IN"/>
        </w:rPr>
        <w:t>d</w:t>
      </w:r>
      <w:r w:rsidRPr="00C70964">
        <w:rPr>
          <w:rFonts w:eastAsia="Arial Unicode MS"/>
          <w:color w:val="000000"/>
          <w:lang w:val="en-GB" w:eastAsia="hi-IN" w:bidi="hi-IN"/>
        </w:rPr>
        <w:t xml:space="preserve"> the majority of the wine grapes in the province, was founded in 2001. This was an early growth stage in the Ontario wine industry. The modern era of the industry started in 1974, with the first new winery in 50 years. The VQA was created in 1988. Laws on appellation and production standards came in 1999</w:t>
      </w:r>
      <w:r w:rsidRPr="00C70964">
        <w:rPr>
          <w:rFonts w:eastAsia="Cambria"/>
          <w:color w:val="000000"/>
          <w:lang w:val="en-GB" w:eastAsia="hi-IN" w:bidi="hi-IN"/>
        </w:rPr>
        <w:t>.</w:t>
      </w:r>
      <w:r w:rsidRPr="00C70964">
        <w:rPr>
          <w:rFonts w:eastAsia="KaiTi_GB2312"/>
          <w:color w:val="000000"/>
          <w:vertAlign w:val="superscript"/>
          <w:lang w:val="en-GB" w:eastAsia="ar-SA"/>
        </w:rPr>
        <w:endnoteReference w:id="63"/>
      </w:r>
    </w:p>
    <w:p w14:paraId="426D0BA1" w14:textId="77777777" w:rsidR="00DB78B7" w:rsidRPr="00C70964" w:rsidRDefault="00DB78B7" w:rsidP="009B2532">
      <w:pPr>
        <w:pStyle w:val="BodyTextMain"/>
        <w:rPr>
          <w:rFonts w:eastAsia="Arial Unicode MS"/>
          <w:color w:val="000000"/>
          <w:lang w:val="en-GB" w:eastAsia="hi-IN" w:bidi="hi-IN"/>
        </w:rPr>
      </w:pPr>
    </w:p>
    <w:p w14:paraId="6C63EF49" w14:textId="573A8D3C" w:rsidR="00DB78B7" w:rsidRPr="00C70964" w:rsidRDefault="00DB78B7" w:rsidP="009B2532">
      <w:pPr>
        <w:pStyle w:val="BodyTextMain"/>
        <w:rPr>
          <w:rFonts w:eastAsia="Arial Unicode MS"/>
          <w:color w:val="000000"/>
          <w:lang w:val="en-GB" w:eastAsia="hi-IN" w:bidi="hi-IN"/>
        </w:rPr>
      </w:pPr>
      <w:r w:rsidRPr="00C70964">
        <w:rPr>
          <w:rFonts w:eastAsia="Arial Unicode MS"/>
          <w:color w:val="000000"/>
          <w:lang w:val="en-GB" w:eastAsia="hi-IN" w:bidi="hi-IN"/>
        </w:rPr>
        <w:t>The company had two business units: the Diamond winery that grew grapes and made and sold wine</w:t>
      </w:r>
      <w:r w:rsidR="00842F2B" w:rsidRPr="00C70964">
        <w:rPr>
          <w:rFonts w:eastAsia="Arial Unicode MS"/>
          <w:color w:val="000000"/>
          <w:lang w:val="en-GB" w:eastAsia="hi-IN" w:bidi="hi-IN"/>
        </w:rPr>
        <w:t>;</w:t>
      </w:r>
      <w:r w:rsidRPr="00C70964">
        <w:rPr>
          <w:rFonts w:eastAsia="Arial Unicode MS"/>
          <w:color w:val="000000"/>
          <w:lang w:val="en-GB" w:eastAsia="hi-IN" w:bidi="hi-IN"/>
        </w:rPr>
        <w:t xml:space="preserve"> and an agency business that operated as Trajectory Beverage Partners (formerly Kirkwood Diamond Canada; </w:t>
      </w:r>
      <w:r w:rsidRPr="00C70964">
        <w:rPr>
          <w:rFonts w:eastAsia="Arial Unicode MS"/>
          <w:color w:val="000000"/>
          <w:lang w:val="en-GB" w:eastAsia="hi-IN" w:bidi="hi-IN"/>
        </w:rPr>
        <w:lastRenderedPageBreak/>
        <w:t xml:space="preserve">Trajectory), which sold and distributed wines, beer, and spirits produced by other organizations, along with Diamond wines (see Exhibit 3). </w:t>
      </w:r>
    </w:p>
    <w:p w14:paraId="50DFAE84" w14:textId="77777777" w:rsidR="00DB78B7" w:rsidRPr="00C70964" w:rsidRDefault="00DB78B7" w:rsidP="009B2532">
      <w:pPr>
        <w:pStyle w:val="BodyTextMain"/>
        <w:rPr>
          <w:rFonts w:eastAsia="Arial Unicode MS"/>
          <w:color w:val="000000"/>
          <w:lang w:val="en-GB" w:eastAsia="hi-IN" w:bidi="hi-IN"/>
        </w:rPr>
      </w:pPr>
    </w:p>
    <w:p w14:paraId="3036E67B" w14:textId="7D2302FF" w:rsidR="00DB78B7" w:rsidRPr="00C70964" w:rsidRDefault="00DB78B7" w:rsidP="009B2532">
      <w:pPr>
        <w:pStyle w:val="BodyTextMain"/>
        <w:rPr>
          <w:rFonts w:eastAsia="Arial Unicode MS"/>
          <w:color w:val="000000"/>
          <w:lang w:val="en-GB" w:eastAsia="hi-IN" w:bidi="hi-IN"/>
        </w:rPr>
      </w:pPr>
      <w:r w:rsidRPr="00C70964">
        <w:rPr>
          <w:rFonts w:eastAsia="Arial Unicode MS"/>
          <w:color w:val="000000"/>
          <w:lang w:val="en-GB" w:eastAsia="hi-IN" w:bidi="hi-IN"/>
        </w:rPr>
        <w:t xml:space="preserve">With complementary knowledge in agency operations and the Ontario wine industry, Diamond’s founders were convinced that they could </w:t>
      </w:r>
      <w:r w:rsidR="00E82CA3" w:rsidRPr="00C70964">
        <w:rPr>
          <w:rFonts w:eastAsia="Arial Unicode MS"/>
          <w:color w:val="000000"/>
          <w:lang w:val="en-GB" w:eastAsia="hi-IN" w:bidi="hi-IN"/>
        </w:rPr>
        <w:t>create a</w:t>
      </w:r>
      <w:r w:rsidRPr="00C70964">
        <w:rPr>
          <w:rFonts w:eastAsia="Arial Unicode MS"/>
          <w:color w:val="000000"/>
          <w:lang w:val="en-GB" w:eastAsia="hi-IN" w:bidi="hi-IN"/>
        </w:rPr>
        <w:t xml:space="preserve"> great business in Ontario’s emerging wine</w:t>
      </w:r>
      <w:r w:rsidR="00E82CA3" w:rsidRPr="00C70964">
        <w:rPr>
          <w:rFonts w:eastAsia="Arial Unicode MS"/>
          <w:color w:val="000000"/>
          <w:lang w:val="en-GB" w:eastAsia="hi-IN" w:bidi="hi-IN"/>
        </w:rPr>
        <w:t xml:space="preserve"> industry</w:t>
      </w:r>
      <w:r w:rsidRPr="00C70964">
        <w:rPr>
          <w:rFonts w:eastAsia="Arial Unicode MS"/>
          <w:color w:val="000000"/>
          <w:lang w:val="en-GB" w:eastAsia="hi-IN" w:bidi="hi-IN"/>
        </w:rPr>
        <w:t>, so they purchased two small wineries, Lakeview Cellars and Birchwood Estates.</w:t>
      </w:r>
      <w:r w:rsidRPr="00C70964">
        <w:rPr>
          <w:rFonts w:eastAsia="KaiTi_GB2312"/>
          <w:color w:val="000000"/>
          <w:vertAlign w:val="superscript"/>
          <w:lang w:val="en-GB" w:eastAsia="ar-SA"/>
        </w:rPr>
        <w:endnoteReference w:id="64"/>
      </w:r>
      <w:r w:rsidRPr="00C70964">
        <w:rPr>
          <w:rFonts w:eastAsia="Arial Unicode MS"/>
          <w:color w:val="000000"/>
          <w:lang w:val="en-GB" w:eastAsia="hi-IN" w:bidi="hi-IN"/>
        </w:rPr>
        <w:t xml:space="preserve"> A few years later, the company merged with Niagara Cellars and founded its agency business. In 2007, two additional wine agencies were acquired, expanding the product portfolio and geographic reach. In 2008, the 20 Bees and De Sousa wineries were added to Diamond’s portfolio, increasing the firm’s acreage and proprietary wine labels. Between then and a reverse takeover on the </w:t>
      </w:r>
      <w:r w:rsidR="00E82CA3" w:rsidRPr="00C70964">
        <w:rPr>
          <w:rFonts w:eastAsia="Arial Unicode MS"/>
          <w:color w:val="000000"/>
          <w:lang w:val="en-GB" w:eastAsia="hi-IN" w:bidi="hi-IN"/>
        </w:rPr>
        <w:t>TSX Venture Exchange</w:t>
      </w:r>
      <w:r w:rsidRPr="00C70964">
        <w:rPr>
          <w:rFonts w:eastAsia="Arial Unicode MS"/>
          <w:color w:val="000000"/>
          <w:lang w:val="en-GB" w:eastAsia="hi-IN" w:bidi="hi-IN"/>
        </w:rPr>
        <w:t xml:space="preserve"> in 2013, wine production facilities were consolidated, including divestitures of </w:t>
      </w:r>
      <w:proofErr w:type="spellStart"/>
      <w:r w:rsidRPr="00C70964">
        <w:rPr>
          <w:rFonts w:eastAsia="Arial Unicode MS"/>
          <w:color w:val="000000"/>
          <w:lang w:val="en-GB" w:eastAsia="hi-IN" w:bidi="hi-IN"/>
        </w:rPr>
        <w:t>EastDell</w:t>
      </w:r>
      <w:proofErr w:type="spellEnd"/>
      <w:r w:rsidRPr="00C70964">
        <w:rPr>
          <w:rFonts w:eastAsia="Arial Unicode MS"/>
          <w:color w:val="000000"/>
          <w:lang w:val="en-GB" w:eastAsia="hi-IN" w:bidi="hi-IN"/>
        </w:rPr>
        <w:t>, Lakeview Cellars, and Birchwood Estates wineries. In 2014, the De Sousa Estates winery was partially sold, and the proceeds were redirected to other aspects the company’s operations, although Diamond maintained operations at the De Sousa location. A merger with the Kirkwood Group, which later became wholly owned by Diamond, scaled the agency business</w:t>
      </w:r>
      <w:r w:rsidRPr="00C70964">
        <w:rPr>
          <w:rFonts w:eastAsia="Cambria"/>
          <w:color w:val="000000"/>
          <w:lang w:val="en-GB" w:eastAsia="hi-IN" w:bidi="hi-IN"/>
        </w:rPr>
        <w:t>.</w:t>
      </w:r>
      <w:r w:rsidRPr="00C70964">
        <w:rPr>
          <w:rFonts w:eastAsia="KaiTi_GB2312"/>
          <w:color w:val="000000"/>
          <w:vertAlign w:val="superscript"/>
          <w:lang w:val="en-GB" w:eastAsia="ar-SA"/>
        </w:rPr>
        <w:endnoteReference w:id="65"/>
      </w:r>
    </w:p>
    <w:p w14:paraId="4534BF12" w14:textId="77777777" w:rsidR="00DB78B7" w:rsidRPr="00C70964" w:rsidRDefault="00DB78B7" w:rsidP="009B2532">
      <w:pPr>
        <w:pStyle w:val="BodyTextMain"/>
        <w:rPr>
          <w:rFonts w:eastAsia="Arial Unicode MS"/>
          <w:color w:val="000000"/>
          <w:lang w:val="en-GB" w:eastAsia="hi-IN" w:bidi="hi-IN"/>
        </w:rPr>
      </w:pPr>
    </w:p>
    <w:p w14:paraId="1392ECD5" w14:textId="06380FA5" w:rsidR="00DB78B7" w:rsidRPr="00C70964" w:rsidRDefault="00DB78B7" w:rsidP="009B2532">
      <w:pPr>
        <w:pStyle w:val="BodyTextMain"/>
        <w:rPr>
          <w:rFonts w:eastAsia="Arial Unicode MS"/>
          <w:color w:val="000000"/>
          <w:sz w:val="24"/>
          <w:szCs w:val="24"/>
          <w:lang w:val="en-GB" w:eastAsia="hi-IN" w:bidi="hi-IN"/>
        </w:rPr>
      </w:pPr>
      <w:r w:rsidRPr="00C70964">
        <w:rPr>
          <w:rFonts w:eastAsia="Arial Unicode MS"/>
          <w:color w:val="000000"/>
          <w:lang w:val="en-GB" w:eastAsia="hi-IN" w:bidi="hi-IN"/>
        </w:rPr>
        <w:t>Diamond had been labelled an “industry consolidator.”</w:t>
      </w:r>
      <w:r w:rsidRPr="00C70964">
        <w:rPr>
          <w:rFonts w:eastAsia="KaiTi_GB2312"/>
          <w:color w:val="000000"/>
          <w:vertAlign w:val="superscript"/>
          <w:lang w:val="en-GB" w:eastAsia="ar-SA"/>
        </w:rPr>
        <w:endnoteReference w:id="66"/>
      </w:r>
      <w:r w:rsidRPr="00C70964">
        <w:rPr>
          <w:rFonts w:eastAsia="Arial Unicode MS"/>
          <w:color w:val="000000"/>
          <w:lang w:val="en-GB" w:eastAsia="hi-IN" w:bidi="hi-IN"/>
        </w:rPr>
        <w:t xml:space="preserve"> The company had also grown organically, adding wine labels, wholly owned retail channels, and production capacity. For example, collaboration with, and investment by, Dan Aykroyd began in 2006 and led to the production of a number of successful VQA wines. Most recently, the company acquired a small winery in British Columbia, which could mark the beginning of the company’s transition from a regional focus to a national one.</w:t>
      </w:r>
      <w:r w:rsidRPr="00C70964">
        <w:rPr>
          <w:rFonts w:eastAsia="KaiTi_GB2312"/>
          <w:color w:val="000000"/>
          <w:vertAlign w:val="superscript"/>
          <w:lang w:val="en-GB" w:eastAsia="ar-SA"/>
        </w:rPr>
        <w:endnoteReference w:id="67"/>
      </w:r>
      <w:r w:rsidRPr="00C70964">
        <w:rPr>
          <w:rFonts w:eastAsia="Arial Unicode MS"/>
          <w:color w:val="000000"/>
          <w:lang w:val="en-GB" w:eastAsia="hi-IN" w:bidi="hi-IN"/>
        </w:rPr>
        <w:t xml:space="preserve"> </w:t>
      </w:r>
    </w:p>
    <w:p w14:paraId="06947250" w14:textId="77777777" w:rsidR="00DB78B7" w:rsidRPr="00C70964" w:rsidRDefault="00DB78B7" w:rsidP="009B2532">
      <w:pPr>
        <w:pStyle w:val="BodyTextMain"/>
        <w:rPr>
          <w:rFonts w:eastAsia="Arial Unicode MS"/>
          <w:color w:val="000000"/>
          <w:sz w:val="24"/>
          <w:szCs w:val="24"/>
          <w:lang w:val="en-GB" w:eastAsia="hi-IN" w:bidi="hi-IN"/>
        </w:rPr>
      </w:pPr>
    </w:p>
    <w:p w14:paraId="07F20CC1" w14:textId="6D689F7C" w:rsidR="00DB78B7" w:rsidRPr="00863E79" w:rsidRDefault="00DB78B7" w:rsidP="009B2532">
      <w:pPr>
        <w:pStyle w:val="BodyTextMain"/>
        <w:rPr>
          <w:rFonts w:eastAsia="Arial Unicode MS"/>
          <w:color w:val="000000"/>
          <w:spacing w:val="-4"/>
          <w:lang w:val="en-GB" w:eastAsia="hi-IN" w:bidi="hi-IN"/>
        </w:rPr>
      </w:pPr>
      <w:r w:rsidRPr="00863E79">
        <w:rPr>
          <w:rFonts w:eastAsia="Arial Unicode MS"/>
          <w:color w:val="000000"/>
          <w:spacing w:val="-4"/>
          <w:lang w:val="en-GB" w:eastAsia="hi-IN" w:bidi="hi-IN"/>
        </w:rPr>
        <w:t>Diamond had a track record of raising capital to support corporate acquisitions and organic growth. Along with private investments from collaborators, equity in the amounts of $3.2 million and $8.8 million were raised in 2015 and 2018, respectively,</w:t>
      </w:r>
      <w:r w:rsidRPr="00863E79">
        <w:rPr>
          <w:rFonts w:eastAsia="KaiTi_GB2312"/>
          <w:color w:val="000000"/>
          <w:spacing w:val="-4"/>
          <w:vertAlign w:val="superscript"/>
          <w:lang w:val="en-GB" w:eastAsia="ar-SA"/>
        </w:rPr>
        <w:endnoteReference w:id="68"/>
      </w:r>
      <w:r w:rsidRPr="00863E79">
        <w:rPr>
          <w:rFonts w:eastAsia="Arial Unicode MS"/>
          <w:color w:val="000000"/>
          <w:spacing w:val="-4"/>
          <w:lang w:val="en-GB" w:eastAsia="hi-IN" w:bidi="hi-IN"/>
        </w:rPr>
        <w:t xml:space="preserve"> and a significant credit facility of $13 million was established in 2013.</w:t>
      </w:r>
      <w:r w:rsidRPr="00863E79">
        <w:rPr>
          <w:rFonts w:eastAsia="KaiTi_GB2312"/>
          <w:color w:val="000000"/>
          <w:spacing w:val="-4"/>
          <w:vertAlign w:val="superscript"/>
          <w:lang w:val="en-GB" w:eastAsia="ar-SA"/>
        </w:rPr>
        <w:endnoteReference w:id="69"/>
      </w:r>
    </w:p>
    <w:p w14:paraId="6BE00999" w14:textId="77777777" w:rsidR="00DB78B7" w:rsidRPr="00CD6AEA" w:rsidRDefault="00DB78B7" w:rsidP="009B2532">
      <w:pPr>
        <w:pStyle w:val="BodyTextMain"/>
        <w:rPr>
          <w:rFonts w:eastAsia="Arial Unicode MS"/>
          <w:color w:val="000000"/>
          <w:sz w:val="14"/>
          <w:szCs w:val="14"/>
          <w:lang w:val="en-GB" w:eastAsia="hi-IN" w:bidi="hi-IN"/>
        </w:rPr>
      </w:pPr>
    </w:p>
    <w:p w14:paraId="0CDD2959" w14:textId="77777777" w:rsidR="00DB78B7" w:rsidRPr="00CD6AEA" w:rsidRDefault="00DB78B7" w:rsidP="009B2532">
      <w:pPr>
        <w:pStyle w:val="BodyTextMain"/>
        <w:rPr>
          <w:rFonts w:eastAsia="Arial Unicode MS"/>
          <w:color w:val="000000"/>
          <w:sz w:val="14"/>
          <w:szCs w:val="14"/>
          <w:lang w:val="en-GB" w:eastAsia="hi-IN" w:bidi="hi-IN"/>
        </w:rPr>
      </w:pPr>
    </w:p>
    <w:p w14:paraId="1B87EB10" w14:textId="77777777" w:rsidR="00DB78B7" w:rsidRPr="00C70964" w:rsidRDefault="00DB78B7" w:rsidP="009B2532">
      <w:pPr>
        <w:pStyle w:val="Casehead2"/>
        <w:rPr>
          <w:rFonts w:eastAsia="Arial Unicode MS"/>
          <w:lang w:val="en-GB" w:eastAsia="ar-SA"/>
        </w:rPr>
      </w:pPr>
      <w:r w:rsidRPr="00C70964">
        <w:rPr>
          <w:rFonts w:eastAsia="Arial Unicode MS"/>
          <w:lang w:val="en-GB" w:eastAsia="ar-SA"/>
        </w:rPr>
        <w:t>People</w:t>
      </w:r>
    </w:p>
    <w:p w14:paraId="48519356" w14:textId="77777777" w:rsidR="00DB78B7" w:rsidRPr="00C70964" w:rsidRDefault="00DB78B7" w:rsidP="009B2532">
      <w:pPr>
        <w:pStyle w:val="BodyTextMain"/>
        <w:rPr>
          <w:rFonts w:eastAsia="Arial Unicode MS"/>
          <w:lang w:val="en-GB" w:eastAsia="ar-SA"/>
        </w:rPr>
      </w:pPr>
    </w:p>
    <w:p w14:paraId="7C8E31DD" w14:textId="331A059E" w:rsidR="00DB78B7" w:rsidRDefault="00DB78B7" w:rsidP="009B2532">
      <w:pPr>
        <w:pStyle w:val="BodyTextMain"/>
        <w:rPr>
          <w:rFonts w:eastAsia="Arial Unicode MS"/>
          <w:lang w:val="en-GB" w:eastAsia="hi-IN" w:bidi="hi-IN"/>
        </w:rPr>
      </w:pPr>
      <w:r w:rsidRPr="00C70964">
        <w:rPr>
          <w:rFonts w:eastAsia="Arial Unicode MS"/>
          <w:lang w:val="en-GB" w:eastAsia="hi-IN" w:bidi="hi-IN"/>
        </w:rPr>
        <w:t xml:space="preserve">J. Murray Souter had been chief executive officer of Diamond since the company became public in 2013. Souter brought extensive knowledge and experience in Canadian retailing to the business. A recent addition to the company was the chief financial officer Paul Dowdall, a seasoned executive with recent experience in the beverage industry. Tom Green, vice-president of Winemaking and Winery Operations, had a degree in viticulture from Brock University and had been with Diamond since 2003. Scott McGregor, winemaker, had studied at Niagara College and had </w:t>
      </w:r>
      <w:r w:rsidR="00A14121">
        <w:rPr>
          <w:rFonts w:eastAsia="Arial Unicode MS"/>
          <w:lang w:val="en-GB" w:eastAsia="hi-IN" w:bidi="hi-IN"/>
        </w:rPr>
        <w:t>20</w:t>
      </w:r>
      <w:r w:rsidRPr="00C70964">
        <w:rPr>
          <w:rFonts w:eastAsia="Arial Unicode MS"/>
          <w:lang w:val="en-GB" w:eastAsia="hi-IN" w:bidi="hi-IN"/>
        </w:rPr>
        <w:t xml:space="preserve"> years of experience in various wineries in Ontario. The assistant winemaker, Jessica Wallace, was also from the Niagara region and had earned a certificate from the Cool Climate Oenology and Viticulture Institute at Brock University. In total, Diamond employed approximately 100 people, over one-half of wh</w:t>
      </w:r>
      <w:r w:rsidR="00A14121">
        <w:rPr>
          <w:rFonts w:eastAsia="Arial Unicode MS"/>
          <w:lang w:val="en-GB" w:eastAsia="hi-IN" w:bidi="hi-IN"/>
        </w:rPr>
        <w:t>om</w:t>
      </w:r>
      <w:r w:rsidRPr="00C70964">
        <w:rPr>
          <w:rFonts w:eastAsia="Arial Unicode MS"/>
          <w:lang w:val="en-GB" w:eastAsia="hi-IN" w:bidi="hi-IN"/>
        </w:rPr>
        <w:t xml:space="preserve"> were engaged in selling and marketing, one-quarter in manufacturing, and the remainder in administration.</w:t>
      </w:r>
      <w:r w:rsidRPr="00C70964">
        <w:rPr>
          <w:rFonts w:eastAsia="KaiTi_GB2312"/>
          <w:vertAlign w:val="superscript"/>
          <w:lang w:val="en-GB" w:eastAsia="ar-SA"/>
        </w:rPr>
        <w:endnoteReference w:id="70"/>
      </w:r>
      <w:r w:rsidRPr="00C70964">
        <w:rPr>
          <w:rFonts w:eastAsia="Arial Unicode MS"/>
          <w:lang w:val="en-GB" w:eastAsia="hi-IN" w:bidi="hi-IN"/>
        </w:rPr>
        <w:t xml:space="preserve"> </w:t>
      </w:r>
    </w:p>
    <w:p w14:paraId="085648CE" w14:textId="7133C878" w:rsidR="00863E79" w:rsidRPr="00CD6AEA" w:rsidRDefault="00863E79" w:rsidP="009B2532">
      <w:pPr>
        <w:pStyle w:val="BodyTextMain"/>
        <w:rPr>
          <w:rFonts w:eastAsia="Arial Unicode MS"/>
          <w:sz w:val="14"/>
          <w:szCs w:val="14"/>
          <w:lang w:val="en-GB" w:eastAsia="hi-IN" w:bidi="hi-IN"/>
        </w:rPr>
      </w:pPr>
    </w:p>
    <w:p w14:paraId="6A9EA84A" w14:textId="77777777" w:rsidR="00863E79" w:rsidRPr="00CD6AEA" w:rsidRDefault="00863E79" w:rsidP="009B2532">
      <w:pPr>
        <w:pStyle w:val="BodyTextMain"/>
        <w:rPr>
          <w:rFonts w:eastAsia="Arial Unicode MS"/>
          <w:sz w:val="14"/>
          <w:szCs w:val="14"/>
          <w:lang w:val="en-GB" w:eastAsia="hi-IN" w:bidi="hi-IN"/>
        </w:rPr>
      </w:pPr>
    </w:p>
    <w:p w14:paraId="6952BD22" w14:textId="77777777" w:rsidR="00DB78B7" w:rsidRPr="00C70964" w:rsidRDefault="00DB78B7" w:rsidP="009B2532">
      <w:pPr>
        <w:pStyle w:val="Casehead2"/>
        <w:rPr>
          <w:rFonts w:eastAsia="Arial Unicode MS"/>
          <w:lang w:val="en-GB" w:eastAsia="ar-SA"/>
        </w:rPr>
      </w:pPr>
      <w:r w:rsidRPr="00C70964">
        <w:rPr>
          <w:rFonts w:eastAsia="Arial Unicode MS"/>
          <w:lang w:val="en-GB" w:eastAsia="ar-SA"/>
        </w:rPr>
        <w:t>Wine Production</w:t>
      </w:r>
    </w:p>
    <w:p w14:paraId="262EB664" w14:textId="77777777" w:rsidR="00DB78B7" w:rsidRPr="00C70964" w:rsidRDefault="00DB78B7" w:rsidP="009B2532">
      <w:pPr>
        <w:pStyle w:val="BodyTextMain"/>
        <w:rPr>
          <w:rFonts w:eastAsia="Arial Unicode MS"/>
          <w:lang w:val="en-GB" w:eastAsia="ar-SA"/>
        </w:rPr>
      </w:pPr>
    </w:p>
    <w:p w14:paraId="6917E986" w14:textId="5B478A9D" w:rsidR="00DB78B7" w:rsidRDefault="00DB78B7" w:rsidP="009B2532">
      <w:pPr>
        <w:pStyle w:val="BodyTextMain"/>
        <w:rPr>
          <w:rFonts w:eastAsia="Arial Unicode MS" w:cs="Arial Unicode MS"/>
          <w:lang w:val="en-GB" w:eastAsia="hi-IN" w:bidi="hi-IN"/>
        </w:rPr>
      </w:pPr>
      <w:r w:rsidRPr="00C70964">
        <w:rPr>
          <w:rFonts w:eastAsia="Arial Unicode MS" w:cs="Arial Unicode MS"/>
          <w:lang w:val="en-GB" w:eastAsia="hi-IN" w:bidi="hi-IN"/>
        </w:rPr>
        <w:t>Diamond had two wineries in the Niagara region, with a total of 34 acres, and had recently acquired the British Columbia winery. The year of 2017 was a record grape harvest, while poor harvests in 2014 and 2015 required the streamlining of operations to maintain financial health. In 2015, 97 tons of grapes were harvested; in 2016, 114 tons; and in 2017, 155 tons—all from the same land.</w:t>
      </w:r>
      <w:r w:rsidRPr="00C70964">
        <w:rPr>
          <w:rFonts w:eastAsia="KaiTi_GB2312"/>
          <w:vertAlign w:val="superscript"/>
          <w:lang w:val="en-GB" w:eastAsia="ar-SA"/>
        </w:rPr>
        <w:endnoteReference w:id="71"/>
      </w:r>
      <w:r w:rsidRPr="00C70964">
        <w:rPr>
          <w:rFonts w:eastAsia="Arial Unicode MS" w:cs="Arial Unicode MS"/>
          <w:lang w:val="en-GB" w:eastAsia="hi-IN" w:bidi="hi-IN"/>
        </w:rPr>
        <w:t xml:space="preserve"> After a recent expansion, Diamond had the capacity for approximately 6 million litres of wine production. Cooperage was at 1.6 million litres but not fully utilized. Interestingly, only one Canadian supplier of glass bottles served Diamond’s bottling needs.</w:t>
      </w:r>
      <w:r w:rsidR="007C4B40">
        <w:rPr>
          <w:rStyle w:val="EndnoteReference"/>
          <w:rFonts w:eastAsia="Arial Unicode MS" w:cs="Arial Unicode MS"/>
          <w:lang w:val="en-GB" w:eastAsia="hi-IN" w:bidi="hi-IN"/>
        </w:rPr>
        <w:endnoteReference w:id="72"/>
      </w:r>
      <w:r w:rsidRPr="00C70964">
        <w:rPr>
          <w:rFonts w:eastAsia="Arial Unicode MS" w:cs="Arial Unicode MS"/>
          <w:lang w:val="en-GB" w:eastAsia="hi-IN" w:bidi="hi-IN"/>
        </w:rPr>
        <w:t xml:space="preserve"> </w:t>
      </w:r>
    </w:p>
    <w:p w14:paraId="09831BA7" w14:textId="77777777" w:rsidR="00DB78B7" w:rsidRPr="00C70964" w:rsidRDefault="00DB78B7" w:rsidP="00863E79">
      <w:pPr>
        <w:pStyle w:val="Casehead2"/>
        <w:keepNext/>
        <w:rPr>
          <w:rFonts w:eastAsia="Arial Unicode MS"/>
          <w:lang w:val="en-GB" w:eastAsia="hi-IN" w:bidi="hi-IN"/>
        </w:rPr>
      </w:pPr>
      <w:r w:rsidRPr="00C70964">
        <w:rPr>
          <w:rFonts w:eastAsia="Arial Unicode MS"/>
          <w:lang w:val="en-GB" w:eastAsia="ar-SA"/>
        </w:rPr>
        <w:lastRenderedPageBreak/>
        <w:t>Product Portfolio</w:t>
      </w:r>
    </w:p>
    <w:p w14:paraId="05C87C69" w14:textId="77777777" w:rsidR="00DB78B7" w:rsidRPr="00C70964" w:rsidRDefault="00DB78B7" w:rsidP="00863E79">
      <w:pPr>
        <w:pStyle w:val="BodyTextMain"/>
        <w:keepNext/>
        <w:rPr>
          <w:rFonts w:eastAsia="Arial Unicode MS"/>
          <w:lang w:val="en-GB" w:eastAsia="hi-IN" w:bidi="hi-IN"/>
        </w:rPr>
      </w:pPr>
    </w:p>
    <w:p w14:paraId="77597818" w14:textId="22D41921" w:rsidR="00DB78B7" w:rsidRPr="00C70964" w:rsidRDefault="00DB78B7" w:rsidP="00863E79">
      <w:pPr>
        <w:pStyle w:val="BodyTextMain"/>
        <w:keepNext/>
        <w:rPr>
          <w:rFonts w:eastAsia="Arial Unicode MS"/>
          <w:lang w:val="en-GB" w:eastAsia="hi-IN" w:bidi="hi-IN"/>
        </w:rPr>
      </w:pPr>
      <w:r w:rsidRPr="00C70964">
        <w:rPr>
          <w:rFonts w:eastAsia="Arial Unicode MS"/>
          <w:lang w:val="en-GB" w:eastAsia="hi-IN" w:bidi="hi-IN"/>
        </w:rPr>
        <w:t>Diamond was the third-largest producer of VQA wines in Ontario;</w:t>
      </w:r>
      <w:r w:rsidRPr="00C70964">
        <w:rPr>
          <w:rFonts w:eastAsia="KaiTi_GB2312"/>
          <w:vertAlign w:val="superscript"/>
          <w:lang w:val="en-GB" w:eastAsia="ar-SA"/>
        </w:rPr>
        <w:endnoteReference w:id="73"/>
      </w:r>
      <w:r w:rsidRPr="00C70964">
        <w:rPr>
          <w:rFonts w:eastAsia="Arial Unicode MS"/>
          <w:lang w:val="en-GB" w:eastAsia="hi-IN" w:bidi="hi-IN"/>
        </w:rPr>
        <w:t xml:space="preserve"> as such, six of its labels </w:t>
      </w:r>
      <w:r w:rsidR="00E82CA3" w:rsidRPr="00C70964">
        <w:rPr>
          <w:rFonts w:eastAsia="Arial Unicode MS"/>
          <w:lang w:val="en-GB" w:eastAsia="hi-IN" w:bidi="hi-IN"/>
        </w:rPr>
        <w:t>had</w:t>
      </w:r>
      <w:r w:rsidRPr="00C70964">
        <w:rPr>
          <w:rFonts w:eastAsia="Arial Unicode MS"/>
          <w:lang w:val="en-GB" w:eastAsia="hi-IN" w:bidi="hi-IN"/>
        </w:rPr>
        <w:t xml:space="preserve"> VQA product</w:t>
      </w:r>
      <w:r w:rsidR="00E82CA3" w:rsidRPr="00C70964">
        <w:rPr>
          <w:rFonts w:eastAsia="Arial Unicode MS"/>
          <w:lang w:val="en-GB" w:eastAsia="hi-IN" w:bidi="hi-IN"/>
        </w:rPr>
        <w:t>s</w:t>
      </w:r>
      <w:r w:rsidRPr="00C70964">
        <w:rPr>
          <w:rFonts w:eastAsia="Arial Unicode MS"/>
          <w:lang w:val="en-GB" w:eastAsia="hi-IN" w:bidi="hi-IN"/>
        </w:rPr>
        <w:t xml:space="preserve"> under them (see Exhibit 4). The company also offered blended wines. Many of Diamond’s labels, both varietals and blends, had won awards at the Ontario Wine Awards, All Canadian Wine Championships, and the National Wine Awards of Canada.</w:t>
      </w:r>
      <w:r w:rsidRPr="00C70964">
        <w:rPr>
          <w:rFonts w:eastAsia="KaiTi_GB2312"/>
          <w:vertAlign w:val="superscript"/>
          <w:lang w:val="en-GB" w:eastAsia="ar-SA"/>
        </w:rPr>
        <w:endnoteReference w:id="74"/>
      </w:r>
      <w:r w:rsidRPr="00C70964">
        <w:rPr>
          <w:rFonts w:eastAsia="Arial Unicode MS"/>
          <w:lang w:val="en-GB" w:eastAsia="hi-IN" w:bidi="hi-IN"/>
        </w:rPr>
        <w:t xml:space="preserve"> Other products had come and gone from the Diamond portfolio, including a red wine and a white wine under the award-winning Hat Trick label. Fifty cents from the sale of each of these bottle</w:t>
      </w:r>
      <w:r w:rsidR="00E82CA3" w:rsidRPr="00C70964">
        <w:rPr>
          <w:rFonts w:eastAsia="Arial Unicode MS"/>
          <w:lang w:val="en-GB" w:eastAsia="hi-IN" w:bidi="hi-IN"/>
        </w:rPr>
        <w:t>s</w:t>
      </w:r>
      <w:r w:rsidRPr="00C70964">
        <w:rPr>
          <w:rFonts w:eastAsia="Arial Unicode MS"/>
          <w:lang w:val="en-GB" w:eastAsia="hi-IN" w:bidi="hi-IN"/>
        </w:rPr>
        <w:t xml:space="preserve"> had gone to charity.</w:t>
      </w:r>
      <w:r w:rsidRPr="00C70964">
        <w:rPr>
          <w:rFonts w:eastAsia="KaiTi_GB2312"/>
          <w:vertAlign w:val="superscript"/>
          <w:lang w:val="en-GB" w:eastAsia="ar-SA"/>
        </w:rPr>
        <w:endnoteReference w:id="75"/>
      </w:r>
    </w:p>
    <w:p w14:paraId="3E613A83" w14:textId="77777777" w:rsidR="00DB78B7" w:rsidRPr="00C70964" w:rsidRDefault="00DB78B7" w:rsidP="009B2532">
      <w:pPr>
        <w:pStyle w:val="BodyTextMain"/>
        <w:rPr>
          <w:rFonts w:eastAsia="Arial Unicode MS"/>
          <w:lang w:val="en-GB" w:eastAsia="hi-IN" w:bidi="hi-IN"/>
        </w:rPr>
      </w:pPr>
    </w:p>
    <w:p w14:paraId="330E8EEE" w14:textId="59225158"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 xml:space="preserve">With the portfolio of Diamond’s agency business, Trajectory, the company had over 120 brands. The Trajectory business unit played a major role in maintaining the key LCBO channel—a crucial asset that not many small wineries possessed. Products from Germany, France, Argentina, New Zealand, the United States, Nicaragua, and Canada included notable names: </w:t>
      </w:r>
      <w:proofErr w:type="spellStart"/>
      <w:r w:rsidRPr="00C70964">
        <w:rPr>
          <w:rFonts w:eastAsia="Arial Unicode MS"/>
          <w:lang w:val="en-GB" w:eastAsia="hi-IN" w:bidi="hi-IN"/>
        </w:rPr>
        <w:t>Gato</w:t>
      </w:r>
      <w:proofErr w:type="spellEnd"/>
      <w:r w:rsidRPr="00C70964">
        <w:rPr>
          <w:rFonts w:eastAsia="Arial Unicode MS"/>
          <w:lang w:val="en-GB" w:eastAsia="hi-IN" w:bidi="hi-IN"/>
        </w:rPr>
        <w:t xml:space="preserve"> Negro and Blue N</w:t>
      </w:r>
      <w:r w:rsidR="00723AFC">
        <w:rPr>
          <w:rFonts w:eastAsia="Arial Unicode MS"/>
          <w:lang w:val="en-GB" w:eastAsia="hi-IN" w:bidi="hi-IN"/>
        </w:rPr>
        <w:t>u</w:t>
      </w:r>
      <w:r w:rsidRPr="00C70964">
        <w:rPr>
          <w:rFonts w:eastAsia="Arial Unicode MS"/>
          <w:lang w:val="en-GB" w:eastAsia="hi-IN" w:bidi="hi-IN"/>
        </w:rPr>
        <w:t xml:space="preserve">n wine, Hardy Cognac, </w:t>
      </w:r>
      <w:proofErr w:type="spellStart"/>
      <w:r w:rsidRPr="00C70964">
        <w:rPr>
          <w:rFonts w:eastAsia="Arial Unicode MS"/>
          <w:lang w:val="en-GB" w:eastAsia="hi-IN" w:bidi="hi-IN"/>
        </w:rPr>
        <w:t>Hpnotiq</w:t>
      </w:r>
      <w:proofErr w:type="spellEnd"/>
      <w:r w:rsidRPr="00C70964">
        <w:rPr>
          <w:rFonts w:eastAsia="Arial Unicode MS"/>
          <w:lang w:val="en-GB" w:eastAsia="hi-IN" w:bidi="hi-IN"/>
        </w:rPr>
        <w:t xml:space="preserve"> liqueur, and Waterloo beers.</w:t>
      </w:r>
      <w:r w:rsidRPr="00C70964">
        <w:rPr>
          <w:rFonts w:eastAsia="KaiTi_GB2312"/>
          <w:vertAlign w:val="superscript"/>
          <w:lang w:val="en-GB" w:eastAsia="ar-SA"/>
        </w:rPr>
        <w:endnoteReference w:id="76"/>
      </w:r>
    </w:p>
    <w:p w14:paraId="508E040C" w14:textId="77777777" w:rsidR="00DB78B7" w:rsidRPr="00CD6AEA" w:rsidRDefault="00DB78B7" w:rsidP="009B2532">
      <w:pPr>
        <w:pStyle w:val="BodyTextMain"/>
        <w:rPr>
          <w:rFonts w:eastAsia="Arial Unicode MS"/>
          <w:sz w:val="14"/>
          <w:szCs w:val="14"/>
          <w:lang w:val="en-GB" w:eastAsia="hi-IN" w:bidi="hi-IN"/>
        </w:rPr>
      </w:pPr>
    </w:p>
    <w:p w14:paraId="733E140D" w14:textId="77777777" w:rsidR="00DB78B7" w:rsidRPr="00CD6AEA" w:rsidRDefault="00DB78B7" w:rsidP="009B2532">
      <w:pPr>
        <w:pStyle w:val="BodyTextMain"/>
        <w:rPr>
          <w:rFonts w:eastAsia="Arial Unicode MS"/>
          <w:sz w:val="14"/>
          <w:szCs w:val="14"/>
          <w:lang w:val="en-GB" w:eastAsia="hi-IN" w:bidi="hi-IN"/>
        </w:rPr>
      </w:pPr>
    </w:p>
    <w:p w14:paraId="2F9432CE" w14:textId="77777777" w:rsidR="00DB78B7" w:rsidRPr="00C70964" w:rsidRDefault="00DB78B7" w:rsidP="009B2532">
      <w:pPr>
        <w:pStyle w:val="Casehead2"/>
        <w:rPr>
          <w:rFonts w:eastAsia="Arial Unicode MS"/>
          <w:lang w:val="en-GB" w:eastAsia="ar-SA"/>
        </w:rPr>
      </w:pPr>
      <w:r w:rsidRPr="00C70964">
        <w:rPr>
          <w:rFonts w:eastAsia="Arial Unicode MS"/>
          <w:lang w:val="en-GB" w:eastAsia="ar-SA"/>
        </w:rPr>
        <w:t>Distribution Channels</w:t>
      </w:r>
    </w:p>
    <w:p w14:paraId="636DDAE1" w14:textId="77777777" w:rsidR="00DB78B7" w:rsidRPr="00C70964" w:rsidRDefault="00DB78B7" w:rsidP="009B2532">
      <w:pPr>
        <w:pStyle w:val="BodyTextMain"/>
        <w:rPr>
          <w:rFonts w:eastAsia="Arial Unicode MS"/>
          <w:lang w:val="en-GB" w:eastAsia="ar-SA"/>
        </w:rPr>
      </w:pPr>
    </w:p>
    <w:p w14:paraId="0872E5F9" w14:textId="482CEEFB" w:rsidR="00DB78B7" w:rsidRPr="00C70964" w:rsidRDefault="00DB78B7" w:rsidP="009B2532">
      <w:pPr>
        <w:pStyle w:val="BodyTextMain"/>
        <w:rPr>
          <w:rFonts w:eastAsia="Arial Unicode MS"/>
          <w:lang w:val="en-GB" w:eastAsia="hi-IN" w:bidi="hi-IN"/>
        </w:rPr>
      </w:pPr>
      <w:r w:rsidRPr="00C70964">
        <w:rPr>
          <w:rFonts w:eastAsia="Arial Unicode MS" w:cs="Arial Unicode MS"/>
          <w:lang w:val="en-GB" w:eastAsia="hi-IN" w:bidi="hi-IN"/>
        </w:rPr>
        <w:t xml:space="preserve">Under the Lakeview Wine Co. brand, Diamond operated three of its own retail outlets as well as an online store. Although on-site sales offered limited brands, the margins were attractive in that the LCBO </w:t>
      </w:r>
      <w:proofErr w:type="spellStart"/>
      <w:r w:rsidRPr="00C70964">
        <w:rPr>
          <w:rFonts w:eastAsia="Arial Unicode MS" w:cs="Arial Unicode MS"/>
          <w:lang w:val="en-GB" w:eastAsia="hi-IN" w:bidi="hi-IN"/>
        </w:rPr>
        <w:t>markup</w:t>
      </w:r>
      <w:proofErr w:type="spellEnd"/>
      <w:r w:rsidRPr="00C70964">
        <w:rPr>
          <w:rFonts w:eastAsia="Arial Unicode MS" w:cs="Arial Unicode MS"/>
          <w:lang w:val="en-GB" w:eastAsia="hi-IN" w:bidi="hi-IN"/>
        </w:rPr>
        <w:t xml:space="preserve"> did not have to be paid, even though the selling price was set by the LCBO.</w:t>
      </w:r>
      <w:r w:rsidRPr="00C70964">
        <w:rPr>
          <w:rFonts w:eastAsia="KaiTi_GB2312"/>
          <w:vertAlign w:val="superscript"/>
          <w:lang w:val="en-GB" w:eastAsia="ar-SA"/>
        </w:rPr>
        <w:endnoteReference w:id="77"/>
      </w:r>
      <w:r w:rsidRPr="00C70964">
        <w:rPr>
          <w:rFonts w:eastAsia="Arial Unicode MS" w:cs="Arial Unicode MS"/>
          <w:lang w:val="en-GB" w:eastAsia="hi-IN" w:bidi="hi-IN"/>
        </w:rPr>
        <w:t xml:space="preserve"> </w:t>
      </w:r>
    </w:p>
    <w:p w14:paraId="3AED3B14" w14:textId="77777777" w:rsidR="00DB78B7" w:rsidRPr="00C70964" w:rsidRDefault="00DB78B7" w:rsidP="009B2532">
      <w:pPr>
        <w:pStyle w:val="BodyTextMain"/>
        <w:rPr>
          <w:rFonts w:eastAsia="Arial Unicode MS"/>
          <w:lang w:val="en-GB" w:eastAsia="hi-IN" w:bidi="hi-IN"/>
        </w:rPr>
      </w:pPr>
    </w:p>
    <w:p w14:paraId="3A003BE4" w14:textId="2DD99BC2"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 xml:space="preserve">All three of Diamond’s stores were based in Ontario: </w:t>
      </w:r>
      <w:r w:rsidR="00723AFC">
        <w:rPr>
          <w:rFonts w:eastAsia="Arial Unicode MS"/>
          <w:lang w:val="en-GB" w:eastAsia="hi-IN" w:bidi="hi-IN"/>
        </w:rPr>
        <w:t>its</w:t>
      </w:r>
      <w:r w:rsidRPr="00C70964">
        <w:rPr>
          <w:rFonts w:eastAsia="Arial Unicode MS"/>
          <w:lang w:val="en-GB" w:eastAsia="hi-IN" w:bidi="hi-IN"/>
        </w:rPr>
        <w:t xml:space="preserve"> main facility was in Niagara-on-the-Lake, and </w:t>
      </w:r>
      <w:r w:rsidR="00723AFC">
        <w:rPr>
          <w:rFonts w:eastAsia="Arial Unicode MS"/>
          <w:lang w:val="en-GB" w:eastAsia="hi-IN" w:bidi="hi-IN"/>
        </w:rPr>
        <w:t>it</w:t>
      </w:r>
      <w:r w:rsidRPr="00C70964">
        <w:rPr>
          <w:rFonts w:eastAsia="Arial Unicode MS"/>
          <w:lang w:val="en-GB" w:eastAsia="hi-IN" w:bidi="hi-IN"/>
        </w:rPr>
        <w:t xml:space="preserve"> also had one store in </w:t>
      </w:r>
      <w:proofErr w:type="spellStart"/>
      <w:r w:rsidRPr="00C70964">
        <w:rPr>
          <w:rFonts w:eastAsia="Arial Unicode MS"/>
          <w:lang w:val="en-GB" w:eastAsia="hi-IN" w:bidi="hi-IN"/>
        </w:rPr>
        <w:t>Beamsville</w:t>
      </w:r>
      <w:proofErr w:type="spellEnd"/>
      <w:r w:rsidRPr="00C70964">
        <w:rPr>
          <w:rFonts w:eastAsia="Arial Unicode MS"/>
          <w:lang w:val="en-GB" w:eastAsia="hi-IN" w:bidi="hi-IN"/>
        </w:rPr>
        <w:t>, at De Sousa Wine Cellars, and one in Scarborough. Each facility offered wine tasting, and those who worked at the wineries were part of winery tours. Tours were booked through a variety of independent tour organizers and were packaged with other activities or with tours of other wineries. Diamond offered snacks and picnic areas at their wineries and hosted special events, such as axe throwing and jewellery making, often with associated fundraising components.</w:t>
      </w:r>
      <w:r w:rsidR="00576FEA">
        <w:rPr>
          <w:rStyle w:val="EndnoteReference"/>
          <w:rFonts w:eastAsia="Arial Unicode MS"/>
          <w:lang w:val="en-GB" w:eastAsia="hi-IN" w:bidi="hi-IN"/>
        </w:rPr>
        <w:endnoteReference w:id="78"/>
      </w:r>
    </w:p>
    <w:p w14:paraId="36067A90" w14:textId="77777777" w:rsidR="00DB78B7" w:rsidRPr="00C70964" w:rsidRDefault="00DB78B7" w:rsidP="009B2532">
      <w:pPr>
        <w:pStyle w:val="BodyTextMain"/>
        <w:rPr>
          <w:rFonts w:eastAsia="Arial Unicode MS"/>
          <w:lang w:val="en-GB" w:eastAsia="hi-IN" w:bidi="hi-IN"/>
        </w:rPr>
      </w:pPr>
    </w:p>
    <w:p w14:paraId="3198ACE5" w14:textId="7654DD36"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The online wine store sold all of Diamond’s winery brands, with an associated delivery fee of a few dollars per bottle. The site was well laid out and easy to navigate, with menus offering a number of ways to select wines—by label, grape, top sellers, and personality, or as gift packs. Delivery required a signature from a person who could prove they were of legal drinking age.</w:t>
      </w:r>
      <w:r w:rsidR="00576FEA">
        <w:rPr>
          <w:rStyle w:val="EndnoteReference"/>
          <w:rFonts w:eastAsia="Arial Unicode MS"/>
          <w:lang w:val="en-GB" w:eastAsia="hi-IN" w:bidi="hi-IN"/>
        </w:rPr>
        <w:endnoteReference w:id="79"/>
      </w:r>
      <w:r w:rsidRPr="00C70964">
        <w:rPr>
          <w:rFonts w:eastAsia="Arial Unicode MS"/>
          <w:lang w:val="en-GB" w:eastAsia="hi-IN" w:bidi="hi-IN"/>
        </w:rPr>
        <w:t xml:space="preserve"> </w:t>
      </w:r>
    </w:p>
    <w:p w14:paraId="492DAB14" w14:textId="77777777" w:rsidR="00DB78B7" w:rsidRPr="00C70964" w:rsidRDefault="00DB78B7" w:rsidP="009B2532">
      <w:pPr>
        <w:pStyle w:val="BodyTextMain"/>
        <w:rPr>
          <w:rFonts w:eastAsia="Arial Unicode MS"/>
          <w:lang w:val="en-GB" w:eastAsia="hi-IN" w:bidi="hi-IN"/>
        </w:rPr>
      </w:pPr>
    </w:p>
    <w:p w14:paraId="7808E897" w14:textId="19B27639" w:rsidR="00DB78B7" w:rsidRPr="00C70964" w:rsidRDefault="00DB78B7" w:rsidP="009B2532">
      <w:pPr>
        <w:pStyle w:val="BodyTextMain"/>
        <w:rPr>
          <w:rFonts w:eastAsia="KaiTi_GB2312"/>
          <w:lang w:val="en-GB" w:eastAsia="ar-SA"/>
        </w:rPr>
      </w:pPr>
      <w:r w:rsidRPr="00C70964">
        <w:rPr>
          <w:rFonts w:eastAsia="Cambria"/>
          <w:lang w:val="en-GB" w:eastAsia="hi-IN" w:bidi="hi-IN"/>
        </w:rPr>
        <w:t>Additional retail channels included provincial liquor stores and grocery stores, licensed establishments, and third-party distributors in international markets.</w:t>
      </w:r>
    </w:p>
    <w:p w14:paraId="08CFF041" w14:textId="466C1D5D" w:rsidR="00DB78B7" w:rsidRPr="00CD6AEA" w:rsidRDefault="00DB78B7" w:rsidP="009B2532">
      <w:pPr>
        <w:pStyle w:val="BodyTextMain"/>
        <w:rPr>
          <w:rFonts w:eastAsia="KaiTi_GB2312"/>
          <w:sz w:val="14"/>
          <w:szCs w:val="14"/>
          <w:lang w:val="en-GB" w:eastAsia="ar-SA"/>
        </w:rPr>
      </w:pPr>
    </w:p>
    <w:p w14:paraId="3CAF5CE4" w14:textId="77777777" w:rsidR="00DB78B7" w:rsidRPr="00CD6AEA" w:rsidRDefault="00DB78B7" w:rsidP="009B2532">
      <w:pPr>
        <w:pStyle w:val="BodyTextMain"/>
        <w:rPr>
          <w:rFonts w:eastAsia="KaiTi_GB2312"/>
          <w:sz w:val="14"/>
          <w:szCs w:val="14"/>
          <w:lang w:val="en-GB" w:eastAsia="ar-SA"/>
        </w:rPr>
      </w:pPr>
    </w:p>
    <w:p w14:paraId="2C40A9C8" w14:textId="77777777" w:rsidR="00DB78B7" w:rsidRPr="00C70964" w:rsidRDefault="00DB78B7" w:rsidP="003F3E1A">
      <w:pPr>
        <w:pStyle w:val="Casehead2"/>
        <w:keepNext/>
        <w:rPr>
          <w:rFonts w:eastAsia="KaiTi_GB2312"/>
          <w:lang w:val="en-GB" w:eastAsia="ar-SA"/>
        </w:rPr>
      </w:pPr>
      <w:r w:rsidRPr="00C70964">
        <w:rPr>
          <w:rFonts w:eastAsia="Arial Unicode MS"/>
          <w:lang w:val="en-GB" w:eastAsia="ar-SA"/>
        </w:rPr>
        <w:t>Strategy</w:t>
      </w:r>
    </w:p>
    <w:p w14:paraId="47BE3206" w14:textId="77777777" w:rsidR="00DB78B7" w:rsidRPr="00C70964" w:rsidRDefault="00DB78B7" w:rsidP="003F3E1A">
      <w:pPr>
        <w:pStyle w:val="BodyTextMain"/>
        <w:keepNext/>
        <w:rPr>
          <w:rFonts w:eastAsia="KaiTi_GB2312"/>
          <w:lang w:val="en-GB" w:eastAsia="ar-SA"/>
        </w:rPr>
      </w:pPr>
    </w:p>
    <w:p w14:paraId="6691FE3F" w14:textId="15717971" w:rsidR="00DB78B7" w:rsidRPr="00C70964" w:rsidRDefault="00DB78B7" w:rsidP="003F3E1A">
      <w:pPr>
        <w:pStyle w:val="BodyTextMain"/>
        <w:keepNext/>
        <w:rPr>
          <w:rFonts w:eastAsia="Arial Unicode MS"/>
          <w:sz w:val="24"/>
          <w:szCs w:val="24"/>
          <w:lang w:val="en-GB" w:eastAsia="hi-IN" w:bidi="hi-IN"/>
        </w:rPr>
      </w:pPr>
      <w:r w:rsidRPr="00C70964">
        <w:rPr>
          <w:rFonts w:eastAsia="Arial Unicode MS"/>
          <w:lang w:val="en-GB" w:eastAsia="hi-IN" w:bidi="hi-IN"/>
        </w:rPr>
        <w:t>Diamond’s vision was to build enduring and high-quality alcoholic beverage brands that celebrated life and achievement in a socially responsible way.</w:t>
      </w:r>
      <w:r w:rsidRPr="00C70964">
        <w:rPr>
          <w:rFonts w:eastAsia="KaiTi_GB2312"/>
          <w:vertAlign w:val="superscript"/>
          <w:lang w:val="en-GB" w:eastAsia="ar-SA"/>
        </w:rPr>
        <w:endnoteReference w:id="80"/>
      </w:r>
      <w:r w:rsidRPr="00C70964">
        <w:rPr>
          <w:rFonts w:eastAsia="Arial Unicode MS"/>
          <w:lang w:val="en-GB" w:eastAsia="hi-IN" w:bidi="hi-IN"/>
        </w:rPr>
        <w:t xml:space="preserve"> </w:t>
      </w:r>
      <w:r w:rsidR="000F29CC">
        <w:rPr>
          <w:rFonts w:eastAsia="Arial Unicode MS"/>
          <w:lang w:val="en-GB" w:eastAsia="hi-IN" w:bidi="hi-IN"/>
        </w:rPr>
        <w:t>I</w:t>
      </w:r>
      <w:r w:rsidR="00723AFC">
        <w:rPr>
          <w:rFonts w:eastAsia="Arial Unicode MS"/>
          <w:lang w:val="en-GB" w:eastAsia="hi-IN" w:bidi="hi-IN"/>
        </w:rPr>
        <w:t>ts</w:t>
      </w:r>
      <w:r w:rsidRPr="00C70964">
        <w:rPr>
          <w:rFonts w:eastAsia="Arial Unicode MS"/>
          <w:lang w:val="en-GB" w:eastAsia="hi-IN" w:bidi="hi-IN"/>
        </w:rPr>
        <w:t xml:space="preserve"> goal was to become one of the top three Canadian wine producers,</w:t>
      </w:r>
      <w:r w:rsidRPr="00C70964">
        <w:rPr>
          <w:rFonts w:eastAsia="KaiTi_GB2312"/>
          <w:vertAlign w:val="superscript"/>
          <w:lang w:val="en-GB" w:eastAsia="ar-SA"/>
        </w:rPr>
        <w:endnoteReference w:id="81"/>
      </w:r>
      <w:r w:rsidRPr="00C70964">
        <w:rPr>
          <w:rFonts w:eastAsia="Arial Unicode MS"/>
          <w:lang w:val="en-GB" w:eastAsia="hi-IN" w:bidi="hi-IN"/>
        </w:rPr>
        <w:t xml:space="preserve"> citing the sobering statistic that most wine-producing areas consumed significantly more locally grown wine than did Ontarians. However, sales of VQA wines in Ontario increased with a compound annual growth rate of 8.3 per cent between 2009 and 2015.</w:t>
      </w:r>
      <w:r w:rsidRPr="00C70964">
        <w:rPr>
          <w:rFonts w:eastAsia="KaiTi_GB2312"/>
          <w:vertAlign w:val="superscript"/>
          <w:lang w:val="en-GB" w:eastAsia="ar-SA"/>
        </w:rPr>
        <w:endnoteReference w:id="82"/>
      </w:r>
      <w:r w:rsidRPr="00C70964">
        <w:rPr>
          <w:rFonts w:eastAsia="Arial Unicode MS"/>
          <w:lang w:val="en-GB" w:eastAsia="hi-IN" w:bidi="hi-IN"/>
        </w:rPr>
        <w:t xml:space="preserve"> In 2015, VQA wine purchases constituted 26 per cent of domestic wine sales and 11 per cent of all wine sales in Ontario. Grocery stores, which now carried alcoholic beverages, were an attractive channel, and Diamond worked to ensure </w:t>
      </w:r>
      <w:r w:rsidR="00723AFC">
        <w:rPr>
          <w:rFonts w:eastAsia="Arial Unicode MS"/>
          <w:lang w:val="en-GB" w:eastAsia="hi-IN" w:bidi="hi-IN"/>
        </w:rPr>
        <w:t>its</w:t>
      </w:r>
      <w:r w:rsidRPr="00C70964">
        <w:rPr>
          <w:rFonts w:eastAsia="Arial Unicode MS"/>
          <w:lang w:val="en-GB" w:eastAsia="hi-IN" w:bidi="hi-IN"/>
        </w:rPr>
        <w:t xml:space="preserve"> products were available in as many stores as possible. Trajectory, which contributed half of </w:t>
      </w:r>
      <w:r w:rsidR="00E82CA3" w:rsidRPr="00C70964">
        <w:rPr>
          <w:rFonts w:eastAsia="Arial Unicode MS"/>
          <w:lang w:val="en-GB" w:eastAsia="hi-IN" w:bidi="hi-IN"/>
        </w:rPr>
        <w:t xml:space="preserve">Diamond’s </w:t>
      </w:r>
      <w:r w:rsidRPr="00C70964">
        <w:rPr>
          <w:rFonts w:eastAsia="Arial Unicode MS"/>
          <w:lang w:val="en-GB" w:eastAsia="hi-IN" w:bidi="hi-IN"/>
        </w:rPr>
        <w:t xml:space="preserve">revenue and profits, was viewed as a source of consistent cash flow and as complementary to the winery </w:t>
      </w:r>
      <w:r w:rsidRPr="00C70964">
        <w:rPr>
          <w:rFonts w:eastAsia="Arial Unicode MS"/>
          <w:lang w:val="en-GB" w:eastAsia="hi-IN" w:bidi="hi-IN"/>
        </w:rPr>
        <w:lastRenderedPageBreak/>
        <w:t>business. This unit aimed to develop long-lasting relationships with suppliers, targeting producers that were not well represented in Canada.</w:t>
      </w:r>
      <w:r w:rsidR="00576FEA">
        <w:rPr>
          <w:rStyle w:val="EndnoteReference"/>
          <w:rFonts w:eastAsia="Arial Unicode MS"/>
          <w:lang w:val="en-GB" w:eastAsia="hi-IN" w:bidi="hi-IN"/>
        </w:rPr>
        <w:endnoteReference w:id="83"/>
      </w:r>
      <w:r w:rsidRPr="00C70964">
        <w:rPr>
          <w:rFonts w:eastAsia="Arial Unicode MS"/>
          <w:lang w:val="en-GB" w:eastAsia="hi-IN" w:bidi="hi-IN"/>
        </w:rPr>
        <w:t xml:space="preserve"> </w:t>
      </w:r>
    </w:p>
    <w:p w14:paraId="09D3B093" w14:textId="77777777" w:rsidR="00DB78B7" w:rsidRPr="00C70964" w:rsidRDefault="00DB78B7" w:rsidP="009B2532">
      <w:pPr>
        <w:pStyle w:val="BodyTextMain"/>
        <w:rPr>
          <w:rFonts w:eastAsia="Arial Unicode MS"/>
          <w:sz w:val="24"/>
          <w:szCs w:val="24"/>
          <w:lang w:val="en-GB" w:eastAsia="hi-IN" w:bidi="hi-IN"/>
        </w:rPr>
      </w:pPr>
    </w:p>
    <w:p w14:paraId="1929AA48" w14:textId="6D425786"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Diamond</w:t>
      </w:r>
      <w:r w:rsidR="00723AFC">
        <w:rPr>
          <w:rFonts w:eastAsia="Arial Unicode MS"/>
          <w:lang w:val="en-GB" w:eastAsia="hi-IN" w:bidi="hi-IN"/>
        </w:rPr>
        <w:t>’s owners</w:t>
      </w:r>
      <w:r w:rsidRPr="00C70964">
        <w:rPr>
          <w:rFonts w:eastAsia="Arial Unicode MS"/>
          <w:lang w:val="en-GB" w:eastAsia="hi-IN" w:bidi="hi-IN"/>
        </w:rPr>
        <w:t xml:space="preserve"> also saw growth opportunities in international markets and believed they could leverage some of their underutilized infrastructure.</w:t>
      </w:r>
      <w:r w:rsidRPr="00C70964">
        <w:rPr>
          <w:rFonts w:eastAsia="KaiTi_GB2312"/>
          <w:vertAlign w:val="superscript"/>
          <w:lang w:val="en-GB" w:eastAsia="ar-SA"/>
        </w:rPr>
        <w:endnoteReference w:id="84"/>
      </w:r>
      <w:r w:rsidRPr="00C70964">
        <w:rPr>
          <w:rFonts w:eastAsia="Arial Unicode MS"/>
          <w:lang w:val="en-GB" w:eastAsia="hi-IN" w:bidi="hi-IN"/>
        </w:rPr>
        <w:t xml:space="preserve"> The company’s financial reports stated that investment was directed toward winemaking, sales, and office infrastructure (see Exhibits 5 and 6). </w:t>
      </w:r>
    </w:p>
    <w:p w14:paraId="7A3BC820" w14:textId="77777777" w:rsidR="00DB78B7" w:rsidRPr="00CD6AEA" w:rsidRDefault="00DB78B7" w:rsidP="009B2532">
      <w:pPr>
        <w:pStyle w:val="BodyTextMain"/>
        <w:rPr>
          <w:rFonts w:eastAsia="Arial Unicode MS"/>
          <w:sz w:val="14"/>
          <w:szCs w:val="14"/>
          <w:lang w:val="en-GB" w:eastAsia="hi-IN" w:bidi="hi-IN"/>
        </w:rPr>
      </w:pPr>
    </w:p>
    <w:p w14:paraId="6E764C71" w14:textId="77777777" w:rsidR="00DB78B7" w:rsidRPr="00CD6AEA" w:rsidRDefault="00DB78B7" w:rsidP="009B2532">
      <w:pPr>
        <w:pStyle w:val="BodyTextMain"/>
        <w:rPr>
          <w:rFonts w:eastAsia="Arial Unicode MS"/>
          <w:sz w:val="14"/>
          <w:szCs w:val="14"/>
          <w:lang w:val="en-GB" w:eastAsia="hi-IN" w:bidi="hi-IN"/>
        </w:rPr>
      </w:pPr>
    </w:p>
    <w:p w14:paraId="2A8DD873" w14:textId="77777777" w:rsidR="00DB78B7" w:rsidRPr="00C70964" w:rsidRDefault="00DB78B7" w:rsidP="009B2532">
      <w:pPr>
        <w:keepNext/>
        <w:widowControl w:val="0"/>
        <w:suppressAutoHyphens/>
        <w:spacing w:line="100" w:lineRule="atLeast"/>
        <w:jc w:val="both"/>
        <w:rPr>
          <w:rFonts w:ascii="Arial" w:eastAsia="Arial Unicode MS" w:hAnsi="Arial" w:cs="Arial"/>
          <w:b/>
          <w:caps/>
          <w:color w:val="000000"/>
          <w:lang w:val="en-GB" w:eastAsia="ar-SA"/>
        </w:rPr>
      </w:pPr>
      <w:r w:rsidRPr="00C70964">
        <w:rPr>
          <w:rFonts w:ascii="Arial" w:eastAsia="Arial Unicode MS" w:hAnsi="Arial" w:cs="Arial"/>
          <w:b/>
          <w:caps/>
          <w:color w:val="000000"/>
          <w:lang w:val="en-GB" w:eastAsia="ar-SA"/>
        </w:rPr>
        <w:t>Canadian Competitors in Wine Sales</w:t>
      </w:r>
    </w:p>
    <w:p w14:paraId="1EB57C4F" w14:textId="77777777" w:rsidR="00DB78B7" w:rsidRPr="00C70964" w:rsidRDefault="00DB78B7" w:rsidP="009B2532">
      <w:pPr>
        <w:pStyle w:val="BodyTextMain"/>
        <w:keepNext/>
        <w:rPr>
          <w:rFonts w:eastAsia="Arial Unicode MS"/>
          <w:lang w:val="en-GB" w:eastAsia="ar-SA"/>
        </w:rPr>
      </w:pPr>
    </w:p>
    <w:p w14:paraId="336EB5F2" w14:textId="1822368A" w:rsidR="00DB78B7" w:rsidRPr="00C70964" w:rsidRDefault="00DB78B7" w:rsidP="009B2532">
      <w:pPr>
        <w:pStyle w:val="BodyTextMain"/>
        <w:keepNext/>
        <w:rPr>
          <w:rFonts w:eastAsia="Arial Unicode MS"/>
          <w:lang w:val="en-GB" w:eastAsia="hi-IN" w:bidi="hi-IN"/>
        </w:rPr>
      </w:pPr>
      <w:r w:rsidRPr="00C70964">
        <w:rPr>
          <w:rFonts w:eastAsia="Arial Unicode MS"/>
          <w:lang w:val="en-GB" w:eastAsia="hi-IN" w:bidi="hi-IN"/>
        </w:rPr>
        <w:t xml:space="preserve">The top Canadian brands in 2011 did not necessarily come from companies with the top market share. </w:t>
      </w:r>
      <w:bookmarkStart w:id="0" w:name="_Hlk14952937"/>
      <w:r w:rsidRPr="00C70964">
        <w:rPr>
          <w:rFonts w:eastAsia="Arial Unicode MS"/>
          <w:lang w:val="en-GB" w:eastAsia="hi-IN" w:bidi="hi-IN"/>
        </w:rPr>
        <w:t>Constellation Brands Inc.</w:t>
      </w:r>
      <w:bookmarkEnd w:id="0"/>
      <w:r w:rsidRPr="00C70964">
        <w:rPr>
          <w:rFonts w:eastAsia="Arial Unicode MS"/>
          <w:lang w:val="en-GB" w:eastAsia="hi-IN" w:bidi="hi-IN"/>
        </w:rPr>
        <w:t xml:space="preserve"> (Constellation), which sold the Canadian arm of its wine business (now </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to private investors in 2017, dominated the market with 15.7 per cent market share, followed by Andrew Peller Limited (Andrew Peller; 11.9 per cent), Treasury (4.2 per cent), Accolade Wines (3.9 per cent), and E &amp; J Gallo Winery (Gallo; 3.5 per cent). The top five wine brands in 2011 were Jackson-</w:t>
      </w:r>
      <w:proofErr w:type="spellStart"/>
      <w:r w:rsidRPr="00C70964">
        <w:rPr>
          <w:rFonts w:eastAsia="Arial Unicode MS"/>
          <w:lang w:val="en-GB" w:eastAsia="hi-IN" w:bidi="hi-IN"/>
        </w:rPr>
        <w:t>Triggs</w:t>
      </w:r>
      <w:proofErr w:type="spellEnd"/>
      <w:r w:rsidRPr="00C70964">
        <w:rPr>
          <w:rFonts w:eastAsia="Arial Unicode MS"/>
          <w:lang w:val="en-GB" w:eastAsia="hi-IN" w:bidi="hi-IN"/>
        </w:rPr>
        <w:t xml:space="preserve"> (Constellation/</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xml:space="preserve">), Fuzion (an independent Argentinian winery), Domaine d’Or (Andrew Peller), Yellow Tail (an Australian family winery), and </w:t>
      </w:r>
      <w:proofErr w:type="spellStart"/>
      <w:r w:rsidRPr="00C70964">
        <w:rPr>
          <w:rFonts w:eastAsia="Arial Unicode MS"/>
          <w:lang w:val="en-GB" w:eastAsia="hi-IN" w:bidi="hi-IN"/>
        </w:rPr>
        <w:t>Inniskillin</w:t>
      </w:r>
      <w:proofErr w:type="spellEnd"/>
      <w:r w:rsidRPr="00C70964">
        <w:rPr>
          <w:rFonts w:eastAsia="Arial Unicode MS"/>
          <w:lang w:val="en-GB" w:eastAsia="hi-IN" w:bidi="hi-IN"/>
        </w:rPr>
        <w:t xml:space="preserve"> (</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(see Exhibits 7 and 8)</w:t>
      </w:r>
      <w:r w:rsidRPr="00C70964">
        <w:rPr>
          <w:rFonts w:eastAsia="Cambria"/>
          <w:lang w:val="en-GB" w:eastAsia="hi-IN" w:bidi="hi-IN"/>
        </w:rPr>
        <w:t>.</w:t>
      </w:r>
      <w:r w:rsidRPr="00C70964">
        <w:rPr>
          <w:rFonts w:eastAsia="KaiTi_GB2312"/>
          <w:vertAlign w:val="superscript"/>
          <w:lang w:val="en-GB" w:eastAsia="ar-SA"/>
        </w:rPr>
        <w:endnoteReference w:id="85"/>
      </w:r>
      <w:r w:rsidRPr="00C70964">
        <w:rPr>
          <w:rFonts w:eastAsia="Cambria"/>
          <w:vertAlign w:val="subscript"/>
          <w:lang w:val="en-GB" w:eastAsia="hi-IN" w:bidi="hi-IN"/>
        </w:rPr>
        <w:t xml:space="preserve"> </w:t>
      </w:r>
    </w:p>
    <w:p w14:paraId="3946D730" w14:textId="77777777" w:rsidR="00DB78B7" w:rsidRPr="00C70964" w:rsidRDefault="00DB78B7" w:rsidP="009B2532">
      <w:pPr>
        <w:pStyle w:val="BodyTextMain"/>
        <w:rPr>
          <w:rFonts w:eastAsia="Arial Unicode MS"/>
          <w:lang w:val="en-GB" w:eastAsia="hi-IN" w:bidi="hi-IN"/>
        </w:rPr>
      </w:pPr>
    </w:p>
    <w:p w14:paraId="6DBA10D8" w14:textId="2EA63130"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 xml:space="preserve">Top competitors in the </w:t>
      </w:r>
      <w:r w:rsidR="00E82CA3" w:rsidRPr="00C70964">
        <w:rPr>
          <w:rFonts w:eastAsia="Arial Unicode MS"/>
          <w:lang w:val="en-GB" w:eastAsia="hi-IN" w:bidi="hi-IN"/>
        </w:rPr>
        <w:t xml:space="preserve">VQA </w:t>
      </w:r>
      <w:r w:rsidRPr="00C70964">
        <w:rPr>
          <w:rFonts w:eastAsia="Arial Unicode MS"/>
          <w:lang w:val="en-GB" w:eastAsia="hi-IN" w:bidi="hi-IN"/>
        </w:rPr>
        <w:t xml:space="preserve">Ontario category came from </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Andrew Peller, and Henry of Pelham Estate Winery.</w:t>
      </w:r>
      <w:r w:rsidRPr="00C70964">
        <w:rPr>
          <w:rFonts w:eastAsia="KaiTi_GB2312"/>
          <w:vertAlign w:val="superscript"/>
          <w:lang w:val="en-GB" w:eastAsia="ar-SA"/>
        </w:rPr>
        <w:endnoteReference w:id="86"/>
      </w:r>
      <w:r w:rsidRPr="00C70964">
        <w:rPr>
          <w:rFonts w:eastAsia="Arial Unicode MS"/>
          <w:lang w:val="en-GB" w:eastAsia="hi-IN" w:bidi="hi-IN"/>
        </w:rPr>
        <w:t xml:space="preserve"> In 2017, Andrew Peller’s market share in English-speaking Canada was 14.6 per cent; Constellation/</w:t>
      </w:r>
      <w:proofErr w:type="spellStart"/>
      <w:r w:rsidRPr="00C70964">
        <w:rPr>
          <w:rFonts w:eastAsia="Arial Unicode MS"/>
          <w:lang w:val="en-GB" w:eastAsia="hi-IN" w:bidi="hi-IN"/>
        </w:rPr>
        <w:t>Arterra</w:t>
      </w:r>
      <w:proofErr w:type="spellEnd"/>
      <w:r w:rsidRPr="00C70964">
        <w:rPr>
          <w:rFonts w:eastAsia="Arial Unicode MS"/>
          <w:lang w:val="en-GB" w:eastAsia="hi-IN" w:bidi="hi-IN"/>
        </w:rPr>
        <w:t xml:space="preserve"> had a 21 per cent share in Canada and a 36 per cent share in English-speaking Canada; and Gallo was the third-largest seller in English-speaking Canada, followed by Treasury.</w:t>
      </w:r>
      <w:r w:rsidR="00FA4277" w:rsidRPr="00C70964">
        <w:rPr>
          <w:rStyle w:val="EndnoteReference"/>
          <w:rFonts w:eastAsia="Arial Unicode MS"/>
          <w:lang w:val="en-GB" w:eastAsia="hi-IN" w:bidi="hi-IN"/>
        </w:rPr>
        <w:endnoteReference w:id="87"/>
      </w:r>
    </w:p>
    <w:p w14:paraId="16252874" w14:textId="77777777" w:rsidR="00DB78B7" w:rsidRPr="00CD6AEA" w:rsidRDefault="00DB78B7" w:rsidP="009B2532">
      <w:pPr>
        <w:pStyle w:val="BodyTextMain"/>
        <w:rPr>
          <w:rFonts w:eastAsia="Arial Unicode MS"/>
          <w:sz w:val="14"/>
          <w:szCs w:val="14"/>
          <w:lang w:val="en-GB" w:eastAsia="hi-IN" w:bidi="hi-IN"/>
        </w:rPr>
      </w:pPr>
    </w:p>
    <w:p w14:paraId="2A8DB8E4" w14:textId="77777777" w:rsidR="00DB78B7" w:rsidRPr="00CD6AEA" w:rsidRDefault="00DB78B7" w:rsidP="009B2532">
      <w:pPr>
        <w:pStyle w:val="BodyTextMain"/>
        <w:rPr>
          <w:rFonts w:eastAsia="Arial Unicode MS"/>
          <w:sz w:val="14"/>
          <w:szCs w:val="14"/>
          <w:lang w:val="en-GB" w:eastAsia="hi-IN" w:bidi="hi-IN"/>
        </w:rPr>
      </w:pPr>
    </w:p>
    <w:p w14:paraId="19FAD900" w14:textId="1D75BD76" w:rsidR="00DB78B7" w:rsidRPr="00C70964" w:rsidRDefault="00DB78B7" w:rsidP="009B2532">
      <w:pPr>
        <w:pStyle w:val="Casehead2"/>
        <w:rPr>
          <w:rFonts w:eastAsia="Arial Unicode MS"/>
          <w:lang w:val="en-GB" w:eastAsia="ar-SA"/>
        </w:rPr>
      </w:pPr>
      <w:r w:rsidRPr="00C70964">
        <w:rPr>
          <w:rFonts w:eastAsia="Arial Unicode MS"/>
          <w:lang w:val="en-GB" w:eastAsia="ar-SA"/>
        </w:rPr>
        <w:t>Andrew Peller Limited</w:t>
      </w:r>
    </w:p>
    <w:p w14:paraId="47638421" w14:textId="77777777" w:rsidR="00DB78B7" w:rsidRPr="00C70964" w:rsidRDefault="00DB78B7" w:rsidP="009B2532">
      <w:pPr>
        <w:pStyle w:val="BodyTextMain"/>
        <w:rPr>
          <w:rFonts w:eastAsia="Arial Unicode MS"/>
          <w:lang w:val="en-GB" w:eastAsia="ar-SA"/>
        </w:rPr>
      </w:pPr>
    </w:p>
    <w:p w14:paraId="4FD0C97E" w14:textId="3AD02F3C"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 xml:space="preserve">Andrew Peller was also located in the Niagara district in Ontario, and </w:t>
      </w:r>
      <w:r w:rsidR="00D162EE">
        <w:rPr>
          <w:rFonts w:eastAsia="Arial Unicode MS"/>
          <w:lang w:val="en-GB" w:eastAsia="hi-IN" w:bidi="hi-IN"/>
        </w:rPr>
        <w:t>its</w:t>
      </w:r>
      <w:r w:rsidRPr="00C70964">
        <w:rPr>
          <w:rFonts w:eastAsia="Arial Unicode MS"/>
          <w:lang w:val="en-GB" w:eastAsia="hi-IN" w:bidi="hi-IN"/>
        </w:rPr>
        <w:t xml:space="preserve"> mission was to “pour extraordinary into everyday life”</w:t>
      </w:r>
      <w:r w:rsidR="00FA4277" w:rsidRPr="00C70964">
        <w:rPr>
          <w:rStyle w:val="EndnoteReference"/>
          <w:rFonts w:eastAsia="Arial Unicode MS"/>
          <w:lang w:val="en-GB" w:eastAsia="hi-IN" w:bidi="hi-IN"/>
        </w:rPr>
        <w:endnoteReference w:id="88"/>
      </w:r>
      <w:r w:rsidRPr="00C70964">
        <w:rPr>
          <w:rFonts w:eastAsia="Arial Unicode MS"/>
          <w:lang w:val="en-GB" w:eastAsia="hi-IN" w:bidi="hi-IN"/>
        </w:rPr>
        <w:t xml:space="preserve"> by delivering high-quality alcoholic beverages at the best possible value. The company had over 360 acres of vineyard in Ontario and, after recent acquisitions, almost 600 acres in British Columbia. The company’s bestsellers were Peller Estates, Copper Moon, Trius Winery, and XOXO Wines. </w:t>
      </w:r>
      <w:r w:rsidR="00D162EE">
        <w:rPr>
          <w:rFonts w:eastAsia="Arial Unicode MS"/>
          <w:lang w:val="en-GB" w:eastAsia="hi-IN" w:bidi="hi-IN"/>
        </w:rPr>
        <w:t>Its</w:t>
      </w:r>
      <w:r w:rsidRPr="00C70964">
        <w:rPr>
          <w:rFonts w:eastAsia="Arial Unicode MS"/>
          <w:lang w:val="en-GB" w:eastAsia="hi-IN" w:bidi="hi-IN"/>
        </w:rPr>
        <w:t xml:space="preserve"> products were divided into value, ($8 [blends] to $12 [varietal] per bottle), entry-level VQA ($12–15 per bottle), premium VQA ($12–25 per bottle), and super premium VQA ($25 and up per bottle). Recent initiatives included introducing the Wayne Gretzky Estates brand of spirits as well as differentiated packaging, such as boxes of wine, a bag of wine in a box, and Tetra </w:t>
      </w:r>
      <w:proofErr w:type="spellStart"/>
      <w:r w:rsidRPr="00C70964">
        <w:rPr>
          <w:rFonts w:eastAsia="Arial Unicode MS"/>
          <w:lang w:val="en-GB" w:eastAsia="hi-IN" w:bidi="hi-IN"/>
        </w:rPr>
        <w:t>Paks</w:t>
      </w:r>
      <w:proofErr w:type="spellEnd"/>
      <w:r w:rsidRPr="00C70964">
        <w:rPr>
          <w:rFonts w:eastAsia="Arial Unicode MS"/>
          <w:lang w:val="en-GB" w:eastAsia="hi-IN" w:bidi="hi-IN"/>
        </w:rPr>
        <w:t>. In annual reports, Andrew Peller identified young consumers and older buyers seeking health benefits as growth markets.</w:t>
      </w:r>
      <w:r w:rsidRPr="00C70964">
        <w:rPr>
          <w:rFonts w:eastAsia="KaiTi_GB2312"/>
          <w:vertAlign w:val="superscript"/>
          <w:lang w:val="en-GB" w:eastAsia="ar-SA"/>
        </w:rPr>
        <w:endnoteReference w:id="89"/>
      </w:r>
    </w:p>
    <w:p w14:paraId="17CEC902" w14:textId="77777777" w:rsidR="00DB78B7" w:rsidRPr="00CD6AEA" w:rsidRDefault="00DB78B7" w:rsidP="009B2532">
      <w:pPr>
        <w:pStyle w:val="BodyTextMain"/>
        <w:rPr>
          <w:rFonts w:eastAsia="Arial Unicode MS"/>
          <w:sz w:val="14"/>
          <w:szCs w:val="14"/>
          <w:lang w:val="en-GB" w:eastAsia="hi-IN" w:bidi="hi-IN"/>
        </w:rPr>
      </w:pPr>
    </w:p>
    <w:p w14:paraId="73020A38" w14:textId="77777777" w:rsidR="00DB78B7" w:rsidRPr="00CD6AEA" w:rsidRDefault="00DB78B7" w:rsidP="009B2532">
      <w:pPr>
        <w:pStyle w:val="BodyTextMain"/>
        <w:rPr>
          <w:rFonts w:eastAsia="Arial Unicode MS"/>
          <w:sz w:val="14"/>
          <w:szCs w:val="14"/>
          <w:lang w:val="en-GB" w:eastAsia="hi-IN" w:bidi="hi-IN"/>
        </w:rPr>
      </w:pPr>
    </w:p>
    <w:p w14:paraId="304F04E6" w14:textId="6324A462" w:rsidR="00DB78B7" w:rsidRPr="00C70964" w:rsidRDefault="00DB78B7" w:rsidP="003F3E1A">
      <w:pPr>
        <w:pStyle w:val="Casehead2"/>
        <w:keepNext/>
        <w:rPr>
          <w:rFonts w:eastAsia="Arial Unicode MS"/>
          <w:lang w:val="en-GB" w:eastAsia="ar-SA"/>
        </w:rPr>
      </w:pPr>
      <w:r w:rsidRPr="00C70964">
        <w:rPr>
          <w:rFonts w:eastAsia="Arial Unicode MS"/>
          <w:lang w:val="en-GB" w:eastAsia="ar-SA"/>
        </w:rPr>
        <w:t>Corby Spirit and Wine Limited</w:t>
      </w:r>
    </w:p>
    <w:p w14:paraId="627BBD73" w14:textId="77777777" w:rsidR="00DB78B7" w:rsidRPr="00C70964" w:rsidRDefault="00DB78B7" w:rsidP="003F3E1A">
      <w:pPr>
        <w:pStyle w:val="BodyTextMain"/>
        <w:keepNext/>
        <w:rPr>
          <w:rFonts w:eastAsia="Arial Unicode MS"/>
          <w:lang w:val="en-GB" w:eastAsia="ar-SA"/>
        </w:rPr>
      </w:pPr>
    </w:p>
    <w:p w14:paraId="401FD312" w14:textId="22EF4C53" w:rsidR="00DB78B7" w:rsidRPr="00C70964" w:rsidRDefault="00DB78B7" w:rsidP="003F3E1A">
      <w:pPr>
        <w:pStyle w:val="BodyTextMain"/>
        <w:keepNext/>
        <w:rPr>
          <w:rFonts w:eastAsia="Arial Unicode MS"/>
          <w:lang w:val="en-GB" w:eastAsia="hi-IN" w:bidi="hi-IN"/>
        </w:rPr>
      </w:pPr>
      <w:r w:rsidRPr="00C70964">
        <w:rPr>
          <w:rFonts w:eastAsia="Arial Unicode MS"/>
          <w:lang w:val="en-GB" w:eastAsia="hi-IN" w:bidi="hi-IN"/>
        </w:rPr>
        <w:t xml:space="preserve">This company marketed and distributed spirits and imported wines in Canada. </w:t>
      </w:r>
      <w:r w:rsidR="00D162EE">
        <w:rPr>
          <w:rFonts w:eastAsia="Arial Unicode MS"/>
          <w:lang w:val="en-GB" w:eastAsia="hi-IN" w:bidi="hi-IN"/>
        </w:rPr>
        <w:t>It</w:t>
      </w:r>
      <w:r w:rsidRPr="00C70964">
        <w:rPr>
          <w:rFonts w:eastAsia="Arial Unicode MS"/>
          <w:lang w:val="en-GB" w:eastAsia="hi-IN" w:bidi="hi-IN"/>
        </w:rPr>
        <w:t xml:space="preserve"> sold 21 per cent of the spirits purchased in Canada. In 2016–2017, </w:t>
      </w:r>
      <w:r w:rsidR="00D162EE">
        <w:rPr>
          <w:rFonts w:eastAsia="Arial Unicode MS"/>
          <w:lang w:val="en-GB" w:eastAsia="hi-IN" w:bidi="hi-IN"/>
        </w:rPr>
        <w:t>it</w:t>
      </w:r>
      <w:r w:rsidRPr="00C70964">
        <w:rPr>
          <w:rFonts w:eastAsia="Arial Unicode MS"/>
          <w:lang w:val="en-GB" w:eastAsia="hi-IN" w:bidi="hi-IN"/>
        </w:rPr>
        <w:t xml:space="preserve"> shipped just over 1 million cases of Jacob’s Creek wines.</w:t>
      </w:r>
      <w:r w:rsidRPr="00C70964">
        <w:rPr>
          <w:rFonts w:eastAsia="KaiTi_GB2312"/>
          <w:vertAlign w:val="superscript"/>
          <w:lang w:val="en-GB" w:eastAsia="ar-SA"/>
        </w:rPr>
        <w:endnoteReference w:id="90"/>
      </w:r>
      <w:r w:rsidRPr="00C70964">
        <w:rPr>
          <w:rFonts w:eastAsia="Arial Unicode MS"/>
          <w:lang w:val="en-GB" w:eastAsia="hi-IN" w:bidi="hi-IN"/>
        </w:rPr>
        <w:t xml:space="preserve"> </w:t>
      </w:r>
    </w:p>
    <w:p w14:paraId="1FF141C4" w14:textId="77777777" w:rsidR="00DB78B7" w:rsidRPr="00CD6AEA" w:rsidRDefault="00DB78B7" w:rsidP="009B2532">
      <w:pPr>
        <w:pStyle w:val="BodyTextMain"/>
        <w:rPr>
          <w:rFonts w:eastAsia="Arial Unicode MS"/>
          <w:sz w:val="14"/>
          <w:szCs w:val="14"/>
          <w:lang w:val="en-GB" w:eastAsia="hi-IN" w:bidi="hi-IN"/>
        </w:rPr>
      </w:pPr>
    </w:p>
    <w:p w14:paraId="0574C915" w14:textId="77777777" w:rsidR="00DB78B7" w:rsidRPr="00CD6AEA" w:rsidRDefault="00DB78B7" w:rsidP="009B2532">
      <w:pPr>
        <w:pStyle w:val="BodyTextMain"/>
        <w:rPr>
          <w:rFonts w:eastAsia="Arial Unicode MS"/>
          <w:sz w:val="14"/>
          <w:szCs w:val="14"/>
          <w:lang w:val="en-GB" w:eastAsia="hi-IN" w:bidi="hi-IN"/>
        </w:rPr>
      </w:pPr>
    </w:p>
    <w:p w14:paraId="6C52EC0A" w14:textId="34DF00C5" w:rsidR="00DB78B7" w:rsidRPr="00C70964" w:rsidRDefault="00DB78B7" w:rsidP="00CD6AEA">
      <w:pPr>
        <w:pStyle w:val="Casehead2"/>
        <w:keepNext/>
        <w:rPr>
          <w:rFonts w:eastAsia="Arial Unicode MS"/>
          <w:lang w:val="en-GB" w:eastAsia="ar-SA"/>
        </w:rPr>
      </w:pPr>
      <w:r w:rsidRPr="00C70964">
        <w:rPr>
          <w:rFonts w:eastAsia="Arial Unicode MS"/>
          <w:lang w:val="en-GB" w:eastAsia="ar-SA"/>
        </w:rPr>
        <w:t>Concho y Toro</w:t>
      </w:r>
    </w:p>
    <w:p w14:paraId="44362B6D" w14:textId="77777777" w:rsidR="00DB78B7" w:rsidRPr="00C70964" w:rsidRDefault="00DB78B7" w:rsidP="00CD6AEA">
      <w:pPr>
        <w:pStyle w:val="BodyTextMain"/>
        <w:keepNext/>
        <w:rPr>
          <w:rFonts w:eastAsia="Arial Unicode MS"/>
          <w:lang w:val="en-GB" w:eastAsia="ar-SA"/>
        </w:rPr>
      </w:pPr>
    </w:p>
    <w:p w14:paraId="6D2CCEBC" w14:textId="00AFF907" w:rsidR="00DB78B7" w:rsidRPr="00C70964" w:rsidRDefault="00DB78B7" w:rsidP="00CD6AEA">
      <w:pPr>
        <w:pStyle w:val="BodyTextMain"/>
        <w:keepNext/>
        <w:rPr>
          <w:rFonts w:eastAsia="Arial Unicode MS"/>
          <w:lang w:val="en-GB" w:eastAsia="hi-IN" w:bidi="hi-IN"/>
        </w:rPr>
      </w:pPr>
      <w:r w:rsidRPr="00C70964">
        <w:rPr>
          <w:rFonts w:eastAsia="Arial Unicode MS"/>
          <w:lang w:val="en-GB" w:eastAsia="hi-IN" w:bidi="hi-IN"/>
        </w:rPr>
        <w:t xml:space="preserve">This Chilean winery sold 5.1 per cent of </w:t>
      </w:r>
      <w:r w:rsidR="00D162EE">
        <w:rPr>
          <w:rFonts w:eastAsia="Arial Unicode MS"/>
          <w:lang w:val="en-GB" w:eastAsia="hi-IN" w:bidi="hi-IN"/>
        </w:rPr>
        <w:t>its</w:t>
      </w:r>
      <w:r w:rsidRPr="00C70964">
        <w:rPr>
          <w:rFonts w:eastAsia="Arial Unicode MS"/>
          <w:lang w:val="en-GB" w:eastAsia="hi-IN" w:bidi="hi-IN"/>
        </w:rPr>
        <w:t xml:space="preserve"> product in Canada. In 2018, sales in Canada decreased 5.5 per cent, although volume of sales decreased 9.2 per cent in the same period.</w:t>
      </w:r>
      <w:r w:rsidRPr="00C70964">
        <w:rPr>
          <w:rFonts w:eastAsia="KaiTi_GB2312"/>
          <w:vertAlign w:val="superscript"/>
          <w:lang w:val="en-GB" w:eastAsia="ar-SA"/>
        </w:rPr>
        <w:endnoteReference w:id="91"/>
      </w:r>
      <w:r w:rsidRPr="00C70964">
        <w:rPr>
          <w:rFonts w:eastAsia="Arial Unicode MS"/>
          <w:lang w:val="en-GB" w:eastAsia="hi-IN" w:bidi="hi-IN"/>
        </w:rPr>
        <w:t xml:space="preserve"> </w:t>
      </w:r>
    </w:p>
    <w:p w14:paraId="6B03EFD7" w14:textId="77777777" w:rsidR="00DB78B7" w:rsidRPr="00CD6AEA" w:rsidRDefault="00DB78B7" w:rsidP="009B2532">
      <w:pPr>
        <w:pStyle w:val="BodyTextMain"/>
        <w:rPr>
          <w:rFonts w:eastAsia="Arial Unicode MS"/>
          <w:sz w:val="14"/>
          <w:szCs w:val="14"/>
          <w:lang w:val="en-GB" w:eastAsia="hi-IN" w:bidi="hi-IN"/>
        </w:rPr>
      </w:pPr>
    </w:p>
    <w:p w14:paraId="1114FA87" w14:textId="77777777" w:rsidR="00DB78B7" w:rsidRPr="00CD6AEA" w:rsidRDefault="00DB78B7" w:rsidP="009B2532">
      <w:pPr>
        <w:pStyle w:val="BodyTextMain"/>
        <w:rPr>
          <w:rFonts w:eastAsia="Arial Unicode MS"/>
          <w:sz w:val="14"/>
          <w:szCs w:val="14"/>
          <w:lang w:val="en-GB" w:eastAsia="hi-IN" w:bidi="hi-IN"/>
        </w:rPr>
      </w:pPr>
    </w:p>
    <w:p w14:paraId="6CDBC46A" w14:textId="45AABAFF" w:rsidR="00DB78B7" w:rsidRPr="00C70964" w:rsidRDefault="00DB78B7" w:rsidP="00863E79">
      <w:pPr>
        <w:keepNext/>
        <w:widowControl w:val="0"/>
        <w:suppressAutoHyphens/>
        <w:spacing w:line="100" w:lineRule="atLeast"/>
        <w:jc w:val="both"/>
        <w:rPr>
          <w:rFonts w:ascii="Arial" w:eastAsia="Arial Unicode MS" w:hAnsi="Arial" w:cs="Arial"/>
          <w:b/>
          <w:color w:val="000000"/>
          <w:lang w:val="en-GB" w:eastAsia="ar-SA"/>
        </w:rPr>
      </w:pPr>
      <w:r w:rsidRPr="00C70964">
        <w:rPr>
          <w:rFonts w:ascii="Arial" w:eastAsia="Arial Unicode MS" w:hAnsi="Arial" w:cs="Arial"/>
          <w:b/>
          <w:color w:val="000000"/>
          <w:lang w:val="en-GB" w:eastAsia="ar-SA"/>
        </w:rPr>
        <w:lastRenderedPageBreak/>
        <w:t>Truett-Hurst Inc.</w:t>
      </w:r>
    </w:p>
    <w:p w14:paraId="460AF943" w14:textId="77777777" w:rsidR="00DB78B7" w:rsidRPr="00C70964" w:rsidRDefault="00DB78B7" w:rsidP="00863E79">
      <w:pPr>
        <w:pStyle w:val="BodyTextMain"/>
        <w:keepNext/>
        <w:rPr>
          <w:rFonts w:eastAsia="Arial Unicode MS"/>
          <w:lang w:val="en-GB" w:eastAsia="ar-SA"/>
        </w:rPr>
      </w:pPr>
    </w:p>
    <w:p w14:paraId="2E0968C4" w14:textId="35C27008" w:rsidR="00DB78B7" w:rsidRPr="00B54F0B" w:rsidRDefault="00DB78B7" w:rsidP="00863E79">
      <w:pPr>
        <w:pStyle w:val="BodyTextMain"/>
        <w:keepNext/>
        <w:rPr>
          <w:rFonts w:eastAsia="Arial Unicode MS" w:cs="Arial Unicode MS"/>
          <w:spacing w:val="-4"/>
          <w:lang w:val="en-GB" w:eastAsia="hi-IN" w:bidi="hi-IN"/>
        </w:rPr>
      </w:pPr>
      <w:r w:rsidRPr="00B54F0B">
        <w:rPr>
          <w:rFonts w:eastAsia="Arial Unicode MS" w:cs="Arial Unicode MS"/>
          <w:spacing w:val="-4"/>
          <w:lang w:val="en-GB" w:eastAsia="hi-IN" w:bidi="hi-IN"/>
        </w:rPr>
        <w:t xml:space="preserve">Located in California, this winery was of a similar size and in a similar development stage as Diamond’s winery business. </w:t>
      </w:r>
      <w:r w:rsidR="00D162EE" w:rsidRPr="00B54F0B">
        <w:rPr>
          <w:rFonts w:eastAsia="Arial Unicode MS" w:cs="Arial Unicode MS"/>
          <w:spacing w:val="-4"/>
          <w:lang w:val="en-GB" w:eastAsia="hi-IN" w:bidi="hi-IN"/>
        </w:rPr>
        <w:t>Its</w:t>
      </w:r>
      <w:r w:rsidRPr="00B54F0B">
        <w:rPr>
          <w:rFonts w:eastAsia="Arial Unicode MS" w:cs="Arial Unicode MS"/>
          <w:spacing w:val="-4"/>
          <w:lang w:val="en-GB" w:eastAsia="hi-IN" w:bidi="hi-IN"/>
        </w:rPr>
        <w:t xml:space="preserve"> D2C sales were only 27 per cent of revenue, but gross profit on this segment was 64 per cent, compared to 24 per cent of their wholesale channel. The company had started selling </w:t>
      </w:r>
      <w:r w:rsidR="00D162EE" w:rsidRPr="00B54F0B">
        <w:rPr>
          <w:rFonts w:eastAsia="Arial Unicode MS" w:cs="Arial Unicode MS"/>
          <w:spacing w:val="-4"/>
          <w:lang w:val="en-GB" w:eastAsia="hi-IN" w:bidi="hi-IN"/>
        </w:rPr>
        <w:t>its</w:t>
      </w:r>
      <w:r w:rsidRPr="00B54F0B">
        <w:rPr>
          <w:rFonts w:eastAsia="Arial Unicode MS" w:cs="Arial Unicode MS"/>
          <w:spacing w:val="-4"/>
          <w:lang w:val="en-GB" w:eastAsia="hi-IN" w:bidi="hi-IN"/>
        </w:rPr>
        <w:t xml:space="preserve"> products in Canada.</w:t>
      </w:r>
      <w:r w:rsidRPr="00B54F0B">
        <w:rPr>
          <w:rFonts w:eastAsia="KaiTi_GB2312"/>
          <w:color w:val="000000"/>
          <w:spacing w:val="-4"/>
          <w:vertAlign w:val="superscript"/>
          <w:lang w:val="en-GB" w:eastAsia="ar-SA"/>
        </w:rPr>
        <w:endnoteReference w:id="92"/>
      </w:r>
      <w:r w:rsidRPr="00B54F0B">
        <w:rPr>
          <w:rFonts w:eastAsia="Arial Unicode MS" w:cs="Arial Unicode MS"/>
          <w:spacing w:val="-4"/>
          <w:lang w:val="en-GB" w:eastAsia="hi-IN" w:bidi="hi-IN"/>
        </w:rPr>
        <w:t xml:space="preserve"> </w:t>
      </w:r>
    </w:p>
    <w:p w14:paraId="3A04F07C" w14:textId="77777777" w:rsidR="00DB78B7" w:rsidRPr="00CD6AEA" w:rsidRDefault="00DB78B7" w:rsidP="009B2532">
      <w:pPr>
        <w:pStyle w:val="BodyTextMain"/>
        <w:rPr>
          <w:rFonts w:eastAsia="Arial Unicode MS" w:cs="Arial Unicode MS"/>
          <w:sz w:val="14"/>
          <w:szCs w:val="14"/>
          <w:lang w:val="en-GB" w:eastAsia="hi-IN" w:bidi="hi-IN"/>
        </w:rPr>
      </w:pPr>
    </w:p>
    <w:p w14:paraId="6A8A913F" w14:textId="77777777" w:rsidR="00DB78B7" w:rsidRPr="00CD6AEA" w:rsidRDefault="00DB78B7" w:rsidP="009B2532">
      <w:pPr>
        <w:pStyle w:val="BodyTextMain"/>
        <w:rPr>
          <w:rFonts w:eastAsia="Arial Unicode MS" w:cs="Arial Unicode MS"/>
          <w:sz w:val="14"/>
          <w:szCs w:val="14"/>
          <w:lang w:val="en-GB" w:eastAsia="hi-IN" w:bidi="hi-IN"/>
        </w:rPr>
      </w:pPr>
    </w:p>
    <w:p w14:paraId="60F313AC" w14:textId="6F4F4604" w:rsidR="00DB78B7" w:rsidRPr="00C70964" w:rsidRDefault="00DB78B7" w:rsidP="009B2532">
      <w:pPr>
        <w:pStyle w:val="Casehead2"/>
        <w:rPr>
          <w:rFonts w:eastAsia="Arial Unicode MS"/>
          <w:lang w:val="en-GB" w:eastAsia="ar-SA"/>
        </w:rPr>
      </w:pPr>
      <w:r w:rsidRPr="00C70964">
        <w:rPr>
          <w:rFonts w:eastAsia="Arial Unicode MS"/>
          <w:lang w:val="en-GB" w:eastAsia="ar-SA"/>
        </w:rPr>
        <w:t xml:space="preserve">Treasury Wine Estates </w:t>
      </w:r>
    </w:p>
    <w:p w14:paraId="68469C00" w14:textId="77777777" w:rsidR="00DB78B7" w:rsidRPr="00C70964" w:rsidRDefault="00DB78B7" w:rsidP="009B2532">
      <w:pPr>
        <w:pStyle w:val="BodyTextMain"/>
        <w:rPr>
          <w:rFonts w:eastAsia="Arial Unicode MS"/>
          <w:lang w:val="en-GB" w:eastAsia="ar-SA"/>
        </w:rPr>
      </w:pPr>
    </w:p>
    <w:p w14:paraId="77DBA921" w14:textId="7F50C655"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 xml:space="preserve">This Australian winery, established in 1843, was one of the largest wine companies in the world, with vineyards in New Zealand, California, Italy, and Australia. Recent financial reports described a revamped approach to distribution in the United States, whereby the company was looking to shorten the value chain and achieve more direct sales and distribution agreements. This may have been a response to consolidation in the distribution industry. Their 19 Crimes label was a 2018 darling; after being named “Wine Brand of the Year” by MarketWatch, the label had a 50 per cent increase in shipments to Canada and a 131 per cent sales increase in the United States. Other strategic directions for the future included marketing improvements and building relationships with customers. To this end, </w:t>
      </w:r>
      <w:r w:rsidR="00723AFC">
        <w:rPr>
          <w:rFonts w:eastAsia="Arial Unicode MS"/>
          <w:lang w:val="en-GB" w:eastAsia="hi-IN" w:bidi="hi-IN"/>
        </w:rPr>
        <w:t>Treasury</w:t>
      </w:r>
      <w:r w:rsidRPr="00C70964">
        <w:rPr>
          <w:rFonts w:eastAsia="Arial Unicode MS"/>
          <w:lang w:val="en-GB" w:eastAsia="hi-IN" w:bidi="hi-IN"/>
        </w:rPr>
        <w:t xml:space="preserve"> had introduced augmented reality labels, where the picture on the wine label linked to a historical story.</w:t>
      </w:r>
      <w:r w:rsidRPr="00C70964">
        <w:rPr>
          <w:rFonts w:eastAsia="KaiTi_GB2312"/>
          <w:vertAlign w:val="superscript"/>
          <w:lang w:val="en-GB" w:eastAsia="ar-SA"/>
        </w:rPr>
        <w:endnoteReference w:id="93"/>
      </w:r>
    </w:p>
    <w:p w14:paraId="40F43DDD" w14:textId="77777777" w:rsidR="00DB78B7" w:rsidRPr="00CD6AEA" w:rsidRDefault="00DB78B7" w:rsidP="009B2532">
      <w:pPr>
        <w:pStyle w:val="BodyTextMain"/>
        <w:rPr>
          <w:rFonts w:eastAsia="Arial Unicode MS"/>
          <w:sz w:val="14"/>
          <w:szCs w:val="14"/>
          <w:lang w:val="en-GB" w:eastAsia="hi-IN" w:bidi="hi-IN"/>
        </w:rPr>
      </w:pPr>
    </w:p>
    <w:p w14:paraId="74F63042" w14:textId="77777777" w:rsidR="00DB78B7" w:rsidRPr="00CD6AEA" w:rsidRDefault="00DB78B7" w:rsidP="009B2532">
      <w:pPr>
        <w:pStyle w:val="BodyTextMain"/>
        <w:rPr>
          <w:rFonts w:eastAsia="Arial Unicode MS"/>
          <w:sz w:val="14"/>
          <w:szCs w:val="14"/>
          <w:lang w:val="en-GB" w:eastAsia="hi-IN" w:bidi="hi-IN"/>
        </w:rPr>
      </w:pPr>
    </w:p>
    <w:p w14:paraId="23A6402D" w14:textId="3A3975F8" w:rsidR="00DB78B7" w:rsidRPr="00C70964" w:rsidRDefault="00DB78B7" w:rsidP="009B2532">
      <w:pPr>
        <w:pStyle w:val="Casehead2"/>
        <w:rPr>
          <w:rFonts w:eastAsia="Arial Unicode MS"/>
          <w:lang w:val="en-GB" w:eastAsia="ar-SA"/>
        </w:rPr>
      </w:pPr>
      <w:proofErr w:type="spellStart"/>
      <w:r w:rsidRPr="00C70964">
        <w:rPr>
          <w:rFonts w:eastAsia="Arial Unicode MS"/>
          <w:lang w:val="en-GB" w:eastAsia="ar-SA"/>
        </w:rPr>
        <w:t>Arterra</w:t>
      </w:r>
      <w:proofErr w:type="spellEnd"/>
      <w:r w:rsidRPr="00C70964">
        <w:rPr>
          <w:rFonts w:eastAsia="Arial Unicode MS"/>
          <w:lang w:val="en-GB" w:eastAsia="ar-SA"/>
        </w:rPr>
        <w:t xml:space="preserve"> Wines Canada</w:t>
      </w:r>
    </w:p>
    <w:p w14:paraId="3BF8BCEA" w14:textId="77777777" w:rsidR="00DB78B7" w:rsidRPr="00C70964" w:rsidRDefault="00DB78B7" w:rsidP="009B2532">
      <w:pPr>
        <w:pStyle w:val="BodyTextMain"/>
        <w:rPr>
          <w:rFonts w:eastAsia="Arial Unicode MS"/>
          <w:lang w:val="en-GB" w:eastAsia="ar-SA"/>
        </w:rPr>
      </w:pPr>
    </w:p>
    <w:p w14:paraId="50742A2F" w14:textId="08430A43" w:rsidR="00DB78B7" w:rsidRPr="00C70964" w:rsidRDefault="00DB78B7" w:rsidP="009B2532">
      <w:pPr>
        <w:pStyle w:val="BodyTextMain"/>
        <w:rPr>
          <w:rFonts w:eastAsia="Arial Unicode MS" w:cs="Arial Unicode MS"/>
          <w:lang w:val="en-GB" w:eastAsia="hi-IN" w:bidi="hi-IN"/>
        </w:rPr>
      </w:pPr>
      <w:r w:rsidRPr="00C70964">
        <w:rPr>
          <w:rFonts w:eastAsia="Arial Unicode MS" w:cs="Arial Unicode MS"/>
          <w:lang w:val="en-GB" w:eastAsia="hi-IN" w:bidi="hi-IN"/>
        </w:rPr>
        <w:t xml:space="preserve">In 2017, Constellation sold </w:t>
      </w:r>
      <w:r w:rsidR="00723AFC">
        <w:rPr>
          <w:rFonts w:eastAsia="Arial Unicode MS" w:cs="Arial Unicode MS"/>
          <w:lang w:val="en-GB" w:eastAsia="hi-IN" w:bidi="hi-IN"/>
        </w:rPr>
        <w:t>its</w:t>
      </w:r>
      <w:r w:rsidRPr="00C70964">
        <w:rPr>
          <w:rFonts w:eastAsia="Arial Unicode MS" w:cs="Arial Unicode MS"/>
          <w:lang w:val="en-GB" w:eastAsia="hi-IN" w:bidi="hi-IN"/>
        </w:rPr>
        <w:t xml:space="preserve"> Canadian operations to private investors, which resulted in </w:t>
      </w:r>
      <w:proofErr w:type="spellStart"/>
      <w:r w:rsidRPr="00C70964">
        <w:rPr>
          <w:rFonts w:eastAsia="Arial Unicode MS" w:cs="Arial Unicode MS"/>
          <w:lang w:val="en-GB" w:eastAsia="hi-IN" w:bidi="hi-IN"/>
        </w:rPr>
        <w:t>Arterra</w:t>
      </w:r>
      <w:proofErr w:type="spellEnd"/>
      <w:r w:rsidRPr="00C70964">
        <w:rPr>
          <w:rFonts w:eastAsia="Arial Unicode MS" w:cs="Arial Unicode MS"/>
          <w:lang w:val="en-GB" w:eastAsia="hi-IN" w:bidi="hi-IN"/>
        </w:rPr>
        <w:t xml:space="preserve">. </w:t>
      </w:r>
      <w:proofErr w:type="spellStart"/>
      <w:r w:rsidRPr="00C70964">
        <w:rPr>
          <w:rFonts w:eastAsia="Arial Unicode MS" w:cs="Arial Unicode MS"/>
          <w:lang w:val="en-GB" w:eastAsia="hi-IN" w:bidi="hi-IN"/>
        </w:rPr>
        <w:t>Arterra</w:t>
      </w:r>
      <w:proofErr w:type="spellEnd"/>
      <w:r w:rsidRPr="00C70964">
        <w:rPr>
          <w:rFonts w:eastAsia="Arial Unicode MS" w:cs="Arial Unicode MS"/>
          <w:lang w:val="en-GB" w:eastAsia="hi-IN" w:bidi="hi-IN"/>
        </w:rPr>
        <w:t xml:space="preserve"> claimed eight of the top 20 brands in Canada, including Jackson-</w:t>
      </w:r>
      <w:proofErr w:type="spellStart"/>
      <w:r w:rsidRPr="00C70964">
        <w:rPr>
          <w:rFonts w:eastAsia="Arial Unicode MS" w:cs="Arial Unicode MS"/>
          <w:lang w:val="en-GB" w:eastAsia="hi-IN" w:bidi="hi-IN"/>
        </w:rPr>
        <w:t>Triggs</w:t>
      </w:r>
      <w:proofErr w:type="spellEnd"/>
      <w:r w:rsidRPr="00C70964">
        <w:rPr>
          <w:rFonts w:eastAsia="Arial Unicode MS" w:cs="Arial Unicode MS"/>
          <w:lang w:val="en-GB" w:eastAsia="hi-IN" w:bidi="hi-IN"/>
        </w:rPr>
        <w:t xml:space="preserve"> and </w:t>
      </w:r>
      <w:proofErr w:type="spellStart"/>
      <w:r w:rsidRPr="00C70964">
        <w:rPr>
          <w:rFonts w:eastAsia="Arial Unicode MS" w:cs="Arial Unicode MS"/>
          <w:lang w:val="en-GB" w:eastAsia="hi-IN" w:bidi="hi-IN"/>
        </w:rPr>
        <w:t>Inniskillin</w:t>
      </w:r>
      <w:proofErr w:type="spellEnd"/>
      <w:r w:rsidRPr="00C70964">
        <w:rPr>
          <w:rFonts w:eastAsia="Arial Unicode MS" w:cs="Arial Unicode MS"/>
          <w:lang w:val="en-GB" w:eastAsia="hi-IN" w:bidi="hi-IN"/>
        </w:rPr>
        <w:t xml:space="preserve">, with the top ice wine. </w:t>
      </w:r>
      <w:r w:rsidR="00EE0620">
        <w:rPr>
          <w:rFonts w:eastAsia="Arial Unicode MS" w:cs="Arial Unicode MS"/>
          <w:lang w:val="en-GB" w:eastAsia="hi-IN" w:bidi="hi-IN"/>
        </w:rPr>
        <w:t>It</w:t>
      </w:r>
      <w:r w:rsidRPr="00C70964">
        <w:rPr>
          <w:rFonts w:eastAsia="Arial Unicode MS" w:cs="Arial Unicode MS"/>
          <w:lang w:val="en-GB" w:eastAsia="hi-IN" w:bidi="hi-IN"/>
        </w:rPr>
        <w:t xml:space="preserve"> stated that </w:t>
      </w:r>
      <w:r w:rsidR="00EE0620">
        <w:rPr>
          <w:rFonts w:eastAsia="Arial Unicode MS" w:cs="Arial Unicode MS"/>
          <w:lang w:val="en-GB" w:eastAsia="hi-IN" w:bidi="hi-IN"/>
        </w:rPr>
        <w:t>it</w:t>
      </w:r>
      <w:r w:rsidRPr="00C70964">
        <w:rPr>
          <w:rFonts w:eastAsia="Arial Unicode MS" w:cs="Arial Unicode MS"/>
          <w:lang w:val="en-GB" w:eastAsia="hi-IN" w:bidi="hi-IN"/>
        </w:rPr>
        <w:t xml:space="preserve"> w</w:t>
      </w:r>
      <w:r w:rsidR="00EE0620">
        <w:rPr>
          <w:rFonts w:eastAsia="Arial Unicode MS" w:cs="Arial Unicode MS"/>
          <w:lang w:val="en-GB" w:eastAsia="hi-IN" w:bidi="hi-IN"/>
        </w:rPr>
        <w:t>as</w:t>
      </w:r>
      <w:r w:rsidRPr="00C70964">
        <w:rPr>
          <w:rFonts w:eastAsia="Arial Unicode MS" w:cs="Arial Unicode MS"/>
          <w:lang w:val="en-GB" w:eastAsia="hi-IN" w:bidi="hi-IN"/>
        </w:rPr>
        <w:t xml:space="preserve"> “Canada’s leading producer and marketer of award-winning, globally recognized Canadian and imported wines.” </w:t>
      </w:r>
      <w:proofErr w:type="spellStart"/>
      <w:r w:rsidRPr="00C70964">
        <w:rPr>
          <w:rFonts w:eastAsia="Arial Unicode MS" w:cs="Arial Unicode MS"/>
          <w:lang w:val="en-GB" w:eastAsia="hi-IN" w:bidi="hi-IN"/>
        </w:rPr>
        <w:t>Arterra</w:t>
      </w:r>
      <w:proofErr w:type="spellEnd"/>
      <w:r w:rsidRPr="00C70964">
        <w:rPr>
          <w:rFonts w:eastAsia="Arial Unicode MS" w:cs="Arial Unicode MS"/>
          <w:lang w:val="en-GB" w:eastAsia="hi-IN" w:bidi="hi-IN"/>
        </w:rPr>
        <w:t xml:space="preserve"> operated Wine Rack, a segregated wine store within grocery stores, and also sold home winemaking kits. </w:t>
      </w:r>
      <w:r w:rsidR="00EE0620">
        <w:rPr>
          <w:rFonts w:eastAsia="Arial Unicode MS" w:cs="Arial Unicode MS"/>
          <w:lang w:val="en-GB" w:eastAsia="hi-IN" w:bidi="hi-IN"/>
        </w:rPr>
        <w:t>It</w:t>
      </w:r>
      <w:r w:rsidRPr="00C70964">
        <w:rPr>
          <w:rFonts w:eastAsia="Arial Unicode MS" w:cs="Arial Unicode MS"/>
          <w:lang w:val="en-GB" w:eastAsia="hi-IN" w:bidi="hi-IN"/>
        </w:rPr>
        <w:t xml:space="preserve"> had 2,000 employees, three commercial wineries, five estate wineries, and 1,700 acres across Canada’s wine-growing regions.</w:t>
      </w:r>
      <w:r w:rsidRPr="00C70964">
        <w:rPr>
          <w:rFonts w:eastAsia="KaiTi_GB2312"/>
          <w:vertAlign w:val="superscript"/>
          <w:lang w:val="en-GB" w:eastAsia="ar-SA"/>
        </w:rPr>
        <w:endnoteReference w:id="94"/>
      </w:r>
      <w:r w:rsidRPr="00C70964">
        <w:rPr>
          <w:rFonts w:eastAsia="Arial Unicode MS" w:cs="Arial Unicode MS"/>
          <w:lang w:val="en-GB" w:eastAsia="hi-IN" w:bidi="hi-IN"/>
        </w:rPr>
        <w:t xml:space="preserve"> </w:t>
      </w:r>
    </w:p>
    <w:p w14:paraId="13832A5D" w14:textId="77777777" w:rsidR="00DB78B7" w:rsidRPr="00CD6AEA" w:rsidRDefault="00DB78B7" w:rsidP="009B2532">
      <w:pPr>
        <w:pStyle w:val="BodyTextMain"/>
        <w:rPr>
          <w:rFonts w:eastAsia="Arial Unicode MS" w:cs="Arial Unicode MS"/>
          <w:sz w:val="14"/>
          <w:szCs w:val="14"/>
          <w:lang w:val="en-GB" w:eastAsia="hi-IN" w:bidi="hi-IN"/>
        </w:rPr>
      </w:pPr>
    </w:p>
    <w:p w14:paraId="29FCEABB" w14:textId="77777777" w:rsidR="00DB78B7" w:rsidRPr="00CD6AEA" w:rsidRDefault="00DB78B7" w:rsidP="009B2532">
      <w:pPr>
        <w:pStyle w:val="BodyTextMain"/>
        <w:rPr>
          <w:rFonts w:eastAsia="Arial Unicode MS" w:cs="Arial Unicode MS"/>
          <w:sz w:val="14"/>
          <w:szCs w:val="14"/>
          <w:lang w:val="en-GB" w:eastAsia="hi-IN" w:bidi="hi-IN"/>
        </w:rPr>
      </w:pPr>
    </w:p>
    <w:p w14:paraId="66C5E392" w14:textId="1C6E3049" w:rsidR="00DB78B7" w:rsidRPr="00C70964" w:rsidRDefault="00DB78B7" w:rsidP="009B2532">
      <w:pPr>
        <w:pStyle w:val="Casehead2"/>
        <w:rPr>
          <w:rFonts w:eastAsia="Arial Unicode MS"/>
          <w:lang w:val="en-GB" w:eastAsia="ar-SA"/>
        </w:rPr>
      </w:pPr>
      <w:r w:rsidRPr="00C70964">
        <w:rPr>
          <w:rFonts w:eastAsia="Arial Unicode MS"/>
          <w:lang w:val="en-GB" w:eastAsia="ar-SA"/>
        </w:rPr>
        <w:t>Constellation</w:t>
      </w:r>
    </w:p>
    <w:p w14:paraId="50B8377F" w14:textId="77777777" w:rsidR="00DB78B7" w:rsidRPr="00C70964" w:rsidRDefault="00DB78B7" w:rsidP="009B2532">
      <w:pPr>
        <w:pStyle w:val="BodyTextMain"/>
        <w:rPr>
          <w:rFonts w:eastAsia="Arial Unicode MS"/>
          <w:lang w:val="en-GB" w:eastAsia="ar-SA"/>
        </w:rPr>
      </w:pPr>
    </w:p>
    <w:p w14:paraId="4635ECB6" w14:textId="3867F60A" w:rsidR="00DB78B7" w:rsidRPr="00C70964" w:rsidRDefault="00DB78B7" w:rsidP="009B2532">
      <w:pPr>
        <w:pStyle w:val="BodyTextMain"/>
        <w:rPr>
          <w:rFonts w:eastAsia="Arial Unicode MS"/>
          <w:lang w:val="en-GB" w:eastAsia="hi-IN" w:bidi="hi-IN"/>
        </w:rPr>
      </w:pPr>
      <w:r w:rsidRPr="00C70964">
        <w:rPr>
          <w:rFonts w:eastAsia="Arial Unicode MS"/>
          <w:lang w:val="en-GB" w:eastAsia="hi-IN" w:bidi="hi-IN"/>
        </w:rPr>
        <w:t>Although no longer a competitor in the Canadian wine industry, the company’s strategic direction was instructive. Constellation was following a strategy of premiumization by providing more valuable products to their US customers. Constellation had also recently acquired a cannabis operation.</w:t>
      </w:r>
      <w:r w:rsidRPr="00C70964">
        <w:rPr>
          <w:rFonts w:eastAsia="KaiTi_GB2312"/>
          <w:vertAlign w:val="superscript"/>
          <w:lang w:val="en-GB" w:eastAsia="ar-SA"/>
        </w:rPr>
        <w:endnoteReference w:id="95"/>
      </w:r>
    </w:p>
    <w:p w14:paraId="1DC6D956" w14:textId="77777777" w:rsidR="00DB78B7" w:rsidRPr="00CD6AEA" w:rsidRDefault="00DB78B7" w:rsidP="009B2532">
      <w:pPr>
        <w:pStyle w:val="BodyTextMain"/>
        <w:rPr>
          <w:rFonts w:eastAsia="Arial Unicode MS"/>
          <w:sz w:val="14"/>
          <w:szCs w:val="14"/>
          <w:lang w:val="en-GB" w:eastAsia="hi-IN" w:bidi="hi-IN"/>
        </w:rPr>
      </w:pPr>
    </w:p>
    <w:p w14:paraId="708C7C33" w14:textId="77777777" w:rsidR="00DB78B7" w:rsidRPr="00CD6AEA" w:rsidRDefault="00DB78B7" w:rsidP="009B2532">
      <w:pPr>
        <w:pStyle w:val="BodyTextMain"/>
        <w:rPr>
          <w:rFonts w:eastAsia="Arial Unicode MS"/>
          <w:sz w:val="14"/>
          <w:szCs w:val="14"/>
          <w:lang w:val="en-GB" w:eastAsia="hi-IN" w:bidi="hi-IN"/>
        </w:rPr>
      </w:pPr>
    </w:p>
    <w:p w14:paraId="5885A710" w14:textId="77777777" w:rsidR="00DB78B7" w:rsidRPr="00C70964" w:rsidRDefault="00DB78B7" w:rsidP="009B2532">
      <w:pPr>
        <w:pStyle w:val="Casehead1"/>
        <w:rPr>
          <w:rFonts w:eastAsia="Arial Unicode MS"/>
          <w:lang w:val="en-GB" w:eastAsia="ar-SA"/>
        </w:rPr>
      </w:pPr>
      <w:r w:rsidRPr="00C70964">
        <w:rPr>
          <w:rFonts w:eastAsia="Arial Unicode MS"/>
          <w:lang w:val="en-GB" w:eastAsia="ar-SA"/>
        </w:rPr>
        <w:t>THE PATH AHEAD</w:t>
      </w:r>
    </w:p>
    <w:p w14:paraId="1A66F871" w14:textId="77777777" w:rsidR="00DB78B7" w:rsidRPr="00C70964" w:rsidRDefault="00DB78B7" w:rsidP="005F66FE">
      <w:pPr>
        <w:pStyle w:val="BodyTextMain"/>
        <w:jc w:val="left"/>
        <w:rPr>
          <w:rFonts w:eastAsia="Arial Unicode MS"/>
          <w:lang w:val="en-GB" w:eastAsia="ar-SA"/>
        </w:rPr>
      </w:pPr>
    </w:p>
    <w:p w14:paraId="5CADC739" w14:textId="77777777" w:rsidR="005F66FE" w:rsidRDefault="00DB78B7" w:rsidP="005F66FE">
      <w:pPr>
        <w:pStyle w:val="BodyTextMain"/>
        <w:rPr>
          <w:rFonts w:eastAsia="Arial Unicode MS"/>
        </w:rPr>
      </w:pPr>
      <w:r w:rsidRPr="000F29CC">
        <w:rPr>
          <w:rFonts w:eastAsia="Arial Unicode MS"/>
        </w:rPr>
        <w:t>Diamond’s goal was to become one of Canada’s top wine companies.</w:t>
      </w:r>
      <w:r w:rsidRPr="000F29CC">
        <w:rPr>
          <w:rFonts w:eastAsia="KaiTi_GB2312"/>
          <w:vertAlign w:val="superscript"/>
        </w:rPr>
        <w:endnoteReference w:id="96"/>
      </w:r>
      <w:r w:rsidRPr="000F29CC">
        <w:rPr>
          <w:rFonts w:eastAsia="Arial Unicode MS"/>
        </w:rPr>
        <w:t xml:space="preserve"> As a broadly ambitious statement, this could mean a number of things, applying to wine quality or quantity</w:t>
      </w:r>
      <w:r w:rsidR="00EE0620">
        <w:rPr>
          <w:rFonts w:eastAsia="Arial Unicode MS"/>
        </w:rPr>
        <w:t>,</w:t>
      </w:r>
      <w:r w:rsidRPr="000F29CC">
        <w:rPr>
          <w:rFonts w:eastAsia="Arial Unicode MS"/>
        </w:rPr>
        <w:t xml:space="preserve"> or both. To achieve the goal, broader distribution was likely required, which could be at a local, regional, or international level. Which metrics would be applied to demonstrate dominance—sales, awards, acreage, number of labels, number of wines? A small player in a fragmented industry, Diamond had a broad portfolio of assets spanning most of the value chain and had demonstrated a spectrum of important capabilities in a complex industry. It seemed a company bursting at the seams, ready to sprout new facets, but in which direction?</w:t>
      </w:r>
    </w:p>
    <w:p w14:paraId="2B1DBCE0" w14:textId="77777777" w:rsidR="005F66FE" w:rsidRDefault="005F66FE">
      <w:pPr>
        <w:spacing w:after="200" w:line="276" w:lineRule="auto"/>
        <w:rPr>
          <w:rFonts w:eastAsia="Arial Unicode MS"/>
          <w:sz w:val="22"/>
          <w:szCs w:val="22"/>
        </w:rPr>
      </w:pPr>
      <w:r>
        <w:rPr>
          <w:rFonts w:eastAsia="Arial Unicode MS"/>
        </w:rPr>
        <w:br w:type="page"/>
      </w:r>
    </w:p>
    <w:p w14:paraId="5BDF9F30" w14:textId="2EE3987F" w:rsidR="00DB78B7" w:rsidRPr="004C4F1A" w:rsidRDefault="00DB78B7" w:rsidP="005F66FE">
      <w:pPr>
        <w:pStyle w:val="BodyTextMain"/>
        <w:jc w:val="center"/>
        <w:rPr>
          <w:rStyle w:val="ExhibitHeadingChar"/>
          <w:rFonts w:eastAsia="Arial Unicode MS"/>
        </w:rPr>
      </w:pPr>
      <w:r w:rsidRPr="004C4F1A">
        <w:rPr>
          <w:rStyle w:val="ExhibitHeadingChar"/>
          <w:rFonts w:eastAsia="Arial Unicode MS"/>
        </w:rPr>
        <w:lastRenderedPageBreak/>
        <w:t>Exhibit 1: Market Share of Wine Sales in Canada and wine import Dynamics</w:t>
      </w:r>
    </w:p>
    <w:p w14:paraId="2CEAD266" w14:textId="77777777" w:rsidR="00DB78B7" w:rsidRPr="00F40142" w:rsidRDefault="00DB78B7" w:rsidP="00426D0E">
      <w:pPr>
        <w:pStyle w:val="BodyTextMain"/>
        <w:rPr>
          <w:rFonts w:eastAsia="Arial Unicode MS"/>
          <w:lang w:val="en-GB" w:eastAsia="hi-IN" w:bidi="hi-IN"/>
        </w:rPr>
      </w:pPr>
    </w:p>
    <w:tbl>
      <w:tblPr>
        <w:tblW w:w="0" w:type="auto"/>
        <w:jc w:val="center"/>
        <w:tblLayout w:type="fixed"/>
        <w:tblLook w:val="0000" w:firstRow="0" w:lastRow="0" w:firstColumn="0" w:lastColumn="0" w:noHBand="0" w:noVBand="0"/>
      </w:tblPr>
      <w:tblGrid>
        <w:gridCol w:w="1413"/>
        <w:gridCol w:w="2001"/>
        <w:gridCol w:w="2535"/>
        <w:gridCol w:w="2965"/>
      </w:tblGrid>
      <w:tr w:rsidR="00DB78B7" w:rsidRPr="00F40142" w14:paraId="2B765076" w14:textId="77777777" w:rsidTr="00A25446">
        <w:trPr>
          <w:trHeight w:val="665"/>
          <w:jc w:val="center"/>
        </w:trPr>
        <w:tc>
          <w:tcPr>
            <w:tcW w:w="1413" w:type="dxa"/>
            <w:tcBorders>
              <w:top w:val="single" w:sz="4" w:space="0" w:color="000000"/>
              <w:left w:val="single" w:sz="4" w:space="0" w:color="000000"/>
              <w:bottom w:val="single" w:sz="4" w:space="0" w:color="000000"/>
            </w:tcBorders>
            <w:shd w:val="clear" w:color="auto" w:fill="auto"/>
          </w:tcPr>
          <w:p w14:paraId="4796645A" w14:textId="77777777" w:rsidR="00DB78B7" w:rsidRPr="00F40142" w:rsidRDefault="00DB78B7" w:rsidP="00411B4A">
            <w:pPr>
              <w:pStyle w:val="ExhibitText"/>
              <w:snapToGrid w:val="0"/>
              <w:spacing w:line="100" w:lineRule="atLeast"/>
              <w:rPr>
                <w:rFonts w:eastAsia="Arial Unicode MS"/>
                <w:b/>
                <w:lang w:val="en-GB" w:eastAsia="hi-IN" w:bidi="hi-IN"/>
              </w:rPr>
            </w:pPr>
          </w:p>
        </w:tc>
        <w:tc>
          <w:tcPr>
            <w:tcW w:w="2001" w:type="dxa"/>
            <w:tcBorders>
              <w:top w:val="single" w:sz="4" w:space="0" w:color="000000"/>
              <w:left w:val="single" w:sz="4" w:space="0" w:color="000000"/>
              <w:bottom w:val="single" w:sz="4" w:space="0" w:color="000000"/>
            </w:tcBorders>
            <w:shd w:val="clear" w:color="auto" w:fill="auto"/>
          </w:tcPr>
          <w:p w14:paraId="6F94AD9B" w14:textId="5849D261" w:rsidR="00DB78B7" w:rsidRPr="00F40142" w:rsidRDefault="00DB78B7"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Market Share of Canadian Wine Sales</w:t>
            </w:r>
            <w:r>
              <w:rPr>
                <w:rFonts w:eastAsia="Arial Unicode MS"/>
                <w:b/>
                <w:lang w:val="en-GB" w:eastAsia="hi-IN" w:bidi="hi-IN"/>
              </w:rPr>
              <w:t>,</w:t>
            </w:r>
            <w:r w:rsidRPr="00F40142">
              <w:rPr>
                <w:rFonts w:eastAsia="Arial Unicode MS"/>
                <w:b/>
                <w:lang w:val="en-GB" w:eastAsia="hi-IN" w:bidi="hi-IN"/>
              </w:rPr>
              <w:t xml:space="preserve"> 2016</w:t>
            </w:r>
            <w:r>
              <w:rPr>
                <w:rFonts w:eastAsia="Arial Unicode MS"/>
                <w:b/>
                <w:lang w:val="en-GB" w:eastAsia="hi-IN" w:bidi="hi-IN"/>
              </w:rPr>
              <w:t xml:space="preserve"> (%)</w:t>
            </w:r>
          </w:p>
        </w:tc>
        <w:tc>
          <w:tcPr>
            <w:tcW w:w="2535" w:type="dxa"/>
            <w:tcBorders>
              <w:top w:val="single" w:sz="4" w:space="0" w:color="000000"/>
              <w:left w:val="single" w:sz="4" w:space="0" w:color="000000"/>
              <w:bottom w:val="single" w:sz="4" w:space="0" w:color="000000"/>
            </w:tcBorders>
            <w:shd w:val="clear" w:color="auto" w:fill="auto"/>
          </w:tcPr>
          <w:p w14:paraId="35D4F624" w14:textId="31B01B2D" w:rsidR="00DB78B7" w:rsidRPr="00F40142" w:rsidRDefault="00DB78B7"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Average Annual Growth in Sales in Canada</w:t>
            </w:r>
            <w:r>
              <w:rPr>
                <w:rFonts w:eastAsia="Arial Unicode MS"/>
                <w:b/>
                <w:lang w:val="en-GB" w:eastAsia="hi-IN" w:bidi="hi-IN"/>
              </w:rPr>
              <w:t xml:space="preserve">, </w:t>
            </w:r>
            <w:r w:rsidRPr="00F40142">
              <w:rPr>
                <w:rFonts w:eastAsia="Arial Unicode MS"/>
                <w:b/>
                <w:lang w:val="en-GB" w:eastAsia="hi-IN" w:bidi="hi-IN"/>
              </w:rPr>
              <w:t>2012</w:t>
            </w:r>
            <w:r>
              <w:rPr>
                <w:rFonts w:eastAsia="Arial Unicode MS"/>
                <w:b/>
                <w:lang w:val="en-GB" w:eastAsia="hi-IN" w:bidi="hi-IN"/>
              </w:rPr>
              <w:t>–</w:t>
            </w:r>
            <w:r w:rsidRPr="00F40142">
              <w:rPr>
                <w:rFonts w:eastAsia="Arial Unicode MS"/>
                <w:b/>
                <w:lang w:val="en-GB" w:eastAsia="hi-IN" w:bidi="hi-IN"/>
              </w:rPr>
              <w:t xml:space="preserve">2016 </w:t>
            </w:r>
            <w:r>
              <w:rPr>
                <w:rFonts w:eastAsia="Arial Unicode MS"/>
                <w:b/>
                <w:lang w:val="en-GB" w:eastAsia="hi-IN" w:bidi="hi-IN"/>
              </w:rPr>
              <w:t>(%)</w:t>
            </w: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45F38D08" w14:textId="4F88AFC0" w:rsidR="00DB78B7" w:rsidRPr="00F40142" w:rsidRDefault="00DB78B7" w:rsidP="00411B4A">
            <w:pPr>
              <w:pStyle w:val="ExhibitText"/>
              <w:spacing w:line="100" w:lineRule="atLeast"/>
              <w:jc w:val="center"/>
              <w:rPr>
                <w:lang w:val="en-GB"/>
              </w:rPr>
            </w:pPr>
            <w:r w:rsidRPr="00F40142">
              <w:rPr>
                <w:rFonts w:eastAsia="Arial Unicode MS"/>
                <w:b/>
                <w:lang w:val="en-GB" w:eastAsia="hi-IN" w:bidi="hi-IN"/>
              </w:rPr>
              <w:t xml:space="preserve">Average Annual Growth in Litres </w:t>
            </w:r>
            <w:r>
              <w:rPr>
                <w:rFonts w:eastAsia="Arial Unicode MS"/>
                <w:b/>
                <w:lang w:val="en-GB" w:eastAsia="hi-IN" w:bidi="hi-IN"/>
              </w:rPr>
              <w:t>Imported</w:t>
            </w:r>
            <w:r w:rsidRPr="00F40142">
              <w:rPr>
                <w:rFonts w:eastAsia="Arial Unicode MS"/>
                <w:b/>
                <w:lang w:val="en-GB" w:eastAsia="hi-IN" w:bidi="hi-IN"/>
              </w:rPr>
              <w:t xml:space="preserve"> into Canada</w:t>
            </w:r>
            <w:r>
              <w:rPr>
                <w:rFonts w:eastAsia="Arial Unicode MS"/>
                <w:b/>
                <w:lang w:val="en-GB" w:eastAsia="hi-IN" w:bidi="hi-IN"/>
              </w:rPr>
              <w:t xml:space="preserve">, </w:t>
            </w:r>
            <w:r w:rsidRPr="00F40142">
              <w:rPr>
                <w:rFonts w:eastAsia="Arial Unicode MS"/>
                <w:b/>
                <w:lang w:val="en-GB" w:eastAsia="hi-IN" w:bidi="hi-IN"/>
              </w:rPr>
              <w:t>2012</w:t>
            </w:r>
            <w:r>
              <w:rPr>
                <w:rFonts w:eastAsia="Arial Unicode MS"/>
                <w:b/>
                <w:lang w:val="en-GB" w:eastAsia="hi-IN" w:bidi="hi-IN"/>
              </w:rPr>
              <w:t>–</w:t>
            </w:r>
            <w:r w:rsidRPr="00F40142">
              <w:rPr>
                <w:rFonts w:eastAsia="Arial Unicode MS"/>
                <w:b/>
                <w:lang w:val="en-GB" w:eastAsia="hi-IN" w:bidi="hi-IN"/>
              </w:rPr>
              <w:t>2016</w:t>
            </w:r>
            <w:r>
              <w:rPr>
                <w:rFonts w:eastAsia="Arial Unicode MS"/>
                <w:b/>
                <w:lang w:val="en-GB" w:eastAsia="hi-IN" w:bidi="hi-IN"/>
              </w:rPr>
              <w:t xml:space="preserve"> (%)</w:t>
            </w:r>
          </w:p>
        </w:tc>
      </w:tr>
      <w:tr w:rsidR="00DB78B7" w:rsidRPr="00F40142" w14:paraId="4D042A73"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74F98F90" w14:textId="77777777" w:rsidR="00DB78B7" w:rsidRPr="00F40142" w:rsidRDefault="00DB78B7" w:rsidP="00411B4A">
            <w:pPr>
              <w:pStyle w:val="ExhibitText"/>
              <w:spacing w:line="100" w:lineRule="atLeast"/>
              <w:rPr>
                <w:rFonts w:eastAsia="Arial Unicode MS"/>
                <w:lang w:val="en-GB" w:eastAsia="hi-IN" w:bidi="hi-IN"/>
              </w:rPr>
            </w:pPr>
            <w:r w:rsidRPr="00F40142">
              <w:rPr>
                <w:rFonts w:eastAsia="Arial Unicode MS"/>
                <w:lang w:val="en-GB" w:eastAsia="hi-IN" w:bidi="hi-IN"/>
              </w:rPr>
              <w:t>Canada</w:t>
            </w:r>
          </w:p>
        </w:tc>
        <w:tc>
          <w:tcPr>
            <w:tcW w:w="2001" w:type="dxa"/>
            <w:tcBorders>
              <w:top w:val="single" w:sz="4" w:space="0" w:color="000000"/>
              <w:left w:val="single" w:sz="4" w:space="0" w:color="000000"/>
              <w:bottom w:val="single" w:sz="4" w:space="0" w:color="000000"/>
            </w:tcBorders>
            <w:shd w:val="clear" w:color="auto" w:fill="auto"/>
          </w:tcPr>
          <w:p w14:paraId="25057935" w14:textId="49CB31FD"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30</w:t>
            </w:r>
            <w:r>
              <w:rPr>
                <w:rFonts w:eastAsia="Arial Unicode MS"/>
                <w:lang w:val="en-GB" w:eastAsia="hi-IN" w:bidi="hi-IN"/>
              </w:rPr>
              <w:t>.0</w:t>
            </w:r>
          </w:p>
        </w:tc>
        <w:tc>
          <w:tcPr>
            <w:tcW w:w="2535" w:type="dxa"/>
            <w:tcBorders>
              <w:top w:val="single" w:sz="4" w:space="0" w:color="000000"/>
              <w:left w:val="single" w:sz="4" w:space="0" w:color="000000"/>
              <w:bottom w:val="single" w:sz="4" w:space="0" w:color="000000"/>
            </w:tcBorders>
            <w:shd w:val="clear" w:color="auto" w:fill="auto"/>
          </w:tcPr>
          <w:p w14:paraId="5E079D53" w14:textId="77777777" w:rsidR="00DB78B7" w:rsidRPr="00F40142" w:rsidRDefault="00DB78B7" w:rsidP="00411B4A">
            <w:pPr>
              <w:pStyle w:val="ExhibitText"/>
              <w:snapToGrid w:val="0"/>
              <w:spacing w:line="100" w:lineRule="atLeast"/>
              <w:jc w:val="right"/>
              <w:rPr>
                <w:rFonts w:eastAsia="Arial Unicode MS"/>
                <w:lang w:val="en-GB" w:eastAsia="hi-IN" w:bidi="hi-IN"/>
              </w:rPr>
            </w:pP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652B6665" w14:textId="77777777" w:rsidR="00DB78B7" w:rsidRPr="00F40142" w:rsidRDefault="00DB78B7" w:rsidP="00411B4A">
            <w:pPr>
              <w:pStyle w:val="ExhibitText"/>
              <w:snapToGrid w:val="0"/>
              <w:spacing w:line="100" w:lineRule="atLeast"/>
              <w:jc w:val="right"/>
              <w:rPr>
                <w:rFonts w:eastAsia="Arial Unicode MS"/>
                <w:lang w:val="en-GB" w:eastAsia="hi-IN" w:bidi="hi-IN"/>
              </w:rPr>
            </w:pPr>
          </w:p>
        </w:tc>
      </w:tr>
      <w:tr w:rsidR="00DB78B7" w:rsidRPr="00F40142" w14:paraId="4C70EB0E"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33DD5DFD" w14:textId="13499D91" w:rsidR="00DB78B7" w:rsidRPr="00F40142" w:rsidRDefault="00DB78B7" w:rsidP="00411B4A">
            <w:pPr>
              <w:pStyle w:val="ExhibitText"/>
              <w:spacing w:line="100" w:lineRule="atLeast"/>
              <w:rPr>
                <w:rFonts w:eastAsia="Arial Unicode MS"/>
                <w:lang w:val="en-GB" w:eastAsia="hi-IN" w:bidi="hi-IN"/>
              </w:rPr>
            </w:pPr>
            <w:r>
              <w:rPr>
                <w:rFonts w:eastAsia="Arial Unicode MS"/>
                <w:lang w:val="en-GB" w:eastAsia="hi-IN" w:bidi="hi-IN"/>
              </w:rPr>
              <w:t>United States</w:t>
            </w:r>
          </w:p>
        </w:tc>
        <w:tc>
          <w:tcPr>
            <w:tcW w:w="2001" w:type="dxa"/>
            <w:tcBorders>
              <w:top w:val="single" w:sz="4" w:space="0" w:color="000000"/>
              <w:left w:val="single" w:sz="4" w:space="0" w:color="000000"/>
              <w:bottom w:val="single" w:sz="4" w:space="0" w:color="000000"/>
            </w:tcBorders>
            <w:shd w:val="clear" w:color="auto" w:fill="auto"/>
          </w:tcPr>
          <w:p w14:paraId="4E6B6F14" w14:textId="0A2E7150"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15</w:t>
            </w:r>
            <w:r>
              <w:rPr>
                <w:rFonts w:eastAsia="Arial Unicode MS"/>
                <w:lang w:val="en-GB" w:eastAsia="hi-IN" w:bidi="hi-IN"/>
              </w:rPr>
              <w:t>.0</w:t>
            </w:r>
          </w:p>
        </w:tc>
        <w:tc>
          <w:tcPr>
            <w:tcW w:w="2535" w:type="dxa"/>
            <w:tcBorders>
              <w:top w:val="single" w:sz="4" w:space="0" w:color="000000"/>
              <w:left w:val="single" w:sz="4" w:space="0" w:color="000000"/>
              <w:bottom w:val="single" w:sz="4" w:space="0" w:color="000000"/>
            </w:tcBorders>
            <w:shd w:val="clear" w:color="auto" w:fill="auto"/>
          </w:tcPr>
          <w:p w14:paraId="0A9126A3" w14:textId="32BDAEEE"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7.70</w:t>
            </w: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7D8402EB" w14:textId="31ECA206" w:rsidR="00DB78B7" w:rsidRPr="00F40142" w:rsidRDefault="00DB78B7" w:rsidP="00411B4A">
            <w:pPr>
              <w:pStyle w:val="ExhibitText"/>
              <w:spacing w:line="100" w:lineRule="atLeast"/>
              <w:jc w:val="right"/>
              <w:rPr>
                <w:lang w:val="en-GB"/>
              </w:rPr>
            </w:pPr>
            <w:r w:rsidRPr="00F40142">
              <w:rPr>
                <w:rFonts w:eastAsia="Arial Unicode MS"/>
                <w:lang w:val="en-GB" w:eastAsia="hi-IN" w:bidi="hi-IN"/>
              </w:rPr>
              <w:t>5.50</w:t>
            </w:r>
          </w:p>
        </w:tc>
      </w:tr>
      <w:tr w:rsidR="00DB78B7" w:rsidRPr="00F40142" w14:paraId="7D7CD13B"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22F65154" w14:textId="77777777" w:rsidR="00DB78B7" w:rsidRPr="00F40142" w:rsidRDefault="00DB78B7" w:rsidP="00411B4A">
            <w:pPr>
              <w:pStyle w:val="ExhibitText"/>
              <w:spacing w:line="100" w:lineRule="atLeast"/>
              <w:rPr>
                <w:rFonts w:eastAsia="Arial Unicode MS"/>
                <w:lang w:val="en-GB" w:eastAsia="hi-IN" w:bidi="hi-IN"/>
              </w:rPr>
            </w:pPr>
            <w:r w:rsidRPr="00F40142">
              <w:rPr>
                <w:rFonts w:eastAsia="Arial Unicode MS"/>
                <w:lang w:val="en-GB" w:eastAsia="hi-IN" w:bidi="hi-IN"/>
              </w:rPr>
              <w:t>France</w:t>
            </w:r>
          </w:p>
        </w:tc>
        <w:tc>
          <w:tcPr>
            <w:tcW w:w="2001" w:type="dxa"/>
            <w:tcBorders>
              <w:top w:val="single" w:sz="4" w:space="0" w:color="000000"/>
              <w:left w:val="single" w:sz="4" w:space="0" w:color="000000"/>
              <w:bottom w:val="single" w:sz="4" w:space="0" w:color="000000"/>
            </w:tcBorders>
            <w:shd w:val="clear" w:color="auto" w:fill="auto"/>
          </w:tcPr>
          <w:p w14:paraId="5E9AC3CD" w14:textId="5E10978B"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14.5</w:t>
            </w:r>
          </w:p>
        </w:tc>
        <w:tc>
          <w:tcPr>
            <w:tcW w:w="2535" w:type="dxa"/>
            <w:tcBorders>
              <w:top w:val="single" w:sz="4" w:space="0" w:color="000000"/>
              <w:left w:val="single" w:sz="4" w:space="0" w:color="000000"/>
              <w:bottom w:val="single" w:sz="4" w:space="0" w:color="000000"/>
            </w:tcBorders>
            <w:shd w:val="clear" w:color="auto" w:fill="auto"/>
          </w:tcPr>
          <w:p w14:paraId="725689D4" w14:textId="3D92A7C2"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2.70</w:t>
            </w: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7CF27B9B" w14:textId="661CCF01" w:rsidR="00DB78B7" w:rsidRPr="00F40142" w:rsidRDefault="00DB78B7" w:rsidP="00411B4A">
            <w:pPr>
              <w:pStyle w:val="ExhibitText"/>
              <w:spacing w:line="100" w:lineRule="atLeast"/>
              <w:jc w:val="right"/>
              <w:rPr>
                <w:lang w:val="en-GB"/>
              </w:rPr>
            </w:pPr>
            <w:r>
              <w:rPr>
                <w:rFonts w:eastAsia="Arial Unicode MS"/>
                <w:lang w:val="en-GB" w:eastAsia="hi-IN" w:bidi="hi-IN"/>
              </w:rPr>
              <w:t>−</w:t>
            </w:r>
            <w:r w:rsidRPr="00F40142">
              <w:rPr>
                <w:rFonts w:eastAsia="Arial Unicode MS"/>
                <w:lang w:val="en-GB" w:eastAsia="hi-IN" w:bidi="hi-IN"/>
              </w:rPr>
              <w:t>1.30</w:t>
            </w:r>
          </w:p>
        </w:tc>
      </w:tr>
      <w:tr w:rsidR="00DB78B7" w:rsidRPr="00F40142" w14:paraId="2806D12B"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3873C23D" w14:textId="77777777" w:rsidR="00DB78B7" w:rsidRPr="00F40142" w:rsidRDefault="00DB78B7" w:rsidP="00411B4A">
            <w:pPr>
              <w:pStyle w:val="ExhibitText"/>
              <w:spacing w:line="100" w:lineRule="atLeast"/>
              <w:rPr>
                <w:rFonts w:eastAsia="Arial Unicode MS"/>
                <w:lang w:val="en-GB" w:eastAsia="hi-IN" w:bidi="hi-IN"/>
              </w:rPr>
            </w:pPr>
            <w:r w:rsidRPr="00F40142">
              <w:rPr>
                <w:rFonts w:eastAsia="Arial Unicode MS"/>
                <w:lang w:val="en-GB" w:eastAsia="hi-IN" w:bidi="hi-IN"/>
              </w:rPr>
              <w:t>Italy</w:t>
            </w:r>
          </w:p>
        </w:tc>
        <w:tc>
          <w:tcPr>
            <w:tcW w:w="2001" w:type="dxa"/>
            <w:tcBorders>
              <w:top w:val="single" w:sz="4" w:space="0" w:color="000000"/>
              <w:left w:val="single" w:sz="4" w:space="0" w:color="000000"/>
              <w:bottom w:val="single" w:sz="4" w:space="0" w:color="000000"/>
            </w:tcBorders>
            <w:shd w:val="clear" w:color="auto" w:fill="auto"/>
          </w:tcPr>
          <w:p w14:paraId="4BEF771A" w14:textId="7A3E4C9A"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14.4</w:t>
            </w:r>
          </w:p>
        </w:tc>
        <w:tc>
          <w:tcPr>
            <w:tcW w:w="2535" w:type="dxa"/>
            <w:tcBorders>
              <w:top w:val="single" w:sz="4" w:space="0" w:color="000000"/>
              <w:left w:val="single" w:sz="4" w:space="0" w:color="000000"/>
              <w:bottom w:val="single" w:sz="4" w:space="0" w:color="000000"/>
            </w:tcBorders>
            <w:shd w:val="clear" w:color="auto" w:fill="auto"/>
          </w:tcPr>
          <w:p w14:paraId="3CB8EB39" w14:textId="430D97B9"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5.20</w:t>
            </w: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1D24CE30" w14:textId="7B825DB5" w:rsidR="00DB78B7" w:rsidRPr="00F40142" w:rsidRDefault="00DB78B7" w:rsidP="00411B4A">
            <w:pPr>
              <w:pStyle w:val="ExhibitText"/>
              <w:spacing w:line="100" w:lineRule="atLeast"/>
              <w:jc w:val="right"/>
              <w:rPr>
                <w:lang w:val="en-GB"/>
              </w:rPr>
            </w:pPr>
            <w:r w:rsidRPr="00F40142">
              <w:rPr>
                <w:rFonts w:eastAsia="Arial Unicode MS"/>
                <w:lang w:val="en-GB" w:eastAsia="hi-IN" w:bidi="hi-IN"/>
              </w:rPr>
              <w:t>0.50</w:t>
            </w:r>
          </w:p>
        </w:tc>
      </w:tr>
      <w:tr w:rsidR="00DB78B7" w:rsidRPr="00F40142" w14:paraId="508A76DA"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28932E46" w14:textId="77777777" w:rsidR="00DB78B7" w:rsidRPr="00F40142" w:rsidRDefault="00DB78B7" w:rsidP="00411B4A">
            <w:pPr>
              <w:pStyle w:val="ExhibitText"/>
              <w:spacing w:line="100" w:lineRule="atLeast"/>
              <w:rPr>
                <w:rFonts w:eastAsia="Arial Unicode MS"/>
                <w:lang w:val="en-GB" w:eastAsia="hi-IN" w:bidi="hi-IN"/>
              </w:rPr>
            </w:pPr>
            <w:r w:rsidRPr="00F40142">
              <w:rPr>
                <w:rFonts w:eastAsia="Arial Unicode MS"/>
                <w:lang w:val="en-GB" w:eastAsia="hi-IN" w:bidi="hi-IN"/>
              </w:rPr>
              <w:t>Australia</w:t>
            </w:r>
          </w:p>
        </w:tc>
        <w:tc>
          <w:tcPr>
            <w:tcW w:w="2001" w:type="dxa"/>
            <w:tcBorders>
              <w:top w:val="single" w:sz="4" w:space="0" w:color="000000"/>
              <w:left w:val="single" w:sz="4" w:space="0" w:color="000000"/>
              <w:bottom w:val="single" w:sz="4" w:space="0" w:color="000000"/>
            </w:tcBorders>
            <w:shd w:val="clear" w:color="auto" w:fill="auto"/>
          </w:tcPr>
          <w:p w14:paraId="3162EA21" w14:textId="5351F039"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6.6</w:t>
            </w:r>
          </w:p>
        </w:tc>
        <w:tc>
          <w:tcPr>
            <w:tcW w:w="2535" w:type="dxa"/>
            <w:tcBorders>
              <w:top w:val="single" w:sz="4" w:space="0" w:color="000000"/>
              <w:left w:val="single" w:sz="4" w:space="0" w:color="000000"/>
              <w:bottom w:val="single" w:sz="4" w:space="0" w:color="000000"/>
            </w:tcBorders>
            <w:shd w:val="clear" w:color="auto" w:fill="auto"/>
          </w:tcPr>
          <w:p w14:paraId="3ABCBE65" w14:textId="1A9A75A2" w:rsidR="00DB78B7" w:rsidRPr="00F40142" w:rsidRDefault="00DB78B7" w:rsidP="00411B4A">
            <w:pPr>
              <w:pStyle w:val="ExhibitText"/>
              <w:spacing w:line="100" w:lineRule="atLeast"/>
              <w:jc w:val="right"/>
              <w:rPr>
                <w:rFonts w:eastAsia="Arial Unicode MS"/>
                <w:lang w:val="en-GB" w:eastAsia="hi-IN" w:bidi="hi-IN"/>
              </w:rPr>
            </w:pPr>
            <w:r>
              <w:rPr>
                <w:rFonts w:eastAsia="Arial Unicode MS"/>
                <w:lang w:val="en-GB" w:eastAsia="hi-IN" w:bidi="hi-IN"/>
              </w:rPr>
              <w:t>−</w:t>
            </w:r>
            <w:r w:rsidRPr="00F40142">
              <w:rPr>
                <w:rFonts w:eastAsia="Arial Unicode MS"/>
                <w:lang w:val="en-GB" w:eastAsia="hi-IN" w:bidi="hi-IN"/>
              </w:rPr>
              <w:t>1.20</w:t>
            </w: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75E0EA53" w14:textId="329F940E" w:rsidR="00DB78B7" w:rsidRPr="00F40142" w:rsidRDefault="00DB78B7" w:rsidP="00411B4A">
            <w:pPr>
              <w:pStyle w:val="ExhibitText"/>
              <w:spacing w:line="100" w:lineRule="atLeast"/>
              <w:jc w:val="right"/>
              <w:rPr>
                <w:lang w:val="en-GB"/>
              </w:rPr>
            </w:pPr>
            <w:r w:rsidRPr="00F40142">
              <w:rPr>
                <w:rFonts w:eastAsia="Arial Unicode MS"/>
                <w:lang w:val="en-GB" w:eastAsia="hi-IN" w:bidi="hi-IN"/>
              </w:rPr>
              <w:t>5.40</w:t>
            </w:r>
          </w:p>
        </w:tc>
      </w:tr>
      <w:tr w:rsidR="00DB78B7" w:rsidRPr="00F40142" w14:paraId="498200CA"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6AFE570B" w14:textId="77777777" w:rsidR="00DB78B7" w:rsidRPr="00F40142" w:rsidRDefault="00DB78B7" w:rsidP="00411B4A">
            <w:pPr>
              <w:pStyle w:val="ExhibitText"/>
              <w:spacing w:line="100" w:lineRule="atLeast"/>
              <w:rPr>
                <w:rFonts w:eastAsia="Arial Unicode MS"/>
                <w:lang w:val="en-GB" w:eastAsia="hi-IN" w:bidi="hi-IN"/>
              </w:rPr>
            </w:pPr>
            <w:r w:rsidRPr="00F40142">
              <w:rPr>
                <w:rFonts w:eastAsia="Arial Unicode MS"/>
                <w:lang w:val="en-GB" w:eastAsia="hi-IN" w:bidi="hi-IN"/>
              </w:rPr>
              <w:t>Chile</w:t>
            </w:r>
          </w:p>
        </w:tc>
        <w:tc>
          <w:tcPr>
            <w:tcW w:w="2001" w:type="dxa"/>
            <w:tcBorders>
              <w:top w:val="single" w:sz="4" w:space="0" w:color="000000"/>
              <w:left w:val="single" w:sz="4" w:space="0" w:color="000000"/>
              <w:bottom w:val="single" w:sz="4" w:space="0" w:color="000000"/>
            </w:tcBorders>
            <w:shd w:val="clear" w:color="auto" w:fill="auto"/>
          </w:tcPr>
          <w:p w14:paraId="3A5E36A2" w14:textId="2EFFAC83"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4.0</w:t>
            </w:r>
          </w:p>
        </w:tc>
        <w:tc>
          <w:tcPr>
            <w:tcW w:w="2535" w:type="dxa"/>
            <w:tcBorders>
              <w:top w:val="single" w:sz="4" w:space="0" w:color="000000"/>
              <w:left w:val="single" w:sz="4" w:space="0" w:color="000000"/>
              <w:bottom w:val="single" w:sz="4" w:space="0" w:color="000000"/>
            </w:tcBorders>
            <w:shd w:val="clear" w:color="auto" w:fill="auto"/>
          </w:tcPr>
          <w:p w14:paraId="4B62C595" w14:textId="2189E5BF"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8.00</w:t>
            </w: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2742D214" w14:textId="423FA727" w:rsidR="00DB78B7" w:rsidRPr="00F40142" w:rsidRDefault="00DB78B7" w:rsidP="00411B4A">
            <w:pPr>
              <w:pStyle w:val="ExhibitText"/>
              <w:spacing w:line="100" w:lineRule="atLeast"/>
              <w:jc w:val="right"/>
              <w:rPr>
                <w:lang w:val="en-GB"/>
              </w:rPr>
            </w:pPr>
            <w:r w:rsidRPr="00F40142">
              <w:rPr>
                <w:rFonts w:eastAsia="Arial Unicode MS"/>
                <w:lang w:val="en-GB" w:eastAsia="hi-IN" w:bidi="hi-IN"/>
              </w:rPr>
              <w:t>20.80</w:t>
            </w:r>
          </w:p>
        </w:tc>
      </w:tr>
      <w:tr w:rsidR="00DB78B7" w:rsidRPr="00F40142" w14:paraId="2D0495DA" w14:textId="77777777" w:rsidTr="00A25446">
        <w:trPr>
          <w:trHeight w:val="255"/>
          <w:jc w:val="center"/>
        </w:trPr>
        <w:tc>
          <w:tcPr>
            <w:tcW w:w="1413" w:type="dxa"/>
            <w:tcBorders>
              <w:top w:val="single" w:sz="4" w:space="0" w:color="000000"/>
              <w:left w:val="single" w:sz="4" w:space="0" w:color="000000"/>
              <w:bottom w:val="single" w:sz="4" w:space="0" w:color="000000"/>
            </w:tcBorders>
            <w:shd w:val="clear" w:color="auto" w:fill="auto"/>
          </w:tcPr>
          <w:p w14:paraId="1B650FB7" w14:textId="77777777" w:rsidR="00DB78B7" w:rsidRPr="00F40142" w:rsidRDefault="00DB78B7" w:rsidP="00411B4A">
            <w:pPr>
              <w:pStyle w:val="ExhibitText"/>
              <w:spacing w:line="100" w:lineRule="atLeast"/>
              <w:rPr>
                <w:rFonts w:eastAsia="Arial Unicode MS"/>
                <w:lang w:val="en-GB" w:eastAsia="hi-IN" w:bidi="hi-IN"/>
              </w:rPr>
            </w:pPr>
            <w:r w:rsidRPr="00F40142">
              <w:rPr>
                <w:rFonts w:eastAsia="Arial Unicode MS"/>
                <w:lang w:val="en-GB" w:eastAsia="hi-IN" w:bidi="hi-IN"/>
              </w:rPr>
              <w:t xml:space="preserve">Other* </w:t>
            </w:r>
          </w:p>
        </w:tc>
        <w:tc>
          <w:tcPr>
            <w:tcW w:w="2001" w:type="dxa"/>
            <w:tcBorders>
              <w:top w:val="single" w:sz="4" w:space="0" w:color="000000"/>
              <w:left w:val="single" w:sz="4" w:space="0" w:color="000000"/>
              <w:bottom w:val="single" w:sz="4" w:space="0" w:color="000000"/>
            </w:tcBorders>
            <w:shd w:val="clear" w:color="auto" w:fill="auto"/>
          </w:tcPr>
          <w:p w14:paraId="0F189A27" w14:textId="1EFC6A0C" w:rsidR="00DB78B7" w:rsidRPr="00F40142" w:rsidRDefault="00DB78B7"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15.5</w:t>
            </w:r>
          </w:p>
        </w:tc>
        <w:tc>
          <w:tcPr>
            <w:tcW w:w="2535" w:type="dxa"/>
            <w:tcBorders>
              <w:top w:val="single" w:sz="4" w:space="0" w:color="000000"/>
              <w:left w:val="single" w:sz="4" w:space="0" w:color="000000"/>
              <w:bottom w:val="single" w:sz="4" w:space="0" w:color="000000"/>
            </w:tcBorders>
            <w:shd w:val="clear" w:color="auto" w:fill="auto"/>
          </w:tcPr>
          <w:p w14:paraId="3DDE8643" w14:textId="77777777" w:rsidR="00DB78B7" w:rsidRPr="00F40142" w:rsidRDefault="00DB78B7" w:rsidP="00411B4A">
            <w:pPr>
              <w:pStyle w:val="ExhibitText"/>
              <w:snapToGrid w:val="0"/>
              <w:spacing w:line="100" w:lineRule="atLeast"/>
              <w:jc w:val="right"/>
              <w:rPr>
                <w:rFonts w:eastAsia="Arial Unicode MS"/>
                <w:lang w:val="en-GB" w:eastAsia="hi-IN" w:bidi="hi-IN"/>
              </w:rPr>
            </w:pPr>
          </w:p>
        </w:tc>
        <w:tc>
          <w:tcPr>
            <w:tcW w:w="2965" w:type="dxa"/>
            <w:tcBorders>
              <w:top w:val="single" w:sz="4" w:space="0" w:color="000000"/>
              <w:left w:val="single" w:sz="4" w:space="0" w:color="000000"/>
              <w:bottom w:val="single" w:sz="4" w:space="0" w:color="000000"/>
              <w:right w:val="single" w:sz="4" w:space="0" w:color="000000"/>
            </w:tcBorders>
            <w:shd w:val="clear" w:color="auto" w:fill="auto"/>
          </w:tcPr>
          <w:p w14:paraId="1CD185BE" w14:textId="77777777" w:rsidR="00DB78B7" w:rsidRPr="00F40142" w:rsidRDefault="00DB78B7" w:rsidP="00411B4A">
            <w:pPr>
              <w:pStyle w:val="ExhibitText"/>
              <w:snapToGrid w:val="0"/>
              <w:spacing w:line="100" w:lineRule="atLeast"/>
              <w:jc w:val="right"/>
              <w:rPr>
                <w:rFonts w:eastAsia="Arial Unicode MS"/>
                <w:lang w:val="en-GB" w:eastAsia="hi-IN" w:bidi="hi-IN"/>
              </w:rPr>
            </w:pPr>
          </w:p>
        </w:tc>
      </w:tr>
    </w:tbl>
    <w:p w14:paraId="23F59F25" w14:textId="77777777" w:rsidR="00DB78B7" w:rsidRPr="00F40142" w:rsidRDefault="00DB78B7" w:rsidP="00082F15">
      <w:pPr>
        <w:pStyle w:val="BodyTextMain"/>
        <w:rPr>
          <w:rFonts w:eastAsia="Arial Unicode MS"/>
          <w:lang w:val="en-GB" w:eastAsia="hi-IN" w:bidi="hi-IN"/>
        </w:rPr>
      </w:pPr>
    </w:p>
    <w:p w14:paraId="20E704D7" w14:textId="18491FEC" w:rsidR="00DB78B7" w:rsidRPr="00F40142" w:rsidRDefault="00DB78B7" w:rsidP="00426D0E">
      <w:pPr>
        <w:pStyle w:val="Footnote"/>
        <w:rPr>
          <w:rFonts w:eastAsia="Cambria"/>
          <w:lang w:val="en-GB"/>
        </w:rPr>
      </w:pPr>
      <w:r>
        <w:rPr>
          <w:rFonts w:eastAsia="Cambria"/>
          <w:lang w:val="en-GB"/>
        </w:rPr>
        <w:t>Note: *F</w:t>
      </w:r>
      <w:r w:rsidRPr="00F40142">
        <w:rPr>
          <w:rFonts w:eastAsia="Cambria"/>
          <w:lang w:val="en-GB"/>
        </w:rPr>
        <w:t xml:space="preserve">ragmented and shared by various European countries, Argentina, </w:t>
      </w:r>
      <w:r>
        <w:rPr>
          <w:rFonts w:eastAsia="Cambria"/>
          <w:lang w:val="en-GB"/>
        </w:rPr>
        <w:t>New Zealand</w:t>
      </w:r>
      <w:r w:rsidRPr="00F40142">
        <w:rPr>
          <w:rFonts w:eastAsia="Cambria"/>
          <w:lang w:val="en-GB"/>
        </w:rPr>
        <w:t>,</w:t>
      </w:r>
      <w:r>
        <w:rPr>
          <w:rFonts w:eastAsia="Cambria"/>
          <w:lang w:val="en-GB"/>
        </w:rPr>
        <w:t xml:space="preserve"> and</w:t>
      </w:r>
      <w:r w:rsidRPr="00F40142">
        <w:rPr>
          <w:rFonts w:eastAsia="Cambria"/>
          <w:lang w:val="en-GB"/>
        </w:rPr>
        <w:t xml:space="preserve"> South Africa</w:t>
      </w:r>
      <w:r>
        <w:rPr>
          <w:rFonts w:eastAsia="Cambria"/>
          <w:lang w:val="en-GB"/>
        </w:rPr>
        <w:t>.</w:t>
      </w:r>
    </w:p>
    <w:p w14:paraId="0D81151A" w14:textId="6AD7685D" w:rsidR="00DB78B7" w:rsidRPr="00F40142" w:rsidRDefault="00DB78B7" w:rsidP="00426D0E">
      <w:pPr>
        <w:pStyle w:val="Footnote"/>
        <w:rPr>
          <w:rFonts w:eastAsia="Arial Unicode MS"/>
          <w:lang w:val="en-GB" w:eastAsia="hi-IN" w:bidi="hi-IN"/>
        </w:rPr>
      </w:pPr>
      <w:r w:rsidRPr="00F40142">
        <w:rPr>
          <w:rFonts w:eastAsia="Cambria"/>
          <w:lang w:val="en-GB"/>
        </w:rPr>
        <w:t xml:space="preserve">Source: This chart was created by the </w:t>
      </w:r>
      <w:r w:rsidR="00362EAA">
        <w:rPr>
          <w:rFonts w:eastAsia="Cambria"/>
          <w:lang w:val="en-GB"/>
        </w:rPr>
        <w:t xml:space="preserve">case </w:t>
      </w:r>
      <w:r w:rsidRPr="00F40142">
        <w:rPr>
          <w:rFonts w:eastAsia="Cambria"/>
          <w:lang w:val="en-GB"/>
        </w:rPr>
        <w:t>authors using data from</w:t>
      </w:r>
      <w:r>
        <w:rPr>
          <w:rFonts w:eastAsia="Cambria"/>
          <w:lang w:val="en-GB"/>
        </w:rPr>
        <w:t xml:space="preserve"> </w:t>
      </w:r>
      <w:r w:rsidRPr="00F40142">
        <w:rPr>
          <w:rFonts w:eastAsia="Cambria"/>
          <w:lang w:val="en-GB"/>
        </w:rPr>
        <w:t>Statistics Canada,</w:t>
      </w:r>
      <w:r>
        <w:rPr>
          <w:rFonts w:eastAsia="Cambria"/>
          <w:lang w:val="en-GB"/>
        </w:rPr>
        <w:t xml:space="preserve"> “</w:t>
      </w:r>
      <w:r w:rsidRPr="00F40142">
        <w:rPr>
          <w:rFonts w:eastAsia="Cambria"/>
          <w:lang w:val="en-GB"/>
        </w:rPr>
        <w:t xml:space="preserve">Canadian Imports – Top Ten </w:t>
      </w:r>
      <w:r>
        <w:rPr>
          <w:rFonts w:eastAsia="Cambria"/>
          <w:lang w:val="en-GB"/>
        </w:rPr>
        <w:t>Markets in 2016</w:t>
      </w:r>
      <w:r w:rsidRPr="00F40142">
        <w:rPr>
          <w:rFonts w:eastAsia="Cambria"/>
          <w:lang w:val="en-GB"/>
        </w:rPr>
        <w:t>,</w:t>
      </w:r>
      <w:r>
        <w:rPr>
          <w:rFonts w:eastAsia="Cambria"/>
          <w:lang w:val="en-GB"/>
        </w:rPr>
        <w:t>”</w:t>
      </w:r>
      <w:r w:rsidRPr="00F40142">
        <w:rPr>
          <w:rFonts w:eastAsia="Cambria"/>
          <w:lang w:val="en-GB"/>
        </w:rPr>
        <w:t xml:space="preserve"> </w:t>
      </w:r>
      <w:r>
        <w:rPr>
          <w:rFonts w:eastAsia="Cambria"/>
          <w:lang w:val="en-GB"/>
        </w:rPr>
        <w:t xml:space="preserve">Canadian Vintners Association, </w:t>
      </w:r>
      <w:r w:rsidRPr="00F40142">
        <w:rPr>
          <w:rFonts w:eastAsia="Cambria"/>
          <w:lang w:val="en-GB"/>
        </w:rPr>
        <w:t xml:space="preserve">accessed </w:t>
      </w:r>
      <w:r>
        <w:rPr>
          <w:rFonts w:eastAsia="Cambria"/>
          <w:lang w:val="en-GB"/>
        </w:rPr>
        <w:t>February</w:t>
      </w:r>
      <w:r w:rsidRPr="00F40142">
        <w:rPr>
          <w:rFonts w:eastAsia="Cambria"/>
          <w:lang w:val="en-GB"/>
        </w:rPr>
        <w:t xml:space="preserve"> 12, 2019, </w:t>
      </w:r>
      <w:r w:rsidRPr="00F40142">
        <w:rPr>
          <w:lang w:val="en-GB"/>
        </w:rPr>
        <w:t xml:space="preserve">www.canadianvintners.com/wp-content/uploads/2017/10/2016-Top-10-Imports.pdf; </w:t>
      </w:r>
      <w:r w:rsidRPr="00F40142">
        <w:rPr>
          <w:rFonts w:eastAsia="Cambria"/>
          <w:lang w:val="en-GB"/>
        </w:rPr>
        <w:t>Statistics Canada,</w:t>
      </w:r>
      <w:r>
        <w:rPr>
          <w:rFonts w:eastAsia="Cambria"/>
          <w:lang w:val="en-GB"/>
        </w:rPr>
        <w:t>“</w:t>
      </w:r>
      <w:r w:rsidRPr="00484EBD">
        <w:t xml:space="preserve"> </w:t>
      </w:r>
      <w:r w:rsidRPr="00484EBD">
        <w:rPr>
          <w:rFonts w:eastAsia="Cambria"/>
          <w:lang w:val="en-GB"/>
        </w:rPr>
        <w:t>Canadian Wine Imports 2012–2016</w:t>
      </w:r>
      <w:r>
        <w:rPr>
          <w:rFonts w:eastAsia="Cambria"/>
          <w:lang w:val="en-GB"/>
        </w:rPr>
        <w:t>,”</w:t>
      </w:r>
      <w:r w:rsidRPr="00F40142">
        <w:rPr>
          <w:rFonts w:eastAsia="Cambria"/>
          <w:lang w:val="en-GB"/>
        </w:rPr>
        <w:t xml:space="preserve"> </w:t>
      </w:r>
      <w:r>
        <w:rPr>
          <w:rFonts w:eastAsia="Cambria"/>
          <w:lang w:val="en-GB"/>
        </w:rPr>
        <w:t>Canadian Vintners Association,</w:t>
      </w:r>
      <w:r w:rsidRPr="00F40142">
        <w:rPr>
          <w:rFonts w:eastAsia="Cambria"/>
          <w:lang w:val="en-GB"/>
        </w:rPr>
        <w:t xml:space="preserve"> accessed </w:t>
      </w:r>
      <w:r>
        <w:rPr>
          <w:rFonts w:eastAsia="Cambria"/>
          <w:lang w:val="en-GB"/>
        </w:rPr>
        <w:t>February</w:t>
      </w:r>
      <w:r w:rsidRPr="00F40142">
        <w:rPr>
          <w:rFonts w:eastAsia="Cambria"/>
          <w:lang w:val="en-GB"/>
        </w:rPr>
        <w:t xml:space="preserve"> 12, 2019, www.canadianvintners.com/wp-content/uploads/2017/08/Canadian-Wine-Imports-by-Country-2012-2016.pdf.</w:t>
      </w:r>
      <w:r>
        <w:rPr>
          <w:rFonts w:eastAsia="Cambria"/>
          <w:lang w:val="en-GB"/>
        </w:rPr>
        <w:t xml:space="preserve"> </w:t>
      </w:r>
    </w:p>
    <w:p w14:paraId="2C133BF2" w14:textId="77777777" w:rsidR="00DB78B7" w:rsidRPr="00F40142" w:rsidRDefault="00DB78B7" w:rsidP="00426D0E">
      <w:pPr>
        <w:pStyle w:val="BodyTextMain"/>
        <w:rPr>
          <w:rFonts w:eastAsia="Arial Unicode MS"/>
          <w:lang w:val="en-GB" w:eastAsia="hi-IN" w:bidi="hi-IN"/>
        </w:rPr>
      </w:pPr>
    </w:p>
    <w:p w14:paraId="78EF80E9" w14:textId="77777777" w:rsidR="00DB78B7" w:rsidRPr="00F40142" w:rsidRDefault="00DB78B7" w:rsidP="00426D0E">
      <w:pPr>
        <w:pStyle w:val="BodyTextMain"/>
        <w:rPr>
          <w:rFonts w:eastAsia="Arial Unicode MS"/>
          <w:lang w:val="en-GB" w:eastAsia="hi-IN" w:bidi="hi-IN"/>
        </w:rPr>
      </w:pPr>
    </w:p>
    <w:p w14:paraId="17316E39" w14:textId="2154B20E" w:rsidR="00DB78B7" w:rsidRPr="00F40142" w:rsidRDefault="00DB78B7" w:rsidP="00426D0E">
      <w:pPr>
        <w:pStyle w:val="ExhibitHeading"/>
        <w:rPr>
          <w:rFonts w:eastAsia="Arial Unicode MS" w:cs="Arial Unicode MS"/>
          <w:color w:val="000000"/>
          <w:kern w:val="1"/>
          <w:sz w:val="24"/>
          <w:szCs w:val="24"/>
          <w:lang w:val="en-GB" w:eastAsia="hi-IN" w:bidi="hi-IN"/>
        </w:rPr>
      </w:pPr>
      <w:r w:rsidRPr="00F40142">
        <w:rPr>
          <w:rFonts w:eastAsia="Cambria"/>
          <w:lang w:val="en-GB" w:eastAsia="hi-IN" w:bidi="hi-IN"/>
        </w:rPr>
        <w:t>Exhibit 2</w:t>
      </w:r>
      <w:r>
        <w:rPr>
          <w:rFonts w:eastAsia="Cambria"/>
          <w:lang w:val="en-GB" w:eastAsia="hi-IN" w:bidi="hi-IN"/>
        </w:rPr>
        <w:t>:</w:t>
      </w:r>
      <w:r w:rsidRPr="00F40142">
        <w:rPr>
          <w:rFonts w:eastAsia="Cambria"/>
          <w:lang w:val="en-GB" w:eastAsia="hi-IN" w:bidi="hi-IN"/>
        </w:rPr>
        <w:t xml:space="preserve"> Wine Consumption by Canadian Province</w:t>
      </w:r>
    </w:p>
    <w:p w14:paraId="5E5E32AF" w14:textId="77777777" w:rsidR="00DB78B7" w:rsidRPr="00577C01" w:rsidRDefault="00DB78B7" w:rsidP="00577C01">
      <w:pPr>
        <w:pStyle w:val="BodyTextMain"/>
        <w:rPr>
          <w:rFonts w:eastAsia="Arial Unicode MS"/>
        </w:rPr>
      </w:pPr>
    </w:p>
    <w:tbl>
      <w:tblPr>
        <w:tblW w:w="8642" w:type="dxa"/>
        <w:jc w:val="center"/>
        <w:tblLayout w:type="fixed"/>
        <w:tblLook w:val="0000" w:firstRow="0" w:lastRow="0" w:firstColumn="0" w:lastColumn="0" w:noHBand="0" w:noVBand="0"/>
      </w:tblPr>
      <w:tblGrid>
        <w:gridCol w:w="1838"/>
        <w:gridCol w:w="2552"/>
        <w:gridCol w:w="2409"/>
        <w:gridCol w:w="1843"/>
      </w:tblGrid>
      <w:tr w:rsidR="00DB78B7" w:rsidRPr="00F40142" w14:paraId="27D98E64" w14:textId="77777777" w:rsidTr="00A25446">
        <w:trPr>
          <w:trHeight w:val="647"/>
          <w:jc w:val="center"/>
        </w:trPr>
        <w:tc>
          <w:tcPr>
            <w:tcW w:w="1838" w:type="dxa"/>
            <w:tcBorders>
              <w:top w:val="single" w:sz="4" w:space="0" w:color="000000"/>
              <w:left w:val="single" w:sz="4" w:space="0" w:color="000000"/>
              <w:bottom w:val="single" w:sz="4" w:space="0" w:color="000000"/>
            </w:tcBorders>
            <w:shd w:val="clear" w:color="auto" w:fill="auto"/>
          </w:tcPr>
          <w:p w14:paraId="5ECB4355" w14:textId="77777777" w:rsidR="00DB78B7" w:rsidRPr="00F40142" w:rsidRDefault="00DB78B7" w:rsidP="00411B4A">
            <w:pPr>
              <w:pStyle w:val="ExhibitText"/>
              <w:snapToGrid w:val="0"/>
              <w:spacing w:line="100" w:lineRule="atLeast"/>
              <w:rPr>
                <w:rFonts w:eastAsia="Arial Unicode MS"/>
                <w:lang w:val="en-GB" w:eastAsia="hi-IN" w:bidi="hi-IN"/>
              </w:rPr>
            </w:pPr>
          </w:p>
        </w:tc>
        <w:tc>
          <w:tcPr>
            <w:tcW w:w="2552" w:type="dxa"/>
            <w:tcBorders>
              <w:top w:val="single" w:sz="4" w:space="0" w:color="000000"/>
              <w:left w:val="single" w:sz="4" w:space="0" w:color="000000"/>
              <w:bottom w:val="single" w:sz="4" w:space="0" w:color="000000"/>
            </w:tcBorders>
            <w:shd w:val="clear" w:color="auto" w:fill="auto"/>
            <w:vAlign w:val="center"/>
          </w:tcPr>
          <w:p w14:paraId="36E2F2F7" w14:textId="18C63CE9" w:rsidR="00DB78B7" w:rsidRPr="00F40142" w:rsidRDefault="00DB78B7" w:rsidP="00480FB4">
            <w:pPr>
              <w:pStyle w:val="ExhibitText"/>
              <w:spacing w:line="100" w:lineRule="atLeast"/>
              <w:jc w:val="center"/>
              <w:rPr>
                <w:rFonts w:eastAsia="Arial Unicode MS"/>
                <w:b/>
                <w:lang w:val="en-GB" w:eastAsia="hi-IN" w:bidi="hi-IN"/>
              </w:rPr>
            </w:pPr>
            <w:r w:rsidRPr="00F40142">
              <w:rPr>
                <w:rFonts w:eastAsia="Arial Unicode MS"/>
                <w:b/>
                <w:lang w:val="en-GB" w:eastAsia="hi-IN" w:bidi="hi-IN"/>
              </w:rPr>
              <w:t>Percentage of Canadian Wine Consumption</w:t>
            </w:r>
            <w:r>
              <w:rPr>
                <w:rFonts w:eastAsia="Arial Unicode MS"/>
                <w:b/>
                <w:lang w:val="en-GB" w:eastAsia="hi-IN" w:bidi="hi-IN"/>
              </w:rPr>
              <w:t xml:space="preserve">, </w:t>
            </w:r>
            <w:r w:rsidRPr="00F40142">
              <w:rPr>
                <w:rFonts w:eastAsia="Arial Unicode MS"/>
                <w:b/>
                <w:lang w:val="en-GB" w:eastAsia="hi-IN" w:bidi="hi-IN"/>
              </w:rPr>
              <w:t>2015</w:t>
            </w:r>
            <w:r>
              <w:rPr>
                <w:rFonts w:eastAsia="Arial Unicode MS"/>
                <w:b/>
                <w:lang w:val="en-GB" w:eastAsia="hi-IN" w:bidi="hi-IN"/>
              </w:rPr>
              <w:t>/</w:t>
            </w:r>
            <w:r w:rsidRPr="00F40142">
              <w:rPr>
                <w:rFonts w:eastAsia="Arial Unicode MS"/>
                <w:b/>
                <w:lang w:val="en-GB" w:eastAsia="hi-IN" w:bidi="hi-IN"/>
              </w:rPr>
              <w:t>16</w:t>
            </w:r>
            <w:r>
              <w:rPr>
                <w:rFonts w:eastAsia="Arial Unicode MS"/>
                <w:b/>
                <w:lang w:val="en-GB" w:eastAsia="hi-IN" w:bidi="hi-IN"/>
              </w:rPr>
              <w:t>*</w:t>
            </w:r>
            <w:r w:rsidR="00847DB8">
              <w:rPr>
                <w:rFonts w:eastAsia="Arial Unicode MS"/>
                <w:b/>
                <w:lang w:val="en-GB" w:eastAsia="hi-IN" w:bidi="hi-IN"/>
              </w:rPr>
              <w:t xml:space="preserve"> (%)</w:t>
            </w:r>
          </w:p>
        </w:tc>
        <w:tc>
          <w:tcPr>
            <w:tcW w:w="2409" w:type="dxa"/>
            <w:tcBorders>
              <w:top w:val="single" w:sz="4" w:space="0" w:color="000000"/>
              <w:left w:val="single" w:sz="4" w:space="0" w:color="000000"/>
              <w:bottom w:val="single" w:sz="4" w:space="0" w:color="000000"/>
            </w:tcBorders>
            <w:shd w:val="clear" w:color="auto" w:fill="auto"/>
            <w:vAlign w:val="center"/>
          </w:tcPr>
          <w:p w14:paraId="3B8FB477" w14:textId="52666E11" w:rsidR="00DB78B7" w:rsidRPr="00F40142" w:rsidRDefault="00DB78B7" w:rsidP="001D53BE">
            <w:pPr>
              <w:pStyle w:val="ExhibitText"/>
              <w:spacing w:line="100" w:lineRule="atLeast"/>
              <w:jc w:val="center"/>
              <w:rPr>
                <w:rFonts w:eastAsia="Arial Unicode MS"/>
                <w:b/>
                <w:lang w:val="en-GB" w:eastAsia="hi-IN" w:bidi="hi-IN"/>
              </w:rPr>
            </w:pPr>
            <w:r w:rsidRPr="00F40142">
              <w:rPr>
                <w:rFonts w:eastAsia="Arial Unicode MS"/>
                <w:b/>
                <w:lang w:val="en-GB" w:eastAsia="hi-IN" w:bidi="hi-IN"/>
              </w:rPr>
              <w:t>Growth in Wine Consumption</w:t>
            </w:r>
            <w:r>
              <w:rPr>
                <w:rFonts w:eastAsia="Arial Unicode MS"/>
                <w:b/>
                <w:lang w:val="en-GB" w:eastAsia="hi-IN" w:bidi="hi-IN"/>
              </w:rPr>
              <w:t>,</w:t>
            </w:r>
            <w:r w:rsidRPr="00F40142">
              <w:rPr>
                <w:rFonts w:eastAsia="Arial Unicode MS"/>
                <w:b/>
                <w:lang w:val="en-GB" w:eastAsia="hi-IN" w:bidi="hi-IN"/>
              </w:rPr>
              <w:t xml:space="preserve"> 2014/15 to 2015/16</w:t>
            </w:r>
            <w:r>
              <w:rPr>
                <w:rFonts w:eastAsia="Arial Unicode MS"/>
                <w:b/>
                <w:lang w:val="en-GB" w:eastAsia="hi-IN" w:bidi="hi-IN"/>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AFEB1" w14:textId="593216B8" w:rsidR="00DB78B7" w:rsidRPr="00F40142" w:rsidRDefault="00DB78B7" w:rsidP="005D7067">
            <w:pPr>
              <w:pStyle w:val="ExhibitText"/>
              <w:spacing w:line="100" w:lineRule="atLeast"/>
              <w:jc w:val="center"/>
              <w:rPr>
                <w:lang w:val="en-GB"/>
              </w:rPr>
            </w:pPr>
            <w:r w:rsidRPr="00F40142">
              <w:rPr>
                <w:rFonts w:eastAsia="Arial Unicode MS"/>
                <w:b/>
                <w:lang w:val="en-GB" w:eastAsia="hi-IN" w:bidi="hi-IN"/>
              </w:rPr>
              <w:t>Percentage of Canada</w:t>
            </w:r>
            <w:r>
              <w:rPr>
                <w:rFonts w:eastAsia="Arial Unicode MS"/>
                <w:b/>
                <w:lang w:val="en-GB" w:eastAsia="hi-IN" w:bidi="hi-IN"/>
              </w:rPr>
              <w:t>’</w:t>
            </w:r>
            <w:r w:rsidRPr="00F40142">
              <w:rPr>
                <w:rFonts w:eastAsia="Arial Unicode MS"/>
                <w:b/>
                <w:lang w:val="en-GB" w:eastAsia="hi-IN" w:bidi="hi-IN"/>
              </w:rPr>
              <w:t>s Population</w:t>
            </w:r>
            <w:r>
              <w:rPr>
                <w:rFonts w:eastAsia="Arial Unicode MS"/>
                <w:b/>
                <w:lang w:val="en-GB" w:eastAsia="hi-IN" w:bidi="hi-IN"/>
              </w:rPr>
              <w:t xml:space="preserve">, </w:t>
            </w:r>
            <w:r w:rsidRPr="00F40142">
              <w:rPr>
                <w:rFonts w:eastAsia="Arial Unicode MS"/>
                <w:b/>
                <w:lang w:val="en-GB" w:eastAsia="hi-IN" w:bidi="hi-IN"/>
              </w:rPr>
              <w:t>2016</w:t>
            </w:r>
          </w:p>
        </w:tc>
      </w:tr>
      <w:tr w:rsidR="00DB78B7" w:rsidRPr="00F40142" w14:paraId="01B73ADE"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60384DBF"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Newfoundland</w:t>
            </w:r>
          </w:p>
        </w:tc>
        <w:tc>
          <w:tcPr>
            <w:tcW w:w="2552" w:type="dxa"/>
            <w:tcBorders>
              <w:top w:val="single" w:sz="4" w:space="0" w:color="000000"/>
              <w:left w:val="single" w:sz="4" w:space="0" w:color="000000"/>
              <w:bottom w:val="single" w:sz="4" w:space="0" w:color="000000"/>
            </w:tcBorders>
            <w:shd w:val="clear" w:color="auto" w:fill="auto"/>
            <w:vAlign w:val="center"/>
          </w:tcPr>
          <w:p w14:paraId="6B0B73CC" w14:textId="719E80DC"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1.1</w:t>
            </w:r>
          </w:p>
        </w:tc>
        <w:tc>
          <w:tcPr>
            <w:tcW w:w="2409" w:type="dxa"/>
            <w:tcBorders>
              <w:top w:val="single" w:sz="4" w:space="0" w:color="000000"/>
              <w:left w:val="single" w:sz="4" w:space="0" w:color="000000"/>
              <w:bottom w:val="single" w:sz="4" w:space="0" w:color="000000"/>
            </w:tcBorders>
            <w:shd w:val="clear" w:color="auto" w:fill="auto"/>
            <w:vAlign w:val="center"/>
          </w:tcPr>
          <w:p w14:paraId="31664A07" w14:textId="79F8FF79"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7.2</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2BE31" w14:textId="68C266F7"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1.5</w:t>
            </w:r>
          </w:p>
        </w:tc>
      </w:tr>
      <w:tr w:rsidR="00DB78B7" w:rsidRPr="00F40142" w14:paraId="4C338B22"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6D59FAB0"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Prince Edward Island</w:t>
            </w:r>
          </w:p>
        </w:tc>
        <w:tc>
          <w:tcPr>
            <w:tcW w:w="2552" w:type="dxa"/>
            <w:tcBorders>
              <w:top w:val="single" w:sz="4" w:space="0" w:color="000000"/>
              <w:left w:val="single" w:sz="4" w:space="0" w:color="000000"/>
              <w:bottom w:val="single" w:sz="4" w:space="0" w:color="000000"/>
            </w:tcBorders>
            <w:shd w:val="clear" w:color="auto" w:fill="auto"/>
            <w:vAlign w:val="center"/>
          </w:tcPr>
          <w:p w14:paraId="2FF319F1" w14:textId="04F4F311"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0.2</w:t>
            </w:r>
          </w:p>
        </w:tc>
        <w:tc>
          <w:tcPr>
            <w:tcW w:w="2409" w:type="dxa"/>
            <w:tcBorders>
              <w:top w:val="single" w:sz="4" w:space="0" w:color="000000"/>
              <w:left w:val="single" w:sz="4" w:space="0" w:color="000000"/>
              <w:bottom w:val="single" w:sz="4" w:space="0" w:color="000000"/>
            </w:tcBorders>
            <w:shd w:val="clear" w:color="auto" w:fill="auto"/>
            <w:vAlign w:val="center"/>
          </w:tcPr>
          <w:p w14:paraId="1C37019A" w14:textId="606DBB31"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7.0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53CA0" w14:textId="441D84C7"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0.4</w:t>
            </w:r>
          </w:p>
        </w:tc>
      </w:tr>
      <w:tr w:rsidR="00DB78B7" w:rsidRPr="00F40142" w14:paraId="12BC32BA"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706D7C5A"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Nova Scotia</w:t>
            </w:r>
          </w:p>
        </w:tc>
        <w:tc>
          <w:tcPr>
            <w:tcW w:w="2552" w:type="dxa"/>
            <w:tcBorders>
              <w:top w:val="single" w:sz="4" w:space="0" w:color="000000"/>
              <w:left w:val="single" w:sz="4" w:space="0" w:color="000000"/>
              <w:bottom w:val="single" w:sz="4" w:space="0" w:color="000000"/>
            </w:tcBorders>
            <w:shd w:val="clear" w:color="auto" w:fill="auto"/>
            <w:vAlign w:val="center"/>
          </w:tcPr>
          <w:p w14:paraId="33488334" w14:textId="3B7BA993"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1.9</w:t>
            </w:r>
          </w:p>
        </w:tc>
        <w:tc>
          <w:tcPr>
            <w:tcW w:w="2409" w:type="dxa"/>
            <w:tcBorders>
              <w:top w:val="single" w:sz="4" w:space="0" w:color="000000"/>
              <w:left w:val="single" w:sz="4" w:space="0" w:color="000000"/>
              <w:bottom w:val="single" w:sz="4" w:space="0" w:color="000000"/>
            </w:tcBorders>
            <w:shd w:val="clear" w:color="auto" w:fill="auto"/>
            <w:vAlign w:val="center"/>
          </w:tcPr>
          <w:p w14:paraId="7FDE3B20" w14:textId="6CB338EA"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4.5</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F47A5" w14:textId="122539BB"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2.6</w:t>
            </w:r>
          </w:p>
        </w:tc>
      </w:tr>
      <w:tr w:rsidR="00DB78B7" w:rsidRPr="00F40142" w14:paraId="7468E72C"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58F2BC5F"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Quebec</w:t>
            </w:r>
          </w:p>
        </w:tc>
        <w:tc>
          <w:tcPr>
            <w:tcW w:w="2552" w:type="dxa"/>
            <w:tcBorders>
              <w:top w:val="single" w:sz="4" w:space="0" w:color="000000"/>
              <w:left w:val="single" w:sz="4" w:space="0" w:color="000000"/>
              <w:bottom w:val="single" w:sz="4" w:space="0" w:color="000000"/>
            </w:tcBorders>
            <w:shd w:val="clear" w:color="auto" w:fill="auto"/>
            <w:vAlign w:val="center"/>
          </w:tcPr>
          <w:p w14:paraId="73316831" w14:textId="39247FCB"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33.0</w:t>
            </w:r>
          </w:p>
        </w:tc>
        <w:tc>
          <w:tcPr>
            <w:tcW w:w="2409" w:type="dxa"/>
            <w:tcBorders>
              <w:top w:val="single" w:sz="4" w:space="0" w:color="000000"/>
              <w:left w:val="single" w:sz="4" w:space="0" w:color="000000"/>
              <w:bottom w:val="single" w:sz="4" w:space="0" w:color="000000"/>
            </w:tcBorders>
            <w:shd w:val="clear" w:color="auto" w:fill="auto"/>
            <w:vAlign w:val="center"/>
          </w:tcPr>
          <w:p w14:paraId="49771E48" w14:textId="329B5B59"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1.6</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17B02" w14:textId="484765D0"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23.2</w:t>
            </w:r>
          </w:p>
        </w:tc>
      </w:tr>
      <w:tr w:rsidR="00DB78B7" w:rsidRPr="00F40142" w14:paraId="0D81FC17"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77796F1A"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Ontario</w:t>
            </w:r>
          </w:p>
        </w:tc>
        <w:tc>
          <w:tcPr>
            <w:tcW w:w="2552" w:type="dxa"/>
            <w:tcBorders>
              <w:top w:val="single" w:sz="4" w:space="0" w:color="000000"/>
              <w:left w:val="single" w:sz="4" w:space="0" w:color="000000"/>
              <w:bottom w:val="single" w:sz="4" w:space="0" w:color="000000"/>
            </w:tcBorders>
            <w:shd w:val="clear" w:color="auto" w:fill="auto"/>
            <w:vAlign w:val="center"/>
          </w:tcPr>
          <w:p w14:paraId="08A83CD9" w14:textId="7619B8F2"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34.6</w:t>
            </w:r>
          </w:p>
        </w:tc>
        <w:tc>
          <w:tcPr>
            <w:tcW w:w="2409" w:type="dxa"/>
            <w:tcBorders>
              <w:top w:val="single" w:sz="4" w:space="0" w:color="000000"/>
              <w:left w:val="single" w:sz="4" w:space="0" w:color="000000"/>
              <w:bottom w:val="single" w:sz="4" w:space="0" w:color="000000"/>
            </w:tcBorders>
            <w:shd w:val="clear" w:color="auto" w:fill="auto"/>
            <w:vAlign w:val="center"/>
          </w:tcPr>
          <w:p w14:paraId="393302CF" w14:textId="0D0C465E"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5.8</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F9EF4" w14:textId="53D91AB1"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38.3</w:t>
            </w:r>
          </w:p>
        </w:tc>
      </w:tr>
      <w:tr w:rsidR="00DB78B7" w:rsidRPr="00F40142" w14:paraId="415E1DAA"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4EB0C52A"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Manitoba</w:t>
            </w:r>
          </w:p>
        </w:tc>
        <w:tc>
          <w:tcPr>
            <w:tcW w:w="2552" w:type="dxa"/>
            <w:tcBorders>
              <w:top w:val="single" w:sz="4" w:space="0" w:color="000000"/>
              <w:left w:val="single" w:sz="4" w:space="0" w:color="000000"/>
              <w:bottom w:val="single" w:sz="4" w:space="0" w:color="000000"/>
            </w:tcBorders>
            <w:shd w:val="clear" w:color="auto" w:fill="auto"/>
            <w:vAlign w:val="center"/>
          </w:tcPr>
          <w:p w14:paraId="6E88A8AF" w14:textId="4AE1DF07"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2.3</w:t>
            </w:r>
          </w:p>
        </w:tc>
        <w:tc>
          <w:tcPr>
            <w:tcW w:w="2409" w:type="dxa"/>
            <w:tcBorders>
              <w:top w:val="single" w:sz="4" w:space="0" w:color="000000"/>
              <w:left w:val="single" w:sz="4" w:space="0" w:color="000000"/>
              <w:bottom w:val="single" w:sz="4" w:space="0" w:color="000000"/>
            </w:tcBorders>
            <w:shd w:val="clear" w:color="auto" w:fill="auto"/>
            <w:vAlign w:val="center"/>
          </w:tcPr>
          <w:p w14:paraId="0BBC25E8" w14:textId="2AF4403E"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5.3</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6F126" w14:textId="5635EA81"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3.6</w:t>
            </w:r>
          </w:p>
        </w:tc>
      </w:tr>
      <w:tr w:rsidR="00DB78B7" w:rsidRPr="00F40142" w14:paraId="137B747E"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52A4DAF3"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Alberta</w:t>
            </w:r>
          </w:p>
        </w:tc>
        <w:tc>
          <w:tcPr>
            <w:tcW w:w="2552" w:type="dxa"/>
            <w:tcBorders>
              <w:top w:val="single" w:sz="4" w:space="0" w:color="000000"/>
              <w:left w:val="single" w:sz="4" w:space="0" w:color="000000"/>
              <w:bottom w:val="single" w:sz="4" w:space="0" w:color="000000"/>
            </w:tcBorders>
            <w:shd w:val="clear" w:color="auto" w:fill="auto"/>
            <w:vAlign w:val="center"/>
          </w:tcPr>
          <w:p w14:paraId="19706E1A" w14:textId="6D724455"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8.6</w:t>
            </w:r>
          </w:p>
        </w:tc>
        <w:tc>
          <w:tcPr>
            <w:tcW w:w="2409" w:type="dxa"/>
            <w:tcBorders>
              <w:top w:val="single" w:sz="4" w:space="0" w:color="000000"/>
              <w:left w:val="single" w:sz="4" w:space="0" w:color="000000"/>
              <w:bottom w:val="single" w:sz="4" w:space="0" w:color="000000"/>
            </w:tcBorders>
            <w:shd w:val="clear" w:color="auto" w:fill="auto"/>
            <w:vAlign w:val="center"/>
          </w:tcPr>
          <w:p w14:paraId="093C9C69" w14:textId="775157EC"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6.4</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92E20" w14:textId="53B4592E"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11.6</w:t>
            </w:r>
          </w:p>
        </w:tc>
      </w:tr>
      <w:tr w:rsidR="00DB78B7" w:rsidRPr="00F40142" w14:paraId="5F1BA097"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0230CAC9"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British Columbia</w:t>
            </w:r>
          </w:p>
        </w:tc>
        <w:tc>
          <w:tcPr>
            <w:tcW w:w="2552" w:type="dxa"/>
            <w:tcBorders>
              <w:top w:val="single" w:sz="4" w:space="0" w:color="000000"/>
              <w:left w:val="single" w:sz="4" w:space="0" w:color="000000"/>
              <w:bottom w:val="single" w:sz="4" w:space="0" w:color="000000"/>
            </w:tcBorders>
            <w:shd w:val="clear" w:color="auto" w:fill="auto"/>
            <w:vAlign w:val="center"/>
          </w:tcPr>
          <w:p w14:paraId="24E03FA9" w14:textId="48CE0D8E"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15.8</w:t>
            </w:r>
          </w:p>
        </w:tc>
        <w:tc>
          <w:tcPr>
            <w:tcW w:w="2409" w:type="dxa"/>
            <w:tcBorders>
              <w:top w:val="single" w:sz="4" w:space="0" w:color="000000"/>
              <w:left w:val="single" w:sz="4" w:space="0" w:color="000000"/>
              <w:bottom w:val="single" w:sz="4" w:space="0" w:color="000000"/>
            </w:tcBorders>
            <w:shd w:val="clear" w:color="auto" w:fill="auto"/>
            <w:vAlign w:val="center"/>
          </w:tcPr>
          <w:p w14:paraId="49F70A8B" w14:textId="06A6EAEE"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4.1</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C404D" w14:textId="23EAE43E"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13.2</w:t>
            </w:r>
          </w:p>
        </w:tc>
      </w:tr>
      <w:tr w:rsidR="00DB78B7" w:rsidRPr="00F40142" w14:paraId="34721F98" w14:textId="77777777" w:rsidTr="00A25446">
        <w:trPr>
          <w:trHeight w:val="300"/>
          <w:jc w:val="center"/>
        </w:trPr>
        <w:tc>
          <w:tcPr>
            <w:tcW w:w="1838" w:type="dxa"/>
            <w:tcBorders>
              <w:top w:val="single" w:sz="4" w:space="0" w:color="000000"/>
              <w:left w:val="single" w:sz="4" w:space="0" w:color="000000"/>
              <w:bottom w:val="single" w:sz="4" w:space="0" w:color="000000"/>
            </w:tcBorders>
            <w:shd w:val="clear" w:color="auto" w:fill="auto"/>
            <w:vAlign w:val="center"/>
          </w:tcPr>
          <w:p w14:paraId="41EC99CC" w14:textId="77777777" w:rsidR="00DB78B7" w:rsidRPr="00F40142" w:rsidRDefault="00DB78B7" w:rsidP="00A25446">
            <w:pPr>
              <w:pStyle w:val="ExhibitText"/>
              <w:spacing w:line="100" w:lineRule="atLeast"/>
              <w:jc w:val="left"/>
              <w:rPr>
                <w:rFonts w:eastAsia="Arial Unicode MS"/>
                <w:lang w:val="en-GB" w:eastAsia="hi-IN" w:bidi="hi-IN"/>
              </w:rPr>
            </w:pPr>
            <w:r w:rsidRPr="00F40142">
              <w:rPr>
                <w:rFonts w:eastAsia="Arial Unicode MS"/>
                <w:lang w:val="en-GB" w:eastAsia="hi-IN" w:bidi="hi-IN"/>
              </w:rPr>
              <w:t>Yukon</w:t>
            </w:r>
          </w:p>
        </w:tc>
        <w:tc>
          <w:tcPr>
            <w:tcW w:w="2552" w:type="dxa"/>
            <w:tcBorders>
              <w:top w:val="single" w:sz="4" w:space="0" w:color="000000"/>
              <w:left w:val="single" w:sz="4" w:space="0" w:color="000000"/>
              <w:bottom w:val="single" w:sz="4" w:space="0" w:color="000000"/>
            </w:tcBorders>
            <w:shd w:val="clear" w:color="auto" w:fill="auto"/>
            <w:vAlign w:val="center"/>
          </w:tcPr>
          <w:p w14:paraId="2CD4F1E4" w14:textId="0542E855" w:rsidR="00DB78B7" w:rsidRPr="00F40142" w:rsidRDefault="00DB78B7" w:rsidP="00480FB4">
            <w:pPr>
              <w:pStyle w:val="ExhibitText"/>
              <w:spacing w:line="100" w:lineRule="atLeast"/>
              <w:jc w:val="right"/>
              <w:rPr>
                <w:rFonts w:eastAsia="Arial Unicode MS"/>
                <w:lang w:val="en-GB" w:eastAsia="hi-IN" w:bidi="hi-IN"/>
              </w:rPr>
            </w:pPr>
            <w:r w:rsidRPr="00F40142">
              <w:rPr>
                <w:rFonts w:eastAsia="Arial Unicode MS"/>
                <w:lang w:val="en-GB" w:eastAsia="hi-IN" w:bidi="hi-IN"/>
              </w:rPr>
              <w:t>0.1</w:t>
            </w:r>
          </w:p>
        </w:tc>
        <w:tc>
          <w:tcPr>
            <w:tcW w:w="2409" w:type="dxa"/>
            <w:tcBorders>
              <w:top w:val="single" w:sz="4" w:space="0" w:color="000000"/>
              <w:left w:val="single" w:sz="4" w:space="0" w:color="000000"/>
              <w:bottom w:val="single" w:sz="4" w:space="0" w:color="000000"/>
            </w:tcBorders>
            <w:shd w:val="clear" w:color="auto" w:fill="auto"/>
            <w:vAlign w:val="center"/>
          </w:tcPr>
          <w:p w14:paraId="005075F3" w14:textId="4C8F590B" w:rsidR="00DB78B7" w:rsidRPr="00F40142" w:rsidRDefault="00DB78B7" w:rsidP="001D53BE">
            <w:pPr>
              <w:pStyle w:val="ExhibitText"/>
              <w:spacing w:line="100" w:lineRule="atLeast"/>
              <w:jc w:val="right"/>
              <w:rPr>
                <w:rFonts w:eastAsia="Arial Unicode MS"/>
                <w:lang w:val="en-GB" w:eastAsia="hi-IN" w:bidi="hi-IN"/>
              </w:rPr>
            </w:pPr>
            <w:r w:rsidRPr="00F40142">
              <w:rPr>
                <w:rFonts w:eastAsia="Arial Unicode MS"/>
                <w:lang w:val="en-GB" w:eastAsia="hi-IN" w:bidi="hi-IN"/>
              </w:rPr>
              <w:t>4.9</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98EA5" w14:textId="72D7B521" w:rsidR="00DB78B7" w:rsidRPr="00F40142" w:rsidRDefault="00DB78B7" w:rsidP="005D7067">
            <w:pPr>
              <w:pStyle w:val="ExhibitText"/>
              <w:spacing w:line="100" w:lineRule="atLeast"/>
              <w:jc w:val="right"/>
              <w:rPr>
                <w:lang w:val="en-GB"/>
              </w:rPr>
            </w:pPr>
            <w:r w:rsidRPr="00F40142">
              <w:rPr>
                <w:rFonts w:eastAsia="Arial Unicode MS"/>
                <w:lang w:val="en-GB" w:eastAsia="hi-IN" w:bidi="hi-IN"/>
              </w:rPr>
              <w:t>0.1</w:t>
            </w:r>
          </w:p>
        </w:tc>
      </w:tr>
    </w:tbl>
    <w:p w14:paraId="1932CF4E" w14:textId="77777777" w:rsidR="00DB78B7" w:rsidRPr="00F40142" w:rsidRDefault="00DB78B7" w:rsidP="00426D0E">
      <w:pPr>
        <w:pStyle w:val="FootnoteText"/>
        <w:rPr>
          <w:rFonts w:eastAsia="Arial Unicode MS"/>
          <w:lang w:val="en-GB"/>
        </w:rPr>
      </w:pPr>
    </w:p>
    <w:p w14:paraId="4D47A8F2" w14:textId="3FC0AB04" w:rsidR="00DB78B7" w:rsidRPr="00F40142" w:rsidRDefault="00DB78B7" w:rsidP="00426D0E">
      <w:pPr>
        <w:pStyle w:val="Footnote"/>
        <w:rPr>
          <w:rFonts w:eastAsia="Cambria"/>
          <w:lang w:val="en-GB"/>
        </w:rPr>
      </w:pPr>
      <w:r>
        <w:rPr>
          <w:rFonts w:eastAsia="Arial Unicode MS"/>
          <w:lang w:val="en-GB"/>
        </w:rPr>
        <w:t xml:space="preserve">Note: </w:t>
      </w:r>
      <w:r w:rsidRPr="00F40142">
        <w:rPr>
          <w:rFonts w:eastAsia="Arial Unicode MS"/>
          <w:lang w:val="en-GB"/>
        </w:rPr>
        <w:t xml:space="preserve">*By </w:t>
      </w:r>
      <w:r>
        <w:rPr>
          <w:rFonts w:eastAsia="Arial Unicode MS"/>
          <w:lang w:val="en-GB"/>
        </w:rPr>
        <w:t>sales;</w:t>
      </w:r>
      <w:r w:rsidRPr="00F40142">
        <w:rPr>
          <w:rFonts w:eastAsia="Arial Unicode MS"/>
          <w:lang w:val="en-GB"/>
        </w:rPr>
        <w:t xml:space="preserve"> </w:t>
      </w:r>
      <w:r>
        <w:rPr>
          <w:rFonts w:eastAsia="Arial Unicode MS"/>
          <w:lang w:val="en-GB"/>
        </w:rPr>
        <w:t>total</w:t>
      </w:r>
      <w:r w:rsidRPr="00F40142">
        <w:rPr>
          <w:rFonts w:eastAsia="Arial Unicode MS"/>
          <w:lang w:val="en-GB"/>
        </w:rPr>
        <w:t xml:space="preserve"> Canadian sales for period</w:t>
      </w:r>
      <w:r>
        <w:rPr>
          <w:rFonts w:eastAsia="Arial Unicode MS"/>
          <w:lang w:val="en-GB"/>
        </w:rPr>
        <w:t xml:space="preserve"> were</w:t>
      </w:r>
      <w:r w:rsidRPr="00F40142">
        <w:rPr>
          <w:rFonts w:eastAsia="Arial Unicode MS"/>
          <w:lang w:val="en-GB"/>
        </w:rPr>
        <w:t xml:space="preserve"> $6.97</w:t>
      </w:r>
      <w:r>
        <w:rPr>
          <w:rFonts w:eastAsia="Arial Unicode MS"/>
          <w:lang w:val="en-GB"/>
        </w:rPr>
        <w:t xml:space="preserve"> billion.</w:t>
      </w:r>
    </w:p>
    <w:p w14:paraId="51291BF0" w14:textId="081B69E7" w:rsidR="00DB78B7" w:rsidRPr="00F40142" w:rsidRDefault="00DB78B7" w:rsidP="00426D0E">
      <w:pPr>
        <w:pStyle w:val="Footnote"/>
        <w:rPr>
          <w:rFonts w:eastAsia="Arial Unicode MS" w:cs="Arial Unicode MS"/>
          <w:color w:val="000000"/>
          <w:kern w:val="1"/>
          <w:sz w:val="24"/>
          <w:szCs w:val="24"/>
          <w:lang w:val="en-GB" w:eastAsia="hi-IN" w:bidi="hi-IN"/>
        </w:rPr>
      </w:pPr>
      <w:r w:rsidRPr="00F40142">
        <w:rPr>
          <w:rFonts w:eastAsia="Cambria"/>
          <w:lang w:val="en-GB"/>
        </w:rPr>
        <w:t xml:space="preserve">Source: </w:t>
      </w:r>
      <w:r>
        <w:rPr>
          <w:rFonts w:eastAsia="Cambria"/>
          <w:lang w:val="en-GB"/>
        </w:rPr>
        <w:t>Created</w:t>
      </w:r>
      <w:r w:rsidRPr="00F40142">
        <w:rPr>
          <w:rFonts w:eastAsia="Cambria"/>
          <w:lang w:val="en-GB"/>
        </w:rPr>
        <w:t xml:space="preserve"> by the </w:t>
      </w:r>
      <w:r w:rsidR="00847DB8">
        <w:rPr>
          <w:rFonts w:eastAsia="Cambria"/>
          <w:lang w:val="en-GB"/>
        </w:rPr>
        <w:t xml:space="preserve">case </w:t>
      </w:r>
      <w:r w:rsidRPr="00F40142">
        <w:rPr>
          <w:rFonts w:eastAsia="Cambria"/>
          <w:lang w:val="en-GB"/>
        </w:rPr>
        <w:t>authors using data from Statistics Canada,</w:t>
      </w:r>
      <w:r w:rsidR="00927244">
        <w:rPr>
          <w:rFonts w:eastAsia="Cambria"/>
          <w:lang w:val="en-GB"/>
        </w:rPr>
        <w:t xml:space="preserve"> </w:t>
      </w:r>
      <w:r>
        <w:rPr>
          <w:rFonts w:eastAsia="Cambria"/>
          <w:lang w:val="en-GB"/>
        </w:rPr>
        <w:t>“</w:t>
      </w:r>
      <w:r w:rsidRPr="00C62F04">
        <w:rPr>
          <w:rFonts w:eastAsia="Cambria"/>
          <w:lang w:val="en-GB"/>
        </w:rPr>
        <w:t>Control and Sale of Alcoholic Beverages, Year Ending March 31, 2016</w:t>
      </w:r>
      <w:r>
        <w:rPr>
          <w:rFonts w:eastAsia="Cambria"/>
          <w:lang w:val="en-GB"/>
        </w:rPr>
        <w:t>,” The Daily,</w:t>
      </w:r>
      <w:r w:rsidRPr="00F40142">
        <w:rPr>
          <w:rFonts w:eastAsia="Cambria"/>
          <w:lang w:val="en-GB"/>
        </w:rPr>
        <w:t xml:space="preserve"> May 2, 2016, accessed </w:t>
      </w:r>
      <w:r>
        <w:rPr>
          <w:rFonts w:eastAsia="Cambria"/>
          <w:lang w:val="en-GB"/>
        </w:rPr>
        <w:t>February</w:t>
      </w:r>
      <w:r w:rsidRPr="00F40142">
        <w:rPr>
          <w:rFonts w:eastAsia="Cambria"/>
          <w:lang w:val="en-GB"/>
        </w:rPr>
        <w:t xml:space="preserve"> 12, 2019, www.statcan.gc.ca/daily-quotidien/170502/dq170502a-eng.htm.</w:t>
      </w:r>
    </w:p>
    <w:p w14:paraId="31219FBA" w14:textId="77777777" w:rsidR="00DB78B7" w:rsidRPr="00F40142" w:rsidRDefault="00DB78B7" w:rsidP="00426D0E">
      <w:pPr>
        <w:widowControl w:val="0"/>
        <w:shd w:val="clear" w:color="auto" w:fill="FFFFFF"/>
        <w:suppressAutoHyphens/>
        <w:spacing w:line="100" w:lineRule="atLeast"/>
        <w:rPr>
          <w:rFonts w:eastAsia="Arial Unicode MS" w:cs="Arial Unicode MS"/>
          <w:color w:val="000000"/>
          <w:kern w:val="1"/>
          <w:sz w:val="24"/>
          <w:szCs w:val="24"/>
          <w:lang w:val="en-GB" w:eastAsia="hi-IN" w:bidi="hi-IN"/>
        </w:rPr>
      </w:pPr>
    </w:p>
    <w:p w14:paraId="71F97EBB" w14:textId="77777777" w:rsidR="00DB78B7" w:rsidRPr="00F40142" w:rsidRDefault="00DB78B7" w:rsidP="00426D0E">
      <w:pPr>
        <w:spacing w:after="200" w:line="276" w:lineRule="auto"/>
        <w:rPr>
          <w:rFonts w:ascii="Arial" w:eastAsia="Arial Unicode MS" w:hAnsi="Arial" w:cs="Arial"/>
          <w:b/>
          <w:caps/>
          <w:lang w:val="en-GB" w:eastAsia="hi-IN" w:bidi="hi-IN"/>
        </w:rPr>
      </w:pPr>
    </w:p>
    <w:p w14:paraId="19AC3E2E" w14:textId="77777777" w:rsidR="00DB78B7" w:rsidRPr="00F40142" w:rsidRDefault="00DB78B7">
      <w:pPr>
        <w:spacing w:after="200" w:line="276" w:lineRule="auto"/>
        <w:rPr>
          <w:rFonts w:ascii="Arial" w:eastAsia="Arial Unicode MS" w:hAnsi="Arial" w:cs="Arial"/>
          <w:b/>
          <w:caps/>
          <w:lang w:val="en-GB"/>
        </w:rPr>
      </w:pPr>
      <w:r w:rsidRPr="00F40142">
        <w:rPr>
          <w:rFonts w:eastAsia="Arial Unicode MS"/>
          <w:lang w:val="en-GB"/>
        </w:rPr>
        <w:br w:type="page"/>
      </w:r>
    </w:p>
    <w:p w14:paraId="0B7FB5D0" w14:textId="755F913E" w:rsidR="00DB78B7" w:rsidRDefault="00DB78B7" w:rsidP="00BE0DF4">
      <w:pPr>
        <w:pStyle w:val="ExhibitHeading"/>
        <w:rPr>
          <w:rFonts w:eastAsia="Arial Unicode MS"/>
          <w:lang w:val="en-GB"/>
        </w:rPr>
      </w:pPr>
      <w:r w:rsidRPr="00F40142">
        <w:rPr>
          <w:rFonts w:eastAsia="Arial Unicode MS"/>
          <w:lang w:val="en-GB"/>
        </w:rPr>
        <w:lastRenderedPageBreak/>
        <w:t>Exhibit 3: Diamond Estates Winery &amp; Spirits Corporate Structure</w:t>
      </w:r>
    </w:p>
    <w:p w14:paraId="419CAEAA" w14:textId="6001F0F3" w:rsidR="00DB78B7" w:rsidRPr="00F40142" w:rsidRDefault="00DB78B7" w:rsidP="00BE0DF4">
      <w:pPr>
        <w:pStyle w:val="ExhibitHeading"/>
        <w:rPr>
          <w:lang w:val="en-GB"/>
        </w:rPr>
      </w:pPr>
    </w:p>
    <w:p w14:paraId="560A47CE" w14:textId="6E53E272" w:rsidR="00DB78B7" w:rsidRPr="00F40142" w:rsidRDefault="00DB78B7" w:rsidP="00411B4A">
      <w:pPr>
        <w:pStyle w:val="ExhibitHeading"/>
        <w:rPr>
          <w:rFonts w:eastAsia="Arial Unicode MS" w:cs="Arial Unicode MS"/>
          <w:color w:val="000000"/>
          <w:kern w:val="1"/>
          <w:sz w:val="24"/>
          <w:szCs w:val="24"/>
          <w:lang w:val="en-GB" w:eastAsia="hi-IN" w:bidi="hi-IN"/>
        </w:rPr>
      </w:pPr>
      <w:r w:rsidRPr="00F40142">
        <w:rPr>
          <w:noProof/>
          <w:lang w:val="en-CA" w:eastAsia="en-CA"/>
        </w:rPr>
        <mc:AlternateContent>
          <mc:Choice Requires="wpg">
            <w:drawing>
              <wp:anchor distT="0" distB="0" distL="114300" distR="114300" simplePos="0" relativeHeight="251665408" behindDoc="0" locked="0" layoutInCell="1" allowOverlap="1" wp14:anchorId="2914B8CC" wp14:editId="34D691D6">
                <wp:simplePos x="0" y="0"/>
                <wp:positionH relativeFrom="page">
                  <wp:posOffset>1049020</wp:posOffset>
                </wp:positionH>
                <wp:positionV relativeFrom="paragraph">
                  <wp:posOffset>209550</wp:posOffset>
                </wp:positionV>
                <wp:extent cx="5943600" cy="4494530"/>
                <wp:effectExtent l="0" t="0" r="19050" b="20320"/>
                <wp:wrapTopAndBottom/>
                <wp:docPr id="4098" name="Group 2">
                  <a:extLst xmlns:a="http://schemas.openxmlformats.org/drawingml/2006/main">
                    <a:ext uri="{FF2B5EF4-FFF2-40B4-BE49-F238E27FC236}">
                      <a16:creationId xmlns:a16="http://schemas.microsoft.com/office/drawing/2014/main" id="{AA82DB65-8926-41F4-BA64-34BFFDAE4B35}"/>
                    </a:ext>
                  </a:extLst>
                </wp:docPr>
                <wp:cNvGraphicFramePr/>
                <a:graphic xmlns:a="http://schemas.openxmlformats.org/drawingml/2006/main">
                  <a:graphicData uri="http://schemas.microsoft.com/office/word/2010/wordprocessingGroup">
                    <wpg:wgp>
                      <wpg:cNvGrpSpPr/>
                      <wpg:grpSpPr bwMode="auto">
                        <a:xfrm>
                          <a:off x="0" y="0"/>
                          <a:ext cx="5943600" cy="4494530"/>
                          <a:chOff x="0" y="48"/>
                          <a:chExt cx="5849" cy="3669"/>
                        </a:xfrm>
                      </wpg:grpSpPr>
                      <wps:wsp>
                        <wps:cNvPr id="2" name="Line 3">
                          <a:extLst>
                            <a:ext uri="{FF2B5EF4-FFF2-40B4-BE49-F238E27FC236}">
                              <a16:creationId xmlns:a16="http://schemas.microsoft.com/office/drawing/2014/main" id="{D171975D-01FA-4313-A6B9-D45DCA9A70BE}"/>
                            </a:ext>
                          </a:extLst>
                        </wps:cNvPr>
                        <wps:cNvCnPr/>
                        <wps:spPr bwMode="auto">
                          <a:xfrm>
                            <a:off x="3344" y="726"/>
                            <a:ext cx="1020" cy="724"/>
                          </a:xfrm>
                          <a:prstGeom prst="line">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AutoShape 4">
                          <a:extLst>
                            <a:ext uri="{FF2B5EF4-FFF2-40B4-BE49-F238E27FC236}">
                              <a16:creationId xmlns:a16="http://schemas.microsoft.com/office/drawing/2014/main" id="{11DFD3FF-1F2C-4557-A77B-33B99493D877}"/>
                            </a:ext>
                          </a:extLst>
                        </wps:cNvPr>
                        <wps:cNvSpPr>
                          <a:spLocks noChangeArrowheads="1"/>
                        </wps:cNvSpPr>
                        <wps:spPr bwMode="auto">
                          <a:xfrm>
                            <a:off x="1358" y="48"/>
                            <a:ext cx="2649" cy="678"/>
                          </a:xfrm>
                          <a:prstGeom prst="roundRect">
                            <a:avLst>
                              <a:gd name="adj" fmla="val 144"/>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5305F9"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Diamond Estates</w:t>
                              </w:r>
                            </w:p>
                            <w:p w14:paraId="7D18E5F0" w14:textId="148FA15B"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Pr>
                                  <w:rFonts w:ascii="Arial" w:hAnsi="Arial" w:cs="Arial"/>
                                  <w:color w:val="FFFFFF"/>
                                  <w:kern w:val="24"/>
                                  <w:sz w:val="22"/>
                                </w:rPr>
                                <w:t>CEO:</w:t>
                              </w:r>
                              <w:r w:rsidRPr="00411B4A">
                                <w:rPr>
                                  <w:rFonts w:ascii="Arial" w:hAnsi="Arial" w:cs="Arial"/>
                                  <w:color w:val="FFFFFF"/>
                                  <w:kern w:val="24"/>
                                  <w:sz w:val="22"/>
                                </w:rPr>
                                <w:t xml:space="preserve"> </w:t>
                              </w:r>
                              <w:r>
                                <w:rPr>
                                  <w:rFonts w:ascii="Arial" w:hAnsi="Arial" w:cs="Arial"/>
                                  <w:color w:val="FFFFFF"/>
                                  <w:kern w:val="24"/>
                                  <w:sz w:val="22"/>
                                </w:rPr>
                                <w:t xml:space="preserve">J. </w:t>
                              </w:r>
                              <w:r w:rsidRPr="00411B4A">
                                <w:rPr>
                                  <w:rFonts w:ascii="Arial" w:hAnsi="Arial" w:cs="Arial"/>
                                  <w:color w:val="FFFFFF"/>
                                  <w:kern w:val="24"/>
                                  <w:sz w:val="22"/>
                                </w:rPr>
                                <w:t xml:space="preserve">Murray </w:t>
                              </w:r>
                              <w:r>
                                <w:rPr>
                                  <w:rFonts w:ascii="Arial" w:hAnsi="Arial" w:cs="Arial"/>
                                  <w:color w:val="FFFFFF"/>
                                  <w:kern w:val="24"/>
                                  <w:sz w:val="22"/>
                                </w:rPr>
                                <w:t>Souter</w:t>
                              </w:r>
                            </w:p>
                            <w:p w14:paraId="3F3A2924"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Headquarters: Niagara-on-the-Lake, Ontario</w:t>
                              </w:r>
                            </w:p>
                          </w:txbxContent>
                        </wps:txbx>
                        <wps:bodyPr lIns="90000" tIns="60840" rIns="90000" bIns="45000" anchor="ctr"/>
                      </wps:wsp>
                      <wps:wsp>
                        <wps:cNvPr id="4" name="Line 5">
                          <a:extLst>
                            <a:ext uri="{FF2B5EF4-FFF2-40B4-BE49-F238E27FC236}">
                              <a16:creationId xmlns:a16="http://schemas.microsoft.com/office/drawing/2014/main" id="{CB268F74-15E6-4D86-BB3E-2201FDB95433}"/>
                            </a:ext>
                          </a:extLst>
                        </wps:cNvPr>
                        <wps:cNvCnPr/>
                        <wps:spPr bwMode="auto">
                          <a:xfrm flipH="1">
                            <a:off x="1167" y="726"/>
                            <a:ext cx="1116" cy="814"/>
                          </a:xfrm>
                          <a:prstGeom prst="line">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AutoShape 6">
                          <a:extLst>
                            <a:ext uri="{FF2B5EF4-FFF2-40B4-BE49-F238E27FC236}">
                              <a16:creationId xmlns:a16="http://schemas.microsoft.com/office/drawing/2014/main" id="{9B279DC7-8D20-4EEF-9CCC-C1BE8554032E}"/>
                            </a:ext>
                          </a:extLst>
                        </wps:cNvPr>
                        <wps:cNvSpPr>
                          <a:spLocks noChangeArrowheads="1"/>
                        </wps:cNvSpPr>
                        <wps:spPr bwMode="auto">
                          <a:xfrm>
                            <a:off x="0" y="1580"/>
                            <a:ext cx="2090" cy="868"/>
                          </a:xfrm>
                          <a:prstGeom prst="roundRect">
                            <a:avLst>
                              <a:gd name="adj" fmla="val 134"/>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4914C8"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 xml:space="preserve">Trajectory Beverage </w:t>
                              </w:r>
                            </w:p>
                            <w:p w14:paraId="4FAF1A2B" w14:textId="26A59FC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Partners</w:t>
                              </w:r>
                            </w:p>
                            <w:p w14:paraId="0B8BB17A"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President: Christopher Terrio,</w:t>
                              </w:r>
                            </w:p>
                            <w:p w14:paraId="09243E3C"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Oakville, Ontario</w:t>
                              </w:r>
                            </w:p>
                          </w:txbxContent>
                        </wps:txbx>
                        <wps:bodyPr lIns="90000" tIns="60840" rIns="90000" bIns="45000" anchor="ctr"/>
                      </wps:wsp>
                      <wps:wsp>
                        <wps:cNvPr id="6" name="Text Box 7">
                          <a:extLst>
                            <a:ext uri="{FF2B5EF4-FFF2-40B4-BE49-F238E27FC236}">
                              <a16:creationId xmlns:a16="http://schemas.microsoft.com/office/drawing/2014/main" id="{20CBD4F1-3BD0-4B45-A798-E3FACCFAE1D8}"/>
                            </a:ext>
                          </a:extLst>
                        </wps:cNvPr>
                        <wps:cNvSpPr txBox="1">
                          <a:spLocks noChangeArrowheads="1"/>
                        </wps:cNvSpPr>
                        <wps:spPr bwMode="auto">
                          <a:xfrm>
                            <a:off x="517" y="908"/>
                            <a:ext cx="691" cy="377"/>
                          </a:xfrm>
                          <a:prstGeom prst="rect">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743E04"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Agency </w:t>
                              </w:r>
                            </w:p>
                            <w:p w14:paraId="5C7BFE76"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Business</w:t>
                              </w:r>
                            </w:p>
                          </w:txbxContent>
                        </wps:txbx>
                        <wps:bodyPr wrap="none" lIns="90000" tIns="60840" rIns="90000" bIns="45000" anchor="ctr"/>
                      </wps:wsp>
                      <wps:wsp>
                        <wps:cNvPr id="7" name="Text Box 8">
                          <a:extLst>
                            <a:ext uri="{FF2B5EF4-FFF2-40B4-BE49-F238E27FC236}">
                              <a16:creationId xmlns:a16="http://schemas.microsoft.com/office/drawing/2014/main" id="{46D491E7-D5FB-4F76-94A9-93E670869162}"/>
                            </a:ext>
                          </a:extLst>
                        </wps:cNvPr>
                        <wps:cNvSpPr txBox="1">
                          <a:spLocks noChangeArrowheads="1"/>
                        </wps:cNvSpPr>
                        <wps:spPr bwMode="auto">
                          <a:xfrm>
                            <a:off x="4033" y="908"/>
                            <a:ext cx="691" cy="377"/>
                          </a:xfrm>
                          <a:prstGeom prst="rect">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DDAFF"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Winery </w:t>
                              </w:r>
                            </w:p>
                            <w:p w14:paraId="29273238"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Business</w:t>
                              </w:r>
                            </w:p>
                          </w:txbxContent>
                        </wps:txbx>
                        <wps:bodyPr wrap="none" lIns="90000" tIns="60840" rIns="90000" bIns="45000" anchor="ctr"/>
                      </wps:wsp>
                      <wps:wsp>
                        <wps:cNvPr id="8" name="AutoShape 9">
                          <a:extLst>
                            <a:ext uri="{FF2B5EF4-FFF2-40B4-BE49-F238E27FC236}">
                              <a16:creationId xmlns:a16="http://schemas.microsoft.com/office/drawing/2014/main" id="{92506204-55DE-49D1-831A-6F741BD86932}"/>
                            </a:ext>
                          </a:extLst>
                        </wps:cNvPr>
                        <wps:cNvSpPr>
                          <a:spLocks noChangeArrowheads="1"/>
                        </wps:cNvSpPr>
                        <wps:spPr bwMode="auto">
                          <a:xfrm>
                            <a:off x="3064" y="1496"/>
                            <a:ext cx="2505" cy="633"/>
                          </a:xfrm>
                          <a:prstGeom prst="roundRect">
                            <a:avLst>
                              <a:gd name="adj" fmla="val 157"/>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BE500E"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Diamond Estates</w:t>
                              </w:r>
                            </w:p>
                            <w:p w14:paraId="23120E64" w14:textId="652DE331"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General Admin</w:t>
                              </w:r>
                              <w:r>
                                <w:rPr>
                                  <w:rFonts w:ascii="Arial" w:hAnsi="Arial" w:cs="Arial"/>
                                  <w:color w:val="FFFFFF"/>
                                  <w:kern w:val="24"/>
                                  <w:sz w:val="22"/>
                                </w:rPr>
                                <w:t>.</w:t>
                              </w:r>
                              <w:r w:rsidRPr="00411B4A">
                                <w:rPr>
                                  <w:rFonts w:ascii="Arial" w:hAnsi="Arial" w:cs="Arial"/>
                                  <w:color w:val="FFFFFF"/>
                                  <w:kern w:val="24"/>
                                  <w:sz w:val="22"/>
                                </w:rPr>
                                <w:t xml:space="preserve"> (25% </w:t>
                              </w:r>
                              <w:r>
                                <w:rPr>
                                  <w:rFonts w:ascii="Arial" w:hAnsi="Arial" w:cs="Arial"/>
                                  <w:color w:val="FFFFFF"/>
                                  <w:kern w:val="24"/>
                                  <w:sz w:val="22"/>
                                </w:rPr>
                                <w:t>Staff</w:t>
                              </w:r>
                              <w:r w:rsidRPr="00411B4A">
                                <w:rPr>
                                  <w:rFonts w:ascii="Arial" w:hAnsi="Arial" w:cs="Arial"/>
                                  <w:color w:val="FFFFFF"/>
                                  <w:kern w:val="24"/>
                                  <w:sz w:val="22"/>
                                </w:rPr>
                                <w:t>)</w:t>
                              </w:r>
                              <w:r>
                                <w:rPr>
                                  <w:rFonts w:ascii="Arial" w:hAnsi="Arial" w:cs="Arial"/>
                                  <w:color w:val="FFFFFF"/>
                                  <w:kern w:val="24"/>
                                  <w:sz w:val="22"/>
                                </w:rPr>
                                <w:t>,</w:t>
                              </w:r>
                            </w:p>
                            <w:p w14:paraId="06BEDBFD" w14:textId="3F9296FF"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Niagara-on-the-Lake</w:t>
                              </w:r>
                              <w:r>
                                <w:rPr>
                                  <w:rFonts w:ascii="Arial" w:hAnsi="Arial" w:cs="Arial"/>
                                  <w:color w:val="FFFFFF"/>
                                  <w:kern w:val="24"/>
                                  <w:sz w:val="22"/>
                                </w:rPr>
                                <w:t>, Ontario</w:t>
                              </w:r>
                            </w:p>
                          </w:txbxContent>
                        </wps:txbx>
                        <wps:bodyPr lIns="90000" tIns="60840" rIns="90000" bIns="45000" anchor="ctr"/>
                      </wps:wsp>
                      <wps:wsp>
                        <wps:cNvPr id="9" name="AutoShape 10">
                          <a:extLst>
                            <a:ext uri="{FF2B5EF4-FFF2-40B4-BE49-F238E27FC236}">
                              <a16:creationId xmlns:a16="http://schemas.microsoft.com/office/drawing/2014/main" id="{CF909A2B-473E-4182-A65C-2310C4D921EB}"/>
                            </a:ext>
                          </a:extLst>
                        </wps:cNvPr>
                        <wps:cNvSpPr>
                          <a:spLocks noChangeArrowheads="1"/>
                        </wps:cNvSpPr>
                        <wps:spPr bwMode="auto">
                          <a:xfrm>
                            <a:off x="2879" y="2767"/>
                            <a:ext cx="1438" cy="950"/>
                          </a:xfrm>
                          <a:prstGeom prst="roundRect">
                            <a:avLst>
                              <a:gd name="adj" fmla="val 102"/>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0A1B3A"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Lakeview Wine Co.</w:t>
                              </w:r>
                            </w:p>
                            <w:p w14:paraId="15C36141"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Niagara-on-the-Lake, Ontario</w:t>
                              </w:r>
                            </w:p>
                            <w:p w14:paraId="0376C4A5"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Beamsville, Ontario</w:t>
                              </w:r>
                            </w:p>
                            <w:p w14:paraId="7E62B319"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Scarborough, Ontario</w:t>
                              </w:r>
                            </w:p>
                            <w:p w14:paraId="2B7DB906" w14:textId="5B42EF49"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 xml:space="preserve">Online </w:t>
                              </w:r>
                              <w:r>
                                <w:rPr>
                                  <w:rFonts w:ascii="Arial" w:hAnsi="Arial" w:cs="Arial"/>
                                  <w:color w:val="FFFFFF"/>
                                  <w:kern w:val="24"/>
                                  <w:sz w:val="20"/>
                                  <w:szCs w:val="32"/>
                                </w:rPr>
                                <w:t>Wine Sales</w:t>
                              </w:r>
                            </w:p>
                          </w:txbxContent>
                        </wps:txbx>
                        <wps:bodyPr lIns="90000" tIns="60840" rIns="90000" bIns="45000" anchor="ctr"/>
                      </wps:wsp>
                      <wps:wsp>
                        <wps:cNvPr id="10" name="Line 11">
                          <a:extLst>
                            <a:ext uri="{FF2B5EF4-FFF2-40B4-BE49-F238E27FC236}">
                              <a16:creationId xmlns:a16="http://schemas.microsoft.com/office/drawing/2014/main" id="{76AC103E-C9B0-44C7-B72F-0C193EEF548C}"/>
                            </a:ext>
                          </a:extLst>
                        </wps:cNvPr>
                        <wps:cNvCnPr/>
                        <wps:spPr bwMode="auto">
                          <a:xfrm flipH="1">
                            <a:off x="3622" y="2225"/>
                            <a:ext cx="420" cy="497"/>
                          </a:xfrm>
                          <a:prstGeom prst="line">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12">
                          <a:extLst>
                            <a:ext uri="{FF2B5EF4-FFF2-40B4-BE49-F238E27FC236}">
                              <a16:creationId xmlns:a16="http://schemas.microsoft.com/office/drawing/2014/main" id="{BCDF3114-758D-4C6D-A877-09C293B0263F}"/>
                            </a:ext>
                          </a:extLst>
                        </wps:cNvPr>
                        <wps:cNvSpPr txBox="1">
                          <a:spLocks noChangeArrowheads="1"/>
                        </wps:cNvSpPr>
                        <wps:spPr bwMode="auto">
                          <a:xfrm>
                            <a:off x="2972" y="2206"/>
                            <a:ext cx="503" cy="377"/>
                          </a:xfrm>
                          <a:prstGeom prst="rect">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2FE73C"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D2C </w:t>
                              </w:r>
                            </w:p>
                            <w:p w14:paraId="75C6AA48"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Retail</w:t>
                              </w:r>
                            </w:p>
                          </w:txbxContent>
                        </wps:txbx>
                        <wps:bodyPr wrap="none" lIns="90000" tIns="60840" rIns="90000" bIns="45000" anchor="ctr"/>
                      </wps:wsp>
                      <wps:wsp>
                        <wps:cNvPr id="12" name="Line 13">
                          <a:extLst>
                            <a:ext uri="{FF2B5EF4-FFF2-40B4-BE49-F238E27FC236}">
                              <a16:creationId xmlns:a16="http://schemas.microsoft.com/office/drawing/2014/main" id="{235571F0-FC70-458D-9814-ECBB9EE7BF5A}"/>
                            </a:ext>
                          </a:extLst>
                        </wps:cNvPr>
                        <wps:cNvCnPr/>
                        <wps:spPr bwMode="auto">
                          <a:xfrm>
                            <a:off x="4736" y="2208"/>
                            <a:ext cx="555" cy="633"/>
                          </a:xfrm>
                          <a:prstGeom prst="line">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AutoShape 14">
                          <a:extLst>
                            <a:ext uri="{FF2B5EF4-FFF2-40B4-BE49-F238E27FC236}">
                              <a16:creationId xmlns:a16="http://schemas.microsoft.com/office/drawing/2014/main" id="{564F2207-FAA5-486F-B276-922688616C93}"/>
                            </a:ext>
                          </a:extLst>
                        </wps:cNvPr>
                        <wps:cNvSpPr>
                          <a:spLocks noChangeArrowheads="1"/>
                        </wps:cNvSpPr>
                        <wps:spPr bwMode="auto">
                          <a:xfrm>
                            <a:off x="4783" y="2948"/>
                            <a:ext cx="1066" cy="678"/>
                          </a:xfrm>
                          <a:prstGeom prst="roundRect">
                            <a:avLst>
                              <a:gd name="adj" fmla="val 144"/>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7F82EA"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Vineyards</w:t>
                              </w:r>
                            </w:p>
                            <w:p w14:paraId="73CE4776"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Winemaking</w:t>
                              </w:r>
                            </w:p>
                            <w:p w14:paraId="4B986EC1"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25% Staff</w:t>
                              </w:r>
                            </w:p>
                            <w:p w14:paraId="31DDC9BE"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Niagara Region</w:t>
                              </w:r>
                            </w:p>
                          </w:txbxContent>
                        </wps:txbx>
                        <wps:bodyPr lIns="90000" tIns="60840" rIns="90000" bIns="45000" anchor="ctr"/>
                      </wps:wsp>
                      <wps:wsp>
                        <wps:cNvPr id="14" name="Text Box 15">
                          <a:extLst>
                            <a:ext uri="{FF2B5EF4-FFF2-40B4-BE49-F238E27FC236}">
                              <a16:creationId xmlns:a16="http://schemas.microsoft.com/office/drawing/2014/main" id="{1CD79558-0E2F-4CCB-9B6D-C6BEE892A851}"/>
                            </a:ext>
                          </a:extLst>
                        </wps:cNvPr>
                        <wps:cNvSpPr txBox="1">
                          <a:spLocks noChangeArrowheads="1"/>
                        </wps:cNvSpPr>
                        <wps:spPr bwMode="auto">
                          <a:xfrm>
                            <a:off x="5013" y="2268"/>
                            <a:ext cx="836" cy="315"/>
                          </a:xfrm>
                          <a:prstGeom prst="rect">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13985"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Operations</w:t>
                              </w:r>
                            </w:p>
                          </w:txbxContent>
                        </wps:txbx>
                        <wps:bodyPr lIns="90000" tIns="60840" rIns="90000" bIns="45000" anchor="ctr"/>
                      </wps:wsp>
                      <wps:wsp>
                        <wps:cNvPr id="15" name="Text Box 16">
                          <a:extLst>
                            <a:ext uri="{FF2B5EF4-FFF2-40B4-BE49-F238E27FC236}">
                              <a16:creationId xmlns:a16="http://schemas.microsoft.com/office/drawing/2014/main" id="{6AF7DB9A-D3F1-43D6-8E86-244DAC143270}"/>
                            </a:ext>
                          </a:extLst>
                        </wps:cNvPr>
                        <wps:cNvSpPr txBox="1">
                          <a:spLocks noChangeArrowheads="1"/>
                        </wps:cNvSpPr>
                        <wps:spPr bwMode="auto">
                          <a:xfrm>
                            <a:off x="1916" y="2722"/>
                            <a:ext cx="726" cy="216"/>
                          </a:xfrm>
                          <a:prstGeom prst="rect">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585F55" w14:textId="23AF3B9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50% </w:t>
                              </w:r>
                              <w:r>
                                <w:rPr>
                                  <w:rFonts w:ascii="Arial" w:hAnsi="Arial" w:cs="Arial"/>
                                  <w:color w:val="000000" w:themeColor="dark1"/>
                                  <w:kern w:val="24"/>
                                  <w:sz w:val="20"/>
                                </w:rPr>
                                <w:t>Staff</w:t>
                              </w:r>
                            </w:p>
                          </w:txbxContent>
                        </wps:txbx>
                        <wps:bodyPr wrap="none" lIns="90000" tIns="60840" rIns="90000" bIns="45000"/>
                      </wps:wsp>
                      <wps:wsp>
                        <wps:cNvPr id="16" name="Line 17">
                          <a:extLst>
                            <a:ext uri="{FF2B5EF4-FFF2-40B4-BE49-F238E27FC236}">
                              <a16:creationId xmlns:a16="http://schemas.microsoft.com/office/drawing/2014/main" id="{D225ACD2-EB8E-4998-A5BE-BE95E196800F}"/>
                            </a:ext>
                          </a:extLst>
                        </wps:cNvPr>
                        <wps:cNvCnPr/>
                        <wps:spPr bwMode="auto">
                          <a:xfrm flipH="1" flipV="1">
                            <a:off x="1809" y="2448"/>
                            <a:ext cx="281" cy="274"/>
                          </a:xfrm>
                          <a:prstGeom prst="line">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a:extLst>
                            <a:ext uri="{FF2B5EF4-FFF2-40B4-BE49-F238E27FC236}">
                              <a16:creationId xmlns:a16="http://schemas.microsoft.com/office/drawing/2014/main" id="{012FE709-DED9-4C94-915A-9DEE7D559202}"/>
                            </a:ext>
                          </a:extLst>
                        </wps:cNvPr>
                        <wps:cNvCnPr/>
                        <wps:spPr bwMode="auto">
                          <a:xfrm>
                            <a:off x="2554" y="2858"/>
                            <a:ext cx="323" cy="179"/>
                          </a:xfrm>
                          <a:prstGeom prst="line">
                            <a:avLst/>
                          </a:prstGeom>
                          <a:gradFill rotWithShape="1">
                            <a:gsLst>
                              <a:gs pos="0">
                                <a:srgbClr val="000000">
                                  <a:lumMod val="110000"/>
                                  <a:satMod val="105000"/>
                                  <a:tint val="67000"/>
                                </a:srgbClr>
                              </a:gs>
                              <a:gs pos="50000">
                                <a:srgbClr val="000000">
                                  <a:lumMod val="105000"/>
                                  <a:satMod val="103000"/>
                                  <a:tint val="73000"/>
                                </a:srgbClr>
                              </a:gs>
                              <a:gs pos="100000">
                                <a:srgbClr val="000000">
                                  <a:lumMod val="105000"/>
                                  <a:satMod val="109000"/>
                                  <a:tint val="81000"/>
                                </a:srgbClr>
                              </a:gs>
                            </a:gsLst>
                            <a:lin ang="5400000" scaled="0"/>
                          </a:gradFill>
                          <a:ln w="6350" cap="flat" cmpd="sng" algn="ctr">
                            <a:solidFill>
                              <a:srgbClr val="000000"/>
                            </a:solidFill>
                            <a:prstDash val="solid"/>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914B8CC" id="Group 2" o:spid="_x0000_s1026" style="position:absolute;left:0;text-align:left;margin-left:82.6pt;margin-top:16.5pt;width:468pt;height:353.9pt;z-index:251665408;mso-position-horizontal-relative:page;mso-width-relative:margin;mso-height-relative:margin" coordorigin=",48" coordsize="5849,3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">
                <v:line id="Line 3" o:spid="_x0000_s1027" style="position:absolute;visibility:visible;mso-wrap-style:square" from="3344,726" to="436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" filled="t" fillcolor="#9b9b9b" strokeweight=".5pt">
                  <v:fill color2="#797979" rotate="t" colors="0 #9b9b9b;.5 #8e8e8e;1 #797979" focus="100%" type="gradient">
                    <o:fill v:ext="view" type="gradientUnscaled"/>
                  </v:fill>
                  <v:stroke endarrow="block" joinstyle="miter"/>
                </v:line>
                <v:roundrect id="AutoShape 4" o:spid="_x0000_s1028" style="position:absolute;left:1358;top:48;width:2649;height:678;visibility:visible;mso-wrap-style:square;v-text-anchor:middle" arcsize="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" fillcolor="#9b9b9b" strokeweight=".5pt">
                  <v:fill color2="#797979" rotate="t" colors="0 #9b9b9b;.5 #8e8e8e;1 #797979" focus="100%" type="gradient">
                    <o:fill v:ext="view" type="gradientUnscaled"/>
                  </v:fill>
                  <v:stroke joinstyle="miter"/>
                  <v:textbox inset="2.5mm,1.69mm,2.5mm,1.25mm">
                    <w:txbxContent>
                      <w:p w14:paraId="255305F9"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Diamond Estates</w:t>
                        </w:r>
                      </w:p>
                      <w:p w14:paraId="7D18E5F0" w14:textId="148FA15B"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Pr>
                            <w:rFonts w:ascii="Arial" w:hAnsi="Arial" w:cs="Arial"/>
                            <w:color w:val="FFFFFF"/>
                            <w:kern w:val="24"/>
                            <w:sz w:val="22"/>
                          </w:rPr>
                          <w:t>CEO:</w:t>
                        </w:r>
                        <w:r w:rsidRPr="00411B4A">
                          <w:rPr>
                            <w:rFonts w:ascii="Arial" w:hAnsi="Arial" w:cs="Arial"/>
                            <w:color w:val="FFFFFF"/>
                            <w:kern w:val="24"/>
                            <w:sz w:val="22"/>
                          </w:rPr>
                          <w:t xml:space="preserve"> </w:t>
                        </w:r>
                        <w:r>
                          <w:rPr>
                            <w:rFonts w:ascii="Arial" w:hAnsi="Arial" w:cs="Arial"/>
                            <w:color w:val="FFFFFF"/>
                            <w:kern w:val="24"/>
                            <w:sz w:val="22"/>
                          </w:rPr>
                          <w:t xml:space="preserve">J. </w:t>
                        </w:r>
                        <w:r w:rsidRPr="00411B4A">
                          <w:rPr>
                            <w:rFonts w:ascii="Arial" w:hAnsi="Arial" w:cs="Arial"/>
                            <w:color w:val="FFFFFF"/>
                            <w:kern w:val="24"/>
                            <w:sz w:val="22"/>
                          </w:rPr>
                          <w:t xml:space="preserve">Murray </w:t>
                        </w:r>
                        <w:r>
                          <w:rPr>
                            <w:rFonts w:ascii="Arial" w:hAnsi="Arial" w:cs="Arial"/>
                            <w:color w:val="FFFFFF"/>
                            <w:kern w:val="24"/>
                            <w:sz w:val="22"/>
                          </w:rPr>
                          <w:t>Souter</w:t>
                        </w:r>
                      </w:p>
                      <w:p w14:paraId="3F3A2924"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Headquarters: Niagara-on-the-Lake, Ontario</w:t>
                        </w:r>
                      </w:p>
                    </w:txbxContent>
                  </v:textbox>
                </v:roundrect>
                <v:line id="Line 5" o:spid="_x0000_s1029" style="position:absolute;flip:x;visibility:visible;mso-wrap-style:square" from="1167,726" to="2283,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" filled="t" fillcolor="#9b9b9b" strokeweight=".5pt">
                  <v:fill color2="#797979" rotate="t" colors="0 #9b9b9b;.5 #8e8e8e;1 #797979" focus="100%" type="gradient">
                    <o:fill v:ext="view" type="gradientUnscaled"/>
                  </v:fill>
                  <v:stroke endarrow="block" joinstyle="miter"/>
                </v:line>
                <v:roundrect id="AutoShape 6" o:spid="_x0000_s1030" style="position:absolute;top:1580;width:2090;height:868;visibility:visible;mso-wrap-style:square;v-text-anchor:middle" arcsize="8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" fillcolor="#9b9b9b" strokeweight=".5pt">
                  <v:fill color2="#797979" rotate="t" colors="0 #9b9b9b;.5 #8e8e8e;1 #797979" focus="100%" type="gradient">
                    <o:fill v:ext="view" type="gradientUnscaled"/>
                  </v:fill>
                  <v:stroke joinstyle="miter"/>
                  <v:textbox inset="2.5mm,1.69mm,2.5mm,1.25mm">
                    <w:txbxContent>
                      <w:p w14:paraId="354914C8"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 xml:space="preserve">Trajectory Beverage </w:t>
                        </w:r>
                      </w:p>
                      <w:p w14:paraId="4FAF1A2B" w14:textId="26A59FC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Partners</w:t>
                        </w:r>
                      </w:p>
                      <w:p w14:paraId="0B8BB17A"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President: Christopher Terrio,</w:t>
                        </w:r>
                      </w:p>
                      <w:p w14:paraId="09243E3C"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8"/>
                          </w:rPr>
                        </w:pPr>
                        <w:r w:rsidRPr="00411B4A">
                          <w:rPr>
                            <w:rFonts w:ascii="Arial" w:hAnsi="Arial" w:cs="Arial"/>
                            <w:color w:val="FFFFFF"/>
                            <w:kern w:val="24"/>
                            <w:sz w:val="22"/>
                            <w:szCs w:val="32"/>
                          </w:rPr>
                          <w:t>Oakville, Ontario</w:t>
                        </w:r>
                      </w:p>
                    </w:txbxContent>
                  </v:textbox>
                </v:roundrect>
                <v:shapetype id="_x0000_t202" coordsize="21600,21600" o:spt="202" path="m,l,21600r21600,l21600,xe">
                  <v:stroke joinstyle="miter"/>
                  <v:path gradientshapeok="t" o:connecttype="rect"/>
                </v:shapetype>
                <v:shape id="Text Box 7" o:spid="_x0000_s1031" type="#_x0000_t202" style="position:absolute;left:517;top:908;width:691;height:3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" fillcolor="#9b9b9b" strokeweight=".5pt">
                  <v:fill color2="#797979" rotate="t" colors="0 #9b9b9b;.5 #8e8e8e;1 #797979" focus="100%" type="gradient">
                    <o:fill v:ext="view" type="gradientUnscaled"/>
                  </v:fill>
                  <v:textbox inset="2.5mm,1.69mm,2.5mm,1.25mm">
                    <w:txbxContent>
                      <w:p w14:paraId="4E743E04"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Agency </w:t>
                        </w:r>
                      </w:p>
                      <w:p w14:paraId="5C7BFE76"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Business</w:t>
                        </w:r>
                      </w:p>
                    </w:txbxContent>
                  </v:textbox>
                </v:shape>
                <v:shape id="Text Box 8" o:spid="_x0000_s1032" type="#_x0000_t202" style="position:absolute;left:4033;top:908;width:691;height:3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" fillcolor="#9b9b9b" strokeweight=".5pt">
                  <v:fill color2="#797979" rotate="t" colors="0 #9b9b9b;.5 #8e8e8e;1 #797979" focus="100%" type="gradient">
                    <o:fill v:ext="view" type="gradientUnscaled"/>
                  </v:fill>
                  <v:textbox inset="2.5mm,1.69mm,2.5mm,1.25mm">
                    <w:txbxContent>
                      <w:p w14:paraId="1BDDDAFF"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Winery </w:t>
                        </w:r>
                      </w:p>
                      <w:p w14:paraId="29273238"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Business</w:t>
                        </w:r>
                      </w:p>
                    </w:txbxContent>
                  </v:textbox>
                </v:shape>
                <v:roundrect id="AutoShape 9" o:spid="_x0000_s1033" style="position:absolute;left:3064;top:1496;width:2505;height:633;visibility:visible;mso-wrap-style:square;v-text-anchor:middle" arcsize="10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" fillcolor="#9b9b9b" strokeweight=".5pt">
                  <v:fill color2="#797979" rotate="t" colors="0 #9b9b9b;.5 #8e8e8e;1 #797979" focus="100%" type="gradient">
                    <o:fill v:ext="view" type="gradientUnscaled"/>
                  </v:fill>
                  <v:stroke joinstyle="miter"/>
                  <v:textbox inset="2.5mm,1.69mm,2.5mm,1.25mm">
                    <w:txbxContent>
                      <w:p w14:paraId="5FBE500E"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Diamond Estates</w:t>
                        </w:r>
                      </w:p>
                      <w:p w14:paraId="23120E64" w14:textId="652DE331"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General Admin</w:t>
                        </w:r>
                        <w:r>
                          <w:rPr>
                            <w:rFonts w:ascii="Arial" w:hAnsi="Arial" w:cs="Arial"/>
                            <w:color w:val="FFFFFF"/>
                            <w:kern w:val="24"/>
                            <w:sz w:val="22"/>
                          </w:rPr>
                          <w:t>.</w:t>
                        </w:r>
                        <w:r w:rsidRPr="00411B4A">
                          <w:rPr>
                            <w:rFonts w:ascii="Arial" w:hAnsi="Arial" w:cs="Arial"/>
                            <w:color w:val="FFFFFF"/>
                            <w:kern w:val="24"/>
                            <w:sz w:val="22"/>
                          </w:rPr>
                          <w:t xml:space="preserve"> (25% </w:t>
                        </w:r>
                        <w:r>
                          <w:rPr>
                            <w:rFonts w:ascii="Arial" w:hAnsi="Arial" w:cs="Arial"/>
                            <w:color w:val="FFFFFF"/>
                            <w:kern w:val="24"/>
                            <w:sz w:val="22"/>
                          </w:rPr>
                          <w:t>Staff</w:t>
                        </w:r>
                        <w:r w:rsidRPr="00411B4A">
                          <w:rPr>
                            <w:rFonts w:ascii="Arial" w:hAnsi="Arial" w:cs="Arial"/>
                            <w:color w:val="FFFFFF"/>
                            <w:kern w:val="24"/>
                            <w:sz w:val="22"/>
                          </w:rPr>
                          <w:t>)</w:t>
                        </w:r>
                        <w:r>
                          <w:rPr>
                            <w:rFonts w:ascii="Arial" w:hAnsi="Arial" w:cs="Arial"/>
                            <w:color w:val="FFFFFF"/>
                            <w:kern w:val="24"/>
                            <w:sz w:val="22"/>
                          </w:rPr>
                          <w:t>,</w:t>
                        </w:r>
                      </w:p>
                      <w:p w14:paraId="06BEDBFD" w14:textId="3F9296FF"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2"/>
                          </w:rPr>
                        </w:pPr>
                        <w:r w:rsidRPr="00411B4A">
                          <w:rPr>
                            <w:rFonts w:ascii="Arial" w:hAnsi="Arial" w:cs="Arial"/>
                            <w:color w:val="FFFFFF"/>
                            <w:kern w:val="24"/>
                            <w:sz w:val="22"/>
                          </w:rPr>
                          <w:t>Niagara-on-the-Lake</w:t>
                        </w:r>
                        <w:r>
                          <w:rPr>
                            <w:rFonts w:ascii="Arial" w:hAnsi="Arial" w:cs="Arial"/>
                            <w:color w:val="FFFFFF"/>
                            <w:kern w:val="24"/>
                            <w:sz w:val="22"/>
                          </w:rPr>
                          <w:t>, Ontario</w:t>
                        </w:r>
                      </w:p>
                    </w:txbxContent>
                  </v:textbox>
                </v:roundrect>
                <v:roundrect id="AutoShape 10" o:spid="_x0000_s1034" style="position:absolute;left:2879;top:2767;width:1438;height:950;visibility:visible;mso-wrap-style:square;v-text-anchor:middle" arcsize="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" fillcolor="#9b9b9b" strokeweight=".5pt">
                  <v:fill color2="#797979" rotate="t" colors="0 #9b9b9b;.5 #8e8e8e;1 #797979" focus="100%" type="gradient">
                    <o:fill v:ext="view" type="gradientUnscaled"/>
                  </v:fill>
                  <v:stroke joinstyle="miter"/>
                  <v:textbox inset="2.5mm,1.69mm,2.5mm,1.25mm">
                    <w:txbxContent>
                      <w:p w14:paraId="630A1B3A"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Lakeview Wine Co.</w:t>
                        </w:r>
                      </w:p>
                      <w:p w14:paraId="15C36141"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Niagara-on-the-Lake, Ontario</w:t>
                        </w:r>
                      </w:p>
                      <w:p w14:paraId="0376C4A5"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Beamsville, Ontario</w:t>
                        </w:r>
                      </w:p>
                      <w:p w14:paraId="7E62B319"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Scarborough, Ontario</w:t>
                        </w:r>
                      </w:p>
                      <w:p w14:paraId="2B7DB906" w14:textId="5B42EF49"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 xml:space="preserve">Online </w:t>
                        </w:r>
                        <w:r>
                          <w:rPr>
                            <w:rFonts w:ascii="Arial" w:hAnsi="Arial" w:cs="Arial"/>
                            <w:color w:val="FFFFFF"/>
                            <w:kern w:val="24"/>
                            <w:sz w:val="20"/>
                            <w:szCs w:val="32"/>
                          </w:rPr>
                          <w:t>Wine Sales</w:t>
                        </w:r>
                      </w:p>
                    </w:txbxContent>
                  </v:textbox>
                </v:roundrect>
                <v:line id="Line 11" o:spid="_x0000_s1035" style="position:absolute;flip:x;visibility:visible;mso-wrap-style:square" from="3622,2225" to="4042,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" filled="t" fillcolor="#9b9b9b" strokeweight=".5pt">
                  <v:fill color2="#797979" rotate="t" colors="0 #9b9b9b;.5 #8e8e8e;1 #797979" focus="100%" type="gradient">
                    <o:fill v:ext="view" type="gradientUnscaled"/>
                  </v:fill>
                  <v:stroke endarrow="block" joinstyle="miter"/>
                </v:line>
                <v:shape id="Text Box 12" o:spid="_x0000_s1036" type="#_x0000_t202" style="position:absolute;left:2972;top:2206;width:503;height:3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" fillcolor="#9b9b9b" strokeweight=".5pt">
                  <v:fill color2="#797979" rotate="t" colors="0 #9b9b9b;.5 #8e8e8e;1 #797979" focus="100%" type="gradient">
                    <o:fill v:ext="view" type="gradientUnscaled"/>
                  </v:fill>
                  <v:textbox inset="2.5mm,1.69mm,2.5mm,1.25mm">
                    <w:txbxContent>
                      <w:p w14:paraId="112FE73C"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D2C </w:t>
                        </w:r>
                      </w:p>
                      <w:p w14:paraId="75C6AA48"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Retail</w:t>
                        </w:r>
                      </w:p>
                    </w:txbxContent>
                  </v:textbox>
                </v:shape>
                <v:line id="Line 13" o:spid="_x0000_s1037" style="position:absolute;visibility:visible;mso-wrap-style:square" from="4736,2208" to="5291,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" filled="t" fillcolor="#9b9b9b" strokeweight=".5pt">
                  <v:fill color2="#797979" rotate="t" colors="0 #9b9b9b;.5 #8e8e8e;1 #797979" focus="100%" type="gradient">
                    <o:fill v:ext="view" type="gradientUnscaled"/>
                  </v:fill>
                  <v:stroke endarrow="block" joinstyle="miter"/>
                </v:line>
                <v:roundrect id="AutoShape 14" o:spid="_x0000_s1038" style="position:absolute;left:4783;top:2948;width:1066;height:678;visibility:visible;mso-wrap-style:square;v-text-anchor:middle" arcsize="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" fillcolor="#9b9b9b" strokeweight=".5pt">
                  <v:fill color2="#797979" rotate="t" colors="0 #9b9b9b;.5 #8e8e8e;1 #797979" focus="100%" type="gradient">
                    <o:fill v:ext="view" type="gradientUnscaled"/>
                  </v:fill>
                  <v:stroke joinstyle="miter"/>
                  <v:textbox inset="2.5mm,1.69mm,2.5mm,1.25mm">
                    <w:txbxContent>
                      <w:p w14:paraId="617F82EA"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Vineyards</w:t>
                        </w:r>
                      </w:p>
                      <w:p w14:paraId="73CE4776"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Winemaking</w:t>
                        </w:r>
                      </w:p>
                      <w:p w14:paraId="4B986EC1"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25% Staff</w:t>
                        </w:r>
                      </w:p>
                      <w:p w14:paraId="31DDC9BE"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16"/>
                          </w:rPr>
                        </w:pPr>
                        <w:r w:rsidRPr="00411B4A">
                          <w:rPr>
                            <w:rFonts w:ascii="Arial" w:hAnsi="Arial" w:cs="Arial"/>
                            <w:color w:val="FFFFFF"/>
                            <w:kern w:val="24"/>
                            <w:sz w:val="20"/>
                            <w:szCs w:val="32"/>
                          </w:rPr>
                          <w:t>Niagara Region</w:t>
                        </w:r>
                      </w:p>
                    </w:txbxContent>
                  </v:textbox>
                </v:roundrect>
                <v:shape id="Text Box 15" o:spid="_x0000_s1039" type="#_x0000_t202" style="position:absolute;left:5013;top:2268;width:836;height: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" fillcolor="#9b9b9b" strokeweight=".5pt">
                  <v:fill color2="#797979" rotate="t" colors="0 #9b9b9b;.5 #8e8e8e;1 #797979" focus="100%" type="gradient">
                    <o:fill v:ext="view" type="gradientUnscaled"/>
                  </v:fill>
                  <v:textbox inset="2.5mm,1.69mm,2.5mm,1.25mm">
                    <w:txbxContent>
                      <w:p w14:paraId="24913985" w14:textId="7777777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Operations</w:t>
                        </w:r>
                      </w:p>
                    </w:txbxContent>
                  </v:textbox>
                </v:shape>
                <v:shape id="Text Box 16" o:spid="_x0000_s1040" type="#_x0000_t202" style="position:absolute;left:1916;top:2722;width:726;height: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" fillcolor="#9b9b9b" strokeweight=".5pt">
                  <v:fill color2="#797979" rotate="t" colors="0 #9b9b9b;.5 #8e8e8e;1 #797979" focus="100%" type="gradient">
                    <o:fill v:ext="view" type="gradientUnscaled"/>
                  </v:fill>
                  <v:textbox inset="2.5mm,1.69mm,2.5mm,1.25mm">
                    <w:txbxContent>
                      <w:p w14:paraId="72585F55" w14:textId="23AF3B97" w:rsidR="00487482" w:rsidRPr="00411B4A" w:rsidRDefault="00487482" w:rsidP="00411B4A">
                        <w:pPr>
                          <w:pStyle w:val="NormalWeb"/>
                          <w:overflowPunct w:val="0"/>
                          <w:spacing w:before="0" w:beforeAutospacing="0" w:after="0" w:afterAutospacing="0" w:line="223" w:lineRule="auto"/>
                          <w:jc w:val="center"/>
                          <w:textAlignment w:val="baseline"/>
                          <w:rPr>
                            <w:rFonts w:ascii="Arial" w:hAnsi="Arial" w:cs="Arial"/>
                            <w:sz w:val="20"/>
                          </w:rPr>
                        </w:pPr>
                        <w:r w:rsidRPr="00411B4A">
                          <w:rPr>
                            <w:rFonts w:ascii="Arial" w:hAnsi="Arial" w:cs="Arial"/>
                            <w:color w:val="000000" w:themeColor="dark1"/>
                            <w:kern w:val="24"/>
                            <w:sz w:val="20"/>
                          </w:rPr>
                          <w:t xml:space="preserve">50% </w:t>
                        </w:r>
                        <w:r>
                          <w:rPr>
                            <w:rFonts w:ascii="Arial" w:hAnsi="Arial" w:cs="Arial"/>
                            <w:color w:val="000000" w:themeColor="dark1"/>
                            <w:kern w:val="24"/>
                            <w:sz w:val="20"/>
                          </w:rPr>
                          <w:t>Staff</w:t>
                        </w:r>
                      </w:p>
                    </w:txbxContent>
                  </v:textbox>
                </v:shape>
                <v:line id="Line 17" o:spid="_x0000_s1041" style="position:absolute;flip:x y;visibility:visible;mso-wrap-style:square" from="1809,2448" to="2090,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" filled="t" fillcolor="#9b9b9b" strokeweight=".5pt">
                  <v:fill color2="#797979" rotate="t" colors="0 #9b9b9b;.5 #8e8e8e;1 #797979" focus="100%" type="gradient">
                    <o:fill v:ext="view" type="gradientUnscaled"/>
                  </v:fill>
                  <v:stroke endarrow="block" joinstyle="miter"/>
                </v:line>
                <v:line id="Line 18" o:spid="_x0000_s1042" style="position:absolute;visibility:visible;mso-wrap-style:square" from="2554,2858" to="2877,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" filled="t" fillcolor="#9b9b9b" strokeweight=".5pt">
                  <v:fill color2="#797979" rotate="t" colors="0 #9b9b9b;.5 #8e8e8e;1 #797979" focus="100%" type="gradient">
                    <o:fill v:ext="view" type="gradientUnscaled"/>
                  </v:fill>
                  <v:stroke endarrow="block" joinstyle="miter"/>
                </v:line>
                <w10:wrap type="topAndBottom" anchorx="page"/>
              </v:group>
            </w:pict>
          </mc:Fallback>
        </mc:AlternateContent>
      </w:r>
    </w:p>
    <w:p w14:paraId="7A429758" w14:textId="77777777" w:rsidR="00DB78B7" w:rsidRDefault="00DB78B7" w:rsidP="00426D0E">
      <w:pPr>
        <w:pStyle w:val="Footnote"/>
        <w:rPr>
          <w:rFonts w:eastAsia="Cambria"/>
          <w:lang w:val="en-GB"/>
        </w:rPr>
      </w:pPr>
    </w:p>
    <w:p w14:paraId="259A5E41" w14:textId="77B0B977" w:rsidR="00DB78B7" w:rsidRDefault="00DB78B7" w:rsidP="00426D0E">
      <w:pPr>
        <w:pStyle w:val="Footnote"/>
        <w:rPr>
          <w:rFonts w:eastAsia="Cambria"/>
          <w:lang w:val="en-GB"/>
        </w:rPr>
      </w:pPr>
      <w:r>
        <w:rPr>
          <w:rFonts w:eastAsia="Cambria"/>
          <w:lang w:val="en-GB"/>
        </w:rPr>
        <w:t>Note: D2C = direct to customer.</w:t>
      </w:r>
    </w:p>
    <w:p w14:paraId="1597FC8B" w14:textId="1EBA64D3" w:rsidR="00DB78B7" w:rsidRPr="00F40142" w:rsidRDefault="00DB78B7" w:rsidP="00426D0E">
      <w:pPr>
        <w:pStyle w:val="Footnote"/>
        <w:rPr>
          <w:rFonts w:eastAsia="Arial Unicode MS"/>
          <w:b/>
          <w:caps/>
          <w:lang w:val="en-GB" w:eastAsia="hi-IN" w:bidi="hi-IN"/>
        </w:rPr>
      </w:pPr>
      <w:r w:rsidRPr="00F40142">
        <w:rPr>
          <w:rFonts w:eastAsia="Cambria"/>
          <w:lang w:val="en-GB"/>
        </w:rPr>
        <w:t xml:space="preserve">Source: This chart was created by the </w:t>
      </w:r>
      <w:r w:rsidR="00847DB8">
        <w:rPr>
          <w:rFonts w:eastAsia="Cambria"/>
          <w:lang w:val="en-GB"/>
        </w:rPr>
        <w:t xml:space="preserve">case </w:t>
      </w:r>
      <w:r w:rsidRPr="00F40142">
        <w:rPr>
          <w:rFonts w:eastAsia="Cambria"/>
          <w:lang w:val="en-GB"/>
        </w:rPr>
        <w:t xml:space="preserve">authors using data from various </w:t>
      </w:r>
      <w:r>
        <w:rPr>
          <w:rFonts w:eastAsia="Cambria"/>
          <w:lang w:val="en-GB"/>
        </w:rPr>
        <w:t>company</w:t>
      </w:r>
      <w:r w:rsidRPr="00F40142">
        <w:rPr>
          <w:rFonts w:eastAsia="Cambria"/>
          <w:lang w:val="en-GB"/>
        </w:rPr>
        <w:t xml:space="preserve"> documents found at</w:t>
      </w:r>
      <w:r>
        <w:rPr>
          <w:rFonts w:eastAsia="Cambria"/>
          <w:lang w:val="en-GB"/>
        </w:rPr>
        <w:t xml:space="preserve"> </w:t>
      </w:r>
      <w:r w:rsidRPr="00F40142">
        <w:rPr>
          <w:rFonts w:eastAsia="Cambria"/>
          <w:lang w:val="en-GB"/>
        </w:rPr>
        <w:t>www.lakeviewwineco.com/site/diamond-estates-wines-spirits, or its filings with SEDAR accessed from www.sedar.com/DisplayCompanyDocuments.do?lang=EN&amp;issuerNo=00032682.</w:t>
      </w:r>
    </w:p>
    <w:p w14:paraId="6B434AA7" w14:textId="77777777" w:rsidR="008C0EBA" w:rsidRDefault="00DB78B7">
      <w:pPr>
        <w:spacing w:after="200" w:line="276" w:lineRule="auto"/>
        <w:rPr>
          <w:rFonts w:eastAsia="Arial Unicode MS"/>
          <w:lang w:val="en-GB"/>
        </w:rPr>
        <w:sectPr w:rsidR="008C0EBA" w:rsidSect="00751E0B">
          <w:headerReference w:type="default" r:id="rId9"/>
          <w:endnotePr>
            <w:numFmt w:val="decimal"/>
          </w:endnotePr>
          <w:pgSz w:w="12240" w:h="15840" w:code="1"/>
          <w:pgMar w:top="1080" w:right="1440" w:bottom="1440" w:left="1440" w:header="1080" w:footer="720" w:gutter="0"/>
          <w:cols w:space="720"/>
          <w:titlePg/>
          <w:docGrid w:linePitch="360"/>
        </w:sectPr>
      </w:pPr>
      <w:r w:rsidRPr="00F40142">
        <w:rPr>
          <w:rFonts w:eastAsia="Arial Unicode MS"/>
          <w:lang w:val="en-GB"/>
        </w:rPr>
        <w:br w:type="page"/>
      </w:r>
    </w:p>
    <w:p w14:paraId="02C02E5A" w14:textId="138CD5A2" w:rsidR="00DB78B7" w:rsidRPr="00F40142" w:rsidRDefault="00DB78B7" w:rsidP="00BE0DF4">
      <w:pPr>
        <w:pStyle w:val="ExhibitHeading"/>
        <w:rPr>
          <w:rFonts w:eastAsia="Cambria"/>
          <w:lang w:val="en-GB"/>
        </w:rPr>
      </w:pPr>
      <w:r w:rsidRPr="00F40142">
        <w:rPr>
          <w:rFonts w:eastAsia="Arial Unicode MS"/>
          <w:lang w:val="en-GB"/>
        </w:rPr>
        <w:lastRenderedPageBreak/>
        <w:t xml:space="preserve">Exhibit 4: </w:t>
      </w:r>
      <w:r w:rsidRPr="0011508D">
        <w:rPr>
          <w:rFonts w:eastAsia="Arial Unicode MS"/>
          <w:lang w:val="en-GB"/>
        </w:rPr>
        <w:t>DIAMOND ESTATE WINES &amp; SPIRITS</w:t>
      </w:r>
      <w:r>
        <w:rPr>
          <w:rFonts w:eastAsia="Arial Unicode MS"/>
          <w:lang w:val="en-GB"/>
        </w:rPr>
        <w:t xml:space="preserve"> Inc. </w:t>
      </w:r>
      <w:r w:rsidRPr="00F40142">
        <w:rPr>
          <w:rFonts w:eastAsia="Arial Unicode MS"/>
          <w:lang w:val="en-GB"/>
        </w:rPr>
        <w:t>Product Portfolio, 2018</w:t>
      </w:r>
    </w:p>
    <w:p w14:paraId="21BEDB9C" w14:textId="77777777" w:rsidR="00DB78B7" w:rsidRPr="008C0EBA" w:rsidRDefault="00DB78B7" w:rsidP="008C0EBA">
      <w:pPr>
        <w:pStyle w:val="ExhibitText"/>
        <w:rPr>
          <w:rFonts w:eastAsia="Cambria"/>
          <w:sz w:val="12"/>
          <w:szCs w:val="12"/>
          <w:lang w:val="en-GB"/>
        </w:rPr>
      </w:pPr>
    </w:p>
    <w:tbl>
      <w:tblPr>
        <w:tblW w:w="13045" w:type="dxa"/>
        <w:jc w:val="center"/>
        <w:tblLayout w:type="fixed"/>
        <w:tblLook w:val="0000" w:firstRow="0" w:lastRow="0" w:firstColumn="0" w:lastColumn="0" w:noHBand="0" w:noVBand="0"/>
      </w:tblPr>
      <w:tblGrid>
        <w:gridCol w:w="2065"/>
        <w:gridCol w:w="1080"/>
        <w:gridCol w:w="1170"/>
        <w:gridCol w:w="1440"/>
        <w:gridCol w:w="1080"/>
        <w:gridCol w:w="1170"/>
        <w:gridCol w:w="1170"/>
        <w:gridCol w:w="1350"/>
        <w:gridCol w:w="1260"/>
        <w:gridCol w:w="1260"/>
      </w:tblGrid>
      <w:tr w:rsidR="00DB78B7" w:rsidRPr="008C0EBA" w14:paraId="108A9F4C" w14:textId="77777777" w:rsidTr="008C0EBA">
        <w:trPr>
          <w:trHeight w:val="242"/>
          <w:jc w:val="center"/>
        </w:trPr>
        <w:tc>
          <w:tcPr>
            <w:tcW w:w="2065" w:type="dxa"/>
            <w:tcBorders>
              <w:top w:val="single" w:sz="4" w:space="0" w:color="000000"/>
              <w:left w:val="single" w:sz="4" w:space="0" w:color="000000"/>
              <w:bottom w:val="single" w:sz="4" w:space="0" w:color="000000"/>
            </w:tcBorders>
            <w:shd w:val="clear" w:color="auto" w:fill="auto"/>
            <w:vAlign w:val="center"/>
          </w:tcPr>
          <w:p w14:paraId="31FBA9E5"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Label</w:t>
            </w:r>
          </w:p>
        </w:tc>
        <w:tc>
          <w:tcPr>
            <w:tcW w:w="1080" w:type="dxa"/>
            <w:tcBorders>
              <w:top w:val="single" w:sz="4" w:space="0" w:color="000000"/>
              <w:left w:val="single" w:sz="4" w:space="0" w:color="000000"/>
              <w:bottom w:val="single" w:sz="4" w:space="0" w:color="000000"/>
            </w:tcBorders>
            <w:shd w:val="clear" w:color="auto" w:fill="auto"/>
            <w:vAlign w:val="center"/>
          </w:tcPr>
          <w:p w14:paraId="1EB185D8"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20 Bees</w:t>
            </w:r>
          </w:p>
        </w:tc>
        <w:tc>
          <w:tcPr>
            <w:tcW w:w="1170" w:type="dxa"/>
            <w:tcBorders>
              <w:top w:val="single" w:sz="4" w:space="0" w:color="000000"/>
              <w:left w:val="single" w:sz="4" w:space="0" w:color="000000"/>
              <w:bottom w:val="single" w:sz="4" w:space="0" w:color="000000"/>
            </w:tcBorders>
            <w:shd w:val="clear" w:color="auto" w:fill="auto"/>
            <w:vAlign w:val="center"/>
          </w:tcPr>
          <w:p w14:paraId="1B68662B"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Lakeview Estates</w:t>
            </w:r>
          </w:p>
        </w:tc>
        <w:tc>
          <w:tcPr>
            <w:tcW w:w="1440" w:type="dxa"/>
            <w:tcBorders>
              <w:top w:val="single" w:sz="4" w:space="0" w:color="000000"/>
              <w:left w:val="single" w:sz="4" w:space="0" w:color="000000"/>
              <w:bottom w:val="single" w:sz="4" w:space="0" w:color="000000"/>
            </w:tcBorders>
            <w:shd w:val="clear" w:color="auto" w:fill="auto"/>
            <w:vAlign w:val="center"/>
          </w:tcPr>
          <w:p w14:paraId="0F244A07"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Dan Aykroyd</w:t>
            </w:r>
          </w:p>
        </w:tc>
        <w:tc>
          <w:tcPr>
            <w:tcW w:w="1080" w:type="dxa"/>
            <w:tcBorders>
              <w:top w:val="single" w:sz="4" w:space="0" w:color="000000"/>
              <w:left w:val="single" w:sz="4" w:space="0" w:color="000000"/>
              <w:bottom w:val="single" w:sz="4" w:space="0" w:color="000000"/>
            </w:tcBorders>
            <w:shd w:val="clear" w:color="auto" w:fill="auto"/>
            <w:vAlign w:val="center"/>
          </w:tcPr>
          <w:p w14:paraId="7E38B02D"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Seasons</w:t>
            </w:r>
          </w:p>
        </w:tc>
        <w:tc>
          <w:tcPr>
            <w:tcW w:w="1170" w:type="dxa"/>
            <w:tcBorders>
              <w:top w:val="single" w:sz="4" w:space="0" w:color="000000"/>
              <w:left w:val="single" w:sz="4" w:space="0" w:color="000000"/>
              <w:bottom w:val="single" w:sz="4" w:space="0" w:color="000000"/>
            </w:tcBorders>
            <w:shd w:val="clear" w:color="auto" w:fill="auto"/>
            <w:vAlign w:val="center"/>
          </w:tcPr>
          <w:p w14:paraId="5FCBB30B"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Fresh</w:t>
            </w:r>
          </w:p>
        </w:tc>
        <w:tc>
          <w:tcPr>
            <w:tcW w:w="1170" w:type="dxa"/>
            <w:tcBorders>
              <w:top w:val="single" w:sz="4" w:space="0" w:color="000000"/>
              <w:left w:val="single" w:sz="4" w:space="0" w:color="000000"/>
              <w:bottom w:val="single" w:sz="4" w:space="0" w:color="000000"/>
            </w:tcBorders>
            <w:shd w:val="clear" w:color="auto" w:fill="auto"/>
            <w:vAlign w:val="center"/>
          </w:tcPr>
          <w:p w14:paraId="24A0A136" w14:textId="77777777" w:rsidR="00DB78B7" w:rsidRPr="008C0EBA" w:rsidRDefault="00DB78B7" w:rsidP="00411B4A">
            <w:pPr>
              <w:pStyle w:val="ExhibitText"/>
              <w:spacing w:line="100" w:lineRule="atLeast"/>
              <w:jc w:val="center"/>
              <w:rPr>
                <w:rFonts w:eastAsia="Arial Unicode MS"/>
                <w:b/>
                <w:sz w:val="18"/>
                <w:szCs w:val="18"/>
                <w:lang w:val="en-GB"/>
              </w:rPr>
            </w:pPr>
            <w:proofErr w:type="spellStart"/>
            <w:r w:rsidRPr="008C0EBA">
              <w:rPr>
                <w:rFonts w:eastAsia="Arial Unicode MS"/>
                <w:b/>
                <w:sz w:val="18"/>
                <w:szCs w:val="18"/>
                <w:lang w:val="en-GB"/>
              </w:rPr>
              <w:t>EastDell</w:t>
            </w:r>
            <w:proofErr w:type="spellEnd"/>
          </w:p>
        </w:tc>
        <w:tc>
          <w:tcPr>
            <w:tcW w:w="1350" w:type="dxa"/>
            <w:tcBorders>
              <w:top w:val="single" w:sz="4" w:space="0" w:color="000000"/>
              <w:left w:val="single" w:sz="4" w:space="0" w:color="000000"/>
              <w:bottom w:val="single" w:sz="4" w:space="0" w:color="000000"/>
            </w:tcBorders>
            <w:shd w:val="clear" w:color="auto" w:fill="auto"/>
            <w:vAlign w:val="center"/>
          </w:tcPr>
          <w:p w14:paraId="415563E4" w14:textId="77777777" w:rsidR="00DB78B7" w:rsidRPr="008C0EBA" w:rsidRDefault="00DB78B7" w:rsidP="00411B4A">
            <w:pPr>
              <w:pStyle w:val="ExhibitText"/>
              <w:spacing w:line="100" w:lineRule="atLeast"/>
              <w:jc w:val="center"/>
              <w:rPr>
                <w:rFonts w:eastAsia="Arial Unicode MS"/>
                <w:b/>
                <w:sz w:val="18"/>
                <w:szCs w:val="18"/>
                <w:lang w:val="en-GB"/>
              </w:rPr>
            </w:pPr>
            <w:r w:rsidRPr="008C0EBA">
              <w:rPr>
                <w:rFonts w:eastAsia="Arial Unicode MS"/>
                <w:b/>
                <w:sz w:val="18"/>
                <w:szCs w:val="18"/>
                <w:lang w:val="en-GB"/>
              </w:rPr>
              <w:t>McMichael Collection</w:t>
            </w:r>
          </w:p>
        </w:tc>
        <w:tc>
          <w:tcPr>
            <w:tcW w:w="1260" w:type="dxa"/>
            <w:tcBorders>
              <w:top w:val="single" w:sz="4" w:space="0" w:color="000000"/>
              <w:left w:val="single" w:sz="4" w:space="0" w:color="000000"/>
              <w:bottom w:val="single" w:sz="4" w:space="0" w:color="000000"/>
            </w:tcBorders>
            <w:shd w:val="clear" w:color="auto" w:fill="auto"/>
            <w:vAlign w:val="center"/>
          </w:tcPr>
          <w:p w14:paraId="03E6026A" w14:textId="77777777" w:rsidR="00DB78B7" w:rsidRPr="008C0EBA" w:rsidRDefault="00DB78B7" w:rsidP="00411B4A">
            <w:pPr>
              <w:pStyle w:val="ExhibitText"/>
              <w:spacing w:line="100" w:lineRule="atLeast"/>
              <w:jc w:val="center"/>
              <w:rPr>
                <w:rFonts w:eastAsia="Arial Unicode MS"/>
                <w:b/>
                <w:sz w:val="18"/>
                <w:szCs w:val="18"/>
                <w:lang w:val="en-GB"/>
              </w:rPr>
            </w:pPr>
            <w:proofErr w:type="spellStart"/>
            <w:r w:rsidRPr="008C0EBA">
              <w:rPr>
                <w:rFonts w:eastAsia="Arial Unicode MS"/>
                <w:b/>
                <w:sz w:val="18"/>
                <w:szCs w:val="18"/>
                <w:lang w:val="en-GB"/>
              </w:rPr>
              <w:t>Tzafona</w:t>
            </w:r>
            <w:proofErr w:type="spellEnd"/>
            <w:r w:rsidRPr="008C0EBA">
              <w:rPr>
                <w:rFonts w:eastAsia="Arial Unicode MS"/>
                <w:b/>
                <w:sz w:val="18"/>
                <w:szCs w:val="18"/>
                <w:lang w:val="en-GB"/>
              </w:rPr>
              <w:t xml:space="preserve"> Cellars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75528" w14:textId="77777777" w:rsidR="00DB78B7" w:rsidRPr="008C0EBA" w:rsidRDefault="00DB78B7" w:rsidP="00411B4A">
            <w:pPr>
              <w:pStyle w:val="ExhibitText"/>
              <w:spacing w:line="100" w:lineRule="atLeast"/>
              <w:jc w:val="center"/>
              <w:rPr>
                <w:sz w:val="18"/>
                <w:szCs w:val="18"/>
                <w:lang w:val="en-GB"/>
              </w:rPr>
            </w:pPr>
            <w:r w:rsidRPr="008C0EBA">
              <w:rPr>
                <w:rFonts w:eastAsia="Arial Unicode MS"/>
                <w:b/>
                <w:sz w:val="18"/>
                <w:szCs w:val="18"/>
                <w:lang w:val="en-GB"/>
              </w:rPr>
              <w:t>Backyard Vineyards</w:t>
            </w:r>
          </w:p>
        </w:tc>
      </w:tr>
      <w:tr w:rsidR="00DB78B7" w:rsidRPr="008C0EBA" w14:paraId="049030AD" w14:textId="77777777" w:rsidTr="008C0EBA">
        <w:trPr>
          <w:trHeight w:val="260"/>
          <w:jc w:val="center"/>
        </w:trPr>
        <w:tc>
          <w:tcPr>
            <w:tcW w:w="2065" w:type="dxa"/>
            <w:tcBorders>
              <w:top w:val="single" w:sz="4" w:space="0" w:color="000000"/>
              <w:left w:val="single" w:sz="4" w:space="0" w:color="000000"/>
              <w:bottom w:val="single" w:sz="4" w:space="0" w:color="000000"/>
            </w:tcBorders>
            <w:shd w:val="clear" w:color="auto" w:fill="auto"/>
            <w:vAlign w:val="center"/>
          </w:tcPr>
          <w:p w14:paraId="310DF031" w14:textId="367AA905"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Price per bottle (not including ice wine)</w:t>
            </w:r>
          </w:p>
        </w:tc>
        <w:tc>
          <w:tcPr>
            <w:tcW w:w="1080" w:type="dxa"/>
            <w:tcBorders>
              <w:top w:val="single" w:sz="4" w:space="0" w:color="000000"/>
              <w:left w:val="single" w:sz="4" w:space="0" w:color="000000"/>
              <w:bottom w:val="single" w:sz="4" w:space="0" w:color="000000"/>
            </w:tcBorders>
            <w:shd w:val="clear" w:color="auto" w:fill="auto"/>
            <w:vAlign w:val="center"/>
          </w:tcPr>
          <w:p w14:paraId="7EC44982" w14:textId="1AB2F0CC"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$11–$13</w:t>
            </w:r>
          </w:p>
        </w:tc>
        <w:tc>
          <w:tcPr>
            <w:tcW w:w="1170" w:type="dxa"/>
            <w:tcBorders>
              <w:top w:val="single" w:sz="4" w:space="0" w:color="000000"/>
              <w:left w:val="single" w:sz="4" w:space="0" w:color="000000"/>
              <w:bottom w:val="single" w:sz="4" w:space="0" w:color="000000"/>
            </w:tcBorders>
            <w:shd w:val="clear" w:color="auto" w:fill="auto"/>
            <w:vAlign w:val="center"/>
          </w:tcPr>
          <w:p w14:paraId="4B450BE4" w14:textId="5DCC7CA0"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$20–$30</w:t>
            </w:r>
          </w:p>
        </w:tc>
        <w:tc>
          <w:tcPr>
            <w:tcW w:w="1440" w:type="dxa"/>
            <w:tcBorders>
              <w:top w:val="single" w:sz="4" w:space="0" w:color="000000"/>
              <w:left w:val="single" w:sz="4" w:space="0" w:color="000000"/>
              <w:bottom w:val="single" w:sz="4" w:space="0" w:color="000000"/>
            </w:tcBorders>
            <w:shd w:val="clear" w:color="auto" w:fill="auto"/>
            <w:vAlign w:val="center"/>
          </w:tcPr>
          <w:p w14:paraId="32E619D9" w14:textId="08D60103"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$13–$15</w:t>
            </w:r>
          </w:p>
        </w:tc>
        <w:tc>
          <w:tcPr>
            <w:tcW w:w="1080" w:type="dxa"/>
            <w:tcBorders>
              <w:top w:val="single" w:sz="4" w:space="0" w:color="000000"/>
              <w:left w:val="single" w:sz="4" w:space="0" w:color="000000"/>
              <w:bottom w:val="single" w:sz="4" w:space="0" w:color="000000"/>
            </w:tcBorders>
            <w:shd w:val="clear" w:color="auto" w:fill="auto"/>
            <w:vAlign w:val="center"/>
          </w:tcPr>
          <w:p w14:paraId="407A6283" w14:textId="14F17F5F"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$14–$16</w:t>
            </w:r>
          </w:p>
        </w:tc>
        <w:tc>
          <w:tcPr>
            <w:tcW w:w="1170" w:type="dxa"/>
            <w:tcBorders>
              <w:top w:val="single" w:sz="4" w:space="0" w:color="000000"/>
              <w:left w:val="single" w:sz="4" w:space="0" w:color="000000"/>
              <w:bottom w:val="single" w:sz="4" w:space="0" w:color="000000"/>
            </w:tcBorders>
            <w:shd w:val="clear" w:color="auto" w:fill="auto"/>
            <w:vAlign w:val="center"/>
          </w:tcPr>
          <w:p w14:paraId="32221CC6" w14:textId="745EBCD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$13–$6</w:t>
            </w:r>
          </w:p>
        </w:tc>
        <w:tc>
          <w:tcPr>
            <w:tcW w:w="1170" w:type="dxa"/>
            <w:tcBorders>
              <w:top w:val="single" w:sz="4" w:space="0" w:color="000000"/>
              <w:left w:val="single" w:sz="4" w:space="0" w:color="000000"/>
              <w:bottom w:val="single" w:sz="4" w:space="0" w:color="000000"/>
            </w:tcBorders>
            <w:shd w:val="clear" w:color="auto" w:fill="auto"/>
            <w:vAlign w:val="center"/>
          </w:tcPr>
          <w:p w14:paraId="61B6A1F5" w14:textId="717F8A13"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$14–$15</w:t>
            </w:r>
          </w:p>
        </w:tc>
        <w:tc>
          <w:tcPr>
            <w:tcW w:w="1350" w:type="dxa"/>
            <w:tcBorders>
              <w:top w:val="single" w:sz="4" w:space="0" w:color="000000"/>
              <w:left w:val="single" w:sz="4" w:space="0" w:color="000000"/>
              <w:bottom w:val="single" w:sz="4" w:space="0" w:color="000000"/>
            </w:tcBorders>
            <w:shd w:val="clear" w:color="auto" w:fill="auto"/>
            <w:vAlign w:val="center"/>
          </w:tcPr>
          <w:p w14:paraId="36701F87"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$15</w:t>
            </w:r>
          </w:p>
        </w:tc>
        <w:tc>
          <w:tcPr>
            <w:tcW w:w="1260" w:type="dxa"/>
            <w:tcBorders>
              <w:top w:val="single" w:sz="4" w:space="0" w:color="000000"/>
              <w:left w:val="single" w:sz="4" w:space="0" w:color="000000"/>
              <w:bottom w:val="single" w:sz="4" w:space="0" w:color="000000"/>
            </w:tcBorders>
            <w:shd w:val="clear" w:color="auto" w:fill="auto"/>
            <w:vAlign w:val="center"/>
          </w:tcPr>
          <w:p w14:paraId="06764AA0" w14:textId="44E0F26A"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$22–$29</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981AB" w14:textId="77777777" w:rsidR="00DB78B7" w:rsidRPr="008C0EBA" w:rsidRDefault="00DB78B7" w:rsidP="00411B4A">
            <w:pPr>
              <w:pStyle w:val="ExhibitText"/>
              <w:spacing w:line="100" w:lineRule="atLeast"/>
              <w:jc w:val="center"/>
              <w:rPr>
                <w:sz w:val="18"/>
                <w:szCs w:val="18"/>
                <w:lang w:val="en-GB"/>
              </w:rPr>
            </w:pPr>
            <w:r w:rsidRPr="008C0EBA">
              <w:rPr>
                <w:rFonts w:eastAsia="Arial Unicode MS"/>
                <w:sz w:val="18"/>
                <w:szCs w:val="18"/>
                <w:lang w:val="en-GB"/>
              </w:rPr>
              <w:t>$15</w:t>
            </w:r>
          </w:p>
        </w:tc>
      </w:tr>
      <w:tr w:rsidR="00DB78B7" w:rsidRPr="008C0EBA" w14:paraId="67BF2ED1" w14:textId="77777777" w:rsidTr="008C0EBA">
        <w:trPr>
          <w:trHeight w:val="647"/>
          <w:jc w:val="center"/>
        </w:trPr>
        <w:tc>
          <w:tcPr>
            <w:tcW w:w="2065" w:type="dxa"/>
            <w:tcBorders>
              <w:top w:val="single" w:sz="4" w:space="0" w:color="000000"/>
              <w:left w:val="single" w:sz="4" w:space="0" w:color="000000"/>
              <w:bottom w:val="single" w:sz="4" w:space="0" w:color="000000"/>
            </w:tcBorders>
            <w:shd w:val="clear" w:color="auto" w:fill="auto"/>
            <w:vAlign w:val="center"/>
          </w:tcPr>
          <w:p w14:paraId="2AA80F21"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Marketing message</w:t>
            </w:r>
          </w:p>
        </w:tc>
        <w:tc>
          <w:tcPr>
            <w:tcW w:w="1080" w:type="dxa"/>
            <w:tcBorders>
              <w:top w:val="single" w:sz="4" w:space="0" w:color="000000"/>
              <w:left w:val="single" w:sz="4" w:space="0" w:color="000000"/>
              <w:bottom w:val="single" w:sz="4" w:space="0" w:color="000000"/>
            </w:tcBorders>
            <w:shd w:val="clear" w:color="auto" w:fill="auto"/>
            <w:vAlign w:val="center"/>
          </w:tcPr>
          <w:p w14:paraId="0C592AE4" w14:textId="6C1C88A0"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Just-because wine</w:t>
            </w:r>
          </w:p>
        </w:tc>
        <w:tc>
          <w:tcPr>
            <w:tcW w:w="1170" w:type="dxa"/>
            <w:tcBorders>
              <w:top w:val="single" w:sz="4" w:space="0" w:color="000000"/>
              <w:left w:val="single" w:sz="4" w:space="0" w:color="000000"/>
              <w:bottom w:val="single" w:sz="4" w:space="0" w:color="000000"/>
            </w:tcBorders>
            <w:shd w:val="clear" w:color="auto" w:fill="auto"/>
            <w:vAlign w:val="center"/>
          </w:tcPr>
          <w:p w14:paraId="53CF231D" w14:textId="1DB24D80"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Premium, award-winning wine</w:t>
            </w:r>
          </w:p>
        </w:tc>
        <w:tc>
          <w:tcPr>
            <w:tcW w:w="1440" w:type="dxa"/>
            <w:tcBorders>
              <w:top w:val="single" w:sz="4" w:space="0" w:color="000000"/>
              <w:left w:val="single" w:sz="4" w:space="0" w:color="000000"/>
              <w:bottom w:val="single" w:sz="4" w:space="0" w:color="000000"/>
            </w:tcBorders>
            <w:shd w:val="clear" w:color="auto" w:fill="auto"/>
            <w:vAlign w:val="center"/>
          </w:tcPr>
          <w:p w14:paraId="4C82ED28" w14:textId="5C53E637"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International, flavourful, easy-drinking wine</w:t>
            </w:r>
          </w:p>
        </w:tc>
        <w:tc>
          <w:tcPr>
            <w:tcW w:w="1080" w:type="dxa"/>
            <w:tcBorders>
              <w:top w:val="single" w:sz="4" w:space="0" w:color="000000"/>
              <w:left w:val="single" w:sz="4" w:space="0" w:color="000000"/>
              <w:bottom w:val="single" w:sz="4" w:space="0" w:color="000000"/>
            </w:tcBorders>
            <w:shd w:val="clear" w:color="auto" w:fill="auto"/>
            <w:vAlign w:val="center"/>
          </w:tcPr>
          <w:p w14:paraId="55D102FA" w14:textId="19B3A719"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High quality, locally grown</w:t>
            </w:r>
          </w:p>
        </w:tc>
        <w:tc>
          <w:tcPr>
            <w:tcW w:w="1170" w:type="dxa"/>
            <w:tcBorders>
              <w:top w:val="single" w:sz="4" w:space="0" w:color="000000"/>
              <w:left w:val="single" w:sz="4" w:space="0" w:color="000000"/>
              <w:bottom w:val="single" w:sz="4" w:space="0" w:color="000000"/>
            </w:tcBorders>
            <w:shd w:val="clear" w:color="auto" w:fill="auto"/>
            <w:vAlign w:val="center"/>
          </w:tcPr>
          <w:p w14:paraId="4E6C1CCB" w14:textId="49A8D0E6"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Celebrate who you are with a sweeter wine</w:t>
            </w:r>
          </w:p>
        </w:tc>
        <w:tc>
          <w:tcPr>
            <w:tcW w:w="1170" w:type="dxa"/>
            <w:tcBorders>
              <w:top w:val="single" w:sz="4" w:space="0" w:color="000000"/>
              <w:left w:val="single" w:sz="4" w:space="0" w:color="000000"/>
              <w:bottom w:val="single" w:sz="4" w:space="0" w:color="000000"/>
            </w:tcBorders>
            <w:shd w:val="clear" w:color="auto" w:fill="auto"/>
            <w:vAlign w:val="center"/>
          </w:tcPr>
          <w:p w14:paraId="249967C6" w14:textId="6C62DC25"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Celebrate special occasions</w:t>
            </w:r>
          </w:p>
        </w:tc>
        <w:tc>
          <w:tcPr>
            <w:tcW w:w="1350" w:type="dxa"/>
            <w:tcBorders>
              <w:top w:val="single" w:sz="4" w:space="0" w:color="000000"/>
              <w:left w:val="single" w:sz="4" w:space="0" w:color="000000"/>
              <w:bottom w:val="single" w:sz="4" w:space="0" w:color="000000"/>
            </w:tcBorders>
            <w:shd w:val="clear" w:color="auto" w:fill="auto"/>
            <w:vAlign w:val="center"/>
          </w:tcPr>
          <w:p w14:paraId="2C2ECA1B" w14:textId="27A47A6B"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Supports preservation of the art collection</w:t>
            </w:r>
          </w:p>
        </w:tc>
        <w:tc>
          <w:tcPr>
            <w:tcW w:w="1260" w:type="dxa"/>
            <w:tcBorders>
              <w:top w:val="single" w:sz="4" w:space="0" w:color="000000"/>
              <w:left w:val="single" w:sz="4" w:space="0" w:color="000000"/>
              <w:bottom w:val="single" w:sz="4" w:space="0" w:color="000000"/>
            </w:tcBorders>
            <w:shd w:val="clear" w:color="auto" w:fill="auto"/>
            <w:vAlign w:val="center"/>
          </w:tcPr>
          <w:p w14:paraId="1A0C49F9" w14:textId="6BF921D3" w:rsidR="00DB78B7" w:rsidRPr="008C0EBA" w:rsidRDefault="00DB78B7" w:rsidP="00426D0E">
            <w:pPr>
              <w:pStyle w:val="ExhibitText"/>
              <w:spacing w:line="100" w:lineRule="atLeast"/>
              <w:jc w:val="center"/>
              <w:rPr>
                <w:rFonts w:eastAsia="Arial Unicode MS"/>
                <w:sz w:val="18"/>
                <w:szCs w:val="18"/>
                <w:lang w:val="en-GB"/>
              </w:rPr>
            </w:pPr>
            <w:r w:rsidRPr="008C0EBA">
              <w:rPr>
                <w:rFonts w:eastAsia="Arial Unicode MS"/>
                <w:sz w:val="18"/>
                <w:szCs w:val="18"/>
                <w:lang w:val="en-GB"/>
              </w:rPr>
              <w:t>Canadian kosher wine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E98F7" w14:textId="4F939C61" w:rsidR="00DB78B7" w:rsidRPr="008C0EBA" w:rsidRDefault="00DB78B7" w:rsidP="00426D0E">
            <w:pPr>
              <w:pStyle w:val="ExhibitText"/>
              <w:spacing w:line="100" w:lineRule="atLeast"/>
              <w:jc w:val="center"/>
              <w:rPr>
                <w:sz w:val="18"/>
                <w:szCs w:val="18"/>
                <w:lang w:val="en-GB"/>
              </w:rPr>
            </w:pPr>
            <w:r w:rsidRPr="008C0EBA">
              <w:rPr>
                <w:rFonts w:eastAsia="Arial Unicode MS"/>
                <w:sz w:val="18"/>
                <w:szCs w:val="18"/>
                <w:lang w:val="en-GB"/>
              </w:rPr>
              <w:t>Nosey Neighbour label</w:t>
            </w:r>
          </w:p>
        </w:tc>
      </w:tr>
      <w:tr w:rsidR="00DB78B7" w:rsidRPr="008C0EBA" w14:paraId="7199A04B" w14:textId="77777777" w:rsidTr="008C0EBA">
        <w:trPr>
          <w:trHeight w:val="56"/>
          <w:jc w:val="center"/>
        </w:trPr>
        <w:tc>
          <w:tcPr>
            <w:tcW w:w="2065" w:type="dxa"/>
            <w:tcBorders>
              <w:top w:val="single" w:sz="4" w:space="0" w:color="000000"/>
              <w:left w:val="single" w:sz="4" w:space="0" w:color="000000"/>
              <w:bottom w:val="single" w:sz="4" w:space="0" w:color="000000"/>
            </w:tcBorders>
            <w:shd w:val="clear" w:color="auto" w:fill="auto"/>
          </w:tcPr>
          <w:p w14:paraId="2C740821"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Pinot Grigio</w:t>
            </w:r>
          </w:p>
        </w:tc>
        <w:tc>
          <w:tcPr>
            <w:tcW w:w="1080" w:type="dxa"/>
            <w:tcBorders>
              <w:top w:val="single" w:sz="4" w:space="0" w:color="000000"/>
              <w:left w:val="single" w:sz="4" w:space="0" w:color="000000"/>
              <w:bottom w:val="single" w:sz="4" w:space="0" w:color="000000"/>
            </w:tcBorders>
            <w:shd w:val="clear" w:color="auto" w:fill="auto"/>
            <w:vAlign w:val="center"/>
          </w:tcPr>
          <w:p w14:paraId="7A68ABA8"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1C8E4BC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19FE2C5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46F71883"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10742173"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233F3AC"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2E17DE7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64BEFC1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9A4F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542B50DF" w14:textId="77777777" w:rsidTr="008C0EBA">
        <w:trPr>
          <w:trHeight w:val="62"/>
          <w:jc w:val="center"/>
        </w:trPr>
        <w:tc>
          <w:tcPr>
            <w:tcW w:w="2065" w:type="dxa"/>
            <w:tcBorders>
              <w:top w:val="single" w:sz="4" w:space="0" w:color="000000"/>
              <w:left w:val="single" w:sz="4" w:space="0" w:color="000000"/>
              <w:bottom w:val="single" w:sz="4" w:space="0" w:color="000000"/>
            </w:tcBorders>
            <w:shd w:val="clear" w:color="auto" w:fill="auto"/>
          </w:tcPr>
          <w:p w14:paraId="2DA748EB"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Chardonnay</w:t>
            </w:r>
          </w:p>
        </w:tc>
        <w:tc>
          <w:tcPr>
            <w:tcW w:w="1080" w:type="dxa"/>
            <w:tcBorders>
              <w:top w:val="single" w:sz="4" w:space="0" w:color="000000"/>
              <w:left w:val="single" w:sz="4" w:space="0" w:color="000000"/>
              <w:bottom w:val="single" w:sz="4" w:space="0" w:color="000000"/>
            </w:tcBorders>
            <w:shd w:val="clear" w:color="auto" w:fill="auto"/>
            <w:vAlign w:val="center"/>
          </w:tcPr>
          <w:p w14:paraId="05A539F7"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2EAD5CF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4BD5792E"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080" w:type="dxa"/>
            <w:tcBorders>
              <w:top w:val="single" w:sz="4" w:space="0" w:color="000000"/>
              <w:left w:val="single" w:sz="4" w:space="0" w:color="000000"/>
              <w:bottom w:val="single" w:sz="4" w:space="0" w:color="000000"/>
            </w:tcBorders>
            <w:shd w:val="clear" w:color="auto" w:fill="auto"/>
            <w:vAlign w:val="center"/>
          </w:tcPr>
          <w:p w14:paraId="5796ABAE"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4A45277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A08310F"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074F0011"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260" w:type="dxa"/>
            <w:tcBorders>
              <w:top w:val="single" w:sz="4" w:space="0" w:color="000000"/>
              <w:left w:val="single" w:sz="4" w:space="0" w:color="000000"/>
              <w:bottom w:val="single" w:sz="4" w:space="0" w:color="000000"/>
            </w:tcBorders>
            <w:shd w:val="clear" w:color="auto" w:fill="auto"/>
            <w:vAlign w:val="center"/>
          </w:tcPr>
          <w:p w14:paraId="7CC24A10"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0495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208B0E09"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1CCA5DEB" w14:textId="6CE31179"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Sauvignon Blanc</w:t>
            </w:r>
          </w:p>
        </w:tc>
        <w:tc>
          <w:tcPr>
            <w:tcW w:w="1080" w:type="dxa"/>
            <w:tcBorders>
              <w:top w:val="single" w:sz="4" w:space="0" w:color="000000"/>
              <w:left w:val="single" w:sz="4" w:space="0" w:color="000000"/>
              <w:bottom w:val="single" w:sz="4" w:space="0" w:color="000000"/>
            </w:tcBorders>
            <w:shd w:val="clear" w:color="auto" w:fill="auto"/>
            <w:vAlign w:val="center"/>
          </w:tcPr>
          <w:p w14:paraId="1A81D139"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01442AD0"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440" w:type="dxa"/>
            <w:tcBorders>
              <w:top w:val="single" w:sz="4" w:space="0" w:color="000000"/>
              <w:left w:val="single" w:sz="4" w:space="0" w:color="000000"/>
              <w:bottom w:val="single" w:sz="4" w:space="0" w:color="000000"/>
            </w:tcBorders>
            <w:shd w:val="clear" w:color="auto" w:fill="auto"/>
            <w:vAlign w:val="center"/>
          </w:tcPr>
          <w:p w14:paraId="2F2B1C65"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080" w:type="dxa"/>
            <w:tcBorders>
              <w:top w:val="single" w:sz="4" w:space="0" w:color="000000"/>
              <w:left w:val="single" w:sz="4" w:space="0" w:color="000000"/>
              <w:bottom w:val="single" w:sz="4" w:space="0" w:color="000000"/>
            </w:tcBorders>
            <w:shd w:val="clear" w:color="auto" w:fill="auto"/>
            <w:vAlign w:val="center"/>
          </w:tcPr>
          <w:p w14:paraId="23ED1653"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597E460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C50805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1759A32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64D5564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AC6D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698C5EF9"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11A62047"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Moscato</w:t>
            </w:r>
          </w:p>
        </w:tc>
        <w:tc>
          <w:tcPr>
            <w:tcW w:w="1080" w:type="dxa"/>
            <w:tcBorders>
              <w:top w:val="single" w:sz="4" w:space="0" w:color="000000"/>
              <w:left w:val="single" w:sz="4" w:space="0" w:color="000000"/>
              <w:bottom w:val="single" w:sz="4" w:space="0" w:color="000000"/>
            </w:tcBorders>
            <w:shd w:val="clear" w:color="auto" w:fill="auto"/>
            <w:vAlign w:val="center"/>
          </w:tcPr>
          <w:p w14:paraId="2D30EF5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95A317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2427CAA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2595C27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D51C3EA"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44D5D7C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5AC4AD9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4645273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E583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2927A6D8"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49245A7C" w14:textId="5E223FCC"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Gewürztraminer</w:t>
            </w:r>
          </w:p>
        </w:tc>
        <w:tc>
          <w:tcPr>
            <w:tcW w:w="1080" w:type="dxa"/>
            <w:tcBorders>
              <w:top w:val="single" w:sz="4" w:space="0" w:color="000000"/>
              <w:left w:val="single" w:sz="4" w:space="0" w:color="000000"/>
              <w:bottom w:val="single" w:sz="4" w:space="0" w:color="000000"/>
            </w:tcBorders>
            <w:shd w:val="clear" w:color="auto" w:fill="auto"/>
            <w:vAlign w:val="center"/>
          </w:tcPr>
          <w:p w14:paraId="12B033B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0CBBF5A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21CCC8A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483ADAEE"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14EDA6A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C1EB4A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4106152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216778B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F4A7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48CE3E7B"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7138857B" w14:textId="62F6643A"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Riesling Gewürztraminer.</w:t>
            </w:r>
          </w:p>
        </w:tc>
        <w:tc>
          <w:tcPr>
            <w:tcW w:w="1080" w:type="dxa"/>
            <w:tcBorders>
              <w:top w:val="single" w:sz="4" w:space="0" w:color="000000"/>
              <w:left w:val="single" w:sz="4" w:space="0" w:color="000000"/>
              <w:bottom w:val="single" w:sz="4" w:space="0" w:color="000000"/>
            </w:tcBorders>
            <w:shd w:val="clear" w:color="auto" w:fill="auto"/>
            <w:vAlign w:val="center"/>
          </w:tcPr>
          <w:p w14:paraId="2065B7C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948C72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780E00C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4C40E72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0F18030"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7BCF9F4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671E721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160B833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6C5C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0BDA1E59"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2B3FD0B2"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Riesling</w:t>
            </w:r>
          </w:p>
        </w:tc>
        <w:tc>
          <w:tcPr>
            <w:tcW w:w="1080" w:type="dxa"/>
            <w:tcBorders>
              <w:top w:val="single" w:sz="4" w:space="0" w:color="000000"/>
              <w:left w:val="single" w:sz="4" w:space="0" w:color="000000"/>
              <w:bottom w:val="single" w:sz="4" w:space="0" w:color="000000"/>
            </w:tcBorders>
            <w:shd w:val="clear" w:color="auto" w:fill="auto"/>
            <w:vAlign w:val="center"/>
          </w:tcPr>
          <w:p w14:paraId="4A36189A"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185AA0E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67DC0A1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7F7C39CB"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5BC2235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1D2D7E3"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50B0EF0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2ECF28B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A361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00E51724"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49CAF7D3"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Viognier</w:t>
            </w:r>
          </w:p>
        </w:tc>
        <w:tc>
          <w:tcPr>
            <w:tcW w:w="1080" w:type="dxa"/>
            <w:tcBorders>
              <w:top w:val="single" w:sz="4" w:space="0" w:color="000000"/>
              <w:left w:val="single" w:sz="4" w:space="0" w:color="000000"/>
              <w:bottom w:val="single" w:sz="4" w:space="0" w:color="000000"/>
            </w:tcBorders>
            <w:shd w:val="clear" w:color="auto" w:fill="auto"/>
            <w:vAlign w:val="center"/>
          </w:tcPr>
          <w:p w14:paraId="0A923C0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2715EBB4"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440" w:type="dxa"/>
            <w:tcBorders>
              <w:top w:val="single" w:sz="4" w:space="0" w:color="000000"/>
              <w:left w:val="single" w:sz="4" w:space="0" w:color="000000"/>
              <w:bottom w:val="single" w:sz="4" w:space="0" w:color="000000"/>
            </w:tcBorders>
            <w:shd w:val="clear" w:color="auto" w:fill="auto"/>
            <w:vAlign w:val="center"/>
          </w:tcPr>
          <w:p w14:paraId="0F00285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1418642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06C7F2A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FB3F3F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75A4012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2FCD49F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BCBC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00F402A7"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6FB57A25"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Kerner</w:t>
            </w:r>
          </w:p>
        </w:tc>
        <w:tc>
          <w:tcPr>
            <w:tcW w:w="1080" w:type="dxa"/>
            <w:tcBorders>
              <w:top w:val="single" w:sz="4" w:space="0" w:color="000000"/>
              <w:left w:val="single" w:sz="4" w:space="0" w:color="000000"/>
              <w:bottom w:val="single" w:sz="4" w:space="0" w:color="000000"/>
            </w:tcBorders>
            <w:shd w:val="clear" w:color="auto" w:fill="auto"/>
            <w:vAlign w:val="center"/>
          </w:tcPr>
          <w:p w14:paraId="201BD4E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66C28F48"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440" w:type="dxa"/>
            <w:tcBorders>
              <w:top w:val="single" w:sz="4" w:space="0" w:color="000000"/>
              <w:left w:val="single" w:sz="4" w:space="0" w:color="000000"/>
              <w:bottom w:val="single" w:sz="4" w:space="0" w:color="000000"/>
            </w:tcBorders>
            <w:shd w:val="clear" w:color="auto" w:fill="auto"/>
            <w:vAlign w:val="center"/>
          </w:tcPr>
          <w:p w14:paraId="50FFAB4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7B5B834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00C7767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F184D8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62632AE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1170E24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50D1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33617D4B"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2C16653C"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White blend</w:t>
            </w:r>
          </w:p>
        </w:tc>
        <w:tc>
          <w:tcPr>
            <w:tcW w:w="1080" w:type="dxa"/>
            <w:tcBorders>
              <w:top w:val="single" w:sz="4" w:space="0" w:color="000000"/>
              <w:left w:val="single" w:sz="4" w:space="0" w:color="000000"/>
              <w:bottom w:val="single" w:sz="4" w:space="0" w:color="000000"/>
            </w:tcBorders>
            <w:shd w:val="clear" w:color="auto" w:fill="auto"/>
            <w:vAlign w:val="center"/>
          </w:tcPr>
          <w:p w14:paraId="72367AD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2F13CA2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25404C2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2EB687A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2B7DF0F3"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19915C5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78913D9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76F3BF1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69FE8" w14:textId="77777777" w:rsidR="00DB78B7" w:rsidRPr="008C0EBA" w:rsidRDefault="00DB78B7" w:rsidP="00411B4A">
            <w:pPr>
              <w:pStyle w:val="ExhibitText"/>
              <w:spacing w:line="100" w:lineRule="atLeast"/>
              <w:jc w:val="center"/>
              <w:rPr>
                <w:sz w:val="18"/>
                <w:szCs w:val="18"/>
                <w:lang w:val="en-GB"/>
              </w:rPr>
            </w:pPr>
            <w:r w:rsidRPr="008C0EBA">
              <w:rPr>
                <w:rFonts w:eastAsia="Arial Unicode MS"/>
                <w:sz w:val="18"/>
                <w:szCs w:val="18"/>
                <w:lang w:val="en-GB"/>
              </w:rPr>
              <w:t>+</w:t>
            </w:r>
          </w:p>
        </w:tc>
      </w:tr>
      <w:tr w:rsidR="00DB78B7" w:rsidRPr="008C0EBA" w14:paraId="7EE00D97"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3E108362"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Merlot</w:t>
            </w:r>
          </w:p>
        </w:tc>
        <w:tc>
          <w:tcPr>
            <w:tcW w:w="1080" w:type="dxa"/>
            <w:tcBorders>
              <w:top w:val="single" w:sz="4" w:space="0" w:color="000000"/>
              <w:left w:val="single" w:sz="4" w:space="0" w:color="000000"/>
              <w:bottom w:val="single" w:sz="4" w:space="0" w:color="000000"/>
            </w:tcBorders>
            <w:shd w:val="clear" w:color="auto" w:fill="auto"/>
            <w:vAlign w:val="center"/>
          </w:tcPr>
          <w:p w14:paraId="1A8D17F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1DD8F56"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440" w:type="dxa"/>
            <w:tcBorders>
              <w:top w:val="single" w:sz="4" w:space="0" w:color="000000"/>
              <w:left w:val="single" w:sz="4" w:space="0" w:color="000000"/>
              <w:bottom w:val="single" w:sz="4" w:space="0" w:color="000000"/>
            </w:tcBorders>
            <w:shd w:val="clear" w:color="auto" w:fill="auto"/>
            <w:vAlign w:val="center"/>
          </w:tcPr>
          <w:p w14:paraId="1BD0B4F4"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080" w:type="dxa"/>
            <w:tcBorders>
              <w:top w:val="single" w:sz="4" w:space="0" w:color="000000"/>
              <w:left w:val="single" w:sz="4" w:space="0" w:color="000000"/>
              <w:bottom w:val="single" w:sz="4" w:space="0" w:color="000000"/>
            </w:tcBorders>
            <w:shd w:val="clear" w:color="auto" w:fill="auto"/>
            <w:vAlign w:val="center"/>
          </w:tcPr>
          <w:p w14:paraId="30BABEE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073A314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E80713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008331D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441B615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145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304A6591"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74765EB3" w14:textId="216FED39"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Shiraz</w:t>
            </w:r>
          </w:p>
        </w:tc>
        <w:tc>
          <w:tcPr>
            <w:tcW w:w="1080" w:type="dxa"/>
            <w:tcBorders>
              <w:top w:val="single" w:sz="4" w:space="0" w:color="000000"/>
              <w:left w:val="single" w:sz="4" w:space="0" w:color="000000"/>
              <w:bottom w:val="single" w:sz="4" w:space="0" w:color="000000"/>
            </w:tcBorders>
            <w:shd w:val="clear" w:color="auto" w:fill="auto"/>
            <w:vAlign w:val="center"/>
          </w:tcPr>
          <w:p w14:paraId="7C1BFB2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87FDAD1"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440" w:type="dxa"/>
            <w:tcBorders>
              <w:top w:val="single" w:sz="4" w:space="0" w:color="000000"/>
              <w:left w:val="single" w:sz="4" w:space="0" w:color="000000"/>
              <w:bottom w:val="single" w:sz="4" w:space="0" w:color="000000"/>
            </w:tcBorders>
            <w:shd w:val="clear" w:color="auto" w:fill="auto"/>
            <w:vAlign w:val="center"/>
          </w:tcPr>
          <w:p w14:paraId="3BFA6C4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1119A0C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1F3A1E8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13B2F7C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53D7ED4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1DB7674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30E5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2A4653A6"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31274178" w14:textId="5DEC699D"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Cabernet Merlot</w:t>
            </w:r>
          </w:p>
        </w:tc>
        <w:tc>
          <w:tcPr>
            <w:tcW w:w="1080" w:type="dxa"/>
            <w:tcBorders>
              <w:top w:val="single" w:sz="4" w:space="0" w:color="000000"/>
              <w:left w:val="single" w:sz="4" w:space="0" w:color="000000"/>
              <w:bottom w:val="single" w:sz="4" w:space="0" w:color="000000"/>
            </w:tcBorders>
            <w:shd w:val="clear" w:color="auto" w:fill="auto"/>
            <w:vAlign w:val="center"/>
          </w:tcPr>
          <w:p w14:paraId="4A07719C"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1A9E3F6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43F3CC3B"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080" w:type="dxa"/>
            <w:tcBorders>
              <w:top w:val="single" w:sz="4" w:space="0" w:color="000000"/>
              <w:left w:val="single" w:sz="4" w:space="0" w:color="000000"/>
              <w:bottom w:val="single" w:sz="4" w:space="0" w:color="000000"/>
            </w:tcBorders>
            <w:shd w:val="clear" w:color="auto" w:fill="auto"/>
            <w:vAlign w:val="center"/>
          </w:tcPr>
          <w:p w14:paraId="7AEEBD8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3EA2343"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85789CC"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114E2364"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260" w:type="dxa"/>
            <w:tcBorders>
              <w:top w:val="single" w:sz="4" w:space="0" w:color="000000"/>
              <w:left w:val="single" w:sz="4" w:space="0" w:color="000000"/>
              <w:bottom w:val="single" w:sz="4" w:space="0" w:color="000000"/>
            </w:tcBorders>
            <w:shd w:val="clear" w:color="auto" w:fill="auto"/>
            <w:vAlign w:val="center"/>
          </w:tcPr>
          <w:p w14:paraId="7DB0635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0847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1FE33FA8"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6703C45F" w14:textId="519C97EE"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Cabernet Sauvignon</w:t>
            </w:r>
          </w:p>
        </w:tc>
        <w:tc>
          <w:tcPr>
            <w:tcW w:w="1080" w:type="dxa"/>
            <w:tcBorders>
              <w:top w:val="single" w:sz="4" w:space="0" w:color="000000"/>
              <w:left w:val="single" w:sz="4" w:space="0" w:color="000000"/>
              <w:bottom w:val="single" w:sz="4" w:space="0" w:color="000000"/>
            </w:tcBorders>
            <w:shd w:val="clear" w:color="auto" w:fill="auto"/>
            <w:vAlign w:val="center"/>
          </w:tcPr>
          <w:p w14:paraId="16914BC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F14CDE9"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440" w:type="dxa"/>
            <w:tcBorders>
              <w:top w:val="single" w:sz="4" w:space="0" w:color="000000"/>
              <w:left w:val="single" w:sz="4" w:space="0" w:color="000000"/>
              <w:bottom w:val="single" w:sz="4" w:space="0" w:color="000000"/>
            </w:tcBorders>
            <w:shd w:val="clear" w:color="auto" w:fill="auto"/>
            <w:vAlign w:val="center"/>
          </w:tcPr>
          <w:p w14:paraId="3C2C3B76"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080" w:type="dxa"/>
            <w:tcBorders>
              <w:top w:val="single" w:sz="4" w:space="0" w:color="000000"/>
              <w:left w:val="single" w:sz="4" w:space="0" w:color="000000"/>
              <w:bottom w:val="single" w:sz="4" w:space="0" w:color="000000"/>
            </w:tcBorders>
            <w:shd w:val="clear" w:color="auto" w:fill="auto"/>
            <w:vAlign w:val="center"/>
          </w:tcPr>
          <w:p w14:paraId="07F1F33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680C342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73AD98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67B8ADF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32F6E254"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5852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3E8AED16" w14:textId="77777777" w:rsidTr="008C0EBA">
        <w:trPr>
          <w:trHeight w:val="125"/>
          <w:jc w:val="center"/>
        </w:trPr>
        <w:tc>
          <w:tcPr>
            <w:tcW w:w="2065" w:type="dxa"/>
            <w:tcBorders>
              <w:top w:val="single" w:sz="4" w:space="0" w:color="000000"/>
              <w:left w:val="single" w:sz="4" w:space="0" w:color="000000"/>
              <w:bottom w:val="single" w:sz="4" w:space="0" w:color="000000"/>
            </w:tcBorders>
            <w:shd w:val="clear" w:color="auto" w:fill="auto"/>
          </w:tcPr>
          <w:p w14:paraId="6C0DD2DD" w14:textId="7F7D74E0"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Cabernet Shiraz</w:t>
            </w:r>
          </w:p>
        </w:tc>
        <w:tc>
          <w:tcPr>
            <w:tcW w:w="1080" w:type="dxa"/>
            <w:tcBorders>
              <w:top w:val="single" w:sz="4" w:space="0" w:color="000000"/>
              <w:left w:val="single" w:sz="4" w:space="0" w:color="000000"/>
              <w:bottom w:val="single" w:sz="4" w:space="0" w:color="000000"/>
            </w:tcBorders>
            <w:shd w:val="clear" w:color="auto" w:fill="auto"/>
            <w:vAlign w:val="center"/>
          </w:tcPr>
          <w:p w14:paraId="695F696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0C5AD39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1374B694"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080" w:type="dxa"/>
            <w:tcBorders>
              <w:top w:val="single" w:sz="4" w:space="0" w:color="000000"/>
              <w:left w:val="single" w:sz="4" w:space="0" w:color="000000"/>
              <w:bottom w:val="single" w:sz="4" w:space="0" w:color="000000"/>
            </w:tcBorders>
            <w:shd w:val="clear" w:color="auto" w:fill="auto"/>
            <w:vAlign w:val="center"/>
          </w:tcPr>
          <w:p w14:paraId="7F8D1A5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6339506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28CD76F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6D5A113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33532DE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4659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6C4E1D8A"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72B62F8B"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Pinot Noir</w:t>
            </w:r>
          </w:p>
        </w:tc>
        <w:tc>
          <w:tcPr>
            <w:tcW w:w="1080" w:type="dxa"/>
            <w:tcBorders>
              <w:top w:val="single" w:sz="4" w:space="0" w:color="000000"/>
              <w:left w:val="single" w:sz="4" w:space="0" w:color="000000"/>
              <w:bottom w:val="single" w:sz="4" w:space="0" w:color="000000"/>
            </w:tcBorders>
            <w:shd w:val="clear" w:color="auto" w:fill="auto"/>
            <w:vAlign w:val="center"/>
          </w:tcPr>
          <w:p w14:paraId="524ADD6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1D1DC19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1997B42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6BE6821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0519DBB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C0DCA46"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4815C96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06DB61F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8E38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53CE6AC2" w14:textId="77777777" w:rsidTr="008C0EBA">
        <w:trPr>
          <w:trHeight w:val="98"/>
          <w:jc w:val="center"/>
        </w:trPr>
        <w:tc>
          <w:tcPr>
            <w:tcW w:w="2065" w:type="dxa"/>
            <w:tcBorders>
              <w:top w:val="single" w:sz="4" w:space="0" w:color="000000"/>
              <w:left w:val="single" w:sz="4" w:space="0" w:color="000000"/>
              <w:bottom w:val="single" w:sz="4" w:space="0" w:color="000000"/>
            </w:tcBorders>
            <w:shd w:val="clear" w:color="auto" w:fill="auto"/>
          </w:tcPr>
          <w:p w14:paraId="0BD0335E"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Gamay Noir</w:t>
            </w:r>
          </w:p>
        </w:tc>
        <w:tc>
          <w:tcPr>
            <w:tcW w:w="1080" w:type="dxa"/>
            <w:tcBorders>
              <w:top w:val="single" w:sz="4" w:space="0" w:color="000000"/>
              <w:left w:val="single" w:sz="4" w:space="0" w:color="000000"/>
              <w:bottom w:val="single" w:sz="4" w:space="0" w:color="000000"/>
            </w:tcBorders>
            <w:shd w:val="clear" w:color="auto" w:fill="auto"/>
            <w:vAlign w:val="center"/>
          </w:tcPr>
          <w:p w14:paraId="4D4F56E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7C650E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0E1BB95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58A11FD5"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84F0C3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B937729"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734F450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4318BF7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5230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21342771"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30E287CB"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Meritage</w:t>
            </w:r>
          </w:p>
        </w:tc>
        <w:tc>
          <w:tcPr>
            <w:tcW w:w="1080" w:type="dxa"/>
            <w:tcBorders>
              <w:top w:val="single" w:sz="4" w:space="0" w:color="000000"/>
              <w:left w:val="single" w:sz="4" w:space="0" w:color="000000"/>
              <w:bottom w:val="single" w:sz="4" w:space="0" w:color="000000"/>
            </w:tcBorders>
            <w:shd w:val="clear" w:color="auto" w:fill="auto"/>
            <w:vAlign w:val="center"/>
          </w:tcPr>
          <w:p w14:paraId="7D803F2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3C029A4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4AE63033"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7BD3DF27"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0A24D81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28222F3"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15839A2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74BD5D6C"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5EC3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315D64C6" w14:textId="77777777" w:rsidTr="008C0EBA">
        <w:trPr>
          <w:trHeight w:val="71"/>
          <w:jc w:val="center"/>
        </w:trPr>
        <w:tc>
          <w:tcPr>
            <w:tcW w:w="2065" w:type="dxa"/>
            <w:tcBorders>
              <w:top w:val="single" w:sz="4" w:space="0" w:color="000000"/>
              <w:left w:val="single" w:sz="4" w:space="0" w:color="000000"/>
              <w:bottom w:val="single" w:sz="4" w:space="0" w:color="000000"/>
            </w:tcBorders>
            <w:shd w:val="clear" w:color="auto" w:fill="auto"/>
          </w:tcPr>
          <w:p w14:paraId="68D9E0A2" w14:textId="77777777" w:rsidR="00DB78B7" w:rsidRPr="008C0EBA" w:rsidRDefault="00DB78B7" w:rsidP="00411B4A">
            <w:pPr>
              <w:pStyle w:val="ExhibitText"/>
              <w:spacing w:line="100" w:lineRule="atLeast"/>
              <w:jc w:val="left"/>
              <w:rPr>
                <w:rFonts w:eastAsia="Arial Unicode MS"/>
                <w:sz w:val="18"/>
                <w:szCs w:val="18"/>
                <w:lang w:val="en-GB"/>
              </w:rPr>
            </w:pPr>
            <w:proofErr w:type="spellStart"/>
            <w:r w:rsidRPr="008C0EBA">
              <w:rPr>
                <w:rFonts w:eastAsia="Arial Unicode MS"/>
                <w:sz w:val="18"/>
                <w:szCs w:val="18"/>
                <w:lang w:val="en-GB"/>
              </w:rPr>
              <w:t>Baco</w:t>
            </w:r>
            <w:proofErr w:type="spellEnd"/>
            <w:r w:rsidRPr="008C0EBA">
              <w:rPr>
                <w:rFonts w:eastAsia="Arial Unicode MS"/>
                <w:sz w:val="18"/>
                <w:szCs w:val="18"/>
                <w:lang w:val="en-GB"/>
              </w:rPr>
              <w:t xml:space="preserve"> Noir</w:t>
            </w:r>
          </w:p>
        </w:tc>
        <w:tc>
          <w:tcPr>
            <w:tcW w:w="1080" w:type="dxa"/>
            <w:tcBorders>
              <w:top w:val="single" w:sz="4" w:space="0" w:color="000000"/>
              <w:left w:val="single" w:sz="4" w:space="0" w:color="000000"/>
              <w:bottom w:val="single" w:sz="4" w:space="0" w:color="000000"/>
            </w:tcBorders>
            <w:shd w:val="clear" w:color="auto" w:fill="auto"/>
            <w:vAlign w:val="center"/>
          </w:tcPr>
          <w:p w14:paraId="098B84B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87010F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0E489AF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126CF202"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788D042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4E431D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350" w:type="dxa"/>
            <w:tcBorders>
              <w:top w:val="single" w:sz="4" w:space="0" w:color="000000"/>
              <w:left w:val="single" w:sz="4" w:space="0" w:color="000000"/>
              <w:bottom w:val="single" w:sz="4" w:space="0" w:color="000000"/>
            </w:tcBorders>
            <w:shd w:val="clear" w:color="auto" w:fill="auto"/>
            <w:vAlign w:val="center"/>
          </w:tcPr>
          <w:p w14:paraId="5157F1D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35E6D4C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D84D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376430AE"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66EFDCC4"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Red blend</w:t>
            </w:r>
          </w:p>
        </w:tc>
        <w:tc>
          <w:tcPr>
            <w:tcW w:w="1080" w:type="dxa"/>
            <w:tcBorders>
              <w:top w:val="single" w:sz="4" w:space="0" w:color="000000"/>
              <w:left w:val="single" w:sz="4" w:space="0" w:color="000000"/>
              <w:bottom w:val="single" w:sz="4" w:space="0" w:color="000000"/>
            </w:tcBorders>
            <w:shd w:val="clear" w:color="auto" w:fill="auto"/>
            <w:vAlign w:val="center"/>
          </w:tcPr>
          <w:p w14:paraId="1AF5271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9E8852D"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7849EC8E"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4705024A"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2635B0B8"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74C94288"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680A446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6CEE298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B4C21" w14:textId="77777777" w:rsidR="00DB78B7" w:rsidRPr="008C0EBA" w:rsidRDefault="00DB78B7" w:rsidP="00411B4A">
            <w:pPr>
              <w:pStyle w:val="ExhibitText"/>
              <w:spacing w:line="100" w:lineRule="atLeast"/>
              <w:jc w:val="center"/>
              <w:rPr>
                <w:sz w:val="18"/>
                <w:szCs w:val="18"/>
                <w:lang w:val="en-GB"/>
              </w:rPr>
            </w:pPr>
            <w:r w:rsidRPr="008C0EBA">
              <w:rPr>
                <w:rFonts w:eastAsia="Arial Unicode MS"/>
                <w:sz w:val="18"/>
                <w:szCs w:val="18"/>
                <w:lang w:val="en-GB"/>
              </w:rPr>
              <w:t>+</w:t>
            </w:r>
          </w:p>
        </w:tc>
      </w:tr>
      <w:tr w:rsidR="00DB78B7" w:rsidRPr="008C0EBA" w14:paraId="3460A516" w14:textId="77777777" w:rsidTr="008C0EBA">
        <w:trPr>
          <w:trHeight w:val="134"/>
          <w:jc w:val="center"/>
        </w:trPr>
        <w:tc>
          <w:tcPr>
            <w:tcW w:w="2065" w:type="dxa"/>
            <w:tcBorders>
              <w:top w:val="single" w:sz="4" w:space="0" w:color="000000"/>
              <w:left w:val="single" w:sz="4" w:space="0" w:color="000000"/>
              <w:bottom w:val="single" w:sz="4" w:space="0" w:color="000000"/>
            </w:tcBorders>
            <w:shd w:val="clear" w:color="auto" w:fill="auto"/>
          </w:tcPr>
          <w:p w14:paraId="151F3100" w14:textId="0AF9B96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Rosé</w:t>
            </w:r>
          </w:p>
        </w:tc>
        <w:tc>
          <w:tcPr>
            <w:tcW w:w="1080" w:type="dxa"/>
            <w:tcBorders>
              <w:top w:val="single" w:sz="4" w:space="0" w:color="000000"/>
              <w:left w:val="single" w:sz="4" w:space="0" w:color="000000"/>
              <w:bottom w:val="single" w:sz="4" w:space="0" w:color="000000"/>
            </w:tcBorders>
            <w:shd w:val="clear" w:color="auto" w:fill="auto"/>
            <w:vAlign w:val="center"/>
          </w:tcPr>
          <w:p w14:paraId="68A7883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7E20ACAB"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468D196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2E1452D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5CBBEF4E"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30D86951"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794D0411"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1AA1F07F"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3F66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2AE41284" w14:textId="77777777" w:rsidTr="008C0EBA">
        <w:trPr>
          <w:trHeight w:val="48"/>
          <w:jc w:val="center"/>
        </w:trPr>
        <w:tc>
          <w:tcPr>
            <w:tcW w:w="2065" w:type="dxa"/>
            <w:tcBorders>
              <w:top w:val="single" w:sz="4" w:space="0" w:color="000000"/>
              <w:left w:val="single" w:sz="4" w:space="0" w:color="000000"/>
              <w:bottom w:val="single" w:sz="4" w:space="0" w:color="000000"/>
            </w:tcBorders>
            <w:shd w:val="clear" w:color="auto" w:fill="auto"/>
          </w:tcPr>
          <w:p w14:paraId="4FAA14AD"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Sparkling</w:t>
            </w:r>
          </w:p>
        </w:tc>
        <w:tc>
          <w:tcPr>
            <w:tcW w:w="1080" w:type="dxa"/>
            <w:tcBorders>
              <w:top w:val="single" w:sz="4" w:space="0" w:color="000000"/>
              <w:left w:val="single" w:sz="4" w:space="0" w:color="000000"/>
              <w:bottom w:val="single" w:sz="4" w:space="0" w:color="000000"/>
            </w:tcBorders>
            <w:shd w:val="clear" w:color="auto" w:fill="auto"/>
            <w:vAlign w:val="center"/>
          </w:tcPr>
          <w:p w14:paraId="4AE806A4"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2539A9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440" w:type="dxa"/>
            <w:tcBorders>
              <w:top w:val="single" w:sz="4" w:space="0" w:color="000000"/>
              <w:left w:val="single" w:sz="4" w:space="0" w:color="000000"/>
              <w:bottom w:val="single" w:sz="4" w:space="0" w:color="000000"/>
            </w:tcBorders>
            <w:shd w:val="clear" w:color="auto" w:fill="auto"/>
            <w:vAlign w:val="center"/>
          </w:tcPr>
          <w:p w14:paraId="1C5E8AF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080" w:type="dxa"/>
            <w:tcBorders>
              <w:top w:val="single" w:sz="4" w:space="0" w:color="000000"/>
              <w:left w:val="single" w:sz="4" w:space="0" w:color="000000"/>
              <w:bottom w:val="single" w:sz="4" w:space="0" w:color="000000"/>
            </w:tcBorders>
            <w:shd w:val="clear" w:color="auto" w:fill="auto"/>
            <w:vAlign w:val="center"/>
          </w:tcPr>
          <w:p w14:paraId="72060616"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6C246A75"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170" w:type="dxa"/>
            <w:tcBorders>
              <w:top w:val="single" w:sz="4" w:space="0" w:color="000000"/>
              <w:left w:val="single" w:sz="4" w:space="0" w:color="000000"/>
              <w:bottom w:val="single" w:sz="4" w:space="0" w:color="000000"/>
            </w:tcBorders>
            <w:shd w:val="clear" w:color="auto" w:fill="auto"/>
            <w:vAlign w:val="center"/>
          </w:tcPr>
          <w:p w14:paraId="4C14FD12" w14:textId="77777777"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w:t>
            </w:r>
          </w:p>
        </w:tc>
        <w:tc>
          <w:tcPr>
            <w:tcW w:w="1350" w:type="dxa"/>
            <w:tcBorders>
              <w:top w:val="single" w:sz="4" w:space="0" w:color="000000"/>
              <w:left w:val="single" w:sz="4" w:space="0" w:color="000000"/>
              <w:bottom w:val="single" w:sz="4" w:space="0" w:color="000000"/>
            </w:tcBorders>
            <w:shd w:val="clear" w:color="auto" w:fill="auto"/>
            <w:vAlign w:val="center"/>
          </w:tcPr>
          <w:p w14:paraId="5C3D6B09"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tcBorders>
            <w:shd w:val="clear" w:color="auto" w:fill="auto"/>
            <w:vAlign w:val="center"/>
          </w:tcPr>
          <w:p w14:paraId="3B402DC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83E20"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r w:rsidR="00DB78B7" w:rsidRPr="008C0EBA" w14:paraId="23E94A21" w14:textId="77777777" w:rsidTr="008C0EBA">
        <w:trPr>
          <w:trHeight w:val="476"/>
          <w:jc w:val="center"/>
        </w:trPr>
        <w:tc>
          <w:tcPr>
            <w:tcW w:w="2065" w:type="dxa"/>
            <w:tcBorders>
              <w:top w:val="single" w:sz="4" w:space="0" w:color="000000"/>
              <w:left w:val="single" w:sz="4" w:space="0" w:color="000000"/>
              <w:bottom w:val="single" w:sz="4" w:space="0" w:color="000000"/>
            </w:tcBorders>
            <w:shd w:val="clear" w:color="auto" w:fill="auto"/>
            <w:vAlign w:val="center"/>
          </w:tcPr>
          <w:p w14:paraId="7D12B154" w14:textId="77777777" w:rsidR="00DB78B7" w:rsidRPr="008C0EBA" w:rsidRDefault="00DB78B7" w:rsidP="00411B4A">
            <w:pPr>
              <w:pStyle w:val="ExhibitText"/>
              <w:spacing w:line="100" w:lineRule="atLeast"/>
              <w:jc w:val="left"/>
              <w:rPr>
                <w:rFonts w:eastAsia="Arial Unicode MS"/>
                <w:sz w:val="18"/>
                <w:szCs w:val="18"/>
                <w:lang w:val="en-GB"/>
              </w:rPr>
            </w:pPr>
            <w:r w:rsidRPr="008C0EBA">
              <w:rPr>
                <w:rFonts w:eastAsia="Arial Unicode MS"/>
                <w:sz w:val="18"/>
                <w:szCs w:val="18"/>
                <w:lang w:val="en-GB"/>
              </w:rPr>
              <w:t>Ice wines</w:t>
            </w:r>
          </w:p>
        </w:tc>
        <w:tc>
          <w:tcPr>
            <w:tcW w:w="1080" w:type="dxa"/>
            <w:tcBorders>
              <w:top w:val="single" w:sz="4" w:space="0" w:color="000000"/>
              <w:left w:val="single" w:sz="4" w:space="0" w:color="000000"/>
              <w:bottom w:val="single" w:sz="4" w:space="0" w:color="000000"/>
            </w:tcBorders>
            <w:shd w:val="clear" w:color="auto" w:fill="auto"/>
            <w:vAlign w:val="center"/>
          </w:tcPr>
          <w:p w14:paraId="5129D242"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4C7419CC" w14:textId="246B3A3E"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Cabernet Franc, Vidal</w:t>
            </w:r>
          </w:p>
        </w:tc>
        <w:tc>
          <w:tcPr>
            <w:tcW w:w="1440" w:type="dxa"/>
            <w:tcBorders>
              <w:top w:val="single" w:sz="4" w:space="0" w:color="000000"/>
              <w:left w:val="single" w:sz="4" w:space="0" w:color="000000"/>
              <w:bottom w:val="single" w:sz="4" w:space="0" w:color="000000"/>
            </w:tcBorders>
            <w:shd w:val="clear" w:color="auto" w:fill="auto"/>
            <w:vAlign w:val="center"/>
          </w:tcPr>
          <w:p w14:paraId="1D0E8F90" w14:textId="40A6359D"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Vidal</w:t>
            </w:r>
          </w:p>
        </w:tc>
        <w:tc>
          <w:tcPr>
            <w:tcW w:w="1080" w:type="dxa"/>
            <w:tcBorders>
              <w:top w:val="single" w:sz="4" w:space="0" w:color="000000"/>
              <w:left w:val="single" w:sz="4" w:space="0" w:color="000000"/>
              <w:bottom w:val="single" w:sz="4" w:space="0" w:color="000000"/>
            </w:tcBorders>
            <w:shd w:val="clear" w:color="auto" w:fill="auto"/>
            <w:vAlign w:val="center"/>
          </w:tcPr>
          <w:p w14:paraId="52A642BB" w14:textId="4363A0C0"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Vidal</w:t>
            </w:r>
          </w:p>
        </w:tc>
        <w:tc>
          <w:tcPr>
            <w:tcW w:w="1170" w:type="dxa"/>
            <w:tcBorders>
              <w:top w:val="single" w:sz="4" w:space="0" w:color="000000"/>
              <w:left w:val="single" w:sz="4" w:space="0" w:color="000000"/>
              <w:bottom w:val="single" w:sz="4" w:space="0" w:color="000000"/>
            </w:tcBorders>
            <w:shd w:val="clear" w:color="auto" w:fill="auto"/>
            <w:vAlign w:val="center"/>
          </w:tcPr>
          <w:p w14:paraId="4F5ADB58"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c>
          <w:tcPr>
            <w:tcW w:w="1170" w:type="dxa"/>
            <w:tcBorders>
              <w:top w:val="single" w:sz="4" w:space="0" w:color="000000"/>
              <w:left w:val="single" w:sz="4" w:space="0" w:color="000000"/>
              <w:bottom w:val="single" w:sz="4" w:space="0" w:color="000000"/>
            </w:tcBorders>
            <w:shd w:val="clear" w:color="auto" w:fill="auto"/>
            <w:vAlign w:val="center"/>
          </w:tcPr>
          <w:p w14:paraId="6B9DAFE2" w14:textId="7D90D163"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Cabernet Franc, Cabernet Sauvignon</w:t>
            </w:r>
          </w:p>
        </w:tc>
        <w:tc>
          <w:tcPr>
            <w:tcW w:w="1350" w:type="dxa"/>
            <w:tcBorders>
              <w:top w:val="single" w:sz="4" w:space="0" w:color="000000"/>
              <w:left w:val="single" w:sz="4" w:space="0" w:color="000000"/>
              <w:bottom w:val="single" w:sz="4" w:space="0" w:color="000000"/>
            </w:tcBorders>
            <w:shd w:val="clear" w:color="auto" w:fill="auto"/>
            <w:vAlign w:val="center"/>
          </w:tcPr>
          <w:p w14:paraId="1B71670B" w14:textId="13BE45A8"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Cabernet Franc, Vidal</w:t>
            </w:r>
          </w:p>
        </w:tc>
        <w:tc>
          <w:tcPr>
            <w:tcW w:w="1260" w:type="dxa"/>
            <w:tcBorders>
              <w:top w:val="single" w:sz="4" w:space="0" w:color="000000"/>
              <w:left w:val="single" w:sz="4" w:space="0" w:color="000000"/>
              <w:bottom w:val="single" w:sz="4" w:space="0" w:color="000000"/>
            </w:tcBorders>
            <w:shd w:val="clear" w:color="auto" w:fill="auto"/>
            <w:vAlign w:val="center"/>
          </w:tcPr>
          <w:p w14:paraId="688AC0E0" w14:textId="6057F2B3" w:rsidR="00DB78B7" w:rsidRPr="008C0EBA" w:rsidRDefault="00DB78B7" w:rsidP="00411B4A">
            <w:pPr>
              <w:pStyle w:val="ExhibitText"/>
              <w:spacing w:line="100" w:lineRule="atLeast"/>
              <w:jc w:val="center"/>
              <w:rPr>
                <w:rFonts w:eastAsia="Arial Unicode MS"/>
                <w:sz w:val="18"/>
                <w:szCs w:val="18"/>
                <w:lang w:val="en-GB"/>
              </w:rPr>
            </w:pPr>
            <w:r w:rsidRPr="008C0EBA">
              <w:rPr>
                <w:rFonts w:eastAsia="Arial Unicode MS"/>
                <w:sz w:val="18"/>
                <w:szCs w:val="18"/>
                <w:lang w:val="en-GB"/>
              </w:rPr>
              <w:t>Cabernet Sauvignon, Vidal</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62DD7" w14:textId="77777777" w:rsidR="00DB78B7" w:rsidRPr="008C0EBA" w:rsidRDefault="00DB78B7" w:rsidP="00411B4A">
            <w:pPr>
              <w:pStyle w:val="ExhibitText"/>
              <w:snapToGrid w:val="0"/>
              <w:spacing w:line="100" w:lineRule="atLeast"/>
              <w:jc w:val="center"/>
              <w:rPr>
                <w:rFonts w:eastAsia="Arial Unicode MS"/>
                <w:sz w:val="18"/>
                <w:szCs w:val="18"/>
                <w:lang w:val="en-GB"/>
              </w:rPr>
            </w:pPr>
          </w:p>
        </w:tc>
      </w:tr>
    </w:tbl>
    <w:p w14:paraId="47CD903B" w14:textId="77777777" w:rsidR="00DB78B7" w:rsidRPr="008C0EBA" w:rsidRDefault="00DB78B7" w:rsidP="008C0EBA">
      <w:pPr>
        <w:pStyle w:val="ExhibitText"/>
        <w:rPr>
          <w:rFonts w:eastAsia="Cambria"/>
          <w:sz w:val="12"/>
          <w:szCs w:val="12"/>
          <w:lang w:val="en-GB"/>
        </w:rPr>
      </w:pPr>
    </w:p>
    <w:p w14:paraId="3E2E2984" w14:textId="737995D6" w:rsidR="00DB78B7" w:rsidRPr="00F40142" w:rsidRDefault="00DB78B7" w:rsidP="00426D0E">
      <w:pPr>
        <w:pStyle w:val="Footnote"/>
        <w:rPr>
          <w:rFonts w:eastAsia="Cambria"/>
          <w:lang w:val="en-GB"/>
        </w:rPr>
      </w:pPr>
      <w:r>
        <w:rPr>
          <w:rFonts w:eastAsia="Cambria"/>
          <w:lang w:val="en-GB"/>
        </w:rPr>
        <w:t>Note: In 2017, the</w:t>
      </w:r>
      <w:r w:rsidRPr="00F40142">
        <w:rPr>
          <w:rFonts w:eastAsia="Cambria"/>
          <w:lang w:val="en-GB"/>
        </w:rPr>
        <w:t xml:space="preserve"> average </w:t>
      </w:r>
      <w:r>
        <w:rPr>
          <w:rFonts w:eastAsia="Cambria"/>
          <w:lang w:val="en-GB"/>
        </w:rPr>
        <w:t xml:space="preserve">prices for </w:t>
      </w:r>
      <w:r w:rsidRPr="00F40142">
        <w:rPr>
          <w:rFonts w:eastAsia="Cambria"/>
          <w:lang w:val="en-GB"/>
        </w:rPr>
        <w:t xml:space="preserve">a bottle of wine at </w:t>
      </w:r>
      <w:r>
        <w:rPr>
          <w:rFonts w:eastAsia="Cambria"/>
          <w:lang w:val="en-GB"/>
        </w:rPr>
        <w:t xml:space="preserve">Liquor Control Board of Ontario (LCBO) stores, </w:t>
      </w:r>
      <w:r w:rsidRPr="00F40142">
        <w:rPr>
          <w:rFonts w:eastAsia="Cambria"/>
          <w:lang w:val="en-GB"/>
        </w:rPr>
        <w:t>based on jurisdiction of origin</w:t>
      </w:r>
      <w:r>
        <w:rPr>
          <w:rFonts w:eastAsia="Cambria"/>
          <w:lang w:val="en-GB"/>
        </w:rPr>
        <w:t>,</w:t>
      </w:r>
      <w:r w:rsidRPr="00F40142">
        <w:rPr>
          <w:rFonts w:eastAsia="Cambria"/>
          <w:lang w:val="en-GB"/>
        </w:rPr>
        <w:t xml:space="preserve"> </w:t>
      </w:r>
      <w:r>
        <w:rPr>
          <w:rFonts w:eastAsia="Cambria"/>
          <w:lang w:val="en-GB"/>
        </w:rPr>
        <w:t>were as follows:</w:t>
      </w:r>
      <w:r w:rsidRPr="00F40142">
        <w:rPr>
          <w:rFonts w:eastAsia="Cambria"/>
          <w:lang w:val="en-GB"/>
        </w:rPr>
        <w:t xml:space="preserve"> Ontario</w:t>
      </w:r>
      <w:r>
        <w:rPr>
          <w:rFonts w:eastAsia="Cambria"/>
          <w:lang w:val="en-GB"/>
        </w:rPr>
        <w:t>,</w:t>
      </w:r>
      <w:r w:rsidRPr="00F40142">
        <w:rPr>
          <w:rFonts w:eastAsia="Cambria"/>
          <w:lang w:val="en-GB"/>
        </w:rPr>
        <w:t xml:space="preserve"> $13.33</w:t>
      </w:r>
      <w:r>
        <w:rPr>
          <w:rFonts w:eastAsia="Cambria"/>
          <w:lang w:val="en-GB"/>
        </w:rPr>
        <w:t>;</w:t>
      </w:r>
      <w:r w:rsidRPr="00F40142">
        <w:rPr>
          <w:rFonts w:eastAsia="Cambria"/>
          <w:lang w:val="en-GB"/>
        </w:rPr>
        <w:t xml:space="preserve"> France $14.89</w:t>
      </w:r>
      <w:r>
        <w:rPr>
          <w:rFonts w:eastAsia="Cambria"/>
          <w:lang w:val="en-GB"/>
        </w:rPr>
        <w:t>;</w:t>
      </w:r>
      <w:r w:rsidRPr="00F40142">
        <w:rPr>
          <w:rFonts w:eastAsia="Cambria"/>
          <w:lang w:val="en-GB"/>
        </w:rPr>
        <w:t xml:space="preserve"> Italy</w:t>
      </w:r>
      <w:r>
        <w:rPr>
          <w:rFonts w:eastAsia="Cambria"/>
          <w:lang w:val="en-GB"/>
        </w:rPr>
        <w:t>,</w:t>
      </w:r>
      <w:r w:rsidRPr="00F40142">
        <w:rPr>
          <w:rFonts w:eastAsia="Cambria"/>
          <w:lang w:val="en-GB"/>
        </w:rPr>
        <w:t xml:space="preserve"> $15.10</w:t>
      </w:r>
      <w:r>
        <w:rPr>
          <w:rFonts w:eastAsia="Cambria"/>
          <w:lang w:val="en-GB"/>
        </w:rPr>
        <w:t>;</w:t>
      </w:r>
      <w:r w:rsidRPr="00F40142">
        <w:rPr>
          <w:rFonts w:eastAsia="Cambria"/>
          <w:lang w:val="en-GB"/>
        </w:rPr>
        <w:t xml:space="preserve"> </w:t>
      </w:r>
      <w:r>
        <w:rPr>
          <w:rFonts w:eastAsia="Cambria"/>
          <w:lang w:val="en-GB"/>
        </w:rPr>
        <w:t>California,</w:t>
      </w:r>
      <w:r w:rsidRPr="00F40142">
        <w:rPr>
          <w:rFonts w:eastAsia="Cambria"/>
          <w:lang w:val="en-GB"/>
        </w:rPr>
        <w:t xml:space="preserve"> $15.83</w:t>
      </w:r>
      <w:r>
        <w:rPr>
          <w:rFonts w:eastAsia="Cambria"/>
          <w:lang w:val="en-GB"/>
        </w:rPr>
        <w:t>;</w:t>
      </w:r>
      <w:r w:rsidRPr="00F40142">
        <w:rPr>
          <w:rFonts w:eastAsia="Cambria"/>
          <w:lang w:val="en-GB"/>
        </w:rPr>
        <w:t xml:space="preserve"> </w:t>
      </w:r>
      <w:r>
        <w:rPr>
          <w:rFonts w:eastAsia="Cambria"/>
          <w:lang w:val="en-GB"/>
        </w:rPr>
        <w:t>and New Zealand,</w:t>
      </w:r>
      <w:r w:rsidRPr="00F40142">
        <w:rPr>
          <w:rFonts w:eastAsia="Cambria"/>
          <w:lang w:val="en-GB"/>
        </w:rPr>
        <w:t xml:space="preserve"> $18.59. </w:t>
      </w:r>
      <w:r>
        <w:rPr>
          <w:rFonts w:eastAsia="Cambria"/>
          <w:lang w:val="en-GB"/>
        </w:rPr>
        <w:t xml:space="preserve">The average </w:t>
      </w:r>
      <w:r w:rsidRPr="00F40142">
        <w:rPr>
          <w:rFonts w:eastAsia="Cambria"/>
          <w:lang w:val="en-GB"/>
        </w:rPr>
        <w:t xml:space="preserve">purchase price at LCBO of </w:t>
      </w:r>
      <w:r>
        <w:rPr>
          <w:rFonts w:eastAsia="Cambria"/>
          <w:lang w:val="en-GB"/>
        </w:rPr>
        <w:t>Vintners Quality Alliance</w:t>
      </w:r>
      <w:r w:rsidRPr="00F40142">
        <w:rPr>
          <w:rFonts w:eastAsia="Cambria"/>
          <w:lang w:val="en-GB"/>
        </w:rPr>
        <w:t xml:space="preserve"> wines </w:t>
      </w:r>
      <w:r>
        <w:rPr>
          <w:rFonts w:eastAsia="Cambria"/>
          <w:lang w:val="en-GB"/>
        </w:rPr>
        <w:t xml:space="preserve">was </w:t>
      </w:r>
      <w:r w:rsidRPr="00F40142">
        <w:rPr>
          <w:rFonts w:eastAsia="Cambria"/>
          <w:lang w:val="en-GB"/>
        </w:rPr>
        <w:t>$13.25</w:t>
      </w:r>
      <w:r>
        <w:rPr>
          <w:rFonts w:eastAsia="Cambria"/>
          <w:lang w:val="en-GB"/>
        </w:rPr>
        <w:t xml:space="preserve"> and of</w:t>
      </w:r>
      <w:r w:rsidRPr="00F40142">
        <w:rPr>
          <w:rFonts w:eastAsia="Cambria"/>
          <w:lang w:val="en-GB"/>
        </w:rPr>
        <w:t xml:space="preserve"> Canadian blended wine </w:t>
      </w:r>
      <w:r>
        <w:rPr>
          <w:rFonts w:eastAsia="Cambria"/>
          <w:lang w:val="en-GB"/>
        </w:rPr>
        <w:t xml:space="preserve">was </w:t>
      </w:r>
      <w:r w:rsidRPr="00F40142">
        <w:rPr>
          <w:rFonts w:eastAsia="Cambria"/>
          <w:lang w:val="en-GB"/>
        </w:rPr>
        <w:t xml:space="preserve">$7.54. </w:t>
      </w:r>
      <w:r>
        <w:rPr>
          <w:rFonts w:eastAsia="Cambria"/>
          <w:lang w:val="en-GB"/>
        </w:rPr>
        <w:t>A</w:t>
      </w:r>
      <w:r w:rsidRPr="00F40142">
        <w:rPr>
          <w:rFonts w:eastAsia="Cambria"/>
          <w:lang w:val="en-GB"/>
        </w:rPr>
        <w:t xml:space="preserve"> 300</w:t>
      </w:r>
      <w:r>
        <w:rPr>
          <w:rFonts w:eastAsia="Cambria"/>
          <w:lang w:val="en-GB"/>
        </w:rPr>
        <w:t>-millilitre</w:t>
      </w:r>
      <w:r w:rsidRPr="00F40142">
        <w:rPr>
          <w:rFonts w:eastAsia="Cambria"/>
          <w:lang w:val="en-GB"/>
        </w:rPr>
        <w:t xml:space="preserve"> bottle</w:t>
      </w:r>
      <w:r>
        <w:rPr>
          <w:rFonts w:eastAsia="Cambria"/>
          <w:lang w:val="en-GB"/>
        </w:rPr>
        <w:t xml:space="preserve"> of ice wine sold for over $40</w:t>
      </w:r>
      <w:r w:rsidRPr="00F40142">
        <w:rPr>
          <w:rFonts w:eastAsia="Cambria"/>
          <w:lang w:val="en-GB"/>
        </w:rPr>
        <w:t>.</w:t>
      </w:r>
    </w:p>
    <w:p w14:paraId="0E43131C" w14:textId="77777777" w:rsidR="008C0EBA" w:rsidRDefault="00DB78B7" w:rsidP="008C0EBA">
      <w:pPr>
        <w:pStyle w:val="Footnote"/>
        <w:rPr>
          <w:rFonts w:eastAsia="Cambria"/>
          <w:lang w:val="en-GB"/>
        </w:rPr>
        <w:sectPr w:rsidR="008C0EBA" w:rsidSect="008C0EBA">
          <w:headerReference w:type="default" r:id="rId10"/>
          <w:endnotePr>
            <w:numFmt w:val="decimal"/>
          </w:endnotePr>
          <w:pgSz w:w="15840" w:h="12240" w:orient="landscape" w:code="1"/>
          <w:pgMar w:top="1440" w:right="1440" w:bottom="1440" w:left="1440" w:header="1080" w:footer="720" w:gutter="0"/>
          <w:cols w:space="720"/>
          <w:docGrid w:linePitch="360"/>
        </w:sectPr>
      </w:pPr>
      <w:r w:rsidRPr="00F40142">
        <w:rPr>
          <w:rFonts w:eastAsia="Cambria"/>
          <w:lang w:val="en-GB"/>
        </w:rPr>
        <w:t xml:space="preserve">Source: </w:t>
      </w:r>
      <w:r>
        <w:rPr>
          <w:rFonts w:eastAsia="Cambria"/>
          <w:lang w:val="en-GB"/>
        </w:rPr>
        <w:t>Created</w:t>
      </w:r>
      <w:r w:rsidRPr="00F40142">
        <w:rPr>
          <w:rFonts w:eastAsia="Cambria"/>
          <w:lang w:val="en-GB"/>
        </w:rPr>
        <w:t xml:space="preserve"> by the </w:t>
      </w:r>
      <w:r w:rsidR="00847DB8">
        <w:rPr>
          <w:rFonts w:eastAsia="Cambria"/>
          <w:lang w:val="en-GB"/>
        </w:rPr>
        <w:t xml:space="preserve">case </w:t>
      </w:r>
      <w:r w:rsidRPr="00F40142">
        <w:rPr>
          <w:rFonts w:eastAsia="Cambria"/>
          <w:lang w:val="en-GB"/>
        </w:rPr>
        <w:t xml:space="preserve">authors </w:t>
      </w:r>
      <w:r w:rsidR="00842F2B" w:rsidRPr="00842F2B">
        <w:rPr>
          <w:rFonts w:eastAsia="Cambria"/>
          <w:lang w:val="en-GB"/>
        </w:rPr>
        <w:t xml:space="preserve">based on information found on the </w:t>
      </w:r>
      <w:r w:rsidR="00842F2B">
        <w:rPr>
          <w:rFonts w:eastAsia="Cambria"/>
          <w:lang w:val="en-GB"/>
        </w:rPr>
        <w:t>c</w:t>
      </w:r>
      <w:r w:rsidR="00842F2B" w:rsidRPr="00842F2B">
        <w:rPr>
          <w:rFonts w:eastAsia="Cambria"/>
          <w:lang w:val="en-GB"/>
        </w:rPr>
        <w:t>ompany'</w:t>
      </w:r>
      <w:r w:rsidR="00842F2B">
        <w:rPr>
          <w:rFonts w:eastAsia="Cambria"/>
          <w:lang w:val="en-GB"/>
        </w:rPr>
        <w:t>s</w:t>
      </w:r>
      <w:r w:rsidR="00842F2B" w:rsidRPr="00842F2B">
        <w:rPr>
          <w:rFonts w:eastAsia="Cambria"/>
          <w:lang w:val="en-GB"/>
        </w:rPr>
        <w:t xml:space="preserve"> website</w:t>
      </w:r>
      <w:r w:rsidR="00842F2B">
        <w:rPr>
          <w:rFonts w:eastAsia="Cambria"/>
          <w:lang w:val="en-GB"/>
        </w:rPr>
        <w:t>:</w:t>
      </w:r>
      <w:r w:rsidR="00842F2B" w:rsidRPr="00842F2B">
        <w:rPr>
          <w:rFonts w:eastAsia="Cambria"/>
          <w:lang w:val="en-GB"/>
        </w:rPr>
        <w:t xml:space="preserve"> </w:t>
      </w:r>
      <w:r w:rsidR="00927244">
        <w:rPr>
          <w:rFonts w:eastAsia="Cambria"/>
          <w:lang w:val="en-GB"/>
        </w:rPr>
        <w:t>www.</w:t>
      </w:r>
      <w:r w:rsidR="00842F2B" w:rsidRPr="00842F2B">
        <w:rPr>
          <w:rFonts w:eastAsia="Cambria"/>
          <w:lang w:val="en-GB"/>
        </w:rPr>
        <w:t>lakeviewwineco.com/site/buy-niagara-wine-onlin</w:t>
      </w:r>
      <w:r w:rsidR="00842F2B">
        <w:rPr>
          <w:rFonts w:eastAsia="Cambria"/>
          <w:lang w:val="en-GB"/>
        </w:rPr>
        <w:t>e.</w:t>
      </w:r>
      <w:r w:rsidRPr="00F40142">
        <w:rPr>
          <w:rFonts w:eastAsia="Cambria"/>
          <w:lang w:val="en-GB"/>
        </w:rPr>
        <w:br w:type="page"/>
      </w:r>
    </w:p>
    <w:p w14:paraId="26BC563A" w14:textId="6A7F13D0" w:rsidR="00DB78B7" w:rsidRPr="00F40142" w:rsidRDefault="00DB78B7" w:rsidP="00A4363F">
      <w:pPr>
        <w:pStyle w:val="ExhibitHeading"/>
        <w:rPr>
          <w:rFonts w:eastAsia="Arial Unicode MS"/>
          <w:lang w:val="en-GB"/>
        </w:rPr>
      </w:pPr>
      <w:r w:rsidRPr="00F40142">
        <w:rPr>
          <w:rFonts w:eastAsia="Arial Unicode MS"/>
          <w:lang w:val="en-GB"/>
        </w:rPr>
        <w:lastRenderedPageBreak/>
        <w:t xml:space="preserve">Exhibit 5: Selected Financial Information for </w:t>
      </w:r>
      <w:r w:rsidRPr="0011508D">
        <w:rPr>
          <w:rFonts w:eastAsia="Arial Unicode MS"/>
          <w:lang w:val="en-GB"/>
        </w:rPr>
        <w:t>DIAMOND ESTATE WINES &amp; SPIRITS</w:t>
      </w:r>
      <w:r>
        <w:rPr>
          <w:rFonts w:eastAsia="Arial Unicode MS"/>
          <w:lang w:val="en-GB"/>
        </w:rPr>
        <w:t xml:space="preserve"> Inc.</w:t>
      </w:r>
      <w:r w:rsidR="00847DB8">
        <w:rPr>
          <w:rFonts w:eastAsia="Arial Unicode MS"/>
          <w:lang w:val="en-GB"/>
        </w:rPr>
        <w:t xml:space="preserve"> (CA$ thousands)</w:t>
      </w:r>
    </w:p>
    <w:p w14:paraId="43440B2C" w14:textId="77988BA6" w:rsidR="00DB78B7" w:rsidRPr="00F40142" w:rsidRDefault="00DB78B7" w:rsidP="00426D0E">
      <w:pPr>
        <w:pStyle w:val="BodyTextMain"/>
        <w:rPr>
          <w:rFonts w:eastAsia="Arial Unicode MS"/>
          <w:lang w:val="en-GB" w:eastAsia="hi-IN" w:bidi="hi-IN"/>
        </w:rPr>
      </w:pPr>
    </w:p>
    <w:tbl>
      <w:tblPr>
        <w:tblStyle w:val="TableGrid"/>
        <w:tblW w:w="9412" w:type="dxa"/>
        <w:tblLook w:val="04A0" w:firstRow="1" w:lastRow="0" w:firstColumn="1" w:lastColumn="0" w:noHBand="0" w:noVBand="1"/>
      </w:tblPr>
      <w:tblGrid>
        <w:gridCol w:w="3997"/>
        <w:gridCol w:w="1070"/>
        <w:gridCol w:w="1195"/>
        <w:gridCol w:w="1012"/>
        <w:gridCol w:w="1069"/>
        <w:gridCol w:w="1069"/>
      </w:tblGrid>
      <w:tr w:rsidR="00DB78B7" w:rsidRPr="00F40142" w14:paraId="4DA5B88F" w14:textId="77777777" w:rsidTr="00927244">
        <w:trPr>
          <w:trHeight w:val="60"/>
        </w:trPr>
        <w:tc>
          <w:tcPr>
            <w:tcW w:w="9412" w:type="dxa"/>
            <w:gridSpan w:val="6"/>
            <w:noWrap/>
          </w:tcPr>
          <w:p w14:paraId="002CB198" w14:textId="2B11E53D"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Income Statements</w:t>
            </w:r>
          </w:p>
        </w:tc>
      </w:tr>
      <w:tr w:rsidR="00DB78B7" w:rsidRPr="00F40142" w14:paraId="241B3FE5" w14:textId="77777777" w:rsidTr="00927244">
        <w:trPr>
          <w:trHeight w:val="60"/>
        </w:trPr>
        <w:tc>
          <w:tcPr>
            <w:tcW w:w="3997" w:type="dxa"/>
            <w:noWrap/>
            <w:hideMark/>
          </w:tcPr>
          <w:p w14:paraId="13C99E18" w14:textId="77777777" w:rsidR="00DB78B7" w:rsidRPr="00F40142" w:rsidRDefault="00DB78B7" w:rsidP="00411B4A">
            <w:pPr>
              <w:pStyle w:val="BodyTextMain"/>
              <w:rPr>
                <w:rFonts w:ascii="Arial" w:eastAsia="Arial Unicode MS" w:hAnsi="Arial" w:cs="Arial"/>
                <w:sz w:val="20"/>
                <w:lang w:val="en-GB" w:eastAsia="hi-IN" w:bidi="hi-IN"/>
              </w:rPr>
            </w:pPr>
          </w:p>
        </w:tc>
        <w:tc>
          <w:tcPr>
            <w:tcW w:w="1070" w:type="dxa"/>
            <w:noWrap/>
            <w:hideMark/>
          </w:tcPr>
          <w:p w14:paraId="38C2AAA1"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2017</w:t>
            </w:r>
          </w:p>
        </w:tc>
        <w:tc>
          <w:tcPr>
            <w:tcW w:w="1195" w:type="dxa"/>
            <w:noWrap/>
            <w:hideMark/>
          </w:tcPr>
          <w:p w14:paraId="1F18A6E6"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2016</w:t>
            </w:r>
          </w:p>
        </w:tc>
        <w:tc>
          <w:tcPr>
            <w:tcW w:w="1012" w:type="dxa"/>
            <w:noWrap/>
            <w:hideMark/>
          </w:tcPr>
          <w:p w14:paraId="0FC7992E"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2015</w:t>
            </w:r>
          </w:p>
        </w:tc>
        <w:tc>
          <w:tcPr>
            <w:tcW w:w="1069" w:type="dxa"/>
            <w:noWrap/>
            <w:hideMark/>
          </w:tcPr>
          <w:p w14:paraId="774C2218"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2014</w:t>
            </w:r>
          </w:p>
        </w:tc>
        <w:tc>
          <w:tcPr>
            <w:tcW w:w="1069" w:type="dxa"/>
            <w:noWrap/>
            <w:hideMark/>
          </w:tcPr>
          <w:p w14:paraId="3EC4EF40"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2013</w:t>
            </w:r>
          </w:p>
        </w:tc>
      </w:tr>
      <w:tr w:rsidR="00DB78B7" w:rsidRPr="00F40142" w14:paraId="0942089A" w14:textId="77777777" w:rsidTr="00927244">
        <w:trPr>
          <w:trHeight w:val="60"/>
        </w:trPr>
        <w:tc>
          <w:tcPr>
            <w:tcW w:w="3997" w:type="dxa"/>
            <w:noWrap/>
            <w:hideMark/>
          </w:tcPr>
          <w:p w14:paraId="446EFF45" w14:textId="77777777" w:rsidR="00DB78B7" w:rsidRPr="00F40142" w:rsidRDefault="00DB78B7" w:rsidP="00411B4A">
            <w:pPr>
              <w:pStyle w:val="BodyTextMain"/>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Revenues</w:t>
            </w:r>
          </w:p>
        </w:tc>
        <w:tc>
          <w:tcPr>
            <w:tcW w:w="1070" w:type="dxa"/>
            <w:noWrap/>
            <w:hideMark/>
          </w:tcPr>
          <w:p w14:paraId="7143D40D" w14:textId="3257D7C2"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34,289</w:t>
            </w:r>
          </w:p>
        </w:tc>
        <w:tc>
          <w:tcPr>
            <w:tcW w:w="1195" w:type="dxa"/>
            <w:noWrap/>
            <w:hideMark/>
          </w:tcPr>
          <w:p w14:paraId="522AFCB2" w14:textId="6EFD025E"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29,194</w:t>
            </w:r>
          </w:p>
        </w:tc>
        <w:tc>
          <w:tcPr>
            <w:tcW w:w="1012" w:type="dxa"/>
            <w:noWrap/>
            <w:hideMark/>
          </w:tcPr>
          <w:p w14:paraId="562D09CF" w14:textId="7B50C8A1"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24,296</w:t>
            </w:r>
          </w:p>
        </w:tc>
        <w:tc>
          <w:tcPr>
            <w:tcW w:w="1069" w:type="dxa"/>
            <w:noWrap/>
            <w:hideMark/>
          </w:tcPr>
          <w:p w14:paraId="18DE3F8A" w14:textId="652DCBB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20,588</w:t>
            </w:r>
          </w:p>
        </w:tc>
        <w:tc>
          <w:tcPr>
            <w:tcW w:w="1069" w:type="dxa"/>
            <w:noWrap/>
            <w:hideMark/>
          </w:tcPr>
          <w:p w14:paraId="213855D8" w14:textId="28EBFAE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23,399</w:t>
            </w:r>
          </w:p>
        </w:tc>
      </w:tr>
      <w:tr w:rsidR="00DB78B7" w:rsidRPr="00F40142" w14:paraId="6E040008" w14:textId="77777777" w:rsidTr="00927244">
        <w:trPr>
          <w:trHeight w:val="60"/>
        </w:trPr>
        <w:tc>
          <w:tcPr>
            <w:tcW w:w="3997" w:type="dxa"/>
            <w:hideMark/>
          </w:tcPr>
          <w:p w14:paraId="4550BA36" w14:textId="3CF2610F"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Cost of </w:t>
            </w:r>
            <w:r w:rsidR="00211124">
              <w:rPr>
                <w:rFonts w:ascii="Arial" w:eastAsia="Arial Unicode MS" w:hAnsi="Arial" w:cs="Arial"/>
                <w:sz w:val="20"/>
                <w:lang w:val="en-GB" w:eastAsia="hi-IN" w:bidi="hi-IN"/>
              </w:rPr>
              <w:t>g</w:t>
            </w:r>
            <w:r w:rsidRPr="00F40142">
              <w:rPr>
                <w:rFonts w:ascii="Arial" w:eastAsia="Arial Unicode MS" w:hAnsi="Arial" w:cs="Arial"/>
                <w:sz w:val="20"/>
                <w:lang w:val="en-GB" w:eastAsia="hi-IN" w:bidi="hi-IN"/>
              </w:rPr>
              <w:t xml:space="preserve">oods </w:t>
            </w:r>
            <w:r w:rsidR="00211124">
              <w:rPr>
                <w:rFonts w:ascii="Arial" w:eastAsia="Arial Unicode MS" w:hAnsi="Arial" w:cs="Arial"/>
                <w:sz w:val="20"/>
                <w:lang w:val="en-GB" w:eastAsia="hi-IN" w:bidi="hi-IN"/>
              </w:rPr>
              <w:t>s</w:t>
            </w:r>
            <w:r w:rsidRPr="00F40142">
              <w:rPr>
                <w:rFonts w:ascii="Arial" w:eastAsia="Arial Unicode MS" w:hAnsi="Arial" w:cs="Arial"/>
                <w:sz w:val="20"/>
                <w:lang w:val="en-GB" w:eastAsia="hi-IN" w:bidi="hi-IN"/>
              </w:rPr>
              <w:t>old</w:t>
            </w:r>
          </w:p>
        </w:tc>
        <w:tc>
          <w:tcPr>
            <w:tcW w:w="1070" w:type="dxa"/>
            <w:noWrap/>
            <w:hideMark/>
          </w:tcPr>
          <w:p w14:paraId="45048149" w14:textId="3982552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20,792</w:t>
            </w:r>
          </w:p>
        </w:tc>
        <w:tc>
          <w:tcPr>
            <w:tcW w:w="1195" w:type="dxa"/>
            <w:noWrap/>
            <w:hideMark/>
          </w:tcPr>
          <w:p w14:paraId="58E094ED" w14:textId="580A165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18,132</w:t>
            </w:r>
          </w:p>
        </w:tc>
        <w:tc>
          <w:tcPr>
            <w:tcW w:w="1012" w:type="dxa"/>
            <w:noWrap/>
            <w:hideMark/>
          </w:tcPr>
          <w:p w14:paraId="3ABE25E9" w14:textId="160882B1"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14,535</w:t>
            </w:r>
          </w:p>
        </w:tc>
        <w:tc>
          <w:tcPr>
            <w:tcW w:w="1069" w:type="dxa"/>
            <w:noWrap/>
            <w:hideMark/>
          </w:tcPr>
          <w:p w14:paraId="2BC11F02" w14:textId="5F8A8DC6"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10,828</w:t>
            </w:r>
          </w:p>
        </w:tc>
        <w:tc>
          <w:tcPr>
            <w:tcW w:w="1069" w:type="dxa"/>
            <w:noWrap/>
            <w:hideMark/>
          </w:tcPr>
          <w:p w14:paraId="2ACF4E85" w14:textId="616DDE16"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12,154</w:t>
            </w:r>
          </w:p>
        </w:tc>
      </w:tr>
      <w:tr w:rsidR="00DB78B7" w:rsidRPr="00F40142" w14:paraId="42F7739A" w14:textId="77777777" w:rsidTr="00927244">
        <w:trPr>
          <w:trHeight w:val="60"/>
        </w:trPr>
        <w:tc>
          <w:tcPr>
            <w:tcW w:w="3997" w:type="dxa"/>
            <w:noWrap/>
            <w:hideMark/>
          </w:tcPr>
          <w:p w14:paraId="2A822A32" w14:textId="4EEDE72E" w:rsidR="00DB78B7" w:rsidRPr="000F29CC" w:rsidRDefault="00DB78B7" w:rsidP="00411B4A">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Gross </w:t>
            </w:r>
            <w:r w:rsidR="00211124">
              <w:rPr>
                <w:rFonts w:ascii="Arial" w:eastAsia="Arial Unicode MS" w:hAnsi="Arial" w:cs="Arial"/>
                <w:bCs/>
                <w:sz w:val="20"/>
                <w:lang w:val="en-GB" w:eastAsia="hi-IN" w:bidi="hi-IN"/>
              </w:rPr>
              <w:t>p</w:t>
            </w:r>
            <w:r w:rsidRPr="000F29CC">
              <w:rPr>
                <w:rFonts w:ascii="Arial" w:eastAsia="Arial Unicode MS" w:hAnsi="Arial" w:cs="Arial"/>
                <w:bCs/>
                <w:sz w:val="20"/>
                <w:lang w:val="en-GB" w:eastAsia="hi-IN" w:bidi="hi-IN"/>
              </w:rPr>
              <w:t>rofit</w:t>
            </w:r>
          </w:p>
        </w:tc>
        <w:tc>
          <w:tcPr>
            <w:tcW w:w="1070" w:type="dxa"/>
            <w:noWrap/>
            <w:hideMark/>
          </w:tcPr>
          <w:p w14:paraId="5E997A3B" w14:textId="17CAACD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13,497</w:t>
            </w:r>
          </w:p>
        </w:tc>
        <w:tc>
          <w:tcPr>
            <w:tcW w:w="1195" w:type="dxa"/>
            <w:noWrap/>
            <w:hideMark/>
          </w:tcPr>
          <w:p w14:paraId="40F320DF" w14:textId="5555D234"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11,062</w:t>
            </w:r>
          </w:p>
        </w:tc>
        <w:tc>
          <w:tcPr>
            <w:tcW w:w="1012" w:type="dxa"/>
            <w:noWrap/>
            <w:hideMark/>
          </w:tcPr>
          <w:p w14:paraId="4A40D304" w14:textId="586DF8C5"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9,761</w:t>
            </w:r>
          </w:p>
        </w:tc>
        <w:tc>
          <w:tcPr>
            <w:tcW w:w="1069" w:type="dxa"/>
            <w:noWrap/>
            <w:hideMark/>
          </w:tcPr>
          <w:p w14:paraId="33EC2FA6" w14:textId="0DED7C47"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9,760</w:t>
            </w:r>
          </w:p>
        </w:tc>
        <w:tc>
          <w:tcPr>
            <w:tcW w:w="1069" w:type="dxa"/>
            <w:noWrap/>
            <w:hideMark/>
          </w:tcPr>
          <w:p w14:paraId="06ECBC10" w14:textId="6AC57A0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11,245</w:t>
            </w:r>
          </w:p>
        </w:tc>
      </w:tr>
      <w:tr w:rsidR="00DB78B7" w:rsidRPr="00F40142" w14:paraId="302F56CA" w14:textId="77777777" w:rsidTr="00927244">
        <w:trPr>
          <w:trHeight w:val="60"/>
        </w:trPr>
        <w:tc>
          <w:tcPr>
            <w:tcW w:w="3997" w:type="dxa"/>
            <w:noWrap/>
            <w:hideMark/>
          </w:tcPr>
          <w:p w14:paraId="2A1AA0DB" w14:textId="34E7F86D" w:rsidR="00DB78B7" w:rsidRPr="00F40142" w:rsidRDefault="00DB78B7" w:rsidP="00411B4A">
            <w:pPr>
              <w:pStyle w:val="BodyTextMain"/>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 xml:space="preserve">Operating </w:t>
            </w:r>
            <w:r w:rsidR="00211124">
              <w:rPr>
                <w:rFonts w:ascii="Arial" w:eastAsia="Arial Unicode MS" w:hAnsi="Arial" w:cs="Arial"/>
                <w:b/>
                <w:bCs/>
                <w:sz w:val="20"/>
                <w:lang w:val="en-GB" w:eastAsia="hi-IN" w:bidi="hi-IN"/>
              </w:rPr>
              <w:t>c</w:t>
            </w:r>
            <w:r w:rsidRPr="00F40142">
              <w:rPr>
                <w:rFonts w:ascii="Arial" w:eastAsia="Arial Unicode MS" w:hAnsi="Arial" w:cs="Arial"/>
                <w:b/>
                <w:bCs/>
                <w:sz w:val="20"/>
                <w:lang w:val="en-GB" w:eastAsia="hi-IN" w:bidi="hi-IN"/>
              </w:rPr>
              <w:t>osts</w:t>
            </w:r>
          </w:p>
        </w:tc>
        <w:tc>
          <w:tcPr>
            <w:tcW w:w="1070" w:type="dxa"/>
            <w:noWrap/>
            <w:hideMark/>
          </w:tcPr>
          <w:p w14:paraId="5A99B717" w14:textId="77777777" w:rsidR="00DB78B7" w:rsidRPr="00F40142" w:rsidRDefault="00DB78B7" w:rsidP="00411B4A">
            <w:pPr>
              <w:pStyle w:val="BodyTextMain"/>
              <w:jc w:val="right"/>
              <w:rPr>
                <w:rFonts w:ascii="Arial" w:eastAsia="Arial Unicode MS" w:hAnsi="Arial" w:cs="Arial"/>
                <w:b/>
                <w:bCs/>
                <w:sz w:val="20"/>
                <w:lang w:val="en-GB" w:eastAsia="hi-IN" w:bidi="hi-IN"/>
              </w:rPr>
            </w:pPr>
          </w:p>
        </w:tc>
        <w:tc>
          <w:tcPr>
            <w:tcW w:w="1195" w:type="dxa"/>
            <w:noWrap/>
            <w:hideMark/>
          </w:tcPr>
          <w:p w14:paraId="5611DCC6" w14:textId="77777777" w:rsidR="00DB78B7" w:rsidRPr="00F40142" w:rsidRDefault="00DB78B7" w:rsidP="00411B4A">
            <w:pPr>
              <w:pStyle w:val="BodyTextMain"/>
              <w:jc w:val="right"/>
              <w:rPr>
                <w:rFonts w:ascii="Arial" w:eastAsia="Arial Unicode MS" w:hAnsi="Arial" w:cs="Arial"/>
                <w:sz w:val="20"/>
                <w:lang w:val="en-GB" w:eastAsia="hi-IN" w:bidi="hi-IN"/>
              </w:rPr>
            </w:pPr>
          </w:p>
        </w:tc>
        <w:tc>
          <w:tcPr>
            <w:tcW w:w="1012" w:type="dxa"/>
            <w:noWrap/>
            <w:hideMark/>
          </w:tcPr>
          <w:p w14:paraId="064F7598" w14:textId="77777777" w:rsidR="00DB78B7" w:rsidRPr="00F40142" w:rsidRDefault="00DB78B7" w:rsidP="00411B4A">
            <w:pPr>
              <w:pStyle w:val="BodyTextMain"/>
              <w:jc w:val="right"/>
              <w:rPr>
                <w:rFonts w:ascii="Arial" w:eastAsia="Arial Unicode MS" w:hAnsi="Arial" w:cs="Arial"/>
                <w:sz w:val="20"/>
                <w:lang w:val="en-GB" w:eastAsia="hi-IN" w:bidi="hi-IN"/>
              </w:rPr>
            </w:pPr>
          </w:p>
        </w:tc>
        <w:tc>
          <w:tcPr>
            <w:tcW w:w="1069" w:type="dxa"/>
            <w:noWrap/>
            <w:hideMark/>
          </w:tcPr>
          <w:p w14:paraId="315EFDA5" w14:textId="77777777" w:rsidR="00DB78B7" w:rsidRPr="00F40142" w:rsidRDefault="00DB78B7" w:rsidP="00411B4A">
            <w:pPr>
              <w:pStyle w:val="BodyTextMain"/>
              <w:jc w:val="right"/>
              <w:rPr>
                <w:rFonts w:ascii="Arial" w:eastAsia="Arial Unicode MS" w:hAnsi="Arial" w:cs="Arial"/>
                <w:sz w:val="20"/>
                <w:lang w:val="en-GB" w:eastAsia="hi-IN" w:bidi="hi-IN"/>
              </w:rPr>
            </w:pPr>
          </w:p>
        </w:tc>
        <w:tc>
          <w:tcPr>
            <w:tcW w:w="1069" w:type="dxa"/>
            <w:noWrap/>
            <w:hideMark/>
          </w:tcPr>
          <w:p w14:paraId="243569FA" w14:textId="77777777" w:rsidR="00DB78B7" w:rsidRPr="00F40142" w:rsidRDefault="00DB78B7" w:rsidP="00411B4A">
            <w:pPr>
              <w:pStyle w:val="BodyTextMain"/>
              <w:jc w:val="right"/>
              <w:rPr>
                <w:rFonts w:ascii="Arial" w:eastAsia="Arial Unicode MS" w:hAnsi="Arial" w:cs="Arial"/>
                <w:sz w:val="20"/>
                <w:lang w:val="en-GB" w:eastAsia="hi-IN" w:bidi="hi-IN"/>
              </w:rPr>
            </w:pPr>
          </w:p>
        </w:tc>
      </w:tr>
      <w:tr w:rsidR="00DB78B7" w:rsidRPr="00F40142" w14:paraId="79B018D7" w14:textId="77777777" w:rsidTr="00927244">
        <w:trPr>
          <w:trHeight w:val="60"/>
        </w:trPr>
        <w:tc>
          <w:tcPr>
            <w:tcW w:w="3997" w:type="dxa"/>
            <w:hideMark/>
          </w:tcPr>
          <w:p w14:paraId="23215B5A" w14:textId="42322DF6"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Salaries and </w:t>
            </w:r>
            <w:r w:rsidR="00211124">
              <w:rPr>
                <w:rFonts w:ascii="Arial" w:eastAsia="Arial Unicode MS" w:hAnsi="Arial" w:cs="Arial"/>
                <w:sz w:val="20"/>
                <w:lang w:val="en-GB" w:eastAsia="hi-IN" w:bidi="hi-IN"/>
              </w:rPr>
              <w:t>b</w:t>
            </w:r>
            <w:r w:rsidRPr="00F40142">
              <w:rPr>
                <w:rFonts w:ascii="Arial" w:eastAsia="Arial Unicode MS" w:hAnsi="Arial" w:cs="Arial"/>
                <w:sz w:val="20"/>
                <w:lang w:val="en-GB" w:eastAsia="hi-IN" w:bidi="hi-IN"/>
              </w:rPr>
              <w:t>enefits</w:t>
            </w:r>
          </w:p>
        </w:tc>
        <w:tc>
          <w:tcPr>
            <w:tcW w:w="1070" w:type="dxa"/>
            <w:noWrap/>
            <w:hideMark/>
          </w:tcPr>
          <w:p w14:paraId="51BA489C" w14:textId="1A1A1155"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5,916</w:t>
            </w:r>
          </w:p>
        </w:tc>
        <w:tc>
          <w:tcPr>
            <w:tcW w:w="1195" w:type="dxa"/>
            <w:noWrap/>
            <w:hideMark/>
          </w:tcPr>
          <w:p w14:paraId="72807C5C" w14:textId="7517B0FC"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5,520</w:t>
            </w:r>
          </w:p>
        </w:tc>
        <w:tc>
          <w:tcPr>
            <w:tcW w:w="1012" w:type="dxa"/>
            <w:noWrap/>
            <w:hideMark/>
          </w:tcPr>
          <w:p w14:paraId="462FC0A5" w14:textId="28ED9BD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5,055</w:t>
            </w:r>
          </w:p>
        </w:tc>
        <w:tc>
          <w:tcPr>
            <w:tcW w:w="1069" w:type="dxa"/>
            <w:noWrap/>
            <w:hideMark/>
          </w:tcPr>
          <w:p w14:paraId="30FE5116" w14:textId="3E80A7AD"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3,965</w:t>
            </w:r>
          </w:p>
        </w:tc>
        <w:tc>
          <w:tcPr>
            <w:tcW w:w="1069" w:type="dxa"/>
            <w:noWrap/>
            <w:hideMark/>
          </w:tcPr>
          <w:p w14:paraId="277975FC" w14:textId="68AD7B8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3,674</w:t>
            </w:r>
          </w:p>
        </w:tc>
      </w:tr>
      <w:tr w:rsidR="00DB78B7" w:rsidRPr="00F40142" w14:paraId="0F5C1397" w14:textId="77777777" w:rsidTr="00927244">
        <w:trPr>
          <w:trHeight w:val="60"/>
        </w:trPr>
        <w:tc>
          <w:tcPr>
            <w:tcW w:w="3997" w:type="dxa"/>
            <w:hideMark/>
          </w:tcPr>
          <w:p w14:paraId="73B5D734" w14:textId="6267CDAA"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General and </w:t>
            </w:r>
            <w:r w:rsidR="00211124">
              <w:rPr>
                <w:rFonts w:ascii="Arial" w:eastAsia="Arial Unicode MS" w:hAnsi="Arial" w:cs="Arial"/>
                <w:sz w:val="20"/>
                <w:lang w:val="en-GB" w:eastAsia="hi-IN" w:bidi="hi-IN"/>
              </w:rPr>
              <w:t>a</w:t>
            </w:r>
            <w:r>
              <w:rPr>
                <w:rFonts w:ascii="Arial" w:eastAsia="Arial Unicode MS" w:hAnsi="Arial" w:cs="Arial"/>
                <w:sz w:val="20"/>
                <w:lang w:val="en-GB" w:eastAsia="hi-IN" w:bidi="hi-IN"/>
              </w:rPr>
              <w:t>dministrative</w:t>
            </w:r>
          </w:p>
        </w:tc>
        <w:tc>
          <w:tcPr>
            <w:tcW w:w="1070" w:type="dxa"/>
            <w:noWrap/>
            <w:hideMark/>
          </w:tcPr>
          <w:p w14:paraId="220DE3B3" w14:textId="4349EFBD"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2,905</w:t>
            </w:r>
          </w:p>
        </w:tc>
        <w:tc>
          <w:tcPr>
            <w:tcW w:w="1195" w:type="dxa"/>
            <w:noWrap/>
            <w:hideMark/>
          </w:tcPr>
          <w:p w14:paraId="09E4FC9C" w14:textId="067EFE9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2,750</w:t>
            </w:r>
          </w:p>
        </w:tc>
        <w:tc>
          <w:tcPr>
            <w:tcW w:w="1012" w:type="dxa"/>
            <w:noWrap/>
            <w:hideMark/>
          </w:tcPr>
          <w:p w14:paraId="30BB9117" w14:textId="50FA24B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2,477</w:t>
            </w:r>
          </w:p>
        </w:tc>
        <w:tc>
          <w:tcPr>
            <w:tcW w:w="1069" w:type="dxa"/>
            <w:noWrap/>
            <w:hideMark/>
          </w:tcPr>
          <w:p w14:paraId="26B9DD79" w14:textId="275FB1B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1,985</w:t>
            </w:r>
          </w:p>
        </w:tc>
        <w:tc>
          <w:tcPr>
            <w:tcW w:w="1069" w:type="dxa"/>
            <w:noWrap/>
            <w:hideMark/>
          </w:tcPr>
          <w:p w14:paraId="437234B0" w14:textId="1D3076A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2,205</w:t>
            </w:r>
          </w:p>
        </w:tc>
      </w:tr>
      <w:tr w:rsidR="00DB78B7" w:rsidRPr="00F40142" w14:paraId="6BE0E9ED" w14:textId="77777777" w:rsidTr="00927244">
        <w:trPr>
          <w:trHeight w:val="60"/>
        </w:trPr>
        <w:tc>
          <w:tcPr>
            <w:tcW w:w="3997" w:type="dxa"/>
            <w:hideMark/>
          </w:tcPr>
          <w:p w14:paraId="5A683E8D" w14:textId="67454DC5"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Advertising and </w:t>
            </w:r>
            <w:r w:rsidR="00211124">
              <w:rPr>
                <w:rFonts w:ascii="Arial" w:eastAsia="Arial Unicode MS" w:hAnsi="Arial" w:cs="Arial"/>
                <w:sz w:val="20"/>
                <w:lang w:val="en-GB" w:eastAsia="hi-IN" w:bidi="hi-IN"/>
              </w:rPr>
              <w:t>p</w:t>
            </w:r>
            <w:r w:rsidRPr="00F40142">
              <w:rPr>
                <w:rFonts w:ascii="Arial" w:eastAsia="Arial Unicode MS" w:hAnsi="Arial" w:cs="Arial"/>
                <w:sz w:val="20"/>
                <w:lang w:val="en-GB" w:eastAsia="hi-IN" w:bidi="hi-IN"/>
              </w:rPr>
              <w:t>romotion</w:t>
            </w:r>
          </w:p>
        </w:tc>
        <w:tc>
          <w:tcPr>
            <w:tcW w:w="1070" w:type="dxa"/>
            <w:noWrap/>
            <w:hideMark/>
          </w:tcPr>
          <w:p w14:paraId="6C3497FD" w14:textId="68C55BA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1,340</w:t>
            </w:r>
          </w:p>
        </w:tc>
        <w:tc>
          <w:tcPr>
            <w:tcW w:w="1195" w:type="dxa"/>
            <w:noWrap/>
            <w:hideMark/>
          </w:tcPr>
          <w:p w14:paraId="38B7ACE9" w14:textId="7658F9E4"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914</w:t>
            </w:r>
          </w:p>
        </w:tc>
        <w:tc>
          <w:tcPr>
            <w:tcW w:w="1012" w:type="dxa"/>
            <w:noWrap/>
            <w:hideMark/>
          </w:tcPr>
          <w:p w14:paraId="797144FA" w14:textId="4E7787D4"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771</w:t>
            </w:r>
          </w:p>
        </w:tc>
        <w:tc>
          <w:tcPr>
            <w:tcW w:w="1069" w:type="dxa"/>
            <w:noWrap/>
            <w:hideMark/>
          </w:tcPr>
          <w:p w14:paraId="09701EF6" w14:textId="5AA2AE5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2,244</w:t>
            </w:r>
          </w:p>
        </w:tc>
        <w:tc>
          <w:tcPr>
            <w:tcW w:w="1069" w:type="dxa"/>
            <w:noWrap/>
            <w:hideMark/>
          </w:tcPr>
          <w:p w14:paraId="2D608BD3" w14:textId="2E07807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1,994</w:t>
            </w:r>
          </w:p>
        </w:tc>
      </w:tr>
      <w:tr w:rsidR="00DB78B7" w:rsidRPr="00F40142" w14:paraId="431B1C62" w14:textId="77777777" w:rsidTr="00927244">
        <w:trPr>
          <w:trHeight w:val="60"/>
        </w:trPr>
        <w:tc>
          <w:tcPr>
            <w:tcW w:w="3997" w:type="dxa"/>
            <w:hideMark/>
          </w:tcPr>
          <w:p w14:paraId="2E7B25DB" w14:textId="70D86A43"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Delivery and </w:t>
            </w:r>
            <w:r w:rsidR="00211124">
              <w:rPr>
                <w:rFonts w:ascii="Arial" w:eastAsia="Arial Unicode MS" w:hAnsi="Arial" w:cs="Arial"/>
                <w:sz w:val="20"/>
                <w:lang w:val="en-GB" w:eastAsia="hi-IN" w:bidi="hi-IN"/>
              </w:rPr>
              <w:t>w</w:t>
            </w:r>
            <w:r w:rsidRPr="00F40142">
              <w:rPr>
                <w:rFonts w:ascii="Arial" w:eastAsia="Arial Unicode MS" w:hAnsi="Arial" w:cs="Arial"/>
                <w:sz w:val="20"/>
                <w:lang w:val="en-GB" w:eastAsia="hi-IN" w:bidi="hi-IN"/>
              </w:rPr>
              <w:t>arehousing</w:t>
            </w:r>
          </w:p>
        </w:tc>
        <w:tc>
          <w:tcPr>
            <w:tcW w:w="1070" w:type="dxa"/>
            <w:noWrap/>
            <w:hideMark/>
          </w:tcPr>
          <w:p w14:paraId="456806AB" w14:textId="3971710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1,200</w:t>
            </w:r>
          </w:p>
        </w:tc>
        <w:tc>
          <w:tcPr>
            <w:tcW w:w="1195" w:type="dxa"/>
            <w:noWrap/>
            <w:hideMark/>
          </w:tcPr>
          <w:p w14:paraId="42D4AC3B" w14:textId="500A91A1"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1,007</w:t>
            </w:r>
          </w:p>
        </w:tc>
        <w:tc>
          <w:tcPr>
            <w:tcW w:w="1012" w:type="dxa"/>
            <w:noWrap/>
            <w:hideMark/>
          </w:tcPr>
          <w:p w14:paraId="73E032AA" w14:textId="4081B723"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710</w:t>
            </w:r>
          </w:p>
        </w:tc>
        <w:tc>
          <w:tcPr>
            <w:tcW w:w="1069" w:type="dxa"/>
            <w:noWrap/>
            <w:hideMark/>
          </w:tcPr>
          <w:p w14:paraId="7B049EC9" w14:textId="4B5B97E6"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767</w:t>
            </w:r>
          </w:p>
        </w:tc>
        <w:tc>
          <w:tcPr>
            <w:tcW w:w="1069" w:type="dxa"/>
            <w:noWrap/>
            <w:hideMark/>
          </w:tcPr>
          <w:p w14:paraId="7B4C8F1C" w14:textId="13DF38C3"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938</w:t>
            </w:r>
          </w:p>
        </w:tc>
      </w:tr>
      <w:tr w:rsidR="00DB78B7" w:rsidRPr="00F40142" w14:paraId="0BF2BDEA" w14:textId="77777777" w:rsidTr="00927244">
        <w:trPr>
          <w:trHeight w:val="60"/>
        </w:trPr>
        <w:tc>
          <w:tcPr>
            <w:tcW w:w="3997" w:type="dxa"/>
            <w:noWrap/>
            <w:hideMark/>
          </w:tcPr>
          <w:p w14:paraId="021CB525" w14:textId="07A6B32F" w:rsidR="00DB78B7" w:rsidRPr="000F29CC" w:rsidRDefault="00DB78B7" w:rsidP="00411B4A">
            <w:pPr>
              <w:pStyle w:val="BodyTextMain"/>
              <w:jc w:val="left"/>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Operating </w:t>
            </w:r>
            <w:r w:rsidR="00211124">
              <w:rPr>
                <w:rFonts w:ascii="Arial" w:eastAsia="Arial Unicode MS" w:hAnsi="Arial" w:cs="Arial"/>
                <w:bCs/>
                <w:sz w:val="20"/>
                <w:lang w:val="en-GB" w:eastAsia="hi-IN" w:bidi="hi-IN"/>
              </w:rPr>
              <w:t>p</w:t>
            </w:r>
            <w:r w:rsidRPr="000F29CC">
              <w:rPr>
                <w:rFonts w:ascii="Arial" w:eastAsia="Arial Unicode MS" w:hAnsi="Arial" w:cs="Arial"/>
                <w:bCs/>
                <w:sz w:val="20"/>
                <w:lang w:val="en-GB" w:eastAsia="hi-IN" w:bidi="hi-IN"/>
              </w:rPr>
              <w:t xml:space="preserve">rofit before </w:t>
            </w:r>
            <w:r w:rsidR="00211124">
              <w:rPr>
                <w:rFonts w:ascii="Arial" w:eastAsia="Arial Unicode MS" w:hAnsi="Arial" w:cs="Arial"/>
                <w:bCs/>
                <w:sz w:val="20"/>
                <w:lang w:val="en-GB" w:eastAsia="hi-IN" w:bidi="hi-IN"/>
              </w:rPr>
              <w:t>d</w:t>
            </w:r>
            <w:r w:rsidRPr="000F29CC">
              <w:rPr>
                <w:rFonts w:ascii="Arial" w:eastAsia="Arial Unicode MS" w:hAnsi="Arial" w:cs="Arial"/>
                <w:bCs/>
                <w:sz w:val="20"/>
                <w:lang w:val="en-GB" w:eastAsia="hi-IN" w:bidi="hi-IN"/>
              </w:rPr>
              <w:t xml:space="preserve">epreciation &amp; </w:t>
            </w:r>
            <w:r w:rsidR="00211124">
              <w:rPr>
                <w:rFonts w:ascii="Arial" w:eastAsia="Arial Unicode MS" w:hAnsi="Arial" w:cs="Arial"/>
                <w:bCs/>
                <w:sz w:val="20"/>
                <w:lang w:val="en-GB" w:eastAsia="hi-IN" w:bidi="hi-IN"/>
              </w:rPr>
              <w:t>a</w:t>
            </w:r>
            <w:r w:rsidRPr="000F29CC">
              <w:rPr>
                <w:rFonts w:ascii="Arial" w:eastAsia="Arial Unicode MS" w:hAnsi="Arial" w:cs="Arial"/>
                <w:bCs/>
                <w:sz w:val="20"/>
                <w:lang w:val="en-GB" w:eastAsia="hi-IN" w:bidi="hi-IN"/>
              </w:rPr>
              <w:t>mortization</w:t>
            </w:r>
          </w:p>
        </w:tc>
        <w:tc>
          <w:tcPr>
            <w:tcW w:w="1070" w:type="dxa"/>
            <w:noWrap/>
            <w:hideMark/>
          </w:tcPr>
          <w:p w14:paraId="225E023E" w14:textId="2134BFC8"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2,137</w:t>
            </w:r>
          </w:p>
        </w:tc>
        <w:tc>
          <w:tcPr>
            <w:tcW w:w="1195" w:type="dxa"/>
            <w:noWrap/>
            <w:hideMark/>
          </w:tcPr>
          <w:p w14:paraId="0B88C80A" w14:textId="7FAE2DD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871</w:t>
            </w:r>
          </w:p>
        </w:tc>
        <w:tc>
          <w:tcPr>
            <w:tcW w:w="1012" w:type="dxa"/>
            <w:noWrap/>
            <w:hideMark/>
          </w:tcPr>
          <w:p w14:paraId="196EE500" w14:textId="5821E80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748</w:t>
            </w:r>
          </w:p>
        </w:tc>
        <w:tc>
          <w:tcPr>
            <w:tcW w:w="1069" w:type="dxa"/>
            <w:noWrap/>
            <w:hideMark/>
          </w:tcPr>
          <w:p w14:paraId="4E5401C6" w14:textId="27CE1FBE"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800</w:t>
            </w:r>
          </w:p>
        </w:tc>
        <w:tc>
          <w:tcPr>
            <w:tcW w:w="1069" w:type="dxa"/>
            <w:noWrap/>
            <w:hideMark/>
          </w:tcPr>
          <w:p w14:paraId="07D4DB6E" w14:textId="29A48A66"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2,434</w:t>
            </w:r>
          </w:p>
        </w:tc>
      </w:tr>
      <w:tr w:rsidR="00DB78B7" w:rsidRPr="00F40142" w14:paraId="657250DE" w14:textId="77777777" w:rsidTr="00927244">
        <w:trPr>
          <w:trHeight w:val="60"/>
        </w:trPr>
        <w:tc>
          <w:tcPr>
            <w:tcW w:w="3997" w:type="dxa"/>
            <w:hideMark/>
          </w:tcPr>
          <w:p w14:paraId="7A6C8143" w14:textId="77777777"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Depreciation/Amortization</w:t>
            </w:r>
          </w:p>
        </w:tc>
        <w:tc>
          <w:tcPr>
            <w:tcW w:w="1070" w:type="dxa"/>
            <w:noWrap/>
            <w:hideMark/>
          </w:tcPr>
          <w:p w14:paraId="2FA7DD94" w14:textId="285E44BF"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508</w:t>
            </w:r>
          </w:p>
        </w:tc>
        <w:tc>
          <w:tcPr>
            <w:tcW w:w="1195" w:type="dxa"/>
            <w:noWrap/>
            <w:hideMark/>
          </w:tcPr>
          <w:p w14:paraId="55EC4284" w14:textId="4380171F"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439</w:t>
            </w:r>
          </w:p>
        </w:tc>
        <w:tc>
          <w:tcPr>
            <w:tcW w:w="1012" w:type="dxa"/>
            <w:noWrap/>
            <w:hideMark/>
          </w:tcPr>
          <w:p w14:paraId="63C0B44B" w14:textId="2403E1E5"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262</w:t>
            </w:r>
          </w:p>
        </w:tc>
        <w:tc>
          <w:tcPr>
            <w:tcW w:w="1069" w:type="dxa"/>
            <w:noWrap/>
            <w:hideMark/>
          </w:tcPr>
          <w:p w14:paraId="72D18220" w14:textId="43FDDBA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1,405</w:t>
            </w:r>
          </w:p>
        </w:tc>
        <w:tc>
          <w:tcPr>
            <w:tcW w:w="1069" w:type="dxa"/>
            <w:noWrap/>
            <w:hideMark/>
          </w:tcPr>
          <w:p w14:paraId="6A7A0081" w14:textId="7CE101EA"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1,564</w:t>
            </w:r>
          </w:p>
        </w:tc>
      </w:tr>
      <w:tr w:rsidR="00DB78B7" w:rsidRPr="00F40142" w14:paraId="51446AA0" w14:textId="77777777" w:rsidTr="00927244">
        <w:trPr>
          <w:trHeight w:val="60"/>
        </w:trPr>
        <w:tc>
          <w:tcPr>
            <w:tcW w:w="3997" w:type="dxa"/>
            <w:hideMark/>
          </w:tcPr>
          <w:p w14:paraId="6D954616" w14:textId="4A4F2558"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Other </w:t>
            </w:r>
            <w:r w:rsidR="00211124">
              <w:rPr>
                <w:rFonts w:ascii="Arial" w:eastAsia="Arial Unicode MS" w:hAnsi="Arial" w:cs="Arial"/>
                <w:sz w:val="20"/>
                <w:lang w:val="en-GB" w:eastAsia="hi-IN" w:bidi="hi-IN"/>
              </w:rPr>
              <w:t>i</w:t>
            </w:r>
            <w:r>
              <w:rPr>
                <w:rFonts w:ascii="Arial" w:eastAsia="Arial Unicode MS" w:hAnsi="Arial" w:cs="Arial"/>
                <w:sz w:val="20"/>
                <w:lang w:val="en-GB" w:eastAsia="hi-IN" w:bidi="hi-IN"/>
              </w:rPr>
              <w:t>ncome/</w:t>
            </w:r>
            <w:r w:rsidR="00211124">
              <w:rPr>
                <w:rFonts w:ascii="Arial" w:eastAsia="Arial Unicode MS" w:hAnsi="Arial" w:cs="Arial"/>
                <w:sz w:val="20"/>
                <w:lang w:val="en-GB" w:eastAsia="hi-IN" w:bidi="hi-IN"/>
              </w:rPr>
              <w:t>e</w:t>
            </w:r>
            <w:r>
              <w:rPr>
                <w:rFonts w:ascii="Arial" w:eastAsia="Arial Unicode MS" w:hAnsi="Arial" w:cs="Arial"/>
                <w:sz w:val="20"/>
                <w:lang w:val="en-GB" w:eastAsia="hi-IN" w:bidi="hi-IN"/>
              </w:rPr>
              <w:t>xpense</w:t>
            </w:r>
            <w:r w:rsidRPr="00F40142">
              <w:rPr>
                <w:rFonts w:ascii="Arial" w:eastAsia="Arial Unicode MS" w:hAnsi="Arial" w:cs="Arial"/>
                <w:sz w:val="20"/>
                <w:lang w:val="en-GB" w:eastAsia="hi-IN" w:bidi="hi-IN"/>
              </w:rPr>
              <w:t xml:space="preserve">, </w:t>
            </w:r>
            <w:r w:rsidR="00211124">
              <w:rPr>
                <w:rFonts w:ascii="Arial" w:eastAsia="Arial Unicode MS" w:hAnsi="Arial" w:cs="Arial"/>
                <w:sz w:val="20"/>
                <w:lang w:val="en-GB" w:eastAsia="hi-IN" w:bidi="hi-IN"/>
              </w:rPr>
              <w:t>n</w:t>
            </w:r>
            <w:r>
              <w:rPr>
                <w:rFonts w:ascii="Arial" w:eastAsia="Arial Unicode MS" w:hAnsi="Arial" w:cs="Arial"/>
                <w:sz w:val="20"/>
                <w:lang w:val="en-GB" w:eastAsia="hi-IN" w:bidi="hi-IN"/>
              </w:rPr>
              <w:t>et</w:t>
            </w:r>
          </w:p>
        </w:tc>
        <w:tc>
          <w:tcPr>
            <w:tcW w:w="1070" w:type="dxa"/>
            <w:noWrap/>
            <w:hideMark/>
          </w:tcPr>
          <w:p w14:paraId="12AEBA59" w14:textId="595884D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116</w:t>
            </w:r>
          </w:p>
        </w:tc>
        <w:tc>
          <w:tcPr>
            <w:tcW w:w="1195" w:type="dxa"/>
            <w:noWrap/>
            <w:hideMark/>
          </w:tcPr>
          <w:p w14:paraId="542FA1A7" w14:textId="33ED578B"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979</w:t>
            </w:r>
          </w:p>
        </w:tc>
        <w:tc>
          <w:tcPr>
            <w:tcW w:w="1012" w:type="dxa"/>
            <w:noWrap/>
            <w:hideMark/>
          </w:tcPr>
          <w:p w14:paraId="42595BC9" w14:textId="334439C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826</w:t>
            </w:r>
          </w:p>
        </w:tc>
        <w:tc>
          <w:tcPr>
            <w:tcW w:w="1069" w:type="dxa"/>
            <w:noWrap/>
            <w:hideMark/>
          </w:tcPr>
          <w:p w14:paraId="7922F8DF" w14:textId="5B6854D0"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765</w:t>
            </w:r>
          </w:p>
        </w:tc>
        <w:tc>
          <w:tcPr>
            <w:tcW w:w="1069" w:type="dxa"/>
            <w:noWrap/>
            <w:hideMark/>
          </w:tcPr>
          <w:p w14:paraId="4DB26E75" w14:textId="4C8A9624"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1,553</w:t>
            </w:r>
          </w:p>
        </w:tc>
      </w:tr>
      <w:tr w:rsidR="00DB78B7" w:rsidRPr="00F40142" w14:paraId="6ABF65DC" w14:textId="77777777" w:rsidTr="00927244">
        <w:trPr>
          <w:trHeight w:val="60"/>
        </w:trPr>
        <w:tc>
          <w:tcPr>
            <w:tcW w:w="3997" w:type="dxa"/>
            <w:noWrap/>
            <w:hideMark/>
          </w:tcPr>
          <w:p w14:paraId="48BB5A16" w14:textId="54CCA528"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Net </w:t>
            </w:r>
            <w:r w:rsidR="00211124">
              <w:rPr>
                <w:rFonts w:ascii="Arial" w:eastAsia="Arial Unicode MS" w:hAnsi="Arial" w:cs="Arial"/>
                <w:sz w:val="20"/>
                <w:lang w:val="en-GB" w:eastAsia="hi-IN" w:bidi="hi-IN"/>
              </w:rPr>
              <w:t>i</w:t>
            </w:r>
            <w:r w:rsidRPr="00F40142">
              <w:rPr>
                <w:rFonts w:ascii="Arial" w:eastAsia="Arial Unicode MS" w:hAnsi="Arial" w:cs="Arial"/>
                <w:sz w:val="20"/>
                <w:lang w:val="en-GB" w:eastAsia="hi-IN" w:bidi="hi-IN"/>
              </w:rPr>
              <w:t xml:space="preserve">ncome before </w:t>
            </w:r>
            <w:r w:rsidR="00211124">
              <w:rPr>
                <w:rFonts w:ascii="Arial" w:eastAsia="Arial Unicode MS" w:hAnsi="Arial" w:cs="Arial"/>
                <w:sz w:val="20"/>
                <w:lang w:val="en-GB" w:eastAsia="hi-IN" w:bidi="hi-IN"/>
              </w:rPr>
              <w:t>i</w:t>
            </w:r>
            <w:r>
              <w:rPr>
                <w:rFonts w:ascii="Arial" w:eastAsia="Arial Unicode MS" w:hAnsi="Arial" w:cs="Arial"/>
                <w:sz w:val="20"/>
                <w:lang w:val="en-GB" w:eastAsia="hi-IN" w:bidi="hi-IN"/>
              </w:rPr>
              <w:t xml:space="preserve">nterest &amp; </w:t>
            </w:r>
            <w:r w:rsidR="00211124">
              <w:rPr>
                <w:rFonts w:ascii="Arial" w:eastAsia="Arial Unicode MS" w:hAnsi="Arial" w:cs="Arial"/>
                <w:sz w:val="20"/>
                <w:lang w:val="en-GB" w:eastAsia="hi-IN" w:bidi="hi-IN"/>
              </w:rPr>
              <w:t>t</w:t>
            </w:r>
            <w:r>
              <w:rPr>
                <w:rFonts w:ascii="Arial" w:eastAsia="Arial Unicode MS" w:hAnsi="Arial" w:cs="Arial"/>
                <w:sz w:val="20"/>
                <w:lang w:val="en-GB" w:eastAsia="hi-IN" w:bidi="hi-IN"/>
              </w:rPr>
              <w:t>ax</w:t>
            </w:r>
          </w:p>
        </w:tc>
        <w:tc>
          <w:tcPr>
            <w:tcW w:w="1070" w:type="dxa"/>
            <w:noWrap/>
            <w:hideMark/>
          </w:tcPr>
          <w:p w14:paraId="567BCF4A" w14:textId="49E8D176"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1,513</w:t>
            </w:r>
          </w:p>
        </w:tc>
        <w:tc>
          <w:tcPr>
            <w:tcW w:w="1195" w:type="dxa"/>
            <w:noWrap/>
            <w:hideMark/>
          </w:tcPr>
          <w:p w14:paraId="66CC26CB" w14:textId="7CAE1FFC" w:rsidR="00DB78B7" w:rsidRPr="00F40142" w:rsidRDefault="00EF3F81"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547</w:t>
            </w:r>
          </w:p>
        </w:tc>
        <w:tc>
          <w:tcPr>
            <w:tcW w:w="1012" w:type="dxa"/>
            <w:noWrap/>
            <w:hideMark/>
          </w:tcPr>
          <w:p w14:paraId="40F91C94" w14:textId="5D2BC40B" w:rsidR="00DB78B7" w:rsidRPr="00F40142" w:rsidRDefault="00EF3F81"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340</w:t>
            </w:r>
          </w:p>
        </w:tc>
        <w:tc>
          <w:tcPr>
            <w:tcW w:w="1069" w:type="dxa"/>
            <w:noWrap/>
            <w:hideMark/>
          </w:tcPr>
          <w:p w14:paraId="2FCA23A5" w14:textId="093375B1" w:rsidR="00DB78B7" w:rsidRPr="00F40142" w:rsidRDefault="00EF3F81"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1,370</w:t>
            </w:r>
          </w:p>
        </w:tc>
        <w:tc>
          <w:tcPr>
            <w:tcW w:w="1069" w:type="dxa"/>
            <w:noWrap/>
            <w:hideMark/>
          </w:tcPr>
          <w:p w14:paraId="78C64E86" w14:textId="3CB307FC" w:rsidR="00DB78B7" w:rsidRPr="00F40142" w:rsidRDefault="00EF3F81"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684</w:t>
            </w:r>
          </w:p>
        </w:tc>
      </w:tr>
      <w:tr w:rsidR="00DB78B7" w:rsidRPr="00F40142" w14:paraId="2B856E19" w14:textId="77777777" w:rsidTr="00927244">
        <w:trPr>
          <w:trHeight w:val="60"/>
        </w:trPr>
        <w:tc>
          <w:tcPr>
            <w:tcW w:w="3997" w:type="dxa"/>
            <w:hideMark/>
          </w:tcPr>
          <w:p w14:paraId="4BB39A70" w14:textId="46765FED"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Interest </w:t>
            </w:r>
            <w:r w:rsidR="00211124">
              <w:rPr>
                <w:rFonts w:ascii="Arial" w:eastAsia="Arial Unicode MS" w:hAnsi="Arial" w:cs="Arial"/>
                <w:sz w:val="20"/>
                <w:lang w:val="en-GB" w:eastAsia="hi-IN" w:bidi="hi-IN"/>
              </w:rPr>
              <w:t>e</w:t>
            </w:r>
            <w:r>
              <w:rPr>
                <w:rFonts w:ascii="Arial" w:eastAsia="Arial Unicode MS" w:hAnsi="Arial" w:cs="Arial"/>
                <w:sz w:val="20"/>
                <w:lang w:val="en-GB" w:eastAsia="hi-IN" w:bidi="hi-IN"/>
              </w:rPr>
              <w:t>xpense</w:t>
            </w:r>
          </w:p>
        </w:tc>
        <w:tc>
          <w:tcPr>
            <w:tcW w:w="1070" w:type="dxa"/>
            <w:noWrap/>
            <w:hideMark/>
          </w:tcPr>
          <w:p w14:paraId="44389BA5" w14:textId="464AD313"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978</w:t>
            </w:r>
          </w:p>
        </w:tc>
        <w:tc>
          <w:tcPr>
            <w:tcW w:w="1195" w:type="dxa"/>
            <w:noWrap/>
            <w:hideMark/>
          </w:tcPr>
          <w:p w14:paraId="4AB7E46E" w14:textId="3F9060C9"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1,198</w:t>
            </w:r>
          </w:p>
        </w:tc>
        <w:tc>
          <w:tcPr>
            <w:tcW w:w="1012" w:type="dxa"/>
            <w:noWrap/>
            <w:hideMark/>
          </w:tcPr>
          <w:p w14:paraId="0BC3217D" w14:textId="20DDD38A"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1,370</w:t>
            </w:r>
          </w:p>
        </w:tc>
        <w:tc>
          <w:tcPr>
            <w:tcW w:w="1069" w:type="dxa"/>
            <w:noWrap/>
            <w:hideMark/>
          </w:tcPr>
          <w:p w14:paraId="57E85D80" w14:textId="79092AC6"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1,591</w:t>
            </w:r>
          </w:p>
        </w:tc>
        <w:tc>
          <w:tcPr>
            <w:tcW w:w="1069" w:type="dxa"/>
            <w:noWrap/>
            <w:hideMark/>
          </w:tcPr>
          <w:p w14:paraId="0857CDF9" w14:textId="6FBADF5E"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1,687</w:t>
            </w:r>
          </w:p>
        </w:tc>
      </w:tr>
      <w:tr w:rsidR="00DB78B7" w:rsidRPr="00F40142" w14:paraId="4DD16F3C" w14:textId="77777777" w:rsidTr="00927244">
        <w:trPr>
          <w:trHeight w:val="60"/>
        </w:trPr>
        <w:tc>
          <w:tcPr>
            <w:tcW w:w="3997" w:type="dxa"/>
            <w:hideMark/>
          </w:tcPr>
          <w:p w14:paraId="38DD881A" w14:textId="6F1819A6"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Income</w:t>
            </w:r>
            <w:r>
              <w:rPr>
                <w:rFonts w:ascii="Arial" w:eastAsia="Arial Unicode MS" w:hAnsi="Arial" w:cs="Arial"/>
                <w:sz w:val="20"/>
                <w:lang w:val="en-GB" w:eastAsia="hi-IN" w:bidi="hi-IN"/>
              </w:rPr>
              <w:t xml:space="preserve"> </w:t>
            </w:r>
            <w:r w:rsidR="00211124">
              <w:rPr>
                <w:rFonts w:ascii="Arial" w:eastAsia="Arial Unicode MS" w:hAnsi="Arial" w:cs="Arial"/>
                <w:sz w:val="20"/>
                <w:lang w:val="en-GB" w:eastAsia="hi-IN" w:bidi="hi-IN"/>
              </w:rPr>
              <w:t>t</w:t>
            </w:r>
            <w:r>
              <w:rPr>
                <w:rFonts w:ascii="Arial" w:eastAsia="Arial Unicode MS" w:hAnsi="Arial" w:cs="Arial"/>
                <w:sz w:val="20"/>
                <w:lang w:val="en-GB" w:eastAsia="hi-IN" w:bidi="hi-IN"/>
              </w:rPr>
              <w:t>ax</w:t>
            </w:r>
          </w:p>
        </w:tc>
        <w:tc>
          <w:tcPr>
            <w:tcW w:w="1070" w:type="dxa"/>
            <w:noWrap/>
            <w:hideMark/>
          </w:tcPr>
          <w:p w14:paraId="25BB312D" w14:textId="0A9CE2EE" w:rsidR="00DB78B7" w:rsidRPr="00F40142" w:rsidRDefault="00272100"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p>
        </w:tc>
        <w:tc>
          <w:tcPr>
            <w:tcW w:w="1195" w:type="dxa"/>
            <w:noWrap/>
            <w:hideMark/>
          </w:tcPr>
          <w:p w14:paraId="195A5C1F" w14:textId="3FBA6E0C" w:rsidR="00DB78B7" w:rsidRPr="00F40142" w:rsidRDefault="00272100"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p>
        </w:tc>
        <w:tc>
          <w:tcPr>
            <w:tcW w:w="1012" w:type="dxa"/>
            <w:noWrap/>
            <w:hideMark/>
          </w:tcPr>
          <w:p w14:paraId="3A8CE3C2" w14:textId="6E1C94EE" w:rsidR="00DB78B7" w:rsidRPr="00F40142" w:rsidRDefault="00272100"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p>
        </w:tc>
        <w:tc>
          <w:tcPr>
            <w:tcW w:w="1069" w:type="dxa"/>
            <w:noWrap/>
            <w:hideMark/>
          </w:tcPr>
          <w:p w14:paraId="4A0A62CA" w14:textId="598A4EBE" w:rsidR="00DB78B7" w:rsidRPr="00F40142" w:rsidRDefault="00272100"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p>
        </w:tc>
        <w:tc>
          <w:tcPr>
            <w:tcW w:w="1069" w:type="dxa"/>
            <w:noWrap/>
            <w:hideMark/>
          </w:tcPr>
          <w:p w14:paraId="0B7CCD02" w14:textId="29FBB899" w:rsidR="00DB78B7" w:rsidRPr="00F40142" w:rsidRDefault="00272100"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p>
        </w:tc>
      </w:tr>
      <w:tr w:rsidR="00DB78B7" w:rsidRPr="00F40142" w14:paraId="4F6153E6" w14:textId="77777777" w:rsidTr="00927244">
        <w:trPr>
          <w:trHeight w:val="60"/>
        </w:trPr>
        <w:tc>
          <w:tcPr>
            <w:tcW w:w="3997" w:type="dxa"/>
            <w:hideMark/>
          </w:tcPr>
          <w:p w14:paraId="76A542C3" w14:textId="38E59CCD"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Net </w:t>
            </w:r>
            <w:r w:rsidR="00211124">
              <w:rPr>
                <w:rFonts w:ascii="Arial" w:eastAsia="Arial Unicode MS" w:hAnsi="Arial" w:cs="Arial"/>
                <w:sz w:val="20"/>
                <w:lang w:val="en-GB" w:eastAsia="hi-IN" w:bidi="hi-IN"/>
              </w:rPr>
              <w:t>i</w:t>
            </w:r>
            <w:r w:rsidRPr="00F40142">
              <w:rPr>
                <w:rFonts w:ascii="Arial" w:eastAsia="Arial Unicode MS" w:hAnsi="Arial" w:cs="Arial"/>
                <w:sz w:val="20"/>
                <w:lang w:val="en-GB" w:eastAsia="hi-IN" w:bidi="hi-IN"/>
              </w:rPr>
              <w:t>ncome</w:t>
            </w:r>
            <w:r>
              <w:rPr>
                <w:rFonts w:ascii="Arial" w:eastAsia="Arial Unicode MS" w:hAnsi="Arial" w:cs="Arial"/>
                <w:sz w:val="20"/>
                <w:lang w:val="en-GB" w:eastAsia="hi-IN" w:bidi="hi-IN"/>
              </w:rPr>
              <w:t xml:space="preserve"> </w:t>
            </w:r>
          </w:p>
        </w:tc>
        <w:tc>
          <w:tcPr>
            <w:tcW w:w="1070" w:type="dxa"/>
            <w:noWrap/>
            <w:hideMark/>
          </w:tcPr>
          <w:p w14:paraId="3CFF173F" w14:textId="5BBD286E" w:rsidR="00DB78B7" w:rsidRPr="00F40142" w:rsidRDefault="00DB78B7" w:rsidP="00411B4A">
            <w:pPr>
              <w:pStyle w:val="BodyTextMain"/>
              <w:jc w:val="right"/>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535</w:t>
            </w:r>
          </w:p>
        </w:tc>
        <w:tc>
          <w:tcPr>
            <w:tcW w:w="1195" w:type="dxa"/>
            <w:noWrap/>
            <w:hideMark/>
          </w:tcPr>
          <w:p w14:paraId="212B8EA6" w14:textId="7CD8589C" w:rsidR="00DB78B7" w:rsidRPr="00F40142" w:rsidRDefault="00C94A4E"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1,745</w:t>
            </w:r>
          </w:p>
        </w:tc>
        <w:tc>
          <w:tcPr>
            <w:tcW w:w="1012" w:type="dxa"/>
            <w:noWrap/>
            <w:hideMark/>
          </w:tcPr>
          <w:p w14:paraId="1F0C4A14" w14:textId="28B25FC5" w:rsidR="00DB78B7" w:rsidRPr="00F40142" w:rsidRDefault="00C94A4E"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1,710</w:t>
            </w:r>
          </w:p>
        </w:tc>
        <w:tc>
          <w:tcPr>
            <w:tcW w:w="1069" w:type="dxa"/>
            <w:noWrap/>
            <w:hideMark/>
          </w:tcPr>
          <w:p w14:paraId="35829797" w14:textId="5CC88A90" w:rsidR="00DB78B7" w:rsidRPr="00F40142" w:rsidRDefault="00C94A4E"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2,960</w:t>
            </w:r>
          </w:p>
        </w:tc>
        <w:tc>
          <w:tcPr>
            <w:tcW w:w="1069" w:type="dxa"/>
            <w:noWrap/>
            <w:hideMark/>
          </w:tcPr>
          <w:p w14:paraId="6DFE49C7" w14:textId="3B22A39A" w:rsidR="00DB78B7" w:rsidRPr="00F40142" w:rsidRDefault="00C94A4E" w:rsidP="00411B4A">
            <w:pPr>
              <w:pStyle w:val="BodyTextMain"/>
              <w:jc w:val="right"/>
              <w:rPr>
                <w:rFonts w:ascii="Arial" w:eastAsia="Arial Unicode MS" w:hAnsi="Arial" w:cs="Arial"/>
                <w:sz w:val="20"/>
                <w:lang w:val="en-GB" w:eastAsia="hi-IN" w:bidi="hi-IN"/>
              </w:rPr>
            </w:pPr>
            <w:r>
              <w:rPr>
                <w:rFonts w:ascii="Arial" w:eastAsia="Arial Unicode MS" w:hAnsi="Arial" w:cs="Arial"/>
                <w:sz w:val="20"/>
                <w:lang w:val="en-GB" w:eastAsia="hi-IN" w:bidi="hi-IN"/>
              </w:rPr>
              <w:t>-</w:t>
            </w:r>
            <w:r w:rsidR="00DB78B7" w:rsidRPr="00F40142">
              <w:rPr>
                <w:rFonts w:ascii="Arial" w:eastAsia="Arial Unicode MS" w:hAnsi="Arial" w:cs="Arial"/>
                <w:sz w:val="20"/>
                <w:lang w:val="en-GB" w:eastAsia="hi-IN" w:bidi="hi-IN"/>
              </w:rPr>
              <w:t>2,371</w:t>
            </w:r>
          </w:p>
        </w:tc>
      </w:tr>
      <w:tr w:rsidR="00DB78B7" w:rsidRPr="00F40142" w14:paraId="49792115" w14:textId="77777777" w:rsidTr="00927244">
        <w:trPr>
          <w:trHeight w:val="60"/>
        </w:trPr>
        <w:tc>
          <w:tcPr>
            <w:tcW w:w="9412" w:type="dxa"/>
            <w:gridSpan w:val="6"/>
            <w:noWrap/>
            <w:hideMark/>
          </w:tcPr>
          <w:p w14:paraId="7027FF46" w14:textId="69A62375" w:rsidR="00DB78B7" w:rsidRPr="00F40142" w:rsidRDefault="00DB78B7" w:rsidP="00411B4A">
            <w:pPr>
              <w:pStyle w:val="BodyTextMain"/>
              <w:jc w:val="center"/>
              <w:rPr>
                <w:rFonts w:ascii="Arial" w:eastAsia="Arial Unicode MS" w:hAnsi="Arial" w:cs="Arial"/>
                <w:b/>
                <w:sz w:val="20"/>
                <w:lang w:val="en-GB" w:eastAsia="hi-IN" w:bidi="hi-IN"/>
              </w:rPr>
            </w:pPr>
            <w:r w:rsidRPr="00F40142">
              <w:rPr>
                <w:rFonts w:ascii="Arial" w:eastAsia="Arial Unicode MS" w:hAnsi="Arial" w:cs="Arial"/>
                <w:b/>
                <w:sz w:val="20"/>
                <w:lang w:val="en-GB" w:eastAsia="hi-IN" w:bidi="hi-IN"/>
              </w:rPr>
              <w:t>Balance Sheets</w:t>
            </w:r>
          </w:p>
        </w:tc>
      </w:tr>
      <w:tr w:rsidR="00DB78B7" w:rsidRPr="00F40142" w14:paraId="292B4AB2" w14:textId="77777777" w:rsidTr="00927244">
        <w:trPr>
          <w:trHeight w:val="60"/>
        </w:trPr>
        <w:tc>
          <w:tcPr>
            <w:tcW w:w="3997" w:type="dxa"/>
            <w:noWrap/>
            <w:hideMark/>
          </w:tcPr>
          <w:p w14:paraId="2A500A18" w14:textId="77777777" w:rsidR="00DB78B7" w:rsidRPr="00F40142" w:rsidRDefault="00DB78B7" w:rsidP="00411B4A">
            <w:pPr>
              <w:pStyle w:val="BodyTextMain"/>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Assets</w:t>
            </w:r>
          </w:p>
        </w:tc>
        <w:tc>
          <w:tcPr>
            <w:tcW w:w="1070" w:type="dxa"/>
            <w:noWrap/>
            <w:hideMark/>
          </w:tcPr>
          <w:p w14:paraId="5BA0044C"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2017</w:t>
            </w:r>
          </w:p>
        </w:tc>
        <w:tc>
          <w:tcPr>
            <w:tcW w:w="1195" w:type="dxa"/>
            <w:noWrap/>
            <w:hideMark/>
          </w:tcPr>
          <w:p w14:paraId="24D1BFB0"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2016</w:t>
            </w:r>
          </w:p>
        </w:tc>
        <w:tc>
          <w:tcPr>
            <w:tcW w:w="1012" w:type="dxa"/>
            <w:noWrap/>
            <w:hideMark/>
          </w:tcPr>
          <w:p w14:paraId="1DB381E1"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2015</w:t>
            </w:r>
          </w:p>
        </w:tc>
        <w:tc>
          <w:tcPr>
            <w:tcW w:w="1069" w:type="dxa"/>
            <w:noWrap/>
            <w:hideMark/>
          </w:tcPr>
          <w:p w14:paraId="0A8A5E65"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2014</w:t>
            </w:r>
          </w:p>
        </w:tc>
        <w:tc>
          <w:tcPr>
            <w:tcW w:w="1069" w:type="dxa"/>
            <w:noWrap/>
            <w:hideMark/>
          </w:tcPr>
          <w:p w14:paraId="7954115E" w14:textId="77777777" w:rsidR="00DB78B7" w:rsidRPr="00F40142" w:rsidRDefault="00DB78B7" w:rsidP="00411B4A">
            <w:pPr>
              <w:pStyle w:val="BodyTextMain"/>
              <w:jc w:val="center"/>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2013</w:t>
            </w:r>
          </w:p>
        </w:tc>
      </w:tr>
      <w:tr w:rsidR="00DB78B7" w:rsidRPr="00F40142" w14:paraId="625A6C68" w14:textId="77777777" w:rsidTr="00927244">
        <w:trPr>
          <w:trHeight w:val="60"/>
        </w:trPr>
        <w:tc>
          <w:tcPr>
            <w:tcW w:w="3997" w:type="dxa"/>
            <w:hideMark/>
          </w:tcPr>
          <w:p w14:paraId="7CDD58C4" w14:textId="1553EAAD" w:rsidR="00DB78B7" w:rsidRPr="00F40142" w:rsidRDefault="00DB78B7" w:rsidP="00411B4A">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Cash &amp; </w:t>
            </w:r>
            <w:r w:rsidR="00211124">
              <w:rPr>
                <w:rFonts w:ascii="Arial" w:eastAsia="Arial Unicode MS" w:hAnsi="Arial" w:cs="Arial"/>
                <w:sz w:val="20"/>
                <w:lang w:val="en-GB" w:eastAsia="hi-IN" w:bidi="hi-IN"/>
              </w:rPr>
              <w:t>s</w:t>
            </w:r>
            <w:r w:rsidRPr="00F40142">
              <w:rPr>
                <w:rFonts w:ascii="Arial" w:eastAsia="Arial Unicode MS" w:hAnsi="Arial" w:cs="Arial"/>
                <w:sz w:val="20"/>
                <w:lang w:val="en-GB" w:eastAsia="hi-IN" w:bidi="hi-IN"/>
              </w:rPr>
              <w:t>hort-</w:t>
            </w:r>
            <w:r w:rsidR="00211124">
              <w:rPr>
                <w:rFonts w:ascii="Arial" w:eastAsia="Arial Unicode MS" w:hAnsi="Arial" w:cs="Arial"/>
                <w:sz w:val="20"/>
                <w:lang w:val="en-GB" w:eastAsia="hi-IN" w:bidi="hi-IN"/>
              </w:rPr>
              <w:t>t</w:t>
            </w:r>
            <w:r w:rsidRPr="00F40142">
              <w:rPr>
                <w:rFonts w:ascii="Arial" w:eastAsia="Arial Unicode MS" w:hAnsi="Arial" w:cs="Arial"/>
                <w:sz w:val="20"/>
                <w:lang w:val="en-GB" w:eastAsia="hi-IN" w:bidi="hi-IN"/>
              </w:rPr>
              <w:t xml:space="preserve">erm </w:t>
            </w:r>
            <w:r w:rsidR="00211124">
              <w:rPr>
                <w:rFonts w:ascii="Arial" w:eastAsia="Arial Unicode MS" w:hAnsi="Arial" w:cs="Arial"/>
                <w:sz w:val="20"/>
                <w:lang w:val="en-GB" w:eastAsia="hi-IN" w:bidi="hi-IN"/>
              </w:rPr>
              <w:t>i</w:t>
            </w:r>
            <w:r w:rsidRPr="00F40142">
              <w:rPr>
                <w:rFonts w:ascii="Arial" w:eastAsia="Arial Unicode MS" w:hAnsi="Arial" w:cs="Arial"/>
                <w:sz w:val="20"/>
                <w:lang w:val="en-GB" w:eastAsia="hi-IN" w:bidi="hi-IN"/>
              </w:rPr>
              <w:t>nvestments</w:t>
            </w:r>
          </w:p>
        </w:tc>
        <w:tc>
          <w:tcPr>
            <w:tcW w:w="1070" w:type="dxa"/>
            <w:hideMark/>
          </w:tcPr>
          <w:p w14:paraId="52A349B1" w14:textId="5501E60A" w:rsidR="00DB78B7" w:rsidRPr="00F40142" w:rsidRDefault="00DB78B7" w:rsidP="00411B4A">
            <w:pPr>
              <w:pStyle w:val="BodyTextMain"/>
              <w:jc w:val="right"/>
              <w:rPr>
                <w:rFonts w:ascii="Arial" w:eastAsia="Arial Unicode MS" w:hAnsi="Arial" w:cs="Arial"/>
                <w:sz w:val="20"/>
                <w:lang w:val="en-GB" w:eastAsia="hi-IN" w:bidi="hi-IN"/>
              </w:rPr>
            </w:pPr>
          </w:p>
        </w:tc>
        <w:tc>
          <w:tcPr>
            <w:tcW w:w="1195" w:type="dxa"/>
            <w:hideMark/>
          </w:tcPr>
          <w:p w14:paraId="5D4EFA1E" w14:textId="44E2ED64" w:rsidR="00DB78B7" w:rsidRPr="00F40142" w:rsidRDefault="00DB78B7" w:rsidP="00411B4A">
            <w:pPr>
              <w:pStyle w:val="BodyTextMain"/>
              <w:jc w:val="right"/>
              <w:rPr>
                <w:rFonts w:ascii="Arial" w:eastAsia="Arial Unicode MS" w:hAnsi="Arial" w:cs="Arial"/>
                <w:sz w:val="20"/>
                <w:lang w:val="en-GB" w:eastAsia="hi-IN" w:bidi="hi-IN"/>
              </w:rPr>
            </w:pPr>
          </w:p>
        </w:tc>
        <w:tc>
          <w:tcPr>
            <w:tcW w:w="1012" w:type="dxa"/>
            <w:hideMark/>
          </w:tcPr>
          <w:p w14:paraId="39DE438A" w14:textId="6F917252" w:rsidR="00DB78B7" w:rsidRPr="00F40142" w:rsidRDefault="00DB78B7" w:rsidP="00411B4A">
            <w:pPr>
              <w:pStyle w:val="BodyTextMain"/>
              <w:jc w:val="right"/>
              <w:rPr>
                <w:rFonts w:ascii="Arial" w:eastAsia="Arial Unicode MS" w:hAnsi="Arial" w:cs="Arial"/>
                <w:sz w:val="20"/>
                <w:lang w:val="en-GB" w:eastAsia="hi-IN" w:bidi="hi-IN"/>
              </w:rPr>
            </w:pPr>
          </w:p>
        </w:tc>
        <w:tc>
          <w:tcPr>
            <w:tcW w:w="1069" w:type="dxa"/>
            <w:hideMark/>
          </w:tcPr>
          <w:p w14:paraId="1ED1DB87" w14:textId="50B9F469" w:rsidR="00DB78B7" w:rsidRPr="00F40142" w:rsidRDefault="00DB78B7" w:rsidP="00411B4A">
            <w:pPr>
              <w:pStyle w:val="BodyTextMain"/>
              <w:jc w:val="right"/>
              <w:rPr>
                <w:rFonts w:ascii="Arial" w:eastAsia="Arial Unicode MS" w:hAnsi="Arial" w:cs="Arial"/>
                <w:sz w:val="20"/>
                <w:lang w:val="en-GB" w:eastAsia="hi-IN" w:bidi="hi-IN"/>
              </w:rPr>
            </w:pPr>
          </w:p>
        </w:tc>
        <w:tc>
          <w:tcPr>
            <w:tcW w:w="1069" w:type="dxa"/>
            <w:hideMark/>
          </w:tcPr>
          <w:p w14:paraId="73DF8E13" w14:textId="08E24D3E" w:rsidR="00DB78B7" w:rsidRPr="00F40142" w:rsidRDefault="00DB78B7" w:rsidP="00411B4A">
            <w:pPr>
              <w:pStyle w:val="BodyTextMain"/>
              <w:jc w:val="right"/>
              <w:rPr>
                <w:rFonts w:ascii="Arial" w:eastAsia="Arial Unicode MS" w:hAnsi="Arial" w:cs="Arial"/>
                <w:sz w:val="20"/>
                <w:lang w:val="en-GB" w:eastAsia="hi-IN" w:bidi="hi-IN"/>
              </w:rPr>
            </w:pPr>
          </w:p>
        </w:tc>
      </w:tr>
      <w:tr w:rsidR="00487482" w:rsidRPr="00F40142" w14:paraId="21050E8C" w14:textId="77777777" w:rsidTr="00487482">
        <w:trPr>
          <w:trHeight w:val="60"/>
        </w:trPr>
        <w:tc>
          <w:tcPr>
            <w:tcW w:w="3997" w:type="dxa"/>
            <w:hideMark/>
          </w:tcPr>
          <w:p w14:paraId="41FDB536" w14:textId="7BE24331"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Total </w:t>
            </w:r>
            <w:r>
              <w:rPr>
                <w:rFonts w:ascii="Arial" w:eastAsia="Arial Unicode MS" w:hAnsi="Arial" w:cs="Arial"/>
                <w:sz w:val="20"/>
                <w:lang w:val="en-GB" w:eastAsia="hi-IN" w:bidi="hi-IN"/>
              </w:rPr>
              <w:t>a</w:t>
            </w:r>
            <w:r w:rsidRPr="00F40142">
              <w:rPr>
                <w:rFonts w:ascii="Arial" w:eastAsia="Arial Unicode MS" w:hAnsi="Arial" w:cs="Arial"/>
                <w:sz w:val="20"/>
                <w:lang w:val="en-GB" w:eastAsia="hi-IN" w:bidi="hi-IN"/>
              </w:rPr>
              <w:t xml:space="preserve">ccounts </w:t>
            </w:r>
            <w:r>
              <w:rPr>
                <w:rFonts w:ascii="Arial" w:eastAsia="Arial Unicode MS" w:hAnsi="Arial" w:cs="Arial"/>
                <w:sz w:val="20"/>
                <w:lang w:val="en-GB" w:eastAsia="hi-IN" w:bidi="hi-IN"/>
              </w:rPr>
              <w:t>r</w:t>
            </w:r>
            <w:r w:rsidRPr="00F40142">
              <w:rPr>
                <w:rFonts w:ascii="Arial" w:eastAsia="Arial Unicode MS" w:hAnsi="Arial" w:cs="Arial"/>
                <w:sz w:val="20"/>
                <w:lang w:val="en-GB" w:eastAsia="hi-IN" w:bidi="hi-IN"/>
              </w:rPr>
              <w:t>eceivable</w:t>
            </w:r>
          </w:p>
        </w:tc>
        <w:tc>
          <w:tcPr>
            <w:tcW w:w="1070" w:type="dxa"/>
            <w:vAlign w:val="bottom"/>
            <w:hideMark/>
          </w:tcPr>
          <w:p w14:paraId="3D1DB3E1" w14:textId="4F463C01"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3,584</w:t>
            </w:r>
          </w:p>
        </w:tc>
        <w:tc>
          <w:tcPr>
            <w:tcW w:w="1195" w:type="dxa"/>
            <w:vAlign w:val="bottom"/>
            <w:hideMark/>
          </w:tcPr>
          <w:p w14:paraId="378AA1B8" w14:textId="37C069C3"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4,032</w:t>
            </w:r>
          </w:p>
        </w:tc>
        <w:tc>
          <w:tcPr>
            <w:tcW w:w="1012" w:type="dxa"/>
            <w:vAlign w:val="bottom"/>
            <w:hideMark/>
          </w:tcPr>
          <w:p w14:paraId="5C6AE7A9" w14:textId="64482DA5"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3,747</w:t>
            </w:r>
          </w:p>
        </w:tc>
        <w:tc>
          <w:tcPr>
            <w:tcW w:w="1069" w:type="dxa"/>
            <w:vAlign w:val="bottom"/>
            <w:hideMark/>
          </w:tcPr>
          <w:p w14:paraId="0C4613BE" w14:textId="29614E7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3,035</w:t>
            </w:r>
          </w:p>
        </w:tc>
        <w:tc>
          <w:tcPr>
            <w:tcW w:w="1069" w:type="dxa"/>
            <w:vAlign w:val="bottom"/>
            <w:hideMark/>
          </w:tcPr>
          <w:p w14:paraId="77700F3A" w14:textId="0104731B"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2,972</w:t>
            </w:r>
          </w:p>
        </w:tc>
      </w:tr>
      <w:tr w:rsidR="00487482" w:rsidRPr="00F40142" w14:paraId="71E09D9A" w14:textId="77777777" w:rsidTr="00487482">
        <w:trPr>
          <w:trHeight w:val="60"/>
        </w:trPr>
        <w:tc>
          <w:tcPr>
            <w:tcW w:w="3997" w:type="dxa"/>
            <w:hideMark/>
          </w:tcPr>
          <w:p w14:paraId="5A0BC8AE" w14:textId="77777777"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Inventories</w:t>
            </w:r>
          </w:p>
        </w:tc>
        <w:tc>
          <w:tcPr>
            <w:tcW w:w="1070" w:type="dxa"/>
            <w:vAlign w:val="bottom"/>
            <w:hideMark/>
          </w:tcPr>
          <w:p w14:paraId="111EA16B" w14:textId="4EC9F1B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16,588</w:t>
            </w:r>
          </w:p>
        </w:tc>
        <w:tc>
          <w:tcPr>
            <w:tcW w:w="1195" w:type="dxa"/>
            <w:vAlign w:val="bottom"/>
            <w:hideMark/>
          </w:tcPr>
          <w:p w14:paraId="5F23300E" w14:textId="61295CC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16,892</w:t>
            </w:r>
          </w:p>
        </w:tc>
        <w:tc>
          <w:tcPr>
            <w:tcW w:w="1012" w:type="dxa"/>
            <w:vAlign w:val="bottom"/>
            <w:hideMark/>
          </w:tcPr>
          <w:p w14:paraId="63F76D0A" w14:textId="476E0BC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16,934</w:t>
            </w:r>
          </w:p>
        </w:tc>
        <w:tc>
          <w:tcPr>
            <w:tcW w:w="1069" w:type="dxa"/>
            <w:vAlign w:val="bottom"/>
            <w:hideMark/>
          </w:tcPr>
          <w:p w14:paraId="261EFE50" w14:textId="5A912724"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12,466</w:t>
            </w:r>
          </w:p>
        </w:tc>
        <w:tc>
          <w:tcPr>
            <w:tcW w:w="1069" w:type="dxa"/>
            <w:vAlign w:val="bottom"/>
            <w:hideMark/>
          </w:tcPr>
          <w:p w14:paraId="0E0F0933" w14:textId="03E13865"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11,278</w:t>
            </w:r>
          </w:p>
        </w:tc>
      </w:tr>
      <w:tr w:rsidR="00487482" w:rsidRPr="00F40142" w14:paraId="149A4AC3" w14:textId="77777777" w:rsidTr="00487482">
        <w:trPr>
          <w:trHeight w:val="60"/>
        </w:trPr>
        <w:tc>
          <w:tcPr>
            <w:tcW w:w="3997" w:type="dxa"/>
            <w:hideMark/>
          </w:tcPr>
          <w:p w14:paraId="510B0000" w14:textId="444263AA"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Other </w:t>
            </w:r>
            <w:r>
              <w:rPr>
                <w:rFonts w:ascii="Arial" w:eastAsia="Arial Unicode MS" w:hAnsi="Arial" w:cs="Arial"/>
                <w:sz w:val="20"/>
                <w:lang w:val="en-GB" w:eastAsia="hi-IN" w:bidi="hi-IN"/>
              </w:rPr>
              <w:t>c</w:t>
            </w:r>
            <w:r w:rsidRPr="00F40142">
              <w:rPr>
                <w:rFonts w:ascii="Arial" w:eastAsia="Arial Unicode MS" w:hAnsi="Arial" w:cs="Arial"/>
                <w:sz w:val="20"/>
                <w:lang w:val="en-GB" w:eastAsia="hi-IN" w:bidi="hi-IN"/>
              </w:rPr>
              <w:t xml:space="preserve">urrent </w:t>
            </w:r>
            <w:r>
              <w:rPr>
                <w:rFonts w:ascii="Arial" w:eastAsia="Arial Unicode MS" w:hAnsi="Arial" w:cs="Arial"/>
                <w:sz w:val="20"/>
                <w:lang w:val="en-GB" w:eastAsia="hi-IN" w:bidi="hi-IN"/>
              </w:rPr>
              <w:t>a</w:t>
            </w:r>
            <w:r w:rsidRPr="00F40142">
              <w:rPr>
                <w:rFonts w:ascii="Arial" w:eastAsia="Arial Unicode MS" w:hAnsi="Arial" w:cs="Arial"/>
                <w:sz w:val="20"/>
                <w:lang w:val="en-GB" w:eastAsia="hi-IN" w:bidi="hi-IN"/>
              </w:rPr>
              <w:t>ssets</w:t>
            </w:r>
          </w:p>
        </w:tc>
        <w:tc>
          <w:tcPr>
            <w:tcW w:w="1070" w:type="dxa"/>
            <w:vAlign w:val="bottom"/>
            <w:hideMark/>
          </w:tcPr>
          <w:p w14:paraId="2E0BDEF0" w14:textId="2DB9D4F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321</w:t>
            </w:r>
          </w:p>
        </w:tc>
        <w:tc>
          <w:tcPr>
            <w:tcW w:w="1195" w:type="dxa"/>
            <w:vAlign w:val="bottom"/>
            <w:hideMark/>
          </w:tcPr>
          <w:p w14:paraId="187455FC" w14:textId="2D16AF0D"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152</w:t>
            </w:r>
          </w:p>
        </w:tc>
        <w:tc>
          <w:tcPr>
            <w:tcW w:w="1012" w:type="dxa"/>
            <w:vAlign w:val="bottom"/>
            <w:hideMark/>
          </w:tcPr>
          <w:p w14:paraId="4213723F" w14:textId="54A558D5"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210</w:t>
            </w:r>
          </w:p>
        </w:tc>
        <w:tc>
          <w:tcPr>
            <w:tcW w:w="1069" w:type="dxa"/>
            <w:vAlign w:val="bottom"/>
            <w:hideMark/>
          </w:tcPr>
          <w:p w14:paraId="7F12C295" w14:textId="5399AE63"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2,020</w:t>
            </w:r>
          </w:p>
        </w:tc>
        <w:tc>
          <w:tcPr>
            <w:tcW w:w="1069" w:type="dxa"/>
            <w:vAlign w:val="bottom"/>
            <w:hideMark/>
          </w:tcPr>
          <w:p w14:paraId="0DBFDD52" w14:textId="7EC379E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165</w:t>
            </w:r>
          </w:p>
        </w:tc>
      </w:tr>
      <w:tr w:rsidR="00487482" w:rsidRPr="00F40142" w14:paraId="0905482D" w14:textId="77777777" w:rsidTr="00487482">
        <w:trPr>
          <w:trHeight w:val="60"/>
        </w:trPr>
        <w:tc>
          <w:tcPr>
            <w:tcW w:w="3997" w:type="dxa"/>
            <w:hideMark/>
          </w:tcPr>
          <w:p w14:paraId="7E32E89D" w14:textId="1FD24A2E"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Total </w:t>
            </w:r>
            <w:r>
              <w:rPr>
                <w:rFonts w:ascii="Arial" w:eastAsia="Arial Unicode MS" w:hAnsi="Arial" w:cs="Arial"/>
                <w:bCs/>
                <w:sz w:val="20"/>
                <w:lang w:val="en-GB" w:eastAsia="hi-IN" w:bidi="hi-IN"/>
              </w:rPr>
              <w:t>c</w:t>
            </w:r>
            <w:r w:rsidRPr="000F29CC">
              <w:rPr>
                <w:rFonts w:ascii="Arial" w:eastAsia="Arial Unicode MS" w:hAnsi="Arial" w:cs="Arial"/>
                <w:bCs/>
                <w:sz w:val="20"/>
                <w:lang w:val="en-GB" w:eastAsia="hi-IN" w:bidi="hi-IN"/>
              </w:rPr>
              <w:t xml:space="preserve">urrent </w:t>
            </w:r>
            <w:r>
              <w:rPr>
                <w:rFonts w:ascii="Arial" w:eastAsia="Arial Unicode MS" w:hAnsi="Arial" w:cs="Arial"/>
                <w:bCs/>
                <w:sz w:val="20"/>
                <w:lang w:val="en-GB" w:eastAsia="hi-IN" w:bidi="hi-IN"/>
              </w:rPr>
              <w:t>a</w:t>
            </w:r>
            <w:r w:rsidRPr="000F29CC">
              <w:rPr>
                <w:rFonts w:ascii="Arial" w:eastAsia="Arial Unicode MS" w:hAnsi="Arial" w:cs="Arial"/>
                <w:bCs/>
                <w:sz w:val="20"/>
                <w:lang w:val="en-GB" w:eastAsia="hi-IN" w:bidi="hi-IN"/>
              </w:rPr>
              <w:t>ssets</w:t>
            </w:r>
          </w:p>
        </w:tc>
        <w:tc>
          <w:tcPr>
            <w:tcW w:w="1070" w:type="dxa"/>
            <w:vAlign w:val="bottom"/>
            <w:hideMark/>
          </w:tcPr>
          <w:p w14:paraId="0212BDB5" w14:textId="548B86B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20,493</w:t>
            </w:r>
          </w:p>
        </w:tc>
        <w:tc>
          <w:tcPr>
            <w:tcW w:w="1195" w:type="dxa"/>
            <w:vAlign w:val="bottom"/>
            <w:hideMark/>
          </w:tcPr>
          <w:p w14:paraId="2404872C" w14:textId="7D015FF9"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21,076</w:t>
            </w:r>
          </w:p>
        </w:tc>
        <w:tc>
          <w:tcPr>
            <w:tcW w:w="1012" w:type="dxa"/>
            <w:vAlign w:val="bottom"/>
            <w:hideMark/>
          </w:tcPr>
          <w:p w14:paraId="5CC2623A" w14:textId="7F4A2324"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20,891</w:t>
            </w:r>
          </w:p>
        </w:tc>
        <w:tc>
          <w:tcPr>
            <w:tcW w:w="1069" w:type="dxa"/>
            <w:vAlign w:val="bottom"/>
            <w:hideMark/>
          </w:tcPr>
          <w:p w14:paraId="283F213D" w14:textId="7361040A"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17,521</w:t>
            </w:r>
          </w:p>
        </w:tc>
        <w:tc>
          <w:tcPr>
            <w:tcW w:w="1069" w:type="dxa"/>
            <w:vAlign w:val="bottom"/>
            <w:hideMark/>
          </w:tcPr>
          <w:p w14:paraId="18EAF6A8" w14:textId="4779E0F0"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14,415</w:t>
            </w:r>
          </w:p>
        </w:tc>
      </w:tr>
      <w:tr w:rsidR="00487482" w:rsidRPr="00F40142" w14:paraId="1B8E8F27" w14:textId="77777777" w:rsidTr="00487482">
        <w:trPr>
          <w:trHeight w:val="60"/>
        </w:trPr>
        <w:tc>
          <w:tcPr>
            <w:tcW w:w="3997" w:type="dxa"/>
            <w:hideMark/>
          </w:tcPr>
          <w:p w14:paraId="2AAEA238" w14:textId="4ECD9A99"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Property, </w:t>
            </w:r>
            <w:r>
              <w:rPr>
                <w:rFonts w:ascii="Arial" w:eastAsia="Arial Unicode MS" w:hAnsi="Arial" w:cs="Arial"/>
                <w:sz w:val="20"/>
                <w:lang w:val="en-GB" w:eastAsia="hi-IN" w:bidi="hi-IN"/>
              </w:rPr>
              <w:t>p</w:t>
            </w:r>
            <w:r w:rsidRPr="00F40142">
              <w:rPr>
                <w:rFonts w:ascii="Arial" w:eastAsia="Arial Unicode MS" w:hAnsi="Arial" w:cs="Arial"/>
                <w:sz w:val="20"/>
                <w:lang w:val="en-GB" w:eastAsia="hi-IN" w:bidi="hi-IN"/>
              </w:rPr>
              <w:t xml:space="preserve">lant &amp; </w:t>
            </w:r>
            <w:r>
              <w:rPr>
                <w:rFonts w:ascii="Arial" w:eastAsia="Arial Unicode MS" w:hAnsi="Arial" w:cs="Arial"/>
                <w:sz w:val="20"/>
                <w:lang w:val="en-GB" w:eastAsia="hi-IN" w:bidi="hi-IN"/>
              </w:rPr>
              <w:t>e</w:t>
            </w:r>
            <w:r w:rsidRPr="00F40142">
              <w:rPr>
                <w:rFonts w:ascii="Arial" w:eastAsia="Arial Unicode MS" w:hAnsi="Arial" w:cs="Arial"/>
                <w:sz w:val="20"/>
                <w:lang w:val="en-GB" w:eastAsia="hi-IN" w:bidi="hi-IN"/>
              </w:rPr>
              <w:t>quipment</w:t>
            </w:r>
          </w:p>
        </w:tc>
        <w:tc>
          <w:tcPr>
            <w:tcW w:w="1070" w:type="dxa"/>
            <w:vAlign w:val="bottom"/>
            <w:hideMark/>
          </w:tcPr>
          <w:p w14:paraId="0891F6D8" w14:textId="7384AF5A"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25,459</w:t>
            </w:r>
          </w:p>
        </w:tc>
        <w:tc>
          <w:tcPr>
            <w:tcW w:w="1195" w:type="dxa"/>
            <w:vAlign w:val="bottom"/>
            <w:hideMark/>
          </w:tcPr>
          <w:p w14:paraId="62B76E4B" w14:textId="1849A253"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22,762</w:t>
            </w:r>
          </w:p>
        </w:tc>
        <w:tc>
          <w:tcPr>
            <w:tcW w:w="1012" w:type="dxa"/>
            <w:vAlign w:val="bottom"/>
            <w:hideMark/>
          </w:tcPr>
          <w:p w14:paraId="320F2B6F" w14:textId="7F35895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23,361</w:t>
            </w:r>
          </w:p>
        </w:tc>
        <w:tc>
          <w:tcPr>
            <w:tcW w:w="1069" w:type="dxa"/>
            <w:vAlign w:val="bottom"/>
            <w:hideMark/>
          </w:tcPr>
          <w:p w14:paraId="0B02024A" w14:textId="154395F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23,118</w:t>
            </w:r>
          </w:p>
        </w:tc>
        <w:tc>
          <w:tcPr>
            <w:tcW w:w="1069" w:type="dxa"/>
            <w:vAlign w:val="bottom"/>
            <w:hideMark/>
          </w:tcPr>
          <w:p w14:paraId="671E96DD" w14:textId="1D6271D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25,172</w:t>
            </w:r>
          </w:p>
        </w:tc>
      </w:tr>
      <w:tr w:rsidR="00487482" w:rsidRPr="00F40142" w14:paraId="31875A59" w14:textId="77777777" w:rsidTr="00487482">
        <w:trPr>
          <w:trHeight w:val="60"/>
        </w:trPr>
        <w:tc>
          <w:tcPr>
            <w:tcW w:w="3997" w:type="dxa"/>
            <w:hideMark/>
          </w:tcPr>
          <w:p w14:paraId="4716901A" w14:textId="40B0B826"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Accumulated </w:t>
            </w:r>
            <w:r>
              <w:rPr>
                <w:rFonts w:ascii="Arial" w:eastAsia="Arial Unicode MS" w:hAnsi="Arial" w:cs="Arial"/>
                <w:sz w:val="20"/>
                <w:lang w:val="en-GB" w:eastAsia="hi-IN" w:bidi="hi-IN"/>
              </w:rPr>
              <w:t>d</w:t>
            </w:r>
            <w:r w:rsidRPr="00F40142">
              <w:rPr>
                <w:rFonts w:ascii="Arial" w:eastAsia="Arial Unicode MS" w:hAnsi="Arial" w:cs="Arial"/>
                <w:sz w:val="20"/>
                <w:lang w:val="en-GB" w:eastAsia="hi-IN" w:bidi="hi-IN"/>
              </w:rPr>
              <w:t>epreciation</w:t>
            </w:r>
          </w:p>
        </w:tc>
        <w:tc>
          <w:tcPr>
            <w:tcW w:w="1070" w:type="dxa"/>
            <w:vAlign w:val="bottom"/>
            <w:hideMark/>
          </w:tcPr>
          <w:p w14:paraId="47A3137B" w14:textId="175268C0"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9,485</w:t>
            </w:r>
          </w:p>
        </w:tc>
        <w:tc>
          <w:tcPr>
            <w:tcW w:w="1195" w:type="dxa"/>
            <w:vAlign w:val="bottom"/>
            <w:hideMark/>
          </w:tcPr>
          <w:p w14:paraId="562F2DF3" w14:textId="5EE8C7A1"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8,634</w:t>
            </w:r>
          </w:p>
        </w:tc>
        <w:tc>
          <w:tcPr>
            <w:tcW w:w="1012" w:type="dxa"/>
            <w:vAlign w:val="bottom"/>
            <w:hideMark/>
          </w:tcPr>
          <w:p w14:paraId="6B029C11" w14:textId="506FB55D"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7,951</w:t>
            </w:r>
          </w:p>
        </w:tc>
        <w:tc>
          <w:tcPr>
            <w:tcW w:w="1069" w:type="dxa"/>
            <w:vAlign w:val="bottom"/>
            <w:hideMark/>
          </w:tcPr>
          <w:p w14:paraId="5E2A1B61" w14:textId="1A61FE69"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7,039</w:t>
            </w:r>
          </w:p>
        </w:tc>
        <w:tc>
          <w:tcPr>
            <w:tcW w:w="1069" w:type="dxa"/>
            <w:vAlign w:val="bottom"/>
            <w:hideMark/>
          </w:tcPr>
          <w:p w14:paraId="106944F6" w14:textId="3F9738DB"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6,582</w:t>
            </w:r>
          </w:p>
        </w:tc>
      </w:tr>
      <w:tr w:rsidR="00487482" w:rsidRPr="00F40142" w14:paraId="52DA580E" w14:textId="77777777" w:rsidTr="00487482">
        <w:trPr>
          <w:trHeight w:val="60"/>
        </w:trPr>
        <w:tc>
          <w:tcPr>
            <w:tcW w:w="3997" w:type="dxa"/>
            <w:hideMark/>
          </w:tcPr>
          <w:p w14:paraId="30A1DF06" w14:textId="5695581B"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Intangible </w:t>
            </w:r>
            <w:r>
              <w:rPr>
                <w:rFonts w:ascii="Arial" w:eastAsia="Arial Unicode MS" w:hAnsi="Arial" w:cs="Arial"/>
                <w:sz w:val="20"/>
                <w:lang w:val="en-GB" w:eastAsia="hi-IN" w:bidi="hi-IN"/>
              </w:rPr>
              <w:t>a</w:t>
            </w:r>
            <w:r w:rsidRPr="00F40142">
              <w:rPr>
                <w:rFonts w:ascii="Arial" w:eastAsia="Arial Unicode MS" w:hAnsi="Arial" w:cs="Arial"/>
                <w:sz w:val="20"/>
                <w:lang w:val="en-GB" w:eastAsia="hi-IN" w:bidi="hi-IN"/>
              </w:rPr>
              <w:t>ssets</w:t>
            </w:r>
          </w:p>
        </w:tc>
        <w:tc>
          <w:tcPr>
            <w:tcW w:w="1070" w:type="dxa"/>
            <w:vAlign w:val="bottom"/>
            <w:hideMark/>
          </w:tcPr>
          <w:p w14:paraId="4CF5C916" w14:textId="1A7BE500"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3,509</w:t>
            </w:r>
          </w:p>
        </w:tc>
        <w:tc>
          <w:tcPr>
            <w:tcW w:w="1195" w:type="dxa"/>
            <w:vAlign w:val="bottom"/>
            <w:hideMark/>
          </w:tcPr>
          <w:p w14:paraId="0C303E04" w14:textId="6F9D4E61"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3,832</w:t>
            </w:r>
          </w:p>
        </w:tc>
        <w:tc>
          <w:tcPr>
            <w:tcW w:w="1012" w:type="dxa"/>
            <w:vAlign w:val="bottom"/>
            <w:hideMark/>
          </w:tcPr>
          <w:p w14:paraId="31C7DDF2" w14:textId="7D961185"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4,140</w:t>
            </w:r>
          </w:p>
        </w:tc>
        <w:tc>
          <w:tcPr>
            <w:tcW w:w="1069" w:type="dxa"/>
            <w:vAlign w:val="bottom"/>
            <w:hideMark/>
          </w:tcPr>
          <w:p w14:paraId="5B9A531F" w14:textId="6F5B288C"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759</w:t>
            </w:r>
          </w:p>
        </w:tc>
        <w:tc>
          <w:tcPr>
            <w:tcW w:w="1069" w:type="dxa"/>
            <w:vAlign w:val="bottom"/>
            <w:hideMark/>
          </w:tcPr>
          <w:p w14:paraId="4A73ADAB" w14:textId="14EEF81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630</w:t>
            </w:r>
          </w:p>
        </w:tc>
      </w:tr>
      <w:tr w:rsidR="00487482" w:rsidRPr="00F40142" w14:paraId="569CD46E" w14:textId="77777777" w:rsidTr="00487482">
        <w:trPr>
          <w:trHeight w:val="255"/>
        </w:trPr>
        <w:tc>
          <w:tcPr>
            <w:tcW w:w="3997" w:type="dxa"/>
            <w:hideMark/>
          </w:tcPr>
          <w:p w14:paraId="1D70F03F" w14:textId="3A61D688"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Total </w:t>
            </w:r>
            <w:r>
              <w:rPr>
                <w:rFonts w:ascii="Arial" w:eastAsia="Arial Unicode MS" w:hAnsi="Arial" w:cs="Arial"/>
                <w:bCs/>
                <w:sz w:val="20"/>
                <w:lang w:val="en-GB" w:eastAsia="hi-IN" w:bidi="hi-IN"/>
              </w:rPr>
              <w:t>a</w:t>
            </w:r>
            <w:r w:rsidRPr="000F29CC">
              <w:rPr>
                <w:rFonts w:ascii="Arial" w:eastAsia="Arial Unicode MS" w:hAnsi="Arial" w:cs="Arial"/>
                <w:bCs/>
                <w:sz w:val="20"/>
                <w:lang w:val="en-GB" w:eastAsia="hi-IN" w:bidi="hi-IN"/>
              </w:rPr>
              <w:t>ssets</w:t>
            </w:r>
          </w:p>
        </w:tc>
        <w:tc>
          <w:tcPr>
            <w:tcW w:w="1070" w:type="dxa"/>
            <w:vAlign w:val="bottom"/>
            <w:hideMark/>
          </w:tcPr>
          <w:p w14:paraId="10BD6E97" w14:textId="3683B11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39,976</w:t>
            </w:r>
          </w:p>
        </w:tc>
        <w:tc>
          <w:tcPr>
            <w:tcW w:w="1195" w:type="dxa"/>
            <w:vAlign w:val="bottom"/>
            <w:hideMark/>
          </w:tcPr>
          <w:p w14:paraId="4E485831" w14:textId="1837853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39,036</w:t>
            </w:r>
          </w:p>
        </w:tc>
        <w:tc>
          <w:tcPr>
            <w:tcW w:w="1012" w:type="dxa"/>
            <w:vAlign w:val="bottom"/>
            <w:hideMark/>
          </w:tcPr>
          <w:p w14:paraId="486C38A0" w14:textId="72B1773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40,441</w:t>
            </w:r>
          </w:p>
        </w:tc>
        <w:tc>
          <w:tcPr>
            <w:tcW w:w="1069" w:type="dxa"/>
            <w:vAlign w:val="bottom"/>
            <w:hideMark/>
          </w:tcPr>
          <w:p w14:paraId="7AC53062" w14:textId="78E25BC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34,359</w:t>
            </w:r>
          </w:p>
        </w:tc>
        <w:tc>
          <w:tcPr>
            <w:tcW w:w="1069" w:type="dxa"/>
            <w:vAlign w:val="bottom"/>
            <w:hideMark/>
          </w:tcPr>
          <w:p w14:paraId="79DE0CC5" w14:textId="258DB02B"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33,635</w:t>
            </w:r>
          </w:p>
        </w:tc>
      </w:tr>
      <w:tr w:rsidR="00487482" w:rsidRPr="00F40142" w14:paraId="200B2ACB" w14:textId="77777777" w:rsidTr="00487482">
        <w:trPr>
          <w:trHeight w:val="255"/>
        </w:trPr>
        <w:tc>
          <w:tcPr>
            <w:tcW w:w="3997" w:type="dxa"/>
            <w:noWrap/>
            <w:hideMark/>
          </w:tcPr>
          <w:p w14:paraId="667127FD" w14:textId="1E07D699" w:rsidR="00487482" w:rsidRPr="00F40142" w:rsidRDefault="00487482" w:rsidP="00487482">
            <w:pPr>
              <w:pStyle w:val="BodyTextMain"/>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 xml:space="preserve">Liabilities &amp; </w:t>
            </w:r>
            <w:r>
              <w:rPr>
                <w:rFonts w:ascii="Arial" w:eastAsia="Arial Unicode MS" w:hAnsi="Arial" w:cs="Arial"/>
                <w:b/>
                <w:bCs/>
                <w:sz w:val="20"/>
                <w:lang w:val="en-GB" w:eastAsia="hi-IN" w:bidi="hi-IN"/>
              </w:rPr>
              <w:t>s</w:t>
            </w:r>
            <w:r w:rsidRPr="00F40142">
              <w:rPr>
                <w:rFonts w:ascii="Arial" w:eastAsia="Arial Unicode MS" w:hAnsi="Arial" w:cs="Arial"/>
                <w:b/>
                <w:bCs/>
                <w:sz w:val="20"/>
                <w:lang w:val="en-GB" w:eastAsia="hi-IN" w:bidi="hi-IN"/>
              </w:rPr>
              <w:t>hareholders</w:t>
            </w:r>
            <w:r>
              <w:rPr>
                <w:rFonts w:ascii="Arial" w:eastAsia="Arial Unicode MS" w:hAnsi="Arial" w:cs="Arial"/>
                <w:b/>
                <w:bCs/>
                <w:sz w:val="20"/>
                <w:lang w:val="en-GB" w:eastAsia="hi-IN" w:bidi="hi-IN"/>
              </w:rPr>
              <w:t>’</w:t>
            </w:r>
            <w:r w:rsidRPr="00F40142">
              <w:rPr>
                <w:rFonts w:ascii="Arial" w:eastAsia="Arial Unicode MS" w:hAnsi="Arial" w:cs="Arial"/>
                <w:b/>
                <w:bCs/>
                <w:sz w:val="20"/>
                <w:lang w:val="en-GB" w:eastAsia="hi-IN" w:bidi="hi-IN"/>
              </w:rPr>
              <w:t xml:space="preserve"> </w:t>
            </w:r>
            <w:r>
              <w:rPr>
                <w:rFonts w:ascii="Arial" w:eastAsia="Arial Unicode MS" w:hAnsi="Arial" w:cs="Arial"/>
                <w:b/>
                <w:bCs/>
                <w:sz w:val="20"/>
                <w:lang w:val="en-GB" w:eastAsia="hi-IN" w:bidi="hi-IN"/>
              </w:rPr>
              <w:t>e</w:t>
            </w:r>
            <w:r w:rsidRPr="00F40142">
              <w:rPr>
                <w:rFonts w:ascii="Arial" w:eastAsia="Arial Unicode MS" w:hAnsi="Arial" w:cs="Arial"/>
                <w:b/>
                <w:bCs/>
                <w:sz w:val="20"/>
                <w:lang w:val="en-GB" w:eastAsia="hi-IN" w:bidi="hi-IN"/>
              </w:rPr>
              <w:t>quity</w:t>
            </w:r>
          </w:p>
        </w:tc>
        <w:tc>
          <w:tcPr>
            <w:tcW w:w="1070" w:type="dxa"/>
            <w:noWrap/>
            <w:vAlign w:val="bottom"/>
            <w:hideMark/>
          </w:tcPr>
          <w:p w14:paraId="1E17FD23" w14:textId="77777777" w:rsidR="00487482" w:rsidRPr="00487482" w:rsidRDefault="00487482" w:rsidP="00487482">
            <w:pPr>
              <w:pStyle w:val="BodyTextMain"/>
              <w:jc w:val="right"/>
              <w:rPr>
                <w:rFonts w:ascii="Arial" w:eastAsia="Arial Unicode MS" w:hAnsi="Arial" w:cs="Arial"/>
                <w:b/>
                <w:bCs/>
                <w:sz w:val="20"/>
                <w:szCs w:val="20"/>
                <w:lang w:val="en-GB" w:eastAsia="hi-IN" w:bidi="hi-IN"/>
              </w:rPr>
            </w:pPr>
          </w:p>
        </w:tc>
        <w:tc>
          <w:tcPr>
            <w:tcW w:w="1195" w:type="dxa"/>
            <w:noWrap/>
            <w:vAlign w:val="bottom"/>
            <w:hideMark/>
          </w:tcPr>
          <w:p w14:paraId="1956F498"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c>
          <w:tcPr>
            <w:tcW w:w="1012" w:type="dxa"/>
            <w:noWrap/>
            <w:vAlign w:val="bottom"/>
            <w:hideMark/>
          </w:tcPr>
          <w:p w14:paraId="37F22CA2"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c>
          <w:tcPr>
            <w:tcW w:w="1069" w:type="dxa"/>
            <w:noWrap/>
            <w:vAlign w:val="bottom"/>
            <w:hideMark/>
          </w:tcPr>
          <w:p w14:paraId="60A70C48"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c>
          <w:tcPr>
            <w:tcW w:w="1069" w:type="dxa"/>
            <w:noWrap/>
            <w:vAlign w:val="bottom"/>
            <w:hideMark/>
          </w:tcPr>
          <w:p w14:paraId="038F004D"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r>
      <w:tr w:rsidR="00487482" w:rsidRPr="00F40142" w14:paraId="151382FD" w14:textId="77777777" w:rsidTr="00487482">
        <w:trPr>
          <w:trHeight w:val="60"/>
        </w:trPr>
        <w:tc>
          <w:tcPr>
            <w:tcW w:w="3997" w:type="dxa"/>
            <w:hideMark/>
          </w:tcPr>
          <w:p w14:paraId="677576A6" w14:textId="2DC07C95"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Accounts </w:t>
            </w:r>
            <w:r>
              <w:rPr>
                <w:rFonts w:ascii="Arial" w:eastAsia="Arial Unicode MS" w:hAnsi="Arial" w:cs="Arial"/>
                <w:sz w:val="20"/>
                <w:lang w:val="en-GB" w:eastAsia="hi-IN" w:bidi="hi-IN"/>
              </w:rPr>
              <w:t>p</w:t>
            </w:r>
            <w:r w:rsidRPr="00F40142">
              <w:rPr>
                <w:rFonts w:ascii="Arial" w:eastAsia="Arial Unicode MS" w:hAnsi="Arial" w:cs="Arial"/>
                <w:sz w:val="20"/>
                <w:lang w:val="en-GB" w:eastAsia="hi-IN" w:bidi="hi-IN"/>
              </w:rPr>
              <w:t>ayable</w:t>
            </w:r>
          </w:p>
        </w:tc>
        <w:tc>
          <w:tcPr>
            <w:tcW w:w="1070" w:type="dxa"/>
            <w:vAlign w:val="bottom"/>
            <w:hideMark/>
          </w:tcPr>
          <w:p w14:paraId="2055B465" w14:textId="3141BFC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4,116</w:t>
            </w:r>
          </w:p>
        </w:tc>
        <w:tc>
          <w:tcPr>
            <w:tcW w:w="1195" w:type="dxa"/>
            <w:vAlign w:val="bottom"/>
            <w:hideMark/>
          </w:tcPr>
          <w:p w14:paraId="12F6445C" w14:textId="070FB94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5,358</w:t>
            </w:r>
          </w:p>
        </w:tc>
        <w:tc>
          <w:tcPr>
            <w:tcW w:w="1012" w:type="dxa"/>
            <w:vAlign w:val="bottom"/>
            <w:hideMark/>
          </w:tcPr>
          <w:p w14:paraId="0CA943B5" w14:textId="16AE2D2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5,001</w:t>
            </w:r>
          </w:p>
        </w:tc>
        <w:tc>
          <w:tcPr>
            <w:tcW w:w="1069" w:type="dxa"/>
            <w:vAlign w:val="bottom"/>
            <w:hideMark/>
          </w:tcPr>
          <w:p w14:paraId="549738C4" w14:textId="24938F45"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3,023</w:t>
            </w:r>
          </w:p>
        </w:tc>
        <w:tc>
          <w:tcPr>
            <w:tcW w:w="1069" w:type="dxa"/>
            <w:vAlign w:val="bottom"/>
            <w:hideMark/>
          </w:tcPr>
          <w:p w14:paraId="48699204" w14:textId="3D0EFE2F"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3,750</w:t>
            </w:r>
          </w:p>
        </w:tc>
      </w:tr>
      <w:tr w:rsidR="00487482" w:rsidRPr="00F40142" w14:paraId="0960AF76" w14:textId="77777777" w:rsidTr="00487482">
        <w:trPr>
          <w:trHeight w:val="60"/>
        </w:trPr>
        <w:tc>
          <w:tcPr>
            <w:tcW w:w="3997" w:type="dxa"/>
            <w:hideMark/>
          </w:tcPr>
          <w:p w14:paraId="2894EE17" w14:textId="379D3B93"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Other </w:t>
            </w:r>
            <w:r>
              <w:rPr>
                <w:rFonts w:ascii="Arial" w:eastAsia="Arial Unicode MS" w:hAnsi="Arial" w:cs="Arial"/>
                <w:sz w:val="20"/>
                <w:lang w:val="en-GB" w:eastAsia="hi-IN" w:bidi="hi-IN"/>
              </w:rPr>
              <w:t>c</w:t>
            </w:r>
            <w:r w:rsidRPr="00F40142">
              <w:rPr>
                <w:rFonts w:ascii="Arial" w:eastAsia="Arial Unicode MS" w:hAnsi="Arial" w:cs="Arial"/>
                <w:sz w:val="20"/>
                <w:lang w:val="en-GB" w:eastAsia="hi-IN" w:bidi="hi-IN"/>
              </w:rPr>
              <w:t xml:space="preserve">urrent </w:t>
            </w:r>
            <w:r>
              <w:rPr>
                <w:rFonts w:ascii="Arial" w:eastAsia="Arial Unicode MS" w:hAnsi="Arial" w:cs="Arial"/>
                <w:sz w:val="20"/>
                <w:lang w:val="en-GB" w:eastAsia="hi-IN" w:bidi="hi-IN"/>
              </w:rPr>
              <w:t>l</w:t>
            </w:r>
            <w:r w:rsidRPr="00F40142">
              <w:rPr>
                <w:rFonts w:ascii="Arial" w:eastAsia="Arial Unicode MS" w:hAnsi="Arial" w:cs="Arial"/>
                <w:sz w:val="20"/>
                <w:lang w:val="en-GB" w:eastAsia="hi-IN" w:bidi="hi-IN"/>
              </w:rPr>
              <w:t>iabilities</w:t>
            </w:r>
          </w:p>
        </w:tc>
        <w:tc>
          <w:tcPr>
            <w:tcW w:w="1070" w:type="dxa"/>
            <w:noWrap/>
            <w:vAlign w:val="bottom"/>
            <w:hideMark/>
          </w:tcPr>
          <w:p w14:paraId="747EBB73" w14:textId="66BBA523"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7,972</w:t>
            </w:r>
          </w:p>
        </w:tc>
        <w:tc>
          <w:tcPr>
            <w:tcW w:w="1195" w:type="dxa"/>
            <w:noWrap/>
            <w:vAlign w:val="bottom"/>
            <w:hideMark/>
          </w:tcPr>
          <w:p w14:paraId="3CEA157A" w14:textId="72E2564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21,832</w:t>
            </w:r>
          </w:p>
        </w:tc>
        <w:tc>
          <w:tcPr>
            <w:tcW w:w="1012" w:type="dxa"/>
            <w:noWrap/>
            <w:vAlign w:val="bottom"/>
            <w:hideMark/>
          </w:tcPr>
          <w:p w14:paraId="7B46B5F8" w14:textId="68F2EAA1"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14,459</w:t>
            </w:r>
          </w:p>
        </w:tc>
        <w:tc>
          <w:tcPr>
            <w:tcW w:w="1069" w:type="dxa"/>
            <w:noWrap/>
            <w:vAlign w:val="bottom"/>
            <w:hideMark/>
          </w:tcPr>
          <w:p w14:paraId="62BFE453" w14:textId="48C0ECF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14,607</w:t>
            </w:r>
          </w:p>
        </w:tc>
        <w:tc>
          <w:tcPr>
            <w:tcW w:w="1069" w:type="dxa"/>
            <w:noWrap/>
            <w:vAlign w:val="bottom"/>
            <w:hideMark/>
          </w:tcPr>
          <w:p w14:paraId="76A74075" w14:textId="67DC549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28,334</w:t>
            </w:r>
          </w:p>
        </w:tc>
      </w:tr>
      <w:tr w:rsidR="00487482" w:rsidRPr="00F40142" w14:paraId="7ADA3C58" w14:textId="77777777" w:rsidTr="00487482">
        <w:trPr>
          <w:trHeight w:val="60"/>
        </w:trPr>
        <w:tc>
          <w:tcPr>
            <w:tcW w:w="3997" w:type="dxa"/>
            <w:hideMark/>
          </w:tcPr>
          <w:p w14:paraId="5D37E528" w14:textId="658C6A54"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Total </w:t>
            </w:r>
            <w:r>
              <w:rPr>
                <w:rFonts w:ascii="Arial" w:eastAsia="Arial Unicode MS" w:hAnsi="Arial" w:cs="Arial"/>
                <w:bCs/>
                <w:sz w:val="20"/>
                <w:lang w:val="en-GB" w:eastAsia="hi-IN" w:bidi="hi-IN"/>
              </w:rPr>
              <w:t>c</w:t>
            </w:r>
            <w:r w:rsidRPr="000F29CC">
              <w:rPr>
                <w:rFonts w:ascii="Arial" w:eastAsia="Arial Unicode MS" w:hAnsi="Arial" w:cs="Arial"/>
                <w:bCs/>
                <w:sz w:val="20"/>
                <w:lang w:val="en-GB" w:eastAsia="hi-IN" w:bidi="hi-IN"/>
              </w:rPr>
              <w:t xml:space="preserve">urrent </w:t>
            </w:r>
            <w:r>
              <w:rPr>
                <w:rFonts w:ascii="Arial" w:eastAsia="Arial Unicode MS" w:hAnsi="Arial" w:cs="Arial"/>
                <w:bCs/>
                <w:sz w:val="20"/>
                <w:lang w:val="en-GB" w:eastAsia="hi-IN" w:bidi="hi-IN"/>
              </w:rPr>
              <w:t>l</w:t>
            </w:r>
            <w:r w:rsidRPr="000F29CC">
              <w:rPr>
                <w:rFonts w:ascii="Arial" w:eastAsia="Arial Unicode MS" w:hAnsi="Arial" w:cs="Arial"/>
                <w:bCs/>
                <w:sz w:val="20"/>
                <w:lang w:val="en-GB" w:eastAsia="hi-IN" w:bidi="hi-IN"/>
              </w:rPr>
              <w:t>iabilities</w:t>
            </w:r>
          </w:p>
        </w:tc>
        <w:tc>
          <w:tcPr>
            <w:tcW w:w="1070" w:type="dxa"/>
            <w:vAlign w:val="bottom"/>
            <w:hideMark/>
          </w:tcPr>
          <w:p w14:paraId="445F1E93" w14:textId="25BCE18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12,088</w:t>
            </w:r>
          </w:p>
        </w:tc>
        <w:tc>
          <w:tcPr>
            <w:tcW w:w="1195" w:type="dxa"/>
            <w:vAlign w:val="bottom"/>
            <w:hideMark/>
          </w:tcPr>
          <w:p w14:paraId="1024CE96" w14:textId="56DB9FFD"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27,190</w:t>
            </w:r>
          </w:p>
        </w:tc>
        <w:tc>
          <w:tcPr>
            <w:tcW w:w="1012" w:type="dxa"/>
            <w:vAlign w:val="bottom"/>
            <w:hideMark/>
          </w:tcPr>
          <w:p w14:paraId="6F161A85" w14:textId="003F245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19,460</w:t>
            </w:r>
          </w:p>
        </w:tc>
        <w:tc>
          <w:tcPr>
            <w:tcW w:w="1069" w:type="dxa"/>
            <w:vAlign w:val="bottom"/>
            <w:hideMark/>
          </w:tcPr>
          <w:p w14:paraId="3E044BD7" w14:textId="50EF114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17,630</w:t>
            </w:r>
          </w:p>
        </w:tc>
        <w:tc>
          <w:tcPr>
            <w:tcW w:w="1069" w:type="dxa"/>
            <w:vAlign w:val="bottom"/>
            <w:hideMark/>
          </w:tcPr>
          <w:p w14:paraId="45DE43C2" w14:textId="0FA8CC0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32,084</w:t>
            </w:r>
          </w:p>
        </w:tc>
      </w:tr>
      <w:tr w:rsidR="00487482" w:rsidRPr="00F40142" w14:paraId="6DD7E2EC" w14:textId="77777777" w:rsidTr="00487482">
        <w:trPr>
          <w:trHeight w:val="60"/>
        </w:trPr>
        <w:tc>
          <w:tcPr>
            <w:tcW w:w="3997" w:type="dxa"/>
            <w:hideMark/>
          </w:tcPr>
          <w:p w14:paraId="2149F821" w14:textId="35933D91"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Long-</w:t>
            </w:r>
            <w:r>
              <w:rPr>
                <w:rFonts w:ascii="Arial" w:eastAsia="Arial Unicode MS" w:hAnsi="Arial" w:cs="Arial"/>
                <w:bCs/>
                <w:sz w:val="20"/>
                <w:lang w:val="en-GB" w:eastAsia="hi-IN" w:bidi="hi-IN"/>
              </w:rPr>
              <w:t>t</w:t>
            </w:r>
            <w:r w:rsidRPr="000F29CC">
              <w:rPr>
                <w:rFonts w:ascii="Arial" w:eastAsia="Arial Unicode MS" w:hAnsi="Arial" w:cs="Arial"/>
                <w:bCs/>
                <w:sz w:val="20"/>
                <w:lang w:val="en-GB" w:eastAsia="hi-IN" w:bidi="hi-IN"/>
              </w:rPr>
              <w:t xml:space="preserve">erm </w:t>
            </w:r>
            <w:r>
              <w:rPr>
                <w:rFonts w:ascii="Arial" w:eastAsia="Arial Unicode MS" w:hAnsi="Arial" w:cs="Arial"/>
                <w:bCs/>
                <w:sz w:val="20"/>
                <w:lang w:val="en-GB" w:eastAsia="hi-IN" w:bidi="hi-IN"/>
              </w:rPr>
              <w:t>d</w:t>
            </w:r>
            <w:r w:rsidRPr="000F29CC">
              <w:rPr>
                <w:rFonts w:ascii="Arial" w:eastAsia="Arial Unicode MS" w:hAnsi="Arial" w:cs="Arial"/>
                <w:bCs/>
                <w:sz w:val="20"/>
                <w:lang w:val="en-GB" w:eastAsia="hi-IN" w:bidi="hi-IN"/>
              </w:rPr>
              <w:t>ebt</w:t>
            </w:r>
          </w:p>
        </w:tc>
        <w:tc>
          <w:tcPr>
            <w:tcW w:w="1070" w:type="dxa"/>
            <w:vAlign w:val="bottom"/>
            <w:hideMark/>
          </w:tcPr>
          <w:p w14:paraId="2DC0BCB7" w14:textId="1873F4B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7,463</w:t>
            </w:r>
          </w:p>
        </w:tc>
        <w:tc>
          <w:tcPr>
            <w:tcW w:w="1195" w:type="dxa"/>
            <w:vAlign w:val="bottom"/>
            <w:hideMark/>
          </w:tcPr>
          <w:p w14:paraId="56149132" w14:textId="2EBCBD7D"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0</w:t>
            </w:r>
          </w:p>
        </w:tc>
        <w:tc>
          <w:tcPr>
            <w:tcW w:w="1012" w:type="dxa"/>
            <w:vAlign w:val="bottom"/>
            <w:hideMark/>
          </w:tcPr>
          <w:p w14:paraId="6E130766" w14:textId="2EE6174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11,188</w:t>
            </w:r>
          </w:p>
        </w:tc>
        <w:tc>
          <w:tcPr>
            <w:tcW w:w="1069" w:type="dxa"/>
            <w:vAlign w:val="bottom"/>
            <w:hideMark/>
          </w:tcPr>
          <w:p w14:paraId="6B0FC4E5" w14:textId="4144B39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9,212</w:t>
            </w:r>
          </w:p>
        </w:tc>
        <w:tc>
          <w:tcPr>
            <w:tcW w:w="1069" w:type="dxa"/>
            <w:vAlign w:val="bottom"/>
            <w:hideMark/>
          </w:tcPr>
          <w:p w14:paraId="5701744F" w14:textId="3B110B7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1,622</w:t>
            </w:r>
          </w:p>
        </w:tc>
      </w:tr>
      <w:tr w:rsidR="00487482" w:rsidRPr="00F40142" w14:paraId="32C969C7" w14:textId="77777777" w:rsidTr="00487482">
        <w:trPr>
          <w:trHeight w:val="60"/>
        </w:trPr>
        <w:tc>
          <w:tcPr>
            <w:tcW w:w="3997" w:type="dxa"/>
            <w:hideMark/>
          </w:tcPr>
          <w:p w14:paraId="0E296AFA" w14:textId="6CADBE56"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Total </w:t>
            </w:r>
            <w:r>
              <w:rPr>
                <w:rFonts w:ascii="Arial" w:eastAsia="Arial Unicode MS" w:hAnsi="Arial" w:cs="Arial"/>
                <w:bCs/>
                <w:sz w:val="20"/>
                <w:lang w:val="en-GB" w:eastAsia="hi-IN" w:bidi="hi-IN"/>
              </w:rPr>
              <w:t>l</w:t>
            </w:r>
            <w:r w:rsidRPr="000F29CC">
              <w:rPr>
                <w:rFonts w:ascii="Arial" w:eastAsia="Arial Unicode MS" w:hAnsi="Arial" w:cs="Arial"/>
                <w:bCs/>
                <w:sz w:val="20"/>
                <w:lang w:val="en-GB" w:eastAsia="hi-IN" w:bidi="hi-IN"/>
              </w:rPr>
              <w:t>iabilities</w:t>
            </w:r>
          </w:p>
        </w:tc>
        <w:tc>
          <w:tcPr>
            <w:tcW w:w="1070" w:type="dxa"/>
            <w:vAlign w:val="bottom"/>
            <w:hideMark/>
          </w:tcPr>
          <w:p w14:paraId="65F9BA61" w14:textId="10A648A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19,551</w:t>
            </w:r>
          </w:p>
        </w:tc>
        <w:tc>
          <w:tcPr>
            <w:tcW w:w="1195" w:type="dxa"/>
            <w:vAlign w:val="bottom"/>
            <w:hideMark/>
          </w:tcPr>
          <w:p w14:paraId="387018F8" w14:textId="1DD7859A"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27,190</w:t>
            </w:r>
          </w:p>
        </w:tc>
        <w:tc>
          <w:tcPr>
            <w:tcW w:w="1012" w:type="dxa"/>
            <w:vAlign w:val="bottom"/>
            <w:hideMark/>
          </w:tcPr>
          <w:p w14:paraId="3F7AB3FE" w14:textId="0D2B779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30,648</w:t>
            </w:r>
          </w:p>
        </w:tc>
        <w:tc>
          <w:tcPr>
            <w:tcW w:w="1069" w:type="dxa"/>
            <w:vAlign w:val="bottom"/>
            <w:hideMark/>
          </w:tcPr>
          <w:p w14:paraId="6157DF34" w14:textId="142237BD"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26,842</w:t>
            </w:r>
          </w:p>
        </w:tc>
        <w:tc>
          <w:tcPr>
            <w:tcW w:w="1069" w:type="dxa"/>
            <w:vAlign w:val="bottom"/>
            <w:hideMark/>
          </w:tcPr>
          <w:p w14:paraId="031AB61F" w14:textId="2E717E0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33,706</w:t>
            </w:r>
          </w:p>
        </w:tc>
      </w:tr>
      <w:tr w:rsidR="00487482" w:rsidRPr="00F40142" w14:paraId="450025FE" w14:textId="77777777" w:rsidTr="00487482">
        <w:trPr>
          <w:trHeight w:val="60"/>
        </w:trPr>
        <w:tc>
          <w:tcPr>
            <w:tcW w:w="3997" w:type="dxa"/>
            <w:hideMark/>
          </w:tcPr>
          <w:p w14:paraId="71245096" w14:textId="606BE133" w:rsidR="00487482" w:rsidRPr="00F40142" w:rsidRDefault="00487482" w:rsidP="00487482">
            <w:pPr>
              <w:pStyle w:val="BodyTextMain"/>
              <w:rPr>
                <w:rFonts w:ascii="Arial" w:eastAsia="Arial Unicode MS" w:hAnsi="Arial" w:cs="Arial"/>
                <w:b/>
                <w:bCs/>
                <w:sz w:val="20"/>
                <w:lang w:val="en-GB" w:eastAsia="hi-IN" w:bidi="hi-IN"/>
              </w:rPr>
            </w:pPr>
            <w:r w:rsidRPr="00F40142">
              <w:rPr>
                <w:rFonts w:ascii="Arial" w:eastAsia="Arial Unicode MS" w:hAnsi="Arial" w:cs="Arial"/>
                <w:b/>
                <w:bCs/>
                <w:sz w:val="20"/>
                <w:lang w:val="en-GB" w:eastAsia="hi-IN" w:bidi="hi-IN"/>
              </w:rPr>
              <w:t>Shareholders</w:t>
            </w:r>
            <w:r>
              <w:rPr>
                <w:rFonts w:ascii="Arial" w:eastAsia="Arial Unicode MS" w:hAnsi="Arial" w:cs="Arial"/>
                <w:b/>
                <w:bCs/>
                <w:sz w:val="20"/>
                <w:lang w:val="en-GB" w:eastAsia="hi-IN" w:bidi="hi-IN"/>
              </w:rPr>
              <w:t>’</w:t>
            </w:r>
            <w:r w:rsidRPr="00F40142">
              <w:rPr>
                <w:rFonts w:ascii="Arial" w:eastAsia="Arial Unicode MS" w:hAnsi="Arial" w:cs="Arial"/>
                <w:b/>
                <w:bCs/>
                <w:sz w:val="20"/>
                <w:lang w:val="en-GB" w:eastAsia="hi-IN" w:bidi="hi-IN"/>
              </w:rPr>
              <w:t xml:space="preserve"> </w:t>
            </w:r>
            <w:r>
              <w:rPr>
                <w:rFonts w:ascii="Arial" w:eastAsia="Arial Unicode MS" w:hAnsi="Arial" w:cs="Arial"/>
                <w:b/>
                <w:bCs/>
                <w:sz w:val="20"/>
                <w:lang w:val="en-GB" w:eastAsia="hi-IN" w:bidi="hi-IN"/>
              </w:rPr>
              <w:t>e</w:t>
            </w:r>
            <w:r w:rsidRPr="00F40142">
              <w:rPr>
                <w:rFonts w:ascii="Arial" w:eastAsia="Arial Unicode MS" w:hAnsi="Arial" w:cs="Arial"/>
                <w:b/>
                <w:bCs/>
                <w:sz w:val="20"/>
                <w:lang w:val="en-GB" w:eastAsia="hi-IN" w:bidi="hi-IN"/>
              </w:rPr>
              <w:t>quity</w:t>
            </w:r>
          </w:p>
        </w:tc>
        <w:tc>
          <w:tcPr>
            <w:tcW w:w="1070" w:type="dxa"/>
            <w:noWrap/>
            <w:vAlign w:val="bottom"/>
            <w:hideMark/>
          </w:tcPr>
          <w:p w14:paraId="1934786A" w14:textId="77777777" w:rsidR="00487482" w:rsidRPr="00487482" w:rsidRDefault="00487482" w:rsidP="00487482">
            <w:pPr>
              <w:pStyle w:val="BodyTextMain"/>
              <w:jc w:val="right"/>
              <w:rPr>
                <w:rFonts w:ascii="Arial" w:eastAsia="Arial Unicode MS" w:hAnsi="Arial" w:cs="Arial"/>
                <w:b/>
                <w:bCs/>
                <w:sz w:val="20"/>
                <w:szCs w:val="20"/>
                <w:lang w:val="en-GB" w:eastAsia="hi-IN" w:bidi="hi-IN"/>
              </w:rPr>
            </w:pPr>
          </w:p>
        </w:tc>
        <w:tc>
          <w:tcPr>
            <w:tcW w:w="1195" w:type="dxa"/>
            <w:noWrap/>
            <w:vAlign w:val="bottom"/>
            <w:hideMark/>
          </w:tcPr>
          <w:p w14:paraId="0CFC3FF8"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c>
          <w:tcPr>
            <w:tcW w:w="1012" w:type="dxa"/>
            <w:noWrap/>
            <w:vAlign w:val="bottom"/>
            <w:hideMark/>
          </w:tcPr>
          <w:p w14:paraId="442ECF2E"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c>
          <w:tcPr>
            <w:tcW w:w="1069" w:type="dxa"/>
            <w:noWrap/>
            <w:vAlign w:val="bottom"/>
            <w:hideMark/>
          </w:tcPr>
          <w:p w14:paraId="52CEF97E"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c>
          <w:tcPr>
            <w:tcW w:w="1069" w:type="dxa"/>
            <w:noWrap/>
            <w:vAlign w:val="bottom"/>
            <w:hideMark/>
          </w:tcPr>
          <w:p w14:paraId="6946322F" w14:textId="77777777" w:rsidR="00487482" w:rsidRPr="00487482" w:rsidRDefault="00487482" w:rsidP="00487482">
            <w:pPr>
              <w:pStyle w:val="BodyTextMain"/>
              <w:jc w:val="right"/>
              <w:rPr>
                <w:rFonts w:ascii="Arial" w:eastAsia="Arial Unicode MS" w:hAnsi="Arial" w:cs="Arial"/>
                <w:sz w:val="20"/>
                <w:szCs w:val="20"/>
                <w:lang w:val="en-GB" w:eastAsia="hi-IN" w:bidi="hi-IN"/>
              </w:rPr>
            </w:pPr>
          </w:p>
        </w:tc>
      </w:tr>
      <w:tr w:rsidR="00487482" w:rsidRPr="00F40142" w14:paraId="33AE12F5" w14:textId="77777777" w:rsidTr="00487482">
        <w:trPr>
          <w:trHeight w:val="60"/>
        </w:trPr>
        <w:tc>
          <w:tcPr>
            <w:tcW w:w="3997" w:type="dxa"/>
            <w:hideMark/>
          </w:tcPr>
          <w:p w14:paraId="31BE50D9" w14:textId="25AB5A63"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Common </w:t>
            </w:r>
            <w:r>
              <w:rPr>
                <w:rFonts w:ascii="Arial" w:eastAsia="Arial Unicode MS" w:hAnsi="Arial" w:cs="Arial"/>
                <w:sz w:val="20"/>
                <w:lang w:val="en-GB" w:eastAsia="hi-IN" w:bidi="hi-IN"/>
              </w:rPr>
              <w:t>s</w:t>
            </w:r>
            <w:r w:rsidRPr="00F40142">
              <w:rPr>
                <w:rFonts w:ascii="Arial" w:eastAsia="Arial Unicode MS" w:hAnsi="Arial" w:cs="Arial"/>
                <w:sz w:val="20"/>
                <w:lang w:val="en-GB" w:eastAsia="hi-IN" w:bidi="hi-IN"/>
              </w:rPr>
              <w:t xml:space="preserve">tock </w:t>
            </w:r>
          </w:p>
        </w:tc>
        <w:tc>
          <w:tcPr>
            <w:tcW w:w="1070" w:type="dxa"/>
            <w:vAlign w:val="bottom"/>
            <w:hideMark/>
          </w:tcPr>
          <w:p w14:paraId="6D306AEC" w14:textId="68C9437E"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17,657</w:t>
            </w:r>
          </w:p>
        </w:tc>
        <w:tc>
          <w:tcPr>
            <w:tcW w:w="1195" w:type="dxa"/>
            <w:vAlign w:val="bottom"/>
            <w:hideMark/>
          </w:tcPr>
          <w:p w14:paraId="7582D49F" w14:textId="0ADD5E2B"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9,460</w:t>
            </w:r>
          </w:p>
        </w:tc>
        <w:tc>
          <w:tcPr>
            <w:tcW w:w="1012" w:type="dxa"/>
            <w:vAlign w:val="bottom"/>
            <w:hideMark/>
          </w:tcPr>
          <w:p w14:paraId="3723BF63" w14:textId="61084C2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39,810</w:t>
            </w:r>
          </w:p>
        </w:tc>
        <w:tc>
          <w:tcPr>
            <w:tcW w:w="1069" w:type="dxa"/>
            <w:vAlign w:val="bottom"/>
            <w:hideMark/>
          </w:tcPr>
          <w:p w14:paraId="71721AE5" w14:textId="1E0800C5"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40,117</w:t>
            </w:r>
          </w:p>
        </w:tc>
        <w:tc>
          <w:tcPr>
            <w:tcW w:w="1069" w:type="dxa"/>
            <w:vAlign w:val="bottom"/>
            <w:hideMark/>
          </w:tcPr>
          <w:p w14:paraId="417EAC8A" w14:textId="3A7F288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28,362</w:t>
            </w:r>
          </w:p>
        </w:tc>
      </w:tr>
      <w:tr w:rsidR="00487482" w:rsidRPr="00F40142" w14:paraId="4C2F7087" w14:textId="77777777" w:rsidTr="00487482">
        <w:trPr>
          <w:trHeight w:val="60"/>
        </w:trPr>
        <w:tc>
          <w:tcPr>
            <w:tcW w:w="3997" w:type="dxa"/>
            <w:hideMark/>
          </w:tcPr>
          <w:p w14:paraId="381A1F44" w14:textId="4B1BCE6A"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Accumulated </w:t>
            </w:r>
            <w:r>
              <w:rPr>
                <w:rFonts w:ascii="Arial" w:eastAsia="Arial Unicode MS" w:hAnsi="Arial" w:cs="Arial"/>
                <w:sz w:val="20"/>
                <w:lang w:val="en-GB" w:eastAsia="hi-IN" w:bidi="hi-IN"/>
              </w:rPr>
              <w:t>m</w:t>
            </w:r>
            <w:r w:rsidRPr="00F40142">
              <w:rPr>
                <w:rFonts w:ascii="Arial" w:eastAsia="Arial Unicode MS" w:hAnsi="Arial" w:cs="Arial"/>
                <w:sz w:val="20"/>
                <w:lang w:val="en-GB" w:eastAsia="hi-IN" w:bidi="hi-IN"/>
              </w:rPr>
              <w:t xml:space="preserve">inority </w:t>
            </w:r>
            <w:r>
              <w:rPr>
                <w:rFonts w:ascii="Arial" w:eastAsia="Arial Unicode MS" w:hAnsi="Arial" w:cs="Arial"/>
                <w:sz w:val="20"/>
                <w:lang w:val="en-GB" w:eastAsia="hi-IN" w:bidi="hi-IN"/>
              </w:rPr>
              <w:t>i</w:t>
            </w:r>
            <w:r w:rsidRPr="00F40142">
              <w:rPr>
                <w:rFonts w:ascii="Arial" w:eastAsia="Arial Unicode MS" w:hAnsi="Arial" w:cs="Arial"/>
                <w:sz w:val="20"/>
                <w:lang w:val="en-GB" w:eastAsia="hi-IN" w:bidi="hi-IN"/>
              </w:rPr>
              <w:t>nterest</w:t>
            </w:r>
          </w:p>
        </w:tc>
        <w:tc>
          <w:tcPr>
            <w:tcW w:w="1070" w:type="dxa"/>
            <w:vAlign w:val="bottom"/>
            <w:hideMark/>
          </w:tcPr>
          <w:p w14:paraId="5D2E3A82" w14:textId="08B3F74F"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3,770</w:t>
            </w:r>
          </w:p>
        </w:tc>
        <w:tc>
          <w:tcPr>
            <w:tcW w:w="1195" w:type="dxa"/>
            <w:vAlign w:val="bottom"/>
            <w:hideMark/>
          </w:tcPr>
          <w:p w14:paraId="51878004" w14:textId="11613533"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4,096</w:t>
            </w:r>
          </w:p>
        </w:tc>
        <w:tc>
          <w:tcPr>
            <w:tcW w:w="1012" w:type="dxa"/>
            <w:vAlign w:val="bottom"/>
            <w:hideMark/>
          </w:tcPr>
          <w:p w14:paraId="5646FDC8" w14:textId="69849D96"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4,091</w:t>
            </w:r>
          </w:p>
        </w:tc>
        <w:tc>
          <w:tcPr>
            <w:tcW w:w="1069" w:type="dxa"/>
            <w:vAlign w:val="bottom"/>
            <w:hideMark/>
          </w:tcPr>
          <w:p w14:paraId="7C82C3CF" w14:textId="1DADE6AB"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0</w:t>
            </w:r>
          </w:p>
        </w:tc>
        <w:tc>
          <w:tcPr>
            <w:tcW w:w="1069" w:type="dxa"/>
            <w:vAlign w:val="bottom"/>
            <w:hideMark/>
          </w:tcPr>
          <w:p w14:paraId="3F9EDA74" w14:textId="74ECE2E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0</w:t>
            </w:r>
          </w:p>
        </w:tc>
      </w:tr>
      <w:tr w:rsidR="00487482" w:rsidRPr="00F40142" w14:paraId="65599F61" w14:textId="77777777" w:rsidTr="00487482">
        <w:trPr>
          <w:trHeight w:val="60"/>
        </w:trPr>
        <w:tc>
          <w:tcPr>
            <w:tcW w:w="3997" w:type="dxa"/>
            <w:hideMark/>
          </w:tcPr>
          <w:p w14:paraId="52FCC375" w14:textId="04CA8863" w:rsidR="00487482" w:rsidRPr="00F40142" w:rsidRDefault="00487482" w:rsidP="00487482">
            <w:pPr>
              <w:pStyle w:val="BodyTextMain"/>
              <w:rPr>
                <w:rFonts w:ascii="Arial" w:eastAsia="Arial Unicode MS" w:hAnsi="Arial" w:cs="Arial"/>
                <w:sz w:val="20"/>
                <w:lang w:val="en-GB" w:eastAsia="hi-IN" w:bidi="hi-IN"/>
              </w:rPr>
            </w:pPr>
            <w:r w:rsidRPr="00F40142">
              <w:rPr>
                <w:rFonts w:ascii="Arial" w:eastAsia="Arial Unicode MS" w:hAnsi="Arial" w:cs="Arial"/>
                <w:sz w:val="20"/>
                <w:lang w:val="en-GB" w:eastAsia="hi-IN" w:bidi="hi-IN"/>
              </w:rPr>
              <w:t xml:space="preserve">Retained </w:t>
            </w:r>
            <w:r>
              <w:rPr>
                <w:rFonts w:ascii="Arial" w:eastAsia="Arial Unicode MS" w:hAnsi="Arial" w:cs="Arial"/>
                <w:sz w:val="20"/>
                <w:lang w:val="en-GB" w:eastAsia="hi-IN" w:bidi="hi-IN"/>
              </w:rPr>
              <w:t>e</w:t>
            </w:r>
            <w:r w:rsidRPr="00F40142">
              <w:rPr>
                <w:rFonts w:ascii="Arial" w:eastAsia="Arial Unicode MS" w:hAnsi="Arial" w:cs="Arial"/>
                <w:sz w:val="20"/>
                <w:lang w:val="en-GB" w:eastAsia="hi-IN" w:bidi="hi-IN"/>
              </w:rPr>
              <w:t>arnings</w:t>
            </w:r>
          </w:p>
        </w:tc>
        <w:tc>
          <w:tcPr>
            <w:tcW w:w="1070" w:type="dxa"/>
            <w:vAlign w:val="bottom"/>
            <w:hideMark/>
          </w:tcPr>
          <w:p w14:paraId="45E3463B" w14:textId="5B479367"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-1,001</w:t>
            </w:r>
          </w:p>
        </w:tc>
        <w:tc>
          <w:tcPr>
            <w:tcW w:w="1195" w:type="dxa"/>
            <w:vAlign w:val="bottom"/>
            <w:hideMark/>
          </w:tcPr>
          <w:p w14:paraId="3B0A2066" w14:textId="5BA6CF33"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-1,711</w:t>
            </w:r>
          </w:p>
        </w:tc>
        <w:tc>
          <w:tcPr>
            <w:tcW w:w="1012" w:type="dxa"/>
            <w:vAlign w:val="bottom"/>
            <w:hideMark/>
          </w:tcPr>
          <w:p w14:paraId="0E89B02A" w14:textId="0E70224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-34,108</w:t>
            </w:r>
          </w:p>
        </w:tc>
        <w:tc>
          <w:tcPr>
            <w:tcW w:w="1069" w:type="dxa"/>
            <w:vAlign w:val="bottom"/>
            <w:hideMark/>
          </w:tcPr>
          <w:p w14:paraId="5337FD32" w14:textId="49CDA1B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-32,600</w:t>
            </w:r>
          </w:p>
        </w:tc>
        <w:tc>
          <w:tcPr>
            <w:tcW w:w="1069" w:type="dxa"/>
            <w:vAlign w:val="bottom"/>
            <w:hideMark/>
          </w:tcPr>
          <w:p w14:paraId="25F93B03" w14:textId="58B34151"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-28,434</w:t>
            </w:r>
          </w:p>
        </w:tc>
      </w:tr>
      <w:tr w:rsidR="00487482" w:rsidRPr="00F40142" w14:paraId="39F6AE3B" w14:textId="77777777" w:rsidTr="00487482">
        <w:trPr>
          <w:trHeight w:val="60"/>
        </w:trPr>
        <w:tc>
          <w:tcPr>
            <w:tcW w:w="3997" w:type="dxa"/>
            <w:hideMark/>
          </w:tcPr>
          <w:p w14:paraId="3A443C68" w14:textId="68DEE334"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Total </w:t>
            </w:r>
            <w:r>
              <w:rPr>
                <w:rFonts w:ascii="Arial" w:eastAsia="Arial Unicode MS" w:hAnsi="Arial" w:cs="Arial"/>
                <w:bCs/>
                <w:sz w:val="20"/>
                <w:lang w:val="en-GB" w:eastAsia="hi-IN" w:bidi="hi-IN"/>
              </w:rPr>
              <w:t>e</w:t>
            </w:r>
            <w:r w:rsidRPr="000F29CC">
              <w:rPr>
                <w:rFonts w:ascii="Arial" w:eastAsia="Arial Unicode MS" w:hAnsi="Arial" w:cs="Arial"/>
                <w:bCs/>
                <w:sz w:val="20"/>
                <w:lang w:val="en-GB" w:eastAsia="hi-IN" w:bidi="hi-IN"/>
              </w:rPr>
              <w:t>quity</w:t>
            </w:r>
          </w:p>
        </w:tc>
        <w:tc>
          <w:tcPr>
            <w:tcW w:w="1070" w:type="dxa"/>
            <w:noWrap/>
            <w:vAlign w:val="bottom"/>
            <w:hideMark/>
          </w:tcPr>
          <w:p w14:paraId="66CE3865" w14:textId="2470E8FF"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20,426</w:t>
            </w:r>
          </w:p>
        </w:tc>
        <w:tc>
          <w:tcPr>
            <w:tcW w:w="1195" w:type="dxa"/>
            <w:noWrap/>
            <w:vAlign w:val="bottom"/>
            <w:hideMark/>
          </w:tcPr>
          <w:p w14:paraId="105679FF" w14:textId="1E53B084"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11,845</w:t>
            </w:r>
          </w:p>
        </w:tc>
        <w:tc>
          <w:tcPr>
            <w:tcW w:w="1012" w:type="dxa"/>
            <w:noWrap/>
            <w:vAlign w:val="bottom"/>
            <w:hideMark/>
          </w:tcPr>
          <w:p w14:paraId="6092F66A" w14:textId="32C55622"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9,793</w:t>
            </w:r>
          </w:p>
        </w:tc>
        <w:tc>
          <w:tcPr>
            <w:tcW w:w="1069" w:type="dxa"/>
            <w:noWrap/>
            <w:vAlign w:val="bottom"/>
            <w:hideMark/>
          </w:tcPr>
          <w:p w14:paraId="010424FE" w14:textId="4DE8C80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7,517</w:t>
            </w:r>
          </w:p>
        </w:tc>
        <w:tc>
          <w:tcPr>
            <w:tcW w:w="1069" w:type="dxa"/>
            <w:noWrap/>
            <w:vAlign w:val="bottom"/>
            <w:hideMark/>
          </w:tcPr>
          <w:p w14:paraId="170BC7A4" w14:textId="4284AB90"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-72</w:t>
            </w:r>
          </w:p>
        </w:tc>
      </w:tr>
      <w:tr w:rsidR="00487482" w:rsidRPr="00F40142" w14:paraId="5F036BD7" w14:textId="77777777" w:rsidTr="00487482">
        <w:trPr>
          <w:trHeight w:val="255"/>
        </w:trPr>
        <w:tc>
          <w:tcPr>
            <w:tcW w:w="3997" w:type="dxa"/>
            <w:hideMark/>
          </w:tcPr>
          <w:p w14:paraId="4786CFA2" w14:textId="452CF45F" w:rsidR="00487482" w:rsidRPr="000F29CC" w:rsidRDefault="00487482" w:rsidP="00487482">
            <w:pPr>
              <w:pStyle w:val="BodyTextMain"/>
              <w:rPr>
                <w:rFonts w:ascii="Arial" w:eastAsia="Arial Unicode MS" w:hAnsi="Arial" w:cs="Arial"/>
                <w:bCs/>
                <w:sz w:val="20"/>
                <w:lang w:val="en-GB" w:eastAsia="hi-IN" w:bidi="hi-IN"/>
              </w:rPr>
            </w:pPr>
            <w:r w:rsidRPr="000F29CC">
              <w:rPr>
                <w:rFonts w:ascii="Arial" w:eastAsia="Arial Unicode MS" w:hAnsi="Arial" w:cs="Arial"/>
                <w:bCs/>
                <w:sz w:val="20"/>
                <w:lang w:val="en-GB" w:eastAsia="hi-IN" w:bidi="hi-IN"/>
              </w:rPr>
              <w:t xml:space="preserve">Liabilities &amp; </w:t>
            </w:r>
            <w:r>
              <w:rPr>
                <w:rFonts w:ascii="Arial" w:eastAsia="Arial Unicode MS" w:hAnsi="Arial" w:cs="Arial"/>
                <w:bCs/>
                <w:sz w:val="20"/>
                <w:lang w:val="en-GB" w:eastAsia="hi-IN" w:bidi="hi-IN"/>
              </w:rPr>
              <w:t>s</w:t>
            </w:r>
            <w:r w:rsidRPr="000F29CC">
              <w:rPr>
                <w:rFonts w:ascii="Arial" w:eastAsia="Arial Unicode MS" w:hAnsi="Arial" w:cs="Arial"/>
                <w:bCs/>
                <w:sz w:val="20"/>
                <w:lang w:val="en-GB" w:eastAsia="hi-IN" w:bidi="hi-IN"/>
              </w:rPr>
              <w:t xml:space="preserve">hareholders’ </w:t>
            </w:r>
            <w:r>
              <w:rPr>
                <w:rFonts w:ascii="Arial" w:eastAsia="Arial Unicode MS" w:hAnsi="Arial" w:cs="Arial"/>
                <w:bCs/>
                <w:sz w:val="20"/>
                <w:lang w:val="en-GB" w:eastAsia="hi-IN" w:bidi="hi-IN"/>
              </w:rPr>
              <w:t>e</w:t>
            </w:r>
            <w:r w:rsidRPr="000F29CC">
              <w:rPr>
                <w:rFonts w:ascii="Arial" w:eastAsia="Arial Unicode MS" w:hAnsi="Arial" w:cs="Arial"/>
                <w:bCs/>
                <w:sz w:val="20"/>
                <w:lang w:val="en-GB" w:eastAsia="hi-IN" w:bidi="hi-IN"/>
              </w:rPr>
              <w:t>quity</w:t>
            </w:r>
          </w:p>
        </w:tc>
        <w:tc>
          <w:tcPr>
            <w:tcW w:w="1070" w:type="dxa"/>
            <w:noWrap/>
            <w:vAlign w:val="bottom"/>
            <w:hideMark/>
          </w:tcPr>
          <w:p w14:paraId="19D852DE" w14:textId="527A780C"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39,977</w:t>
            </w:r>
          </w:p>
        </w:tc>
        <w:tc>
          <w:tcPr>
            <w:tcW w:w="1195" w:type="dxa"/>
            <w:noWrap/>
            <w:vAlign w:val="bottom"/>
            <w:hideMark/>
          </w:tcPr>
          <w:p w14:paraId="1AEFE066" w14:textId="544BD3D9"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39,035</w:t>
            </w:r>
          </w:p>
        </w:tc>
        <w:tc>
          <w:tcPr>
            <w:tcW w:w="1012" w:type="dxa"/>
            <w:noWrap/>
            <w:vAlign w:val="bottom"/>
            <w:hideMark/>
          </w:tcPr>
          <w:p w14:paraId="7F80630C" w14:textId="509D09DC"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40,441</w:t>
            </w:r>
          </w:p>
        </w:tc>
        <w:tc>
          <w:tcPr>
            <w:tcW w:w="1069" w:type="dxa"/>
            <w:noWrap/>
            <w:vAlign w:val="bottom"/>
            <w:hideMark/>
          </w:tcPr>
          <w:p w14:paraId="7B64B3D3" w14:textId="39BA8908"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34,359</w:t>
            </w:r>
          </w:p>
        </w:tc>
        <w:tc>
          <w:tcPr>
            <w:tcW w:w="1069" w:type="dxa"/>
            <w:noWrap/>
            <w:vAlign w:val="bottom"/>
            <w:hideMark/>
          </w:tcPr>
          <w:p w14:paraId="61539837" w14:textId="434DC499" w:rsidR="00487482" w:rsidRPr="00487482" w:rsidRDefault="00487482" w:rsidP="00487482">
            <w:pPr>
              <w:pStyle w:val="BodyTextMain"/>
              <w:jc w:val="right"/>
              <w:rPr>
                <w:rFonts w:ascii="Arial" w:eastAsia="Arial Unicode MS" w:hAnsi="Arial" w:cs="Arial"/>
                <w:sz w:val="20"/>
                <w:szCs w:val="20"/>
                <w:lang w:val="en-GB" w:eastAsia="hi-IN" w:bidi="hi-IN"/>
              </w:rPr>
            </w:pPr>
            <w:r w:rsidRPr="00487482">
              <w:rPr>
                <w:rFonts w:ascii="Arial" w:hAnsi="Arial" w:cs="Arial"/>
                <w:color w:val="000000"/>
                <w:sz w:val="20"/>
                <w:szCs w:val="20"/>
              </w:rPr>
              <w:t>33,634</w:t>
            </w:r>
          </w:p>
        </w:tc>
      </w:tr>
    </w:tbl>
    <w:p w14:paraId="1EA35838" w14:textId="37BE3AD3" w:rsidR="00DB78B7" w:rsidRPr="00927244" w:rsidRDefault="00DB78B7" w:rsidP="00426D0E">
      <w:pPr>
        <w:pStyle w:val="BodyTextMain"/>
        <w:rPr>
          <w:rFonts w:eastAsia="Arial Unicode MS"/>
          <w:lang w:val="en-GB" w:eastAsia="hi-IN" w:bidi="hi-IN"/>
        </w:rPr>
      </w:pPr>
    </w:p>
    <w:p w14:paraId="13A91C72" w14:textId="77777777" w:rsidR="00927244" w:rsidRDefault="00DB78B7" w:rsidP="00A4363F">
      <w:pPr>
        <w:pStyle w:val="FootnoteText"/>
        <w:jc w:val="both"/>
        <w:rPr>
          <w:rFonts w:ascii="Arial" w:eastAsia="Cambria" w:hAnsi="Arial" w:cs="Arial"/>
          <w:sz w:val="17"/>
          <w:szCs w:val="17"/>
          <w:lang w:val="en-GB"/>
        </w:rPr>
      </w:pPr>
      <w:r w:rsidRPr="00F40142">
        <w:rPr>
          <w:rFonts w:ascii="Arial" w:eastAsia="Cambria" w:hAnsi="Arial" w:cs="Arial"/>
          <w:sz w:val="17"/>
          <w:szCs w:val="17"/>
          <w:lang w:val="en-GB"/>
        </w:rPr>
        <w:t>Note: All figures shown in thousands of</w:t>
      </w:r>
      <w:r>
        <w:rPr>
          <w:rFonts w:ascii="Arial" w:eastAsia="Cambria" w:hAnsi="Arial" w:cs="Arial"/>
          <w:sz w:val="17"/>
          <w:szCs w:val="17"/>
          <w:lang w:val="en-GB"/>
        </w:rPr>
        <w:t xml:space="preserve"> Canadian dollars</w:t>
      </w:r>
      <w:r w:rsidRPr="00F40142">
        <w:rPr>
          <w:rFonts w:ascii="Arial" w:eastAsia="Cambria" w:hAnsi="Arial" w:cs="Arial"/>
          <w:sz w:val="17"/>
          <w:szCs w:val="17"/>
          <w:lang w:val="en-GB"/>
        </w:rPr>
        <w:t>.</w:t>
      </w:r>
      <w:bookmarkStart w:id="1" w:name="_GoBack"/>
      <w:bookmarkEnd w:id="1"/>
    </w:p>
    <w:p w14:paraId="246D649D" w14:textId="7F3BD26F" w:rsidR="00426D0E" w:rsidRPr="00F40142" w:rsidRDefault="00C94A4E" w:rsidP="00A4363F">
      <w:pPr>
        <w:pStyle w:val="FootnoteText"/>
        <w:jc w:val="both"/>
        <w:rPr>
          <w:rFonts w:ascii="Arial" w:eastAsia="Cambria" w:hAnsi="Arial" w:cs="Arial"/>
          <w:sz w:val="17"/>
          <w:szCs w:val="17"/>
          <w:lang w:val="en-GB"/>
        </w:rPr>
      </w:pPr>
      <w:r>
        <w:rPr>
          <w:rFonts w:ascii="Arial" w:eastAsia="Cambria" w:hAnsi="Arial" w:cs="Arial"/>
          <w:sz w:val="17"/>
          <w:szCs w:val="17"/>
          <w:lang w:val="en-GB"/>
        </w:rPr>
        <w:t xml:space="preserve">Source: </w:t>
      </w:r>
      <w:r w:rsidR="00DB78B7" w:rsidRPr="00F40142">
        <w:rPr>
          <w:rFonts w:ascii="Arial" w:eastAsia="Cambria" w:hAnsi="Arial" w:cs="Arial"/>
          <w:sz w:val="17"/>
          <w:szCs w:val="17"/>
          <w:lang w:val="en-GB"/>
        </w:rPr>
        <w:t xml:space="preserve">This chart was created by the </w:t>
      </w:r>
      <w:r w:rsidR="0087257A">
        <w:rPr>
          <w:rFonts w:ascii="Arial" w:eastAsia="Cambria" w:hAnsi="Arial" w:cs="Arial"/>
          <w:sz w:val="17"/>
          <w:szCs w:val="17"/>
          <w:lang w:val="en-GB"/>
        </w:rPr>
        <w:t xml:space="preserve">case </w:t>
      </w:r>
      <w:r w:rsidR="00DB78B7" w:rsidRPr="00F40142">
        <w:rPr>
          <w:rFonts w:ascii="Arial" w:eastAsia="Cambria" w:hAnsi="Arial" w:cs="Arial"/>
          <w:sz w:val="17"/>
          <w:szCs w:val="17"/>
          <w:lang w:val="en-GB"/>
        </w:rPr>
        <w:t xml:space="preserve">authors using data from </w:t>
      </w:r>
      <w:r w:rsidR="00DB78B7">
        <w:rPr>
          <w:rFonts w:ascii="Arial" w:eastAsia="Cambria" w:hAnsi="Arial" w:cs="Arial"/>
          <w:sz w:val="17"/>
          <w:szCs w:val="17"/>
          <w:lang w:val="en-GB"/>
        </w:rPr>
        <w:t>company</w:t>
      </w:r>
      <w:r w:rsidR="00DB78B7" w:rsidRPr="00F40142">
        <w:rPr>
          <w:rFonts w:ascii="Arial" w:eastAsia="Cambria" w:hAnsi="Arial" w:cs="Arial"/>
          <w:sz w:val="17"/>
          <w:szCs w:val="17"/>
          <w:lang w:val="en-GB"/>
        </w:rPr>
        <w:t xml:space="preserve"> documents, www.lakeviewwineco.com/site/diamond-estates-wines-spirits, or its filings with SEDAR accessed from www.sedar.com/DisplayCompanyDocuments.do?lang=EN&amp;issuerNo=00032682.</w:t>
      </w:r>
    </w:p>
    <w:p w14:paraId="20DFF151" w14:textId="34C66610" w:rsidR="002037F5" w:rsidRDefault="002037F5" w:rsidP="00426D0E">
      <w:pPr>
        <w:pStyle w:val="ExhibitHeading"/>
        <w:rPr>
          <w:rFonts w:eastAsia="Arial Unicode MS"/>
          <w:lang w:val="en-GB" w:eastAsia="hi-IN" w:bidi="hi-IN"/>
        </w:rPr>
      </w:pPr>
    </w:p>
    <w:p w14:paraId="6DF9B467" w14:textId="77777777" w:rsidR="00927244" w:rsidRDefault="00927244">
      <w:pPr>
        <w:spacing w:after="200" w:line="276" w:lineRule="auto"/>
        <w:rPr>
          <w:rFonts w:ascii="Arial" w:eastAsia="Arial Unicode MS" w:hAnsi="Arial" w:cs="Arial"/>
          <w:b/>
          <w:caps/>
          <w:lang w:val="en-GB" w:eastAsia="hi-IN" w:bidi="hi-IN"/>
        </w:rPr>
      </w:pPr>
      <w:r>
        <w:rPr>
          <w:rFonts w:eastAsia="Arial Unicode MS"/>
          <w:lang w:val="en-GB" w:eastAsia="hi-IN" w:bidi="hi-IN"/>
        </w:rPr>
        <w:br w:type="page"/>
      </w:r>
    </w:p>
    <w:p w14:paraId="54C736AB" w14:textId="164116F2" w:rsidR="00426D0E" w:rsidRPr="00F40142" w:rsidRDefault="00426D0E" w:rsidP="00426D0E">
      <w:pPr>
        <w:pStyle w:val="ExhibitHeading"/>
        <w:rPr>
          <w:rFonts w:eastAsia="Arial Unicode MS" w:cs="Arial Unicode MS"/>
          <w:color w:val="000000"/>
          <w:kern w:val="1"/>
          <w:sz w:val="24"/>
          <w:szCs w:val="24"/>
          <w:lang w:val="en-GB" w:eastAsia="hi-IN" w:bidi="hi-IN"/>
        </w:rPr>
      </w:pPr>
      <w:r w:rsidRPr="00F40142">
        <w:rPr>
          <w:rFonts w:eastAsia="Arial Unicode MS"/>
          <w:lang w:val="en-GB" w:eastAsia="hi-IN" w:bidi="hi-IN"/>
        </w:rPr>
        <w:lastRenderedPageBreak/>
        <w:t xml:space="preserve">Exhibit 6: </w:t>
      </w:r>
      <w:r w:rsidR="005238F6" w:rsidRPr="0011508D">
        <w:rPr>
          <w:rFonts w:eastAsia="Arial Unicode MS"/>
          <w:lang w:val="en-GB"/>
        </w:rPr>
        <w:t>DIAMOND ESTATE WINES &amp; SPIRITS</w:t>
      </w:r>
      <w:r w:rsidR="005238F6">
        <w:rPr>
          <w:rFonts w:eastAsia="Arial Unicode MS"/>
          <w:lang w:val="en-GB"/>
        </w:rPr>
        <w:t xml:space="preserve"> Inc.</w:t>
      </w:r>
      <w:r w:rsidR="00C76674">
        <w:rPr>
          <w:rFonts w:eastAsia="Arial Unicode MS"/>
          <w:lang w:val="en-GB"/>
        </w:rPr>
        <w:t xml:space="preserve"> </w:t>
      </w:r>
      <w:r w:rsidRPr="00F40142">
        <w:rPr>
          <w:rFonts w:eastAsia="Arial Unicode MS"/>
          <w:lang w:val="en-GB" w:eastAsia="hi-IN" w:bidi="hi-IN"/>
        </w:rPr>
        <w:t>Segment Information</w:t>
      </w:r>
      <w:r w:rsidR="007766A8">
        <w:rPr>
          <w:rFonts w:eastAsia="Arial Unicode MS"/>
          <w:lang w:val="en-GB" w:eastAsia="hi-IN" w:bidi="hi-IN"/>
        </w:rPr>
        <w:t xml:space="preserve"> (CA$ millions)</w:t>
      </w:r>
    </w:p>
    <w:p w14:paraId="79892ECF" w14:textId="77777777" w:rsidR="00426D0E" w:rsidRPr="00F40142" w:rsidRDefault="00426D0E" w:rsidP="00426D0E">
      <w:pPr>
        <w:widowControl w:val="0"/>
        <w:shd w:val="clear" w:color="auto" w:fill="FFFFFF"/>
        <w:suppressAutoHyphens/>
        <w:spacing w:line="100" w:lineRule="atLeast"/>
        <w:rPr>
          <w:rFonts w:eastAsia="Arial Unicode MS" w:cs="Arial Unicode MS"/>
          <w:color w:val="000000"/>
          <w:kern w:val="1"/>
          <w:sz w:val="24"/>
          <w:szCs w:val="24"/>
          <w:lang w:val="en-GB" w:eastAsia="hi-IN" w:bidi="hi-IN"/>
        </w:rPr>
      </w:pPr>
    </w:p>
    <w:tbl>
      <w:tblPr>
        <w:tblW w:w="0" w:type="auto"/>
        <w:jc w:val="center"/>
        <w:tblLayout w:type="fixed"/>
        <w:tblLook w:val="0000" w:firstRow="0" w:lastRow="0" w:firstColumn="0" w:lastColumn="0" w:noHBand="0" w:noVBand="0"/>
      </w:tblPr>
      <w:tblGrid>
        <w:gridCol w:w="1696"/>
        <w:gridCol w:w="854"/>
        <w:gridCol w:w="989"/>
        <w:gridCol w:w="992"/>
      </w:tblGrid>
      <w:tr w:rsidR="00426D0E" w:rsidRPr="00F40142" w14:paraId="1335D26B"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1ED5C299" w14:textId="77777777" w:rsidR="00426D0E" w:rsidRPr="00F40142" w:rsidRDefault="00426D0E" w:rsidP="00411B4A">
            <w:pPr>
              <w:pStyle w:val="ExhibitText"/>
              <w:snapToGrid w:val="0"/>
              <w:spacing w:line="100" w:lineRule="atLeast"/>
              <w:jc w:val="left"/>
              <w:rPr>
                <w:rFonts w:eastAsia="Arial Unicode MS"/>
                <w:lang w:val="en-GB" w:eastAsia="hi-IN" w:bidi="hi-IN"/>
              </w:rPr>
            </w:pPr>
          </w:p>
        </w:tc>
        <w:tc>
          <w:tcPr>
            <w:tcW w:w="854" w:type="dxa"/>
            <w:tcBorders>
              <w:top w:val="single" w:sz="4" w:space="0" w:color="000000"/>
              <w:left w:val="single" w:sz="4" w:space="0" w:color="000000"/>
              <w:bottom w:val="single" w:sz="4" w:space="0" w:color="000000"/>
            </w:tcBorders>
            <w:shd w:val="clear" w:color="auto" w:fill="auto"/>
          </w:tcPr>
          <w:p w14:paraId="099723C1" w14:textId="77777777" w:rsidR="00426D0E" w:rsidRPr="00F40142" w:rsidRDefault="00426D0E"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2018</w:t>
            </w:r>
          </w:p>
        </w:tc>
        <w:tc>
          <w:tcPr>
            <w:tcW w:w="989" w:type="dxa"/>
            <w:tcBorders>
              <w:top w:val="single" w:sz="4" w:space="0" w:color="000000"/>
              <w:left w:val="single" w:sz="4" w:space="0" w:color="000000"/>
              <w:bottom w:val="single" w:sz="4" w:space="0" w:color="000000"/>
            </w:tcBorders>
            <w:shd w:val="clear" w:color="auto" w:fill="auto"/>
          </w:tcPr>
          <w:p w14:paraId="06435120" w14:textId="77777777" w:rsidR="00426D0E" w:rsidRPr="00F40142" w:rsidRDefault="00426D0E"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2017</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F8BD9F7" w14:textId="77777777" w:rsidR="00426D0E" w:rsidRPr="00F40142" w:rsidRDefault="00426D0E" w:rsidP="00411B4A">
            <w:pPr>
              <w:pStyle w:val="ExhibitText"/>
              <w:spacing w:line="100" w:lineRule="atLeast"/>
              <w:jc w:val="center"/>
              <w:rPr>
                <w:lang w:val="en-GB"/>
              </w:rPr>
            </w:pPr>
            <w:r w:rsidRPr="00F40142">
              <w:rPr>
                <w:rFonts w:eastAsia="Arial Unicode MS"/>
                <w:b/>
                <w:lang w:val="en-GB" w:eastAsia="hi-IN" w:bidi="hi-IN"/>
              </w:rPr>
              <w:t>2016</w:t>
            </w:r>
          </w:p>
        </w:tc>
      </w:tr>
      <w:tr w:rsidR="00426D0E" w:rsidRPr="00F40142" w14:paraId="38369168"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12D605C0" w14:textId="764E1824"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i/>
                <w:lang w:val="en-GB" w:eastAsia="hi-IN" w:bidi="hi-IN"/>
              </w:rPr>
              <w:t xml:space="preserve">Winery </w:t>
            </w:r>
            <w:r w:rsidR="004740D9">
              <w:rPr>
                <w:rFonts w:eastAsia="Arial Unicode MS"/>
                <w:i/>
                <w:lang w:val="en-GB" w:eastAsia="hi-IN" w:bidi="hi-IN"/>
              </w:rPr>
              <w:t>Total</w:t>
            </w:r>
            <w:r w:rsidR="004740D9" w:rsidRPr="00F40142">
              <w:rPr>
                <w:rFonts w:eastAsia="Arial Unicode MS"/>
                <w:i/>
                <w:lang w:val="en-GB" w:eastAsia="hi-IN" w:bidi="hi-IN"/>
              </w:rPr>
              <w:t xml:space="preserve"> </w:t>
            </w:r>
          </w:p>
        </w:tc>
        <w:tc>
          <w:tcPr>
            <w:tcW w:w="854" w:type="dxa"/>
            <w:tcBorders>
              <w:top w:val="single" w:sz="4" w:space="0" w:color="000000"/>
              <w:left w:val="single" w:sz="4" w:space="0" w:color="000000"/>
              <w:bottom w:val="single" w:sz="4" w:space="0" w:color="000000"/>
            </w:tcBorders>
            <w:shd w:val="clear" w:color="auto" w:fill="auto"/>
          </w:tcPr>
          <w:p w14:paraId="37A7570A" w14:textId="2360D5A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17.3</w:t>
            </w:r>
            <w:r w:rsidR="00C97D37">
              <w:rPr>
                <w:rFonts w:eastAsia="Arial Unicode MS"/>
                <w:lang w:val="en-GB" w:eastAsia="hi-IN" w:bidi="hi-IN"/>
              </w:rPr>
              <w:t>0</w:t>
            </w:r>
          </w:p>
        </w:tc>
        <w:tc>
          <w:tcPr>
            <w:tcW w:w="989" w:type="dxa"/>
            <w:tcBorders>
              <w:top w:val="single" w:sz="4" w:space="0" w:color="000000"/>
              <w:left w:val="single" w:sz="4" w:space="0" w:color="000000"/>
              <w:bottom w:val="single" w:sz="4" w:space="0" w:color="000000"/>
            </w:tcBorders>
            <w:shd w:val="clear" w:color="auto" w:fill="auto"/>
          </w:tcPr>
          <w:p w14:paraId="29C2EEA1" w14:textId="54F18A4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17.7</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64961B8" w14:textId="51520C52"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13.4</w:t>
            </w:r>
            <w:r w:rsidR="004740D9">
              <w:rPr>
                <w:rFonts w:eastAsia="Arial Unicode MS"/>
                <w:lang w:val="en-GB" w:eastAsia="hi-IN" w:bidi="hi-IN"/>
              </w:rPr>
              <w:t>0</w:t>
            </w:r>
          </w:p>
        </w:tc>
      </w:tr>
      <w:tr w:rsidR="00426D0E" w:rsidRPr="00F40142" w14:paraId="2F18E255"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20751A26"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Export</w:t>
            </w:r>
          </w:p>
        </w:tc>
        <w:tc>
          <w:tcPr>
            <w:tcW w:w="854" w:type="dxa"/>
            <w:tcBorders>
              <w:top w:val="single" w:sz="4" w:space="0" w:color="000000"/>
              <w:left w:val="single" w:sz="4" w:space="0" w:color="000000"/>
              <w:bottom w:val="single" w:sz="4" w:space="0" w:color="000000"/>
            </w:tcBorders>
            <w:shd w:val="clear" w:color="auto" w:fill="auto"/>
          </w:tcPr>
          <w:p w14:paraId="4778F5B4" w14:textId="4FF6FB2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7.8</w:t>
            </w:r>
            <w:r w:rsidR="00C97D37">
              <w:rPr>
                <w:rFonts w:eastAsia="Arial Unicode MS"/>
                <w:lang w:val="en-GB" w:eastAsia="hi-IN" w:bidi="hi-IN"/>
              </w:rPr>
              <w:t>0</w:t>
            </w:r>
          </w:p>
        </w:tc>
        <w:tc>
          <w:tcPr>
            <w:tcW w:w="989" w:type="dxa"/>
            <w:tcBorders>
              <w:top w:val="single" w:sz="4" w:space="0" w:color="000000"/>
              <w:left w:val="single" w:sz="4" w:space="0" w:color="000000"/>
              <w:bottom w:val="single" w:sz="4" w:space="0" w:color="000000"/>
            </w:tcBorders>
            <w:shd w:val="clear" w:color="auto" w:fill="auto"/>
          </w:tcPr>
          <w:p w14:paraId="0676C253" w14:textId="12AB480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6.0</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1509AC04" w14:textId="53AF99C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3.2</w:t>
            </w:r>
            <w:r w:rsidR="004740D9">
              <w:rPr>
                <w:rFonts w:eastAsia="Arial Unicode MS"/>
                <w:lang w:val="en-GB" w:eastAsia="hi-IN" w:bidi="hi-IN"/>
              </w:rPr>
              <w:t>0</w:t>
            </w:r>
          </w:p>
        </w:tc>
      </w:tr>
      <w:tr w:rsidR="00426D0E" w:rsidRPr="00F40142" w14:paraId="0A0B5AA1"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68AF984A"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Domestic</w:t>
            </w:r>
          </w:p>
        </w:tc>
        <w:tc>
          <w:tcPr>
            <w:tcW w:w="854" w:type="dxa"/>
            <w:tcBorders>
              <w:top w:val="single" w:sz="4" w:space="0" w:color="000000"/>
              <w:left w:val="single" w:sz="4" w:space="0" w:color="000000"/>
              <w:bottom w:val="single" w:sz="4" w:space="0" w:color="000000"/>
            </w:tcBorders>
            <w:shd w:val="clear" w:color="auto" w:fill="auto"/>
          </w:tcPr>
          <w:p w14:paraId="33723EAD" w14:textId="510CD882"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9.5</w:t>
            </w:r>
            <w:r w:rsidR="00C97D37">
              <w:rPr>
                <w:rFonts w:eastAsia="Arial Unicode MS"/>
                <w:lang w:val="en-GB" w:eastAsia="hi-IN" w:bidi="hi-IN"/>
              </w:rPr>
              <w:t>0</w:t>
            </w:r>
          </w:p>
        </w:tc>
        <w:tc>
          <w:tcPr>
            <w:tcW w:w="989" w:type="dxa"/>
            <w:tcBorders>
              <w:top w:val="single" w:sz="4" w:space="0" w:color="000000"/>
              <w:left w:val="single" w:sz="4" w:space="0" w:color="000000"/>
              <w:bottom w:val="single" w:sz="4" w:space="0" w:color="000000"/>
            </w:tcBorders>
            <w:shd w:val="clear" w:color="auto" w:fill="auto"/>
          </w:tcPr>
          <w:p w14:paraId="40DB4CFD" w14:textId="74DAE3E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11.7</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8254D18" w14:textId="0C668F68"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10.2</w:t>
            </w:r>
            <w:r w:rsidR="004740D9">
              <w:rPr>
                <w:rFonts w:eastAsia="Arial Unicode MS"/>
                <w:lang w:val="en-GB" w:eastAsia="hi-IN" w:bidi="hi-IN"/>
              </w:rPr>
              <w:t>0</w:t>
            </w:r>
          </w:p>
        </w:tc>
      </w:tr>
      <w:tr w:rsidR="00426D0E" w:rsidRPr="00F40142" w14:paraId="7B1CE56C"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70A07BD9" w14:textId="2D01216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Agency </w:t>
            </w:r>
            <w:r w:rsidR="004740D9">
              <w:rPr>
                <w:rFonts w:eastAsia="Arial Unicode MS"/>
                <w:lang w:val="en-GB" w:eastAsia="hi-IN" w:bidi="hi-IN"/>
              </w:rPr>
              <w:t>Total</w:t>
            </w:r>
          </w:p>
        </w:tc>
        <w:tc>
          <w:tcPr>
            <w:tcW w:w="854" w:type="dxa"/>
            <w:tcBorders>
              <w:top w:val="single" w:sz="4" w:space="0" w:color="000000"/>
              <w:left w:val="single" w:sz="4" w:space="0" w:color="000000"/>
              <w:bottom w:val="single" w:sz="4" w:space="0" w:color="000000"/>
            </w:tcBorders>
            <w:shd w:val="clear" w:color="auto" w:fill="auto"/>
          </w:tcPr>
          <w:p w14:paraId="57BC17DC" w14:textId="6CBE874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16.9</w:t>
            </w:r>
            <w:r w:rsidR="00C97D37">
              <w:rPr>
                <w:rFonts w:eastAsia="Arial Unicode MS"/>
                <w:lang w:val="en-GB" w:eastAsia="hi-IN" w:bidi="hi-IN"/>
              </w:rPr>
              <w:t>0</w:t>
            </w:r>
          </w:p>
        </w:tc>
        <w:tc>
          <w:tcPr>
            <w:tcW w:w="989" w:type="dxa"/>
            <w:tcBorders>
              <w:top w:val="single" w:sz="4" w:space="0" w:color="000000"/>
              <w:left w:val="single" w:sz="4" w:space="0" w:color="000000"/>
              <w:bottom w:val="single" w:sz="4" w:space="0" w:color="000000"/>
            </w:tcBorders>
            <w:shd w:val="clear" w:color="auto" w:fill="auto"/>
          </w:tcPr>
          <w:p w14:paraId="65EC3FA4" w14:textId="77CA824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$16.6</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35265EC" w14:textId="559844F3"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15.8</w:t>
            </w:r>
            <w:r w:rsidR="004740D9">
              <w:rPr>
                <w:rFonts w:eastAsia="Arial Unicode MS"/>
                <w:lang w:val="en-GB" w:eastAsia="hi-IN" w:bidi="hi-IN"/>
              </w:rPr>
              <w:t>0</w:t>
            </w:r>
          </w:p>
        </w:tc>
      </w:tr>
      <w:tr w:rsidR="00426D0E" w:rsidRPr="00F40142" w14:paraId="180E3F07"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1E9A6682"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Sales</w:t>
            </w:r>
          </w:p>
        </w:tc>
        <w:tc>
          <w:tcPr>
            <w:tcW w:w="854" w:type="dxa"/>
            <w:tcBorders>
              <w:top w:val="single" w:sz="4" w:space="0" w:color="000000"/>
              <w:left w:val="single" w:sz="4" w:space="0" w:color="000000"/>
              <w:bottom w:val="single" w:sz="4" w:space="0" w:color="000000"/>
            </w:tcBorders>
            <w:shd w:val="clear" w:color="auto" w:fill="auto"/>
          </w:tcPr>
          <w:p w14:paraId="245B4FE3" w14:textId="77777777" w:rsidR="00426D0E" w:rsidRPr="00F40142" w:rsidRDefault="00426D0E" w:rsidP="00411B4A">
            <w:pPr>
              <w:pStyle w:val="ExhibitText"/>
              <w:snapToGrid w:val="0"/>
              <w:spacing w:line="100" w:lineRule="atLeast"/>
              <w:jc w:val="right"/>
              <w:rPr>
                <w:rFonts w:eastAsia="Arial Unicode MS"/>
                <w:lang w:val="en-GB" w:eastAsia="hi-IN" w:bidi="hi-IN"/>
              </w:rPr>
            </w:pPr>
          </w:p>
        </w:tc>
        <w:tc>
          <w:tcPr>
            <w:tcW w:w="989" w:type="dxa"/>
            <w:tcBorders>
              <w:top w:val="single" w:sz="4" w:space="0" w:color="000000"/>
              <w:left w:val="single" w:sz="4" w:space="0" w:color="000000"/>
              <w:bottom w:val="single" w:sz="4" w:space="0" w:color="000000"/>
            </w:tcBorders>
            <w:shd w:val="clear" w:color="auto" w:fill="auto"/>
          </w:tcPr>
          <w:p w14:paraId="5E1475F4" w14:textId="3234506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4.5</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1FDFE36" w14:textId="4D99F2A5"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4.3</w:t>
            </w:r>
            <w:r w:rsidR="004740D9">
              <w:rPr>
                <w:rFonts w:eastAsia="Arial Unicode MS"/>
                <w:lang w:val="en-GB" w:eastAsia="hi-IN" w:bidi="hi-IN"/>
              </w:rPr>
              <w:t>0</w:t>
            </w:r>
          </w:p>
        </w:tc>
      </w:tr>
      <w:tr w:rsidR="00426D0E" w:rsidRPr="00F40142" w14:paraId="66AA71A7"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7594A81C"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Distribution</w:t>
            </w:r>
          </w:p>
        </w:tc>
        <w:tc>
          <w:tcPr>
            <w:tcW w:w="854" w:type="dxa"/>
            <w:tcBorders>
              <w:top w:val="single" w:sz="4" w:space="0" w:color="000000"/>
              <w:left w:val="single" w:sz="4" w:space="0" w:color="000000"/>
              <w:bottom w:val="single" w:sz="4" w:space="0" w:color="000000"/>
            </w:tcBorders>
            <w:shd w:val="clear" w:color="auto" w:fill="auto"/>
          </w:tcPr>
          <w:p w14:paraId="63023FB1" w14:textId="77777777" w:rsidR="00426D0E" w:rsidRPr="00F40142" w:rsidRDefault="00426D0E" w:rsidP="00411B4A">
            <w:pPr>
              <w:pStyle w:val="ExhibitText"/>
              <w:snapToGrid w:val="0"/>
              <w:spacing w:line="100" w:lineRule="atLeast"/>
              <w:jc w:val="right"/>
              <w:rPr>
                <w:rFonts w:eastAsia="Arial Unicode MS"/>
                <w:lang w:val="en-GB" w:eastAsia="hi-IN" w:bidi="hi-IN"/>
              </w:rPr>
            </w:pPr>
          </w:p>
        </w:tc>
        <w:tc>
          <w:tcPr>
            <w:tcW w:w="989" w:type="dxa"/>
            <w:tcBorders>
              <w:top w:val="single" w:sz="4" w:space="0" w:color="000000"/>
              <w:left w:val="single" w:sz="4" w:space="0" w:color="000000"/>
              <w:bottom w:val="single" w:sz="4" w:space="0" w:color="000000"/>
            </w:tcBorders>
            <w:shd w:val="clear" w:color="auto" w:fill="auto"/>
          </w:tcPr>
          <w:p w14:paraId="68525D83" w14:textId="1BFDA56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12.1</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ADA603A" w14:textId="25FE9203"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11.5</w:t>
            </w:r>
            <w:r w:rsidR="004740D9">
              <w:rPr>
                <w:rFonts w:eastAsia="Arial Unicode MS"/>
                <w:lang w:val="en-GB" w:eastAsia="hi-IN" w:bidi="hi-IN"/>
              </w:rPr>
              <w:t>0</w:t>
            </w:r>
          </w:p>
        </w:tc>
      </w:tr>
      <w:tr w:rsidR="00426D0E" w:rsidRPr="00F40142" w14:paraId="060588FC"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25AD56E7" w14:textId="3556A7A1"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b/>
                <w:lang w:val="en-GB" w:eastAsia="hi-IN" w:bidi="hi-IN"/>
              </w:rPr>
              <w:t>Total Revenue</w:t>
            </w:r>
            <w:r w:rsidR="00F40142">
              <w:rPr>
                <w:rFonts w:eastAsia="Arial Unicode MS"/>
                <w:b/>
                <w:lang w:val="en-GB" w:eastAsia="hi-IN" w:bidi="hi-IN"/>
              </w:rPr>
              <w:t xml:space="preserve"> </w:t>
            </w:r>
          </w:p>
        </w:tc>
        <w:tc>
          <w:tcPr>
            <w:tcW w:w="854" w:type="dxa"/>
            <w:tcBorders>
              <w:top w:val="single" w:sz="4" w:space="0" w:color="000000"/>
              <w:left w:val="single" w:sz="4" w:space="0" w:color="000000"/>
              <w:bottom w:val="single" w:sz="4" w:space="0" w:color="000000"/>
            </w:tcBorders>
            <w:shd w:val="clear" w:color="auto" w:fill="auto"/>
            <w:vAlign w:val="center"/>
          </w:tcPr>
          <w:p w14:paraId="05EBB011" w14:textId="64579C9B"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34.3</w:t>
            </w:r>
            <w:r w:rsidR="00C97D37">
              <w:rPr>
                <w:rFonts w:eastAsia="Arial Unicode MS"/>
                <w:lang w:val="en-GB" w:eastAsia="hi-IN" w:bidi="hi-IN"/>
              </w:rPr>
              <w:t>0</w:t>
            </w:r>
          </w:p>
        </w:tc>
        <w:tc>
          <w:tcPr>
            <w:tcW w:w="989" w:type="dxa"/>
            <w:tcBorders>
              <w:top w:val="single" w:sz="4" w:space="0" w:color="000000"/>
              <w:left w:val="single" w:sz="4" w:space="0" w:color="000000"/>
              <w:bottom w:val="single" w:sz="4" w:space="0" w:color="000000"/>
            </w:tcBorders>
            <w:shd w:val="clear" w:color="auto" w:fill="auto"/>
            <w:vAlign w:val="center"/>
          </w:tcPr>
          <w:p w14:paraId="3DCE2EFA" w14:textId="101FD7F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34.3</w:t>
            </w:r>
            <w:r w:rsidR="00C97D37">
              <w:rPr>
                <w:rFonts w:eastAsia="Arial Unicode MS"/>
                <w:lang w:val="en-GB" w:eastAsia="hi-IN" w:bidi="hi-IN"/>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D0C81" w14:textId="30AD5A5A"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29.19</w:t>
            </w:r>
          </w:p>
        </w:tc>
      </w:tr>
      <w:tr w:rsidR="00411B4A" w:rsidRPr="00F40142" w14:paraId="1F736BAC" w14:textId="77777777" w:rsidTr="00A25446">
        <w:tblPrEx>
          <w:tblCellMar>
            <w:left w:w="0" w:type="dxa"/>
            <w:right w:w="0" w:type="dxa"/>
          </w:tblCellMar>
        </w:tblPrEx>
        <w:trPr>
          <w:trHeight w:val="255"/>
          <w:jc w:val="center"/>
        </w:trPr>
        <w:tc>
          <w:tcPr>
            <w:tcW w:w="4531" w:type="dxa"/>
            <w:gridSpan w:val="4"/>
            <w:tcBorders>
              <w:top w:val="single" w:sz="4" w:space="0" w:color="000000"/>
              <w:left w:val="single" w:sz="4" w:space="0" w:color="000000"/>
              <w:bottom w:val="single" w:sz="4" w:space="0" w:color="000000"/>
              <w:right w:val="single" w:sz="4" w:space="0" w:color="auto"/>
            </w:tcBorders>
            <w:shd w:val="clear" w:color="auto" w:fill="auto"/>
          </w:tcPr>
          <w:p w14:paraId="1DB76391" w14:textId="7FFBD89F" w:rsidR="00411B4A" w:rsidRPr="00F40142" w:rsidRDefault="00411B4A" w:rsidP="00411B4A">
            <w:pPr>
              <w:snapToGrid w:val="0"/>
              <w:rPr>
                <w:rFonts w:ascii="Arial" w:hAnsi="Arial" w:cs="Arial"/>
                <w:lang w:val="en-GB"/>
              </w:rPr>
            </w:pPr>
            <w:r w:rsidRPr="00F40142">
              <w:rPr>
                <w:rFonts w:ascii="Arial" w:eastAsia="Arial Unicode MS" w:hAnsi="Arial" w:cs="Arial"/>
                <w:i/>
                <w:lang w:val="en-GB" w:eastAsia="hi-IN" w:bidi="hi-IN"/>
              </w:rPr>
              <w:t>Gross Margin</w:t>
            </w:r>
          </w:p>
        </w:tc>
      </w:tr>
      <w:tr w:rsidR="00426D0E" w:rsidRPr="00F40142" w14:paraId="7BBEDAEA"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29F66F97" w14:textId="64C7FDEA"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Winery</w:t>
            </w:r>
            <w:r w:rsidR="00F40142">
              <w:rPr>
                <w:rFonts w:eastAsia="Arial Unicode MS"/>
                <w:lang w:val="en-GB" w:eastAsia="hi-IN" w:bidi="hi-IN"/>
              </w:rPr>
              <w:t xml:space="preserve"> </w:t>
            </w:r>
          </w:p>
        </w:tc>
        <w:tc>
          <w:tcPr>
            <w:tcW w:w="854" w:type="dxa"/>
            <w:tcBorders>
              <w:top w:val="single" w:sz="4" w:space="0" w:color="000000"/>
              <w:left w:val="single" w:sz="4" w:space="0" w:color="000000"/>
              <w:bottom w:val="single" w:sz="4" w:space="0" w:color="000000"/>
            </w:tcBorders>
            <w:shd w:val="clear" w:color="auto" w:fill="auto"/>
          </w:tcPr>
          <w:p w14:paraId="6E23BFFB" w14:textId="7777777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47.0%</w:t>
            </w:r>
          </w:p>
        </w:tc>
        <w:tc>
          <w:tcPr>
            <w:tcW w:w="989" w:type="dxa"/>
            <w:tcBorders>
              <w:top w:val="single" w:sz="4" w:space="0" w:color="000000"/>
              <w:left w:val="single" w:sz="4" w:space="0" w:color="000000"/>
              <w:bottom w:val="single" w:sz="4" w:space="0" w:color="000000"/>
            </w:tcBorders>
            <w:shd w:val="clear" w:color="auto" w:fill="auto"/>
          </w:tcPr>
          <w:p w14:paraId="6C88EF00" w14:textId="7777777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42.7%</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5C45C5B7" w14:textId="7777777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38.1%</w:t>
            </w:r>
          </w:p>
        </w:tc>
      </w:tr>
      <w:tr w:rsidR="00426D0E" w:rsidRPr="00F40142" w14:paraId="58AAAFD5"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63E13040" w14:textId="24FA1CA8"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Agency</w:t>
            </w:r>
            <w:r w:rsidR="00F40142">
              <w:rPr>
                <w:rFonts w:eastAsia="Arial Unicode MS"/>
                <w:lang w:val="en-GB" w:eastAsia="hi-IN" w:bidi="hi-IN"/>
              </w:rPr>
              <w:t xml:space="preserve"> </w:t>
            </w:r>
          </w:p>
        </w:tc>
        <w:tc>
          <w:tcPr>
            <w:tcW w:w="854" w:type="dxa"/>
            <w:tcBorders>
              <w:top w:val="single" w:sz="4" w:space="0" w:color="000000"/>
              <w:left w:val="single" w:sz="4" w:space="0" w:color="000000"/>
              <w:bottom w:val="single" w:sz="4" w:space="0" w:color="000000"/>
            </w:tcBorders>
            <w:shd w:val="clear" w:color="auto" w:fill="auto"/>
          </w:tcPr>
          <w:p w14:paraId="51050128" w14:textId="7777777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41.5%</w:t>
            </w:r>
          </w:p>
        </w:tc>
        <w:tc>
          <w:tcPr>
            <w:tcW w:w="989" w:type="dxa"/>
            <w:tcBorders>
              <w:top w:val="single" w:sz="4" w:space="0" w:color="000000"/>
              <w:left w:val="single" w:sz="4" w:space="0" w:color="000000"/>
              <w:bottom w:val="single" w:sz="4" w:space="0" w:color="000000"/>
            </w:tcBorders>
            <w:shd w:val="clear" w:color="auto" w:fill="auto"/>
          </w:tcPr>
          <w:p w14:paraId="480A49AD" w14:textId="7777777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38.5%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4DB94C23" w14:textId="7777777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42.6%</w:t>
            </w:r>
          </w:p>
        </w:tc>
      </w:tr>
      <w:tr w:rsidR="00426D0E" w:rsidRPr="00F40142" w14:paraId="4556ED5C" w14:textId="77777777" w:rsidTr="00A25446">
        <w:trPr>
          <w:trHeight w:val="255"/>
          <w:jc w:val="center"/>
        </w:trPr>
        <w:tc>
          <w:tcPr>
            <w:tcW w:w="1696" w:type="dxa"/>
            <w:tcBorders>
              <w:top w:val="single" w:sz="4" w:space="0" w:color="000000"/>
              <w:left w:val="single" w:sz="4" w:space="0" w:color="000000"/>
              <w:bottom w:val="single" w:sz="4" w:space="0" w:color="000000"/>
            </w:tcBorders>
            <w:shd w:val="clear" w:color="auto" w:fill="auto"/>
          </w:tcPr>
          <w:p w14:paraId="27286568" w14:textId="77777777" w:rsidR="00426D0E" w:rsidRPr="00F40142" w:rsidRDefault="00426D0E" w:rsidP="00B2022E">
            <w:pPr>
              <w:pStyle w:val="ExhibitText"/>
              <w:rPr>
                <w:rFonts w:eastAsia="Arial Unicode MS"/>
                <w:lang w:val="en-GB" w:eastAsia="hi-IN" w:bidi="hi-IN"/>
              </w:rPr>
            </w:pPr>
            <w:r w:rsidRPr="00F40142">
              <w:rPr>
                <w:rFonts w:eastAsia="Arial Unicode MS"/>
                <w:lang w:val="en-GB" w:eastAsia="hi-IN" w:bidi="hi-IN"/>
              </w:rPr>
              <w:t>Overall</w:t>
            </w:r>
          </w:p>
        </w:tc>
        <w:tc>
          <w:tcPr>
            <w:tcW w:w="854" w:type="dxa"/>
            <w:tcBorders>
              <w:top w:val="single" w:sz="4" w:space="0" w:color="000000"/>
              <w:left w:val="single" w:sz="4" w:space="0" w:color="000000"/>
              <w:bottom w:val="single" w:sz="4" w:space="0" w:color="000000"/>
            </w:tcBorders>
            <w:shd w:val="clear" w:color="auto" w:fill="auto"/>
          </w:tcPr>
          <w:p w14:paraId="53C71741" w14:textId="77777777" w:rsidR="00426D0E" w:rsidRPr="00F40142" w:rsidRDefault="00426D0E" w:rsidP="00B2022E">
            <w:pPr>
              <w:pStyle w:val="ExhibitText"/>
              <w:jc w:val="right"/>
              <w:rPr>
                <w:rFonts w:eastAsia="Arial Unicode MS"/>
                <w:lang w:val="en-GB" w:eastAsia="hi-IN" w:bidi="hi-IN"/>
              </w:rPr>
            </w:pPr>
            <w:r w:rsidRPr="00F40142">
              <w:rPr>
                <w:rFonts w:eastAsia="Arial Unicode MS"/>
                <w:lang w:val="en-GB" w:eastAsia="hi-IN" w:bidi="hi-IN"/>
              </w:rPr>
              <w:t>44.3%</w:t>
            </w:r>
          </w:p>
        </w:tc>
        <w:tc>
          <w:tcPr>
            <w:tcW w:w="989" w:type="dxa"/>
            <w:tcBorders>
              <w:top w:val="single" w:sz="4" w:space="0" w:color="000000"/>
              <w:left w:val="single" w:sz="4" w:space="0" w:color="000000"/>
              <w:bottom w:val="single" w:sz="4" w:space="0" w:color="000000"/>
            </w:tcBorders>
            <w:shd w:val="clear" w:color="auto" w:fill="auto"/>
          </w:tcPr>
          <w:p w14:paraId="17D3F59A" w14:textId="77777777" w:rsidR="00426D0E" w:rsidRPr="00F40142" w:rsidRDefault="00426D0E" w:rsidP="00B2022E">
            <w:pPr>
              <w:pStyle w:val="ExhibitText"/>
              <w:jc w:val="right"/>
              <w:rPr>
                <w:rFonts w:eastAsia="Arial Unicode MS"/>
                <w:lang w:val="en-GB" w:eastAsia="hi-IN" w:bidi="hi-IN"/>
              </w:rPr>
            </w:pPr>
            <w:r w:rsidRPr="00F40142">
              <w:rPr>
                <w:rFonts w:eastAsia="Arial Unicode MS"/>
                <w:lang w:val="en-GB" w:eastAsia="hi-IN" w:bidi="hi-IN"/>
              </w:rPr>
              <w:t>40.6%</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3981D862" w14:textId="77777777" w:rsidR="00426D0E" w:rsidRPr="00F40142" w:rsidRDefault="00426D0E" w:rsidP="00B2022E">
            <w:pPr>
              <w:pStyle w:val="ExhibitText"/>
              <w:jc w:val="right"/>
              <w:rPr>
                <w:lang w:val="en-GB"/>
              </w:rPr>
            </w:pPr>
            <w:r w:rsidRPr="00F40142">
              <w:rPr>
                <w:rFonts w:eastAsia="Arial Unicode MS"/>
                <w:lang w:val="en-GB" w:eastAsia="hi-IN" w:bidi="hi-IN"/>
              </w:rPr>
              <w:t>40.6%</w:t>
            </w:r>
          </w:p>
        </w:tc>
      </w:tr>
    </w:tbl>
    <w:p w14:paraId="32DCC062" w14:textId="77777777" w:rsidR="00426D0E" w:rsidRPr="00F40142" w:rsidRDefault="00426D0E" w:rsidP="00B2022E">
      <w:pPr>
        <w:pStyle w:val="BodyTextMain"/>
        <w:rPr>
          <w:rFonts w:eastAsia="Arial Unicode MS" w:cs="Arial Unicode MS"/>
          <w:color w:val="000000"/>
          <w:kern w:val="1"/>
          <w:sz w:val="24"/>
          <w:szCs w:val="24"/>
          <w:lang w:val="en-GB" w:eastAsia="hi-IN" w:bidi="hi-IN"/>
        </w:rPr>
      </w:pPr>
    </w:p>
    <w:p w14:paraId="61DB5733" w14:textId="37587210" w:rsidR="00C76674" w:rsidRDefault="00C76674" w:rsidP="00B2022E">
      <w:pPr>
        <w:pStyle w:val="Footnote"/>
        <w:rPr>
          <w:rFonts w:eastAsia="Cambria"/>
          <w:lang w:val="en-GB"/>
        </w:rPr>
      </w:pPr>
      <w:r>
        <w:rPr>
          <w:rFonts w:eastAsia="Cambria"/>
          <w:lang w:val="en-GB"/>
        </w:rPr>
        <w:t xml:space="preserve">Note: All </w:t>
      </w:r>
      <w:r w:rsidR="00E94D7D">
        <w:rPr>
          <w:rFonts w:eastAsia="Cambria"/>
          <w:lang w:val="en-GB"/>
        </w:rPr>
        <w:t xml:space="preserve">dollar </w:t>
      </w:r>
      <w:r>
        <w:rPr>
          <w:rFonts w:eastAsia="Cambria"/>
          <w:lang w:val="en-GB"/>
        </w:rPr>
        <w:t xml:space="preserve">figures shown </w:t>
      </w:r>
      <w:r w:rsidR="00E94D7D">
        <w:rPr>
          <w:rFonts w:eastAsia="Cambria"/>
          <w:lang w:val="en-GB"/>
        </w:rPr>
        <w:t xml:space="preserve">are </w:t>
      </w:r>
      <w:r>
        <w:rPr>
          <w:rFonts w:eastAsia="Cambria"/>
          <w:lang w:val="en-GB"/>
        </w:rPr>
        <w:t xml:space="preserve">in millions of Canadian dollars. </w:t>
      </w:r>
    </w:p>
    <w:p w14:paraId="59CD40E6" w14:textId="2AC1EC3C" w:rsidR="00426D0E" w:rsidRPr="00F40142" w:rsidRDefault="00426D0E" w:rsidP="00B2022E">
      <w:pPr>
        <w:pStyle w:val="Footnote"/>
        <w:rPr>
          <w:rFonts w:eastAsia="Arial Unicode MS"/>
          <w:caps/>
          <w:lang w:val="en-GB"/>
        </w:rPr>
      </w:pPr>
      <w:r w:rsidRPr="00F40142">
        <w:rPr>
          <w:rFonts w:eastAsia="Cambria"/>
          <w:lang w:val="en-GB"/>
        </w:rPr>
        <w:t xml:space="preserve">Source: This chart was created by the </w:t>
      </w:r>
      <w:r w:rsidR="0087257A">
        <w:rPr>
          <w:rFonts w:eastAsia="Cambria"/>
          <w:lang w:val="en-GB"/>
        </w:rPr>
        <w:t xml:space="preserve">case </w:t>
      </w:r>
      <w:r w:rsidRPr="00F40142">
        <w:rPr>
          <w:rFonts w:eastAsia="Cambria"/>
          <w:lang w:val="en-GB"/>
        </w:rPr>
        <w:t xml:space="preserve">authors using data from </w:t>
      </w:r>
      <w:r w:rsidRPr="00F40142">
        <w:rPr>
          <w:rStyle w:val="None"/>
          <w:rFonts w:eastAsia="Cambria"/>
          <w:lang w:val="en-GB"/>
        </w:rPr>
        <w:t xml:space="preserve">Diamond Estates Wines &amp; Spirits, </w:t>
      </w:r>
      <w:r w:rsidR="00C23D63">
        <w:rPr>
          <w:rStyle w:val="None"/>
          <w:rFonts w:eastAsia="Cambria"/>
          <w:lang w:val="en-GB"/>
        </w:rPr>
        <w:t>“</w:t>
      </w:r>
      <w:r w:rsidRPr="00F40142">
        <w:rPr>
          <w:rStyle w:val="None"/>
          <w:rFonts w:eastAsia="Cambria"/>
          <w:lang w:val="en-GB"/>
        </w:rPr>
        <w:t>Management Discussion and Analysis. Three and nine month periods ended December 31, 2018 and 2017</w:t>
      </w:r>
      <w:r w:rsidR="00317351">
        <w:rPr>
          <w:rStyle w:val="None"/>
          <w:rFonts w:eastAsia="Cambria"/>
          <w:lang w:val="en-GB"/>
        </w:rPr>
        <w:t>,</w:t>
      </w:r>
      <w:r w:rsidR="00C23D63">
        <w:rPr>
          <w:rStyle w:val="None"/>
          <w:rFonts w:eastAsia="Cambria"/>
          <w:lang w:val="en-GB"/>
        </w:rPr>
        <w:t>”</w:t>
      </w:r>
      <w:r w:rsidRPr="00F40142">
        <w:rPr>
          <w:rStyle w:val="None"/>
          <w:rFonts w:eastAsia="Cambria"/>
          <w:lang w:val="en-GB"/>
        </w:rPr>
        <w:t xml:space="preserve"> released </w:t>
      </w:r>
      <w:r w:rsidR="00317351">
        <w:rPr>
          <w:rStyle w:val="None"/>
          <w:rFonts w:eastAsia="Cambria"/>
          <w:lang w:val="en-GB"/>
        </w:rPr>
        <w:t>February</w:t>
      </w:r>
      <w:r w:rsidR="00317351" w:rsidRPr="00F40142">
        <w:rPr>
          <w:rStyle w:val="None"/>
          <w:rFonts w:eastAsia="Cambria"/>
          <w:lang w:val="en-GB"/>
        </w:rPr>
        <w:t xml:space="preserve"> </w:t>
      </w:r>
      <w:r w:rsidRPr="00F40142">
        <w:rPr>
          <w:rStyle w:val="None"/>
          <w:rFonts w:eastAsia="Cambria"/>
          <w:lang w:val="en-GB"/>
        </w:rPr>
        <w:t xml:space="preserve">26, 2019, accessed </w:t>
      </w:r>
      <w:r w:rsidR="00317351">
        <w:rPr>
          <w:rStyle w:val="None"/>
          <w:rFonts w:eastAsia="Cambria"/>
          <w:lang w:val="en-GB"/>
        </w:rPr>
        <w:t>February</w:t>
      </w:r>
      <w:r w:rsidRPr="00F40142">
        <w:rPr>
          <w:rStyle w:val="None"/>
          <w:rFonts w:eastAsia="Cambria"/>
          <w:lang w:val="en-GB"/>
        </w:rPr>
        <w:t xml:space="preserve"> </w:t>
      </w:r>
      <w:r w:rsidR="00E82CA3">
        <w:rPr>
          <w:rStyle w:val="None"/>
          <w:rFonts w:eastAsia="Cambria"/>
          <w:lang w:val="en-GB"/>
        </w:rPr>
        <w:t xml:space="preserve">20, </w:t>
      </w:r>
      <w:r w:rsidRPr="00F40142">
        <w:rPr>
          <w:rStyle w:val="None"/>
          <w:rFonts w:eastAsia="Cambria"/>
          <w:lang w:val="en-GB"/>
        </w:rPr>
        <w:t>2019</w:t>
      </w:r>
      <w:r w:rsidR="00CB3AF5">
        <w:rPr>
          <w:rStyle w:val="None"/>
          <w:rFonts w:eastAsia="Cambria"/>
          <w:lang w:val="en-GB"/>
        </w:rPr>
        <w:t>,</w:t>
      </w:r>
      <w:r w:rsidRPr="00F40142">
        <w:rPr>
          <w:rStyle w:val="None"/>
          <w:rFonts w:eastAsia="Cambria"/>
          <w:lang w:val="en-GB"/>
        </w:rPr>
        <w:t xml:space="preserve"> </w:t>
      </w:r>
      <w:hyperlink r:id="rId11" w:history="1">
        <w:r w:rsidR="00A4363F" w:rsidRPr="00F40142">
          <w:rPr>
            <w:rStyle w:val="Hyperlink2"/>
            <w:rFonts w:ascii="Arial" w:eastAsia="Arial Unicode MS" w:hAnsi="Arial" w:cs="Arial"/>
            <w:color w:val="00000A"/>
            <w:sz w:val="17"/>
            <w:szCs w:val="17"/>
            <w:u w:val="none"/>
            <w:lang w:val="en-GB"/>
          </w:rPr>
          <w:t>www.</w:t>
        </w:r>
        <w:r w:rsidRPr="00F40142">
          <w:rPr>
            <w:rStyle w:val="Hyperlink2"/>
            <w:rFonts w:ascii="Arial" w:eastAsia="Arial Unicode MS" w:hAnsi="Arial" w:cs="Arial"/>
            <w:color w:val="00000A"/>
            <w:sz w:val="17"/>
            <w:szCs w:val="17"/>
            <w:u w:val="none"/>
            <w:lang w:val="en-GB"/>
          </w:rPr>
          <w:t>sedar.com/DisplayCompanyDocuments.do?lang=EN&amp;issuerNo=00032682</w:t>
        </w:r>
      </w:hyperlink>
      <w:r w:rsidRPr="00F40142">
        <w:rPr>
          <w:rStyle w:val="None"/>
          <w:rFonts w:eastAsia="Cambria"/>
          <w:lang w:val="en-GB"/>
        </w:rPr>
        <w:t>. Where reported values vary, data from 2018 was used for the 2017 numbers</w:t>
      </w:r>
      <w:r w:rsidRPr="00F40142">
        <w:rPr>
          <w:rFonts w:eastAsia="Cambria"/>
          <w:lang w:val="en-GB"/>
        </w:rPr>
        <w:t xml:space="preserve">. </w:t>
      </w:r>
    </w:p>
    <w:p w14:paraId="323F9478" w14:textId="77777777" w:rsidR="00426D0E" w:rsidRPr="00F40142" w:rsidRDefault="00426D0E" w:rsidP="00426D0E">
      <w:pPr>
        <w:spacing w:after="200" w:line="276" w:lineRule="auto"/>
        <w:rPr>
          <w:rFonts w:ascii="Arial" w:eastAsia="Arial Unicode MS" w:hAnsi="Arial" w:cs="Arial"/>
          <w:b/>
          <w:caps/>
          <w:lang w:val="en-GB"/>
        </w:rPr>
      </w:pPr>
    </w:p>
    <w:p w14:paraId="70AA5856" w14:textId="77777777" w:rsidR="003978BF" w:rsidRDefault="00A4363F">
      <w:pPr>
        <w:spacing w:after="200" w:line="276" w:lineRule="auto"/>
        <w:rPr>
          <w:rStyle w:val="EndnoteReference1"/>
          <w:rFonts w:eastAsia="Arial Unicode MS"/>
          <w:vertAlign w:val="baseline"/>
          <w:lang w:val="en-GB"/>
        </w:rPr>
        <w:sectPr w:rsidR="003978BF" w:rsidSect="008C0EBA">
          <w:headerReference w:type="default" r:id="rId12"/>
          <w:endnotePr>
            <w:numFmt w:val="decimal"/>
          </w:endnotePr>
          <w:pgSz w:w="12240" w:h="15840" w:code="1"/>
          <w:pgMar w:top="1080" w:right="1440" w:bottom="1440" w:left="1440" w:header="1080" w:footer="720" w:gutter="0"/>
          <w:cols w:space="720"/>
          <w:docGrid w:linePitch="360"/>
        </w:sectPr>
      </w:pPr>
      <w:r w:rsidRPr="00F40142">
        <w:rPr>
          <w:rStyle w:val="EndnoteReference1"/>
          <w:rFonts w:eastAsia="Arial Unicode MS"/>
          <w:vertAlign w:val="baseline"/>
          <w:lang w:val="en-GB"/>
        </w:rPr>
        <w:br w:type="page"/>
      </w:r>
    </w:p>
    <w:p w14:paraId="4C2F7C0F" w14:textId="32F85CD2" w:rsidR="00426D0E" w:rsidRPr="00F40142" w:rsidRDefault="00426D0E" w:rsidP="00A4363F">
      <w:pPr>
        <w:pStyle w:val="ExhibitHeading"/>
        <w:rPr>
          <w:rFonts w:eastAsia="Arial Unicode MS"/>
          <w:lang w:val="en-GB"/>
        </w:rPr>
      </w:pPr>
      <w:r w:rsidRPr="00F40142">
        <w:rPr>
          <w:rStyle w:val="EndnoteReference1"/>
          <w:rFonts w:eastAsia="Arial Unicode MS"/>
          <w:vertAlign w:val="baseline"/>
          <w:lang w:val="en-GB"/>
        </w:rPr>
        <w:lastRenderedPageBreak/>
        <w:t>Exhibit 7: Selected Competitors in the Canadian Wine Industry</w:t>
      </w:r>
    </w:p>
    <w:p w14:paraId="54B73BB1" w14:textId="77777777" w:rsidR="00426D0E" w:rsidRPr="003978BF" w:rsidRDefault="00426D0E" w:rsidP="003978BF">
      <w:pPr>
        <w:pStyle w:val="ExhibitText"/>
        <w:rPr>
          <w:rFonts w:eastAsia="Arial Unicode MS"/>
          <w:sz w:val="12"/>
          <w:szCs w:val="12"/>
          <w:lang w:val="en-GB"/>
        </w:rPr>
      </w:pPr>
    </w:p>
    <w:tbl>
      <w:tblPr>
        <w:tblW w:w="12870" w:type="dxa"/>
        <w:tblInd w:w="85" w:type="dxa"/>
        <w:tblLayout w:type="fixed"/>
        <w:tblLook w:val="0000" w:firstRow="0" w:lastRow="0" w:firstColumn="0" w:lastColumn="0" w:noHBand="0" w:noVBand="0"/>
      </w:tblPr>
      <w:tblGrid>
        <w:gridCol w:w="1710"/>
        <w:gridCol w:w="1260"/>
        <w:gridCol w:w="1530"/>
        <w:gridCol w:w="5760"/>
        <w:gridCol w:w="2610"/>
      </w:tblGrid>
      <w:tr w:rsidR="00426D0E" w:rsidRPr="003978BF" w14:paraId="58B03ABB" w14:textId="77777777" w:rsidTr="003978BF">
        <w:trPr>
          <w:trHeight w:val="179"/>
        </w:trPr>
        <w:tc>
          <w:tcPr>
            <w:tcW w:w="1710" w:type="dxa"/>
            <w:tcBorders>
              <w:top w:val="single" w:sz="4" w:space="0" w:color="000000"/>
              <w:left w:val="single" w:sz="4" w:space="0" w:color="000000"/>
              <w:bottom w:val="single" w:sz="4" w:space="0" w:color="000000"/>
            </w:tcBorders>
            <w:shd w:val="clear" w:color="auto" w:fill="auto"/>
            <w:vAlign w:val="center"/>
          </w:tcPr>
          <w:p w14:paraId="1479D2E4" w14:textId="77777777" w:rsidR="00426D0E" w:rsidRPr="003978BF" w:rsidRDefault="00426D0E" w:rsidP="00BE0DF4">
            <w:pPr>
              <w:pStyle w:val="ExhibitText"/>
              <w:spacing w:line="100" w:lineRule="atLeast"/>
              <w:jc w:val="left"/>
              <w:rPr>
                <w:rFonts w:eastAsia="Arial Unicode MS"/>
                <w:b/>
                <w:sz w:val="17"/>
                <w:szCs w:val="17"/>
                <w:lang w:val="en-GB"/>
              </w:rPr>
            </w:pPr>
            <w:r w:rsidRPr="003978BF">
              <w:rPr>
                <w:rFonts w:eastAsia="Arial Unicode MS"/>
                <w:b/>
                <w:sz w:val="17"/>
                <w:szCs w:val="17"/>
                <w:lang w:val="en-GB"/>
              </w:rPr>
              <w:t>Company</w:t>
            </w:r>
          </w:p>
        </w:tc>
        <w:tc>
          <w:tcPr>
            <w:tcW w:w="1260" w:type="dxa"/>
            <w:tcBorders>
              <w:top w:val="single" w:sz="4" w:space="0" w:color="000000"/>
              <w:left w:val="single" w:sz="4" w:space="0" w:color="000000"/>
              <w:bottom w:val="single" w:sz="4" w:space="0" w:color="000000"/>
            </w:tcBorders>
            <w:shd w:val="clear" w:color="auto" w:fill="auto"/>
            <w:vAlign w:val="center"/>
          </w:tcPr>
          <w:p w14:paraId="209C2349" w14:textId="77777777" w:rsidR="00426D0E" w:rsidRPr="003978BF" w:rsidRDefault="00426D0E" w:rsidP="00BE0DF4">
            <w:pPr>
              <w:pStyle w:val="ExhibitText"/>
              <w:spacing w:line="100" w:lineRule="atLeast"/>
              <w:jc w:val="center"/>
              <w:rPr>
                <w:rFonts w:eastAsia="Arial Unicode MS"/>
                <w:b/>
                <w:sz w:val="17"/>
                <w:szCs w:val="17"/>
                <w:lang w:val="en-GB"/>
              </w:rPr>
            </w:pPr>
            <w:r w:rsidRPr="003978BF">
              <w:rPr>
                <w:rFonts w:eastAsia="Arial Unicode MS"/>
                <w:b/>
                <w:sz w:val="17"/>
                <w:szCs w:val="17"/>
                <w:lang w:val="en-GB"/>
              </w:rPr>
              <w:t>Geographic Scope</w:t>
            </w:r>
          </w:p>
        </w:tc>
        <w:tc>
          <w:tcPr>
            <w:tcW w:w="1530" w:type="dxa"/>
            <w:tcBorders>
              <w:top w:val="single" w:sz="4" w:space="0" w:color="000000"/>
              <w:left w:val="single" w:sz="4" w:space="0" w:color="000000"/>
              <w:bottom w:val="single" w:sz="4" w:space="0" w:color="000000"/>
            </w:tcBorders>
            <w:shd w:val="clear" w:color="auto" w:fill="auto"/>
            <w:vAlign w:val="center"/>
          </w:tcPr>
          <w:p w14:paraId="210272AD" w14:textId="77777777" w:rsidR="00426D0E" w:rsidRPr="003978BF" w:rsidRDefault="00426D0E" w:rsidP="00BE0DF4">
            <w:pPr>
              <w:pStyle w:val="ExhibitText"/>
              <w:spacing w:line="100" w:lineRule="atLeast"/>
              <w:jc w:val="center"/>
              <w:rPr>
                <w:rFonts w:eastAsia="Arial Unicode MS"/>
                <w:b/>
                <w:sz w:val="17"/>
                <w:szCs w:val="17"/>
                <w:lang w:val="en-GB"/>
              </w:rPr>
            </w:pPr>
            <w:r w:rsidRPr="003978BF">
              <w:rPr>
                <w:rFonts w:eastAsia="Arial Unicode MS"/>
                <w:b/>
                <w:sz w:val="17"/>
                <w:szCs w:val="17"/>
                <w:lang w:val="en-GB"/>
              </w:rPr>
              <w:t>Product Scope</w:t>
            </w:r>
          </w:p>
        </w:tc>
        <w:tc>
          <w:tcPr>
            <w:tcW w:w="5760" w:type="dxa"/>
            <w:tcBorders>
              <w:top w:val="single" w:sz="4" w:space="0" w:color="000000"/>
              <w:left w:val="single" w:sz="4" w:space="0" w:color="000000"/>
              <w:bottom w:val="single" w:sz="4" w:space="0" w:color="000000"/>
            </w:tcBorders>
            <w:shd w:val="clear" w:color="auto" w:fill="auto"/>
            <w:vAlign w:val="center"/>
          </w:tcPr>
          <w:p w14:paraId="75F61170" w14:textId="77777777" w:rsidR="00426D0E" w:rsidRPr="003978BF" w:rsidRDefault="00426D0E" w:rsidP="00BE0DF4">
            <w:pPr>
              <w:pStyle w:val="ExhibitText"/>
              <w:spacing w:line="100" w:lineRule="atLeast"/>
              <w:jc w:val="center"/>
              <w:rPr>
                <w:rFonts w:eastAsia="Arial Unicode MS"/>
                <w:b/>
                <w:sz w:val="17"/>
                <w:szCs w:val="17"/>
                <w:lang w:val="en-GB"/>
              </w:rPr>
            </w:pPr>
            <w:r w:rsidRPr="003978BF">
              <w:rPr>
                <w:rFonts w:eastAsia="Arial Unicode MS"/>
                <w:b/>
                <w:sz w:val="17"/>
                <w:szCs w:val="17"/>
                <w:lang w:val="en-GB"/>
              </w:rPr>
              <w:t>Sample Wine Labels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7F789" w14:textId="6B307EF3" w:rsidR="00426D0E" w:rsidRPr="003978BF" w:rsidRDefault="00426D0E" w:rsidP="00BE0DF4">
            <w:pPr>
              <w:pStyle w:val="ExhibitText"/>
              <w:spacing w:line="100" w:lineRule="atLeast"/>
              <w:jc w:val="center"/>
              <w:rPr>
                <w:sz w:val="17"/>
                <w:szCs w:val="17"/>
                <w:lang w:val="en-GB"/>
              </w:rPr>
            </w:pPr>
            <w:r w:rsidRPr="003978BF">
              <w:rPr>
                <w:rFonts w:eastAsia="Arial Unicode MS"/>
                <w:b/>
                <w:sz w:val="17"/>
                <w:szCs w:val="17"/>
                <w:lang w:val="en-GB"/>
              </w:rPr>
              <w:t>Corporate Status (Public</w:t>
            </w:r>
            <w:r w:rsidR="00C23D63" w:rsidRPr="003978BF">
              <w:rPr>
                <w:rFonts w:eastAsia="Arial Unicode MS"/>
                <w:b/>
                <w:sz w:val="17"/>
                <w:szCs w:val="17"/>
                <w:lang w:val="en-GB"/>
              </w:rPr>
              <w:t xml:space="preserve"> versus </w:t>
            </w:r>
            <w:r w:rsidRPr="003978BF">
              <w:rPr>
                <w:rFonts w:eastAsia="Arial Unicode MS"/>
                <w:b/>
                <w:sz w:val="17"/>
                <w:szCs w:val="17"/>
                <w:lang w:val="en-GB"/>
              </w:rPr>
              <w:t>Private)</w:t>
            </w:r>
          </w:p>
        </w:tc>
      </w:tr>
      <w:tr w:rsidR="00426D0E" w:rsidRPr="003978BF" w14:paraId="284C947B" w14:textId="77777777" w:rsidTr="003978BF">
        <w:trPr>
          <w:trHeight w:val="386"/>
        </w:trPr>
        <w:tc>
          <w:tcPr>
            <w:tcW w:w="1710" w:type="dxa"/>
            <w:tcBorders>
              <w:top w:val="single" w:sz="4" w:space="0" w:color="000000"/>
              <w:left w:val="single" w:sz="4" w:space="0" w:color="000000"/>
              <w:bottom w:val="single" w:sz="4" w:space="0" w:color="000000"/>
            </w:tcBorders>
            <w:shd w:val="clear" w:color="auto" w:fill="auto"/>
            <w:vAlign w:val="center"/>
          </w:tcPr>
          <w:p w14:paraId="7BC9EA6D" w14:textId="2801A6E8"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Andrew Peller</w:t>
            </w:r>
            <w:r w:rsidR="00317351" w:rsidRPr="003978BF">
              <w:rPr>
                <w:rFonts w:eastAsia="Arial Unicode MS"/>
                <w:sz w:val="17"/>
                <w:szCs w:val="17"/>
                <w:lang w:val="en-GB"/>
              </w:rPr>
              <w:t xml:space="preserve"> Limited</w:t>
            </w:r>
          </w:p>
        </w:tc>
        <w:tc>
          <w:tcPr>
            <w:tcW w:w="1260" w:type="dxa"/>
            <w:tcBorders>
              <w:top w:val="single" w:sz="4" w:space="0" w:color="000000"/>
              <w:left w:val="single" w:sz="4" w:space="0" w:color="000000"/>
              <w:bottom w:val="single" w:sz="4" w:space="0" w:color="000000"/>
            </w:tcBorders>
            <w:shd w:val="clear" w:color="auto" w:fill="auto"/>
            <w:vAlign w:val="center"/>
          </w:tcPr>
          <w:p w14:paraId="0C335747"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Canada primarily</w:t>
            </w:r>
          </w:p>
        </w:tc>
        <w:tc>
          <w:tcPr>
            <w:tcW w:w="1530" w:type="dxa"/>
            <w:tcBorders>
              <w:top w:val="single" w:sz="4" w:space="0" w:color="000000"/>
              <w:left w:val="single" w:sz="4" w:space="0" w:color="000000"/>
              <w:bottom w:val="single" w:sz="4" w:space="0" w:color="000000"/>
            </w:tcBorders>
            <w:shd w:val="clear" w:color="auto" w:fill="auto"/>
            <w:vAlign w:val="center"/>
          </w:tcPr>
          <w:p w14:paraId="28A8060D" w14:textId="4704F1BE" w:rsidR="00426D0E" w:rsidRPr="003978BF" w:rsidRDefault="0095163E" w:rsidP="005009AC">
            <w:pPr>
              <w:pStyle w:val="ExhibitText"/>
              <w:spacing w:line="100" w:lineRule="atLeast"/>
              <w:jc w:val="left"/>
              <w:rPr>
                <w:rFonts w:eastAsia="Arial Unicode MS"/>
                <w:sz w:val="17"/>
                <w:szCs w:val="17"/>
                <w:u w:val="single"/>
                <w:lang w:val="en-GB"/>
              </w:rPr>
            </w:pPr>
            <w:r w:rsidRPr="003978BF">
              <w:rPr>
                <w:rFonts w:eastAsia="Arial Unicode MS"/>
                <w:sz w:val="17"/>
                <w:szCs w:val="17"/>
                <w:lang w:val="en-GB"/>
              </w:rPr>
              <w:t xml:space="preserve">Wines </w:t>
            </w:r>
            <w:r w:rsidR="00426D0E" w:rsidRPr="003978BF">
              <w:rPr>
                <w:rFonts w:eastAsia="Arial Unicode MS"/>
                <w:sz w:val="17"/>
                <w:szCs w:val="17"/>
                <w:lang w:val="en-GB"/>
              </w:rPr>
              <w:t>of various price points</w:t>
            </w:r>
            <w:r w:rsidRPr="003978BF">
              <w:rPr>
                <w:rFonts w:eastAsia="Arial Unicode MS"/>
                <w:sz w:val="17"/>
                <w:szCs w:val="17"/>
                <w:lang w:val="en-GB"/>
              </w:rPr>
              <w:t>;</w:t>
            </w:r>
            <w:r w:rsidR="00426D0E" w:rsidRPr="003978BF">
              <w:rPr>
                <w:rFonts w:eastAsia="Arial Unicode MS"/>
                <w:sz w:val="17"/>
                <w:szCs w:val="17"/>
                <w:lang w:val="en-GB"/>
              </w:rPr>
              <w:t xml:space="preserve"> many labels</w:t>
            </w:r>
          </w:p>
        </w:tc>
        <w:tc>
          <w:tcPr>
            <w:tcW w:w="5760" w:type="dxa"/>
            <w:tcBorders>
              <w:top w:val="single" w:sz="4" w:space="0" w:color="000000"/>
              <w:left w:val="single" w:sz="4" w:space="0" w:color="000000"/>
              <w:bottom w:val="single" w:sz="4" w:space="0" w:color="000000"/>
            </w:tcBorders>
            <w:shd w:val="clear" w:color="auto" w:fill="auto"/>
            <w:vAlign w:val="center"/>
          </w:tcPr>
          <w:p w14:paraId="50FCF098" w14:textId="5F4F7811"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VQA:</w:t>
            </w:r>
            <w:r w:rsidR="0087257A" w:rsidRPr="003978BF">
              <w:rPr>
                <w:rFonts w:eastAsia="Arial Unicode MS"/>
                <w:sz w:val="17"/>
                <w:szCs w:val="17"/>
                <w:lang w:val="en-GB"/>
              </w:rPr>
              <w:t xml:space="preserve"> </w:t>
            </w:r>
            <w:r w:rsidRPr="003978BF">
              <w:rPr>
                <w:rFonts w:eastAsia="Arial Unicode MS"/>
                <w:sz w:val="17"/>
                <w:szCs w:val="17"/>
                <w:lang w:val="en-GB"/>
              </w:rPr>
              <w:t>Peller Estates, Trius, Wayne Gretzky Estates</w:t>
            </w:r>
            <w:r w:rsidRPr="003978BF">
              <w:rPr>
                <w:rFonts w:eastAsia="Arial Unicode MS"/>
                <w:sz w:val="17"/>
                <w:szCs w:val="17"/>
                <w:lang w:val="en-GB"/>
              </w:rPr>
              <w:br/>
              <w:t>Varietals:</w:t>
            </w:r>
            <w:r w:rsidR="0087257A" w:rsidRPr="003978BF">
              <w:rPr>
                <w:rFonts w:eastAsia="Arial Unicode MS"/>
                <w:sz w:val="17"/>
                <w:szCs w:val="17"/>
                <w:lang w:val="en-GB"/>
              </w:rPr>
              <w:t xml:space="preserve"> </w:t>
            </w:r>
            <w:r w:rsidRPr="003978BF">
              <w:rPr>
                <w:rFonts w:eastAsia="Arial Unicode MS"/>
                <w:sz w:val="17"/>
                <w:szCs w:val="17"/>
                <w:lang w:val="en-GB"/>
              </w:rPr>
              <w:t>French Cross, Copper Moon, Black Cellar, XOXO, Domaine d</w:t>
            </w:r>
            <w:r w:rsidR="00D20ABA" w:rsidRPr="003978BF">
              <w:rPr>
                <w:rFonts w:eastAsia="Arial Unicode MS"/>
                <w:sz w:val="17"/>
                <w:szCs w:val="17"/>
                <w:lang w:val="en-GB"/>
              </w:rPr>
              <w:t>’</w:t>
            </w:r>
            <w:r w:rsidRPr="003978BF">
              <w:rPr>
                <w:rFonts w:eastAsia="Arial Unicode MS"/>
                <w:sz w:val="17"/>
                <w:szCs w:val="17"/>
                <w:lang w:val="en-GB"/>
              </w:rPr>
              <w:t>Or</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6E930" w14:textId="5F60FA07"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Public</w:t>
            </w:r>
            <w:r w:rsidR="00872ED6" w:rsidRPr="003978BF">
              <w:rPr>
                <w:rFonts w:eastAsia="Arial Unicode MS"/>
                <w:sz w:val="17"/>
                <w:szCs w:val="17"/>
                <w:lang w:val="en-GB"/>
              </w:rPr>
              <w:t>—</w:t>
            </w:r>
            <w:r w:rsidR="009961CF" w:rsidRPr="003978BF">
              <w:rPr>
                <w:rFonts w:eastAsia="Arial Unicode MS"/>
                <w:sz w:val="17"/>
                <w:szCs w:val="17"/>
                <w:lang w:val="en-GB"/>
              </w:rPr>
              <w:t>based in Canada</w:t>
            </w:r>
            <w:r w:rsidRPr="003978BF">
              <w:rPr>
                <w:rFonts w:eastAsia="Arial Unicode MS"/>
                <w:sz w:val="17"/>
                <w:szCs w:val="17"/>
                <w:lang w:val="en-GB"/>
              </w:rPr>
              <w:t>,</w:t>
            </w:r>
            <w:r w:rsidR="009961CF" w:rsidRPr="003978BF">
              <w:rPr>
                <w:rFonts w:eastAsia="Arial Unicode MS"/>
                <w:sz w:val="17"/>
                <w:szCs w:val="17"/>
                <w:lang w:val="en-GB"/>
              </w:rPr>
              <w:t xml:space="preserve"> listed on</w:t>
            </w:r>
            <w:r w:rsidRPr="003978BF">
              <w:rPr>
                <w:rFonts w:eastAsia="Arial Unicode MS"/>
                <w:sz w:val="17"/>
                <w:szCs w:val="17"/>
                <w:lang w:val="en-GB"/>
              </w:rPr>
              <w:t xml:space="preserve"> TS</w:t>
            </w:r>
            <w:r w:rsidR="00E82CA3" w:rsidRPr="003978BF">
              <w:rPr>
                <w:rFonts w:eastAsia="Arial Unicode MS"/>
                <w:sz w:val="17"/>
                <w:szCs w:val="17"/>
                <w:lang w:val="en-GB"/>
              </w:rPr>
              <w:t>X</w:t>
            </w:r>
          </w:p>
        </w:tc>
      </w:tr>
      <w:tr w:rsidR="00426D0E" w:rsidRPr="003978BF" w14:paraId="0E0F8216" w14:textId="77777777" w:rsidTr="003978BF">
        <w:trPr>
          <w:trHeight w:val="692"/>
        </w:trPr>
        <w:tc>
          <w:tcPr>
            <w:tcW w:w="1710" w:type="dxa"/>
            <w:tcBorders>
              <w:top w:val="single" w:sz="4" w:space="0" w:color="000000"/>
              <w:left w:val="single" w:sz="4" w:space="0" w:color="000000"/>
              <w:bottom w:val="single" w:sz="4" w:space="0" w:color="000000"/>
            </w:tcBorders>
            <w:shd w:val="clear" w:color="auto" w:fill="auto"/>
            <w:vAlign w:val="center"/>
          </w:tcPr>
          <w:p w14:paraId="1CE8F572" w14:textId="12E55261"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Concha </w:t>
            </w:r>
            <w:r w:rsidR="00F54B7D" w:rsidRPr="003978BF">
              <w:rPr>
                <w:rFonts w:eastAsia="Arial Unicode MS"/>
                <w:sz w:val="17"/>
                <w:szCs w:val="17"/>
                <w:lang w:val="en-GB"/>
              </w:rPr>
              <w:t xml:space="preserve">y </w:t>
            </w:r>
            <w:r w:rsidRPr="003978BF">
              <w:rPr>
                <w:rFonts w:eastAsia="Arial Unicode MS"/>
                <w:sz w:val="17"/>
                <w:szCs w:val="17"/>
                <w:lang w:val="en-GB"/>
              </w:rPr>
              <w:t>Toro</w:t>
            </w:r>
          </w:p>
        </w:tc>
        <w:tc>
          <w:tcPr>
            <w:tcW w:w="1260" w:type="dxa"/>
            <w:tcBorders>
              <w:top w:val="single" w:sz="4" w:space="0" w:color="000000"/>
              <w:left w:val="single" w:sz="4" w:space="0" w:color="000000"/>
              <w:bottom w:val="single" w:sz="4" w:space="0" w:color="000000"/>
            </w:tcBorders>
            <w:shd w:val="clear" w:color="auto" w:fill="auto"/>
            <w:vAlign w:val="center"/>
          </w:tcPr>
          <w:p w14:paraId="301CEA2F" w14:textId="02960392"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International but i</w:t>
            </w:r>
            <w:r w:rsidR="0095163E" w:rsidRPr="003978BF">
              <w:rPr>
                <w:rFonts w:eastAsia="Arial Unicode MS"/>
                <w:sz w:val="17"/>
                <w:szCs w:val="17"/>
                <w:lang w:val="en-GB"/>
              </w:rPr>
              <w:t>ncluding</w:t>
            </w:r>
            <w:r w:rsidRPr="003978BF">
              <w:rPr>
                <w:rFonts w:eastAsia="Arial Unicode MS"/>
                <w:sz w:val="17"/>
                <w:szCs w:val="17"/>
                <w:lang w:val="en-GB"/>
              </w:rPr>
              <w:t xml:space="preserve"> Canada</w:t>
            </w:r>
          </w:p>
        </w:tc>
        <w:tc>
          <w:tcPr>
            <w:tcW w:w="1530" w:type="dxa"/>
            <w:tcBorders>
              <w:top w:val="single" w:sz="4" w:space="0" w:color="000000"/>
              <w:left w:val="single" w:sz="4" w:space="0" w:color="000000"/>
              <w:bottom w:val="single" w:sz="4" w:space="0" w:color="000000"/>
            </w:tcBorders>
            <w:shd w:val="clear" w:color="auto" w:fill="auto"/>
            <w:vAlign w:val="center"/>
          </w:tcPr>
          <w:p w14:paraId="6050E9C2" w14:textId="5013B195" w:rsidR="00426D0E" w:rsidRPr="003978BF" w:rsidRDefault="0095163E" w:rsidP="005009AC">
            <w:pPr>
              <w:pStyle w:val="ExhibitText"/>
              <w:spacing w:line="100" w:lineRule="atLeast"/>
              <w:jc w:val="left"/>
              <w:rPr>
                <w:rFonts w:eastAsia="Arial Unicode MS"/>
                <w:sz w:val="17"/>
                <w:szCs w:val="17"/>
                <w:u w:val="single"/>
                <w:lang w:val="en-GB"/>
              </w:rPr>
            </w:pPr>
            <w:r w:rsidRPr="003978BF">
              <w:rPr>
                <w:rFonts w:eastAsia="Arial Unicode MS"/>
                <w:sz w:val="17"/>
                <w:szCs w:val="17"/>
                <w:lang w:val="en-GB"/>
              </w:rPr>
              <w:t>Wines of various price points; many labels</w:t>
            </w:r>
          </w:p>
        </w:tc>
        <w:tc>
          <w:tcPr>
            <w:tcW w:w="5760" w:type="dxa"/>
            <w:tcBorders>
              <w:top w:val="single" w:sz="4" w:space="0" w:color="000000"/>
              <w:left w:val="single" w:sz="4" w:space="0" w:color="000000"/>
              <w:bottom w:val="single" w:sz="4" w:space="0" w:color="000000"/>
            </w:tcBorders>
            <w:shd w:val="clear" w:color="auto" w:fill="auto"/>
            <w:vAlign w:val="center"/>
          </w:tcPr>
          <w:p w14:paraId="1B24ABC5" w14:textId="2AAA43AA"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Premium Brands: </w:t>
            </w:r>
            <w:proofErr w:type="spellStart"/>
            <w:r w:rsidRPr="003978BF">
              <w:rPr>
                <w:rFonts w:eastAsia="Arial Unicode MS"/>
                <w:sz w:val="17"/>
                <w:szCs w:val="17"/>
                <w:lang w:val="en-GB"/>
              </w:rPr>
              <w:t>Leyenda</w:t>
            </w:r>
            <w:proofErr w:type="spellEnd"/>
            <w:r w:rsidRPr="003978BF">
              <w:rPr>
                <w:rFonts w:eastAsia="Arial Unicode MS"/>
                <w:sz w:val="17"/>
                <w:szCs w:val="17"/>
                <w:lang w:val="en-GB"/>
              </w:rPr>
              <w:t xml:space="preserve">, </w:t>
            </w:r>
            <w:proofErr w:type="spellStart"/>
            <w:r w:rsidRPr="003978BF">
              <w:rPr>
                <w:rFonts w:eastAsia="Arial Unicode MS"/>
                <w:sz w:val="17"/>
                <w:szCs w:val="17"/>
                <w:lang w:val="en-GB"/>
              </w:rPr>
              <w:t>Reserva</w:t>
            </w:r>
            <w:proofErr w:type="spellEnd"/>
            <w:r w:rsidRPr="003978BF">
              <w:rPr>
                <w:rFonts w:eastAsia="Arial Unicode MS"/>
                <w:sz w:val="17"/>
                <w:szCs w:val="17"/>
                <w:lang w:val="en-GB"/>
              </w:rPr>
              <w:t xml:space="preserve"> </w:t>
            </w:r>
            <w:proofErr w:type="spellStart"/>
            <w:r w:rsidRPr="003978BF">
              <w:rPr>
                <w:rFonts w:eastAsia="Arial Unicode MS"/>
                <w:sz w:val="17"/>
                <w:szCs w:val="17"/>
                <w:lang w:val="en-GB"/>
              </w:rPr>
              <w:t>Privada</w:t>
            </w:r>
            <w:proofErr w:type="spellEnd"/>
            <w:r w:rsidRPr="003978BF">
              <w:rPr>
                <w:rFonts w:eastAsia="Arial Unicode MS"/>
                <w:sz w:val="17"/>
                <w:szCs w:val="17"/>
                <w:lang w:val="en-GB"/>
              </w:rPr>
              <w:t>, Trio, Devil</w:t>
            </w:r>
            <w:r w:rsidR="00D20ABA" w:rsidRPr="003978BF">
              <w:rPr>
                <w:rFonts w:eastAsia="Arial Unicode MS"/>
                <w:sz w:val="17"/>
                <w:szCs w:val="17"/>
                <w:lang w:val="en-GB"/>
              </w:rPr>
              <w:t>’</w:t>
            </w:r>
            <w:r w:rsidRPr="003978BF">
              <w:rPr>
                <w:rFonts w:eastAsia="Arial Unicode MS"/>
                <w:sz w:val="17"/>
                <w:szCs w:val="17"/>
                <w:lang w:val="en-GB"/>
              </w:rPr>
              <w:t>s Collection</w:t>
            </w:r>
          </w:p>
          <w:p w14:paraId="68DE5472" w14:textId="60F28DE6"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Fine Wines: Don Melchor, Marques de Casa</w:t>
            </w:r>
            <w:r w:rsidR="0095163E" w:rsidRPr="003978BF">
              <w:rPr>
                <w:rFonts w:eastAsia="Arial Unicode MS"/>
                <w:sz w:val="17"/>
                <w:szCs w:val="17"/>
                <w:lang w:val="en-GB"/>
              </w:rPr>
              <w:t xml:space="preserve"> Concha</w:t>
            </w:r>
            <w:r w:rsidRPr="003978BF">
              <w:rPr>
                <w:rFonts w:eastAsia="Arial Unicode MS"/>
                <w:sz w:val="17"/>
                <w:szCs w:val="17"/>
                <w:lang w:val="en-GB"/>
              </w:rPr>
              <w:t xml:space="preserve">, Gran </w:t>
            </w:r>
            <w:proofErr w:type="spellStart"/>
            <w:r w:rsidRPr="003978BF">
              <w:rPr>
                <w:rFonts w:eastAsia="Arial Unicode MS"/>
                <w:sz w:val="17"/>
                <w:szCs w:val="17"/>
                <w:lang w:val="en-GB"/>
              </w:rPr>
              <w:t>Reserva</w:t>
            </w:r>
            <w:proofErr w:type="spellEnd"/>
            <w:r w:rsidRPr="003978BF">
              <w:rPr>
                <w:rFonts w:eastAsia="Arial Unicode MS"/>
                <w:sz w:val="17"/>
                <w:szCs w:val="17"/>
                <w:lang w:val="en-GB"/>
              </w:rPr>
              <w:t xml:space="preserve"> Series</w:t>
            </w:r>
            <w:r w:rsidR="00F40142" w:rsidRPr="003978BF">
              <w:rPr>
                <w:rFonts w:eastAsia="Arial Unicode MS"/>
                <w:sz w:val="17"/>
                <w:szCs w:val="17"/>
                <w:lang w:val="en-GB"/>
              </w:rPr>
              <w:t xml:space="preserve"> </w:t>
            </w:r>
          </w:p>
          <w:p w14:paraId="345A75E0"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Varietal Wines: Sunrise, Frontera Specialties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8F1C3" w14:textId="661E07E0" w:rsidR="00426D0E" w:rsidRPr="003978BF" w:rsidRDefault="00426D0E" w:rsidP="004C10BD">
            <w:pPr>
              <w:pStyle w:val="ExhibitText"/>
              <w:spacing w:line="100" w:lineRule="atLeast"/>
              <w:jc w:val="left"/>
              <w:rPr>
                <w:sz w:val="17"/>
                <w:szCs w:val="17"/>
                <w:lang w:val="en-GB"/>
              </w:rPr>
            </w:pPr>
            <w:r w:rsidRPr="003978BF">
              <w:rPr>
                <w:rFonts w:eastAsia="Arial Unicode MS"/>
                <w:sz w:val="17"/>
                <w:szCs w:val="17"/>
                <w:lang w:val="en-GB"/>
              </w:rPr>
              <w:t>Public</w:t>
            </w:r>
            <w:r w:rsidR="00872ED6" w:rsidRPr="003978BF">
              <w:rPr>
                <w:rFonts w:eastAsia="Arial Unicode MS"/>
                <w:sz w:val="17"/>
                <w:szCs w:val="17"/>
                <w:lang w:val="en-GB"/>
              </w:rPr>
              <w:t>—</w:t>
            </w:r>
            <w:r w:rsidRPr="003978BF">
              <w:rPr>
                <w:rFonts w:eastAsia="Arial Unicode MS"/>
                <w:sz w:val="17"/>
                <w:szCs w:val="17"/>
                <w:lang w:val="en-GB"/>
              </w:rPr>
              <w:t xml:space="preserve">based in Chile but </w:t>
            </w:r>
            <w:r w:rsidR="009961CF" w:rsidRPr="003978BF">
              <w:rPr>
                <w:rFonts w:eastAsia="Arial Unicode MS"/>
                <w:sz w:val="17"/>
                <w:szCs w:val="17"/>
                <w:lang w:val="en-GB"/>
              </w:rPr>
              <w:t xml:space="preserve">listed on </w:t>
            </w:r>
            <w:r w:rsidRPr="003978BF">
              <w:rPr>
                <w:rFonts w:eastAsia="Arial Unicode MS"/>
                <w:sz w:val="17"/>
                <w:szCs w:val="17"/>
                <w:lang w:val="en-GB"/>
              </w:rPr>
              <w:t xml:space="preserve">NASDAQ </w:t>
            </w:r>
          </w:p>
        </w:tc>
      </w:tr>
      <w:tr w:rsidR="00426D0E" w:rsidRPr="003978BF" w14:paraId="71788339" w14:textId="77777777" w:rsidTr="003978BF">
        <w:trPr>
          <w:trHeight w:val="260"/>
        </w:trPr>
        <w:tc>
          <w:tcPr>
            <w:tcW w:w="1710" w:type="dxa"/>
            <w:tcBorders>
              <w:top w:val="single" w:sz="4" w:space="0" w:color="000000"/>
              <w:left w:val="single" w:sz="4" w:space="0" w:color="000000"/>
              <w:bottom w:val="single" w:sz="4" w:space="0" w:color="000000"/>
            </w:tcBorders>
            <w:shd w:val="clear" w:color="auto" w:fill="auto"/>
            <w:vAlign w:val="center"/>
          </w:tcPr>
          <w:p w14:paraId="03FE3AF8" w14:textId="29211AEE"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Constellation </w:t>
            </w:r>
            <w:r w:rsidR="00C23D63" w:rsidRPr="003978BF">
              <w:rPr>
                <w:rFonts w:eastAsia="Arial Unicode MS"/>
                <w:sz w:val="17"/>
                <w:szCs w:val="17"/>
                <w:lang w:val="en-GB"/>
              </w:rPr>
              <w:t>Brands Inc.</w:t>
            </w:r>
          </w:p>
        </w:tc>
        <w:tc>
          <w:tcPr>
            <w:tcW w:w="1260" w:type="dxa"/>
            <w:tcBorders>
              <w:top w:val="single" w:sz="4" w:space="0" w:color="000000"/>
              <w:left w:val="single" w:sz="4" w:space="0" w:color="000000"/>
              <w:bottom w:val="single" w:sz="4" w:space="0" w:color="000000"/>
            </w:tcBorders>
            <w:shd w:val="clear" w:color="auto" w:fill="auto"/>
            <w:vAlign w:val="center"/>
          </w:tcPr>
          <w:p w14:paraId="4B28FFAE"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North America</w:t>
            </w:r>
          </w:p>
        </w:tc>
        <w:tc>
          <w:tcPr>
            <w:tcW w:w="1530" w:type="dxa"/>
            <w:tcBorders>
              <w:top w:val="single" w:sz="4" w:space="0" w:color="000000"/>
              <w:left w:val="single" w:sz="4" w:space="0" w:color="000000"/>
              <w:bottom w:val="single" w:sz="4" w:space="0" w:color="000000"/>
            </w:tcBorders>
            <w:shd w:val="clear" w:color="auto" w:fill="auto"/>
            <w:vAlign w:val="center"/>
          </w:tcPr>
          <w:p w14:paraId="7EE589E7" w14:textId="7612EE48"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r w:rsidR="00426D0E" w:rsidRPr="003978BF">
              <w:rPr>
                <w:rFonts w:eastAsia="Arial Unicode MS"/>
                <w:sz w:val="17"/>
                <w:szCs w:val="17"/>
                <w:lang w:val="en-GB"/>
              </w:rPr>
              <w:t>, beer, spirits</w:t>
            </w:r>
          </w:p>
        </w:tc>
        <w:tc>
          <w:tcPr>
            <w:tcW w:w="5760" w:type="dxa"/>
            <w:tcBorders>
              <w:top w:val="single" w:sz="4" w:space="0" w:color="000000"/>
              <w:left w:val="single" w:sz="4" w:space="0" w:color="000000"/>
              <w:bottom w:val="single" w:sz="4" w:space="0" w:color="000000"/>
            </w:tcBorders>
            <w:shd w:val="clear" w:color="auto" w:fill="auto"/>
            <w:vAlign w:val="center"/>
          </w:tcPr>
          <w:p w14:paraId="46E85F00" w14:textId="3793861B"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Kim Crawford</w:t>
            </w:r>
            <w:r w:rsidR="00426D0E" w:rsidRPr="003978BF">
              <w:rPr>
                <w:rFonts w:eastAsia="Arial Unicode MS"/>
                <w:sz w:val="17"/>
                <w:szCs w:val="17"/>
                <w:lang w:val="en-GB"/>
              </w:rPr>
              <w:t>, Mark West, Robert Mondavi, Prisoner, Ravenswood, Cooper &amp; Thief</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1550C" w14:textId="7814C3F7" w:rsidR="00426D0E" w:rsidRPr="003978BF" w:rsidRDefault="00872ED6" w:rsidP="005009AC">
            <w:pPr>
              <w:pStyle w:val="ExhibitText"/>
              <w:spacing w:line="100" w:lineRule="atLeast"/>
              <w:jc w:val="left"/>
              <w:rPr>
                <w:sz w:val="17"/>
                <w:szCs w:val="17"/>
                <w:lang w:val="en-GB"/>
              </w:rPr>
            </w:pPr>
            <w:r w:rsidRPr="003978BF">
              <w:rPr>
                <w:rFonts w:eastAsia="Arial Unicode MS"/>
                <w:sz w:val="17"/>
                <w:szCs w:val="17"/>
                <w:lang w:val="en-GB"/>
              </w:rPr>
              <w:t>Public—</w:t>
            </w:r>
            <w:r w:rsidR="009961CF" w:rsidRPr="003978BF">
              <w:rPr>
                <w:rFonts w:eastAsia="Arial Unicode MS"/>
                <w:sz w:val="17"/>
                <w:szCs w:val="17"/>
                <w:lang w:val="en-GB"/>
              </w:rPr>
              <w:t xml:space="preserve">based in the </w:t>
            </w:r>
            <w:r w:rsidRPr="003978BF">
              <w:rPr>
                <w:rFonts w:eastAsia="Arial Unicode MS"/>
                <w:sz w:val="17"/>
                <w:szCs w:val="17"/>
                <w:lang w:val="en-GB"/>
              </w:rPr>
              <w:t>United States</w:t>
            </w:r>
            <w:r w:rsidR="00426D0E" w:rsidRPr="003978BF">
              <w:rPr>
                <w:rFonts w:eastAsia="Arial Unicode MS"/>
                <w:sz w:val="17"/>
                <w:szCs w:val="17"/>
                <w:lang w:val="en-GB"/>
              </w:rPr>
              <w:t xml:space="preserve"> based</w:t>
            </w:r>
            <w:r w:rsidRPr="003978BF">
              <w:rPr>
                <w:rFonts w:eastAsia="Arial Unicode MS"/>
                <w:sz w:val="17"/>
                <w:szCs w:val="17"/>
                <w:lang w:val="en-GB"/>
              </w:rPr>
              <w:t xml:space="preserve">, </w:t>
            </w:r>
            <w:r w:rsidR="009961CF" w:rsidRPr="003978BF">
              <w:rPr>
                <w:rFonts w:eastAsia="Arial Unicode MS"/>
                <w:sz w:val="17"/>
                <w:szCs w:val="17"/>
                <w:lang w:val="en-GB"/>
              </w:rPr>
              <w:t xml:space="preserve">listed on </w:t>
            </w:r>
            <w:r w:rsidR="00426D0E" w:rsidRPr="003978BF">
              <w:rPr>
                <w:rFonts w:eastAsia="Arial Unicode MS"/>
                <w:sz w:val="17"/>
                <w:szCs w:val="17"/>
                <w:lang w:val="en-GB"/>
              </w:rPr>
              <w:t>NYSE</w:t>
            </w:r>
            <w:r w:rsidRPr="003978BF">
              <w:rPr>
                <w:rFonts w:eastAsia="Arial Unicode MS"/>
                <w:sz w:val="17"/>
                <w:szCs w:val="17"/>
                <w:lang w:val="en-GB"/>
              </w:rPr>
              <w:t xml:space="preserve"> </w:t>
            </w:r>
          </w:p>
        </w:tc>
      </w:tr>
      <w:tr w:rsidR="00426D0E" w:rsidRPr="003978BF" w14:paraId="1B45BB69" w14:textId="77777777" w:rsidTr="003978BF">
        <w:trPr>
          <w:trHeight w:val="503"/>
        </w:trPr>
        <w:tc>
          <w:tcPr>
            <w:tcW w:w="1710" w:type="dxa"/>
            <w:tcBorders>
              <w:top w:val="single" w:sz="4" w:space="0" w:color="000000"/>
              <w:left w:val="single" w:sz="4" w:space="0" w:color="000000"/>
              <w:bottom w:val="single" w:sz="4" w:space="0" w:color="000000"/>
            </w:tcBorders>
            <w:shd w:val="clear" w:color="auto" w:fill="auto"/>
            <w:vAlign w:val="center"/>
          </w:tcPr>
          <w:p w14:paraId="374F280E" w14:textId="5730BA2F"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Truett-Hurst</w:t>
            </w:r>
            <w:r w:rsidR="00C23D63" w:rsidRPr="003978BF">
              <w:rPr>
                <w:rFonts w:eastAsia="Arial Unicode MS"/>
                <w:sz w:val="17"/>
                <w:szCs w:val="17"/>
                <w:lang w:val="en-GB"/>
              </w:rPr>
              <w:t xml:space="preserve"> Inc.</w:t>
            </w:r>
          </w:p>
        </w:tc>
        <w:tc>
          <w:tcPr>
            <w:tcW w:w="1260" w:type="dxa"/>
            <w:tcBorders>
              <w:top w:val="single" w:sz="4" w:space="0" w:color="000000"/>
              <w:left w:val="single" w:sz="4" w:space="0" w:color="000000"/>
              <w:bottom w:val="single" w:sz="4" w:space="0" w:color="000000"/>
            </w:tcBorders>
            <w:shd w:val="clear" w:color="auto" w:fill="auto"/>
            <w:vAlign w:val="center"/>
          </w:tcPr>
          <w:p w14:paraId="72C06EC9" w14:textId="4FAEDF81"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United States</w:t>
            </w:r>
            <w:r w:rsidR="00426D0E" w:rsidRPr="003978BF">
              <w:rPr>
                <w:rFonts w:eastAsia="Arial Unicode MS"/>
                <w:sz w:val="17"/>
                <w:szCs w:val="17"/>
                <w:lang w:val="en-GB"/>
              </w:rPr>
              <w:t xml:space="preserve"> primarily</w:t>
            </w:r>
          </w:p>
        </w:tc>
        <w:tc>
          <w:tcPr>
            <w:tcW w:w="1530" w:type="dxa"/>
            <w:tcBorders>
              <w:top w:val="single" w:sz="4" w:space="0" w:color="000000"/>
              <w:left w:val="single" w:sz="4" w:space="0" w:color="000000"/>
              <w:bottom w:val="single" w:sz="4" w:space="0" w:color="000000"/>
            </w:tcBorders>
            <w:shd w:val="clear" w:color="auto" w:fill="auto"/>
            <w:vAlign w:val="center"/>
          </w:tcPr>
          <w:p w14:paraId="5B66FCB8" w14:textId="02C12C9C"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18FA07AC" w14:textId="4C4691EE"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Truett</w:t>
            </w:r>
            <w:r w:rsidR="0095163E" w:rsidRPr="003978BF">
              <w:rPr>
                <w:rFonts w:eastAsia="Arial Unicode MS"/>
                <w:sz w:val="17"/>
                <w:szCs w:val="17"/>
                <w:lang w:val="en-GB"/>
              </w:rPr>
              <w:t>-</w:t>
            </w:r>
            <w:r w:rsidRPr="003978BF">
              <w:rPr>
                <w:rFonts w:eastAsia="Arial Unicode MS"/>
                <w:sz w:val="17"/>
                <w:szCs w:val="17"/>
                <w:lang w:val="en-GB"/>
              </w:rPr>
              <w:t xml:space="preserve">Hurst, Colby Red, Eden Ridge, Dearly Beloved, Bewitched, Cakebox, </w:t>
            </w:r>
            <w:r w:rsidR="007050DD" w:rsidRPr="003978BF">
              <w:rPr>
                <w:rFonts w:eastAsia="Arial Unicode MS"/>
                <w:sz w:val="17"/>
                <w:szCs w:val="17"/>
                <w:lang w:val="en-GB"/>
              </w:rPr>
              <w:t>Château Crisp</w:t>
            </w:r>
            <w:r w:rsidRPr="003978BF">
              <w:rPr>
                <w:rFonts w:eastAsia="Arial Unicode MS"/>
                <w:sz w:val="17"/>
                <w:szCs w:val="17"/>
                <w:lang w:val="en-GB"/>
              </w:rPr>
              <w:t xml:space="preserve">, Curious Beasts, Inconspicuous, Mad Duck, </w:t>
            </w:r>
            <w:r w:rsidR="007050DD" w:rsidRPr="003978BF">
              <w:rPr>
                <w:rFonts w:eastAsia="Arial Unicode MS"/>
                <w:sz w:val="17"/>
                <w:szCs w:val="17"/>
                <w:lang w:val="en-GB"/>
              </w:rPr>
              <w:t xml:space="preserve">United </w:t>
            </w:r>
            <w:r w:rsidRPr="003978BF">
              <w:rPr>
                <w:rFonts w:eastAsia="Arial Unicode MS"/>
                <w:sz w:val="17"/>
                <w:szCs w:val="17"/>
                <w:lang w:val="en-GB"/>
              </w:rPr>
              <w:t xml:space="preserve">Republic of Wine, Fugitive, One Armed Man, </w:t>
            </w:r>
            <w:r w:rsidR="007050DD" w:rsidRPr="003978BF">
              <w:rPr>
                <w:rFonts w:eastAsia="Arial Unicode MS"/>
                <w:sz w:val="17"/>
                <w:szCs w:val="17"/>
                <w:lang w:val="en-GB"/>
              </w:rPr>
              <w:t>Wine with No Name</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50961" w14:textId="662474E2"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Public</w:t>
            </w:r>
            <w:r w:rsidR="001E2D9B" w:rsidRPr="003978BF">
              <w:rPr>
                <w:rFonts w:eastAsia="Arial Unicode MS"/>
                <w:sz w:val="17"/>
                <w:szCs w:val="17"/>
                <w:lang w:val="en-GB"/>
              </w:rPr>
              <w:t>—</w:t>
            </w:r>
            <w:r w:rsidR="009961CF" w:rsidRPr="003978BF">
              <w:rPr>
                <w:rFonts w:eastAsia="Arial Unicode MS"/>
                <w:sz w:val="17"/>
                <w:szCs w:val="17"/>
                <w:lang w:val="en-GB"/>
              </w:rPr>
              <w:t xml:space="preserve">based in the </w:t>
            </w:r>
            <w:r w:rsidR="001E2D9B" w:rsidRPr="003978BF">
              <w:rPr>
                <w:rFonts w:eastAsia="Arial Unicode MS"/>
                <w:sz w:val="17"/>
                <w:szCs w:val="17"/>
                <w:lang w:val="en-GB"/>
              </w:rPr>
              <w:t>United States</w:t>
            </w:r>
            <w:r w:rsidR="009961CF" w:rsidRPr="003978BF">
              <w:rPr>
                <w:rFonts w:eastAsia="Arial Unicode MS"/>
                <w:sz w:val="17"/>
                <w:szCs w:val="17"/>
                <w:lang w:val="en-GB"/>
              </w:rPr>
              <w:t>, listed</w:t>
            </w:r>
            <w:r w:rsidRPr="003978BF">
              <w:rPr>
                <w:rFonts w:eastAsia="Arial Unicode MS"/>
                <w:sz w:val="17"/>
                <w:szCs w:val="17"/>
                <w:lang w:val="en-GB"/>
              </w:rPr>
              <w:t xml:space="preserve"> </w:t>
            </w:r>
            <w:r w:rsidR="009961CF" w:rsidRPr="003978BF">
              <w:rPr>
                <w:rFonts w:eastAsia="Arial Unicode MS"/>
                <w:sz w:val="17"/>
                <w:szCs w:val="17"/>
                <w:lang w:val="en-GB"/>
              </w:rPr>
              <w:t xml:space="preserve">on </w:t>
            </w:r>
            <w:r w:rsidRPr="003978BF">
              <w:rPr>
                <w:rFonts w:eastAsia="Arial Unicode MS"/>
                <w:sz w:val="17"/>
                <w:szCs w:val="17"/>
                <w:lang w:val="en-GB"/>
              </w:rPr>
              <w:t>NASDAQ</w:t>
            </w:r>
            <w:r w:rsidR="001E2D9B" w:rsidRPr="003978BF">
              <w:rPr>
                <w:rFonts w:eastAsia="Arial Unicode MS"/>
                <w:sz w:val="17"/>
                <w:szCs w:val="17"/>
                <w:lang w:val="en-GB"/>
              </w:rPr>
              <w:t xml:space="preserve"> </w:t>
            </w:r>
          </w:p>
        </w:tc>
      </w:tr>
      <w:tr w:rsidR="00426D0E" w:rsidRPr="003978BF" w14:paraId="3B7E5A0D" w14:textId="77777777" w:rsidTr="003978BF">
        <w:trPr>
          <w:trHeight w:val="206"/>
        </w:trPr>
        <w:tc>
          <w:tcPr>
            <w:tcW w:w="1710" w:type="dxa"/>
            <w:tcBorders>
              <w:top w:val="single" w:sz="4" w:space="0" w:color="000000"/>
              <w:left w:val="single" w:sz="4" w:space="0" w:color="000000"/>
              <w:bottom w:val="single" w:sz="4" w:space="0" w:color="000000"/>
            </w:tcBorders>
            <w:shd w:val="clear" w:color="auto" w:fill="auto"/>
            <w:vAlign w:val="center"/>
          </w:tcPr>
          <w:p w14:paraId="5D337792" w14:textId="3A20A122"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Corby Spirit and Wine</w:t>
            </w:r>
            <w:r w:rsidR="00C23D63" w:rsidRPr="003978BF">
              <w:rPr>
                <w:rFonts w:eastAsia="Arial Unicode MS"/>
                <w:sz w:val="17"/>
                <w:szCs w:val="17"/>
                <w:lang w:val="en-GB"/>
              </w:rPr>
              <w:t xml:space="preserve"> Limited</w:t>
            </w:r>
          </w:p>
        </w:tc>
        <w:tc>
          <w:tcPr>
            <w:tcW w:w="1260" w:type="dxa"/>
            <w:tcBorders>
              <w:top w:val="single" w:sz="4" w:space="0" w:color="000000"/>
              <w:left w:val="single" w:sz="4" w:space="0" w:color="000000"/>
              <w:bottom w:val="single" w:sz="4" w:space="0" w:color="000000"/>
            </w:tcBorders>
            <w:shd w:val="clear" w:color="auto" w:fill="auto"/>
            <w:vAlign w:val="center"/>
          </w:tcPr>
          <w:p w14:paraId="1A7F005F" w14:textId="1FA4F006"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Canada but also international </w:t>
            </w:r>
          </w:p>
        </w:tc>
        <w:tc>
          <w:tcPr>
            <w:tcW w:w="1530" w:type="dxa"/>
            <w:tcBorders>
              <w:top w:val="single" w:sz="4" w:space="0" w:color="000000"/>
              <w:left w:val="single" w:sz="4" w:space="0" w:color="000000"/>
              <w:bottom w:val="single" w:sz="4" w:space="0" w:color="000000"/>
            </w:tcBorders>
            <w:shd w:val="clear" w:color="auto" w:fill="auto"/>
            <w:vAlign w:val="center"/>
          </w:tcPr>
          <w:p w14:paraId="153DF84F" w14:textId="1598DB91"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r w:rsidR="00426D0E" w:rsidRPr="003978BF">
              <w:rPr>
                <w:rFonts w:eastAsia="Arial Unicode MS"/>
                <w:sz w:val="17"/>
                <w:szCs w:val="17"/>
                <w:lang w:val="en-GB"/>
              </w:rPr>
              <w:t>, spirits</w:t>
            </w:r>
          </w:p>
        </w:tc>
        <w:tc>
          <w:tcPr>
            <w:tcW w:w="5760" w:type="dxa"/>
            <w:tcBorders>
              <w:top w:val="single" w:sz="4" w:space="0" w:color="000000"/>
              <w:left w:val="single" w:sz="4" w:space="0" w:color="000000"/>
              <w:bottom w:val="single" w:sz="4" w:space="0" w:color="000000"/>
            </w:tcBorders>
            <w:shd w:val="clear" w:color="auto" w:fill="auto"/>
            <w:vAlign w:val="center"/>
          </w:tcPr>
          <w:p w14:paraId="056BA03B" w14:textId="47C0C5A6"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Many famous brown and white liquors (whiskey, vodka</w:t>
            </w:r>
            <w:r w:rsidR="004606BC" w:rsidRPr="003978BF">
              <w:rPr>
                <w:rFonts w:eastAsia="Arial Unicode MS"/>
                <w:sz w:val="17"/>
                <w:szCs w:val="17"/>
                <w:lang w:val="en-GB"/>
              </w:rPr>
              <w:t>,</w:t>
            </w:r>
            <w:r w:rsidRPr="003978BF">
              <w:rPr>
                <w:rFonts w:eastAsia="Arial Unicode MS"/>
                <w:sz w:val="17"/>
                <w:szCs w:val="17"/>
                <w:lang w:val="en-GB"/>
              </w:rPr>
              <w:t xml:space="preserve"> etc</w:t>
            </w:r>
            <w:r w:rsidR="004606BC" w:rsidRPr="003978BF">
              <w:rPr>
                <w:rFonts w:eastAsia="Arial Unicode MS"/>
                <w:sz w:val="17"/>
                <w:szCs w:val="17"/>
                <w:lang w:val="en-GB"/>
              </w:rPr>
              <w:t>.</w:t>
            </w:r>
            <w:r w:rsidRPr="003978BF">
              <w:rPr>
                <w:rFonts w:eastAsia="Arial Unicode MS"/>
                <w:sz w:val="17"/>
                <w:szCs w:val="17"/>
                <w:lang w:val="en-GB"/>
              </w:rPr>
              <w:t>)</w:t>
            </w:r>
            <w:r w:rsidRPr="003978BF">
              <w:rPr>
                <w:rFonts w:eastAsia="Arial Unicode MS"/>
                <w:i/>
                <w:iCs/>
                <w:sz w:val="17"/>
                <w:szCs w:val="17"/>
                <w:lang w:val="en-GB"/>
              </w:rPr>
              <w:t xml:space="preserve"> </w:t>
            </w:r>
            <w:r w:rsidRPr="003978BF">
              <w:rPr>
                <w:rFonts w:eastAsia="Arial Unicode MS"/>
                <w:i/>
                <w:iCs/>
                <w:sz w:val="17"/>
                <w:szCs w:val="17"/>
                <w:lang w:val="en-GB"/>
              </w:rPr>
              <w:br/>
            </w:r>
            <w:r w:rsidRPr="003978BF">
              <w:rPr>
                <w:rFonts w:eastAsia="Arial Unicode MS"/>
                <w:sz w:val="17"/>
                <w:szCs w:val="17"/>
                <w:lang w:val="en-GB"/>
              </w:rPr>
              <w:t>Wines: Jacob</w:t>
            </w:r>
            <w:r w:rsidR="00D20ABA" w:rsidRPr="003978BF">
              <w:rPr>
                <w:rFonts w:eastAsia="Arial Unicode MS"/>
                <w:sz w:val="17"/>
                <w:szCs w:val="17"/>
                <w:lang w:val="en-GB"/>
              </w:rPr>
              <w:t>’</w:t>
            </w:r>
            <w:r w:rsidRPr="003978BF">
              <w:rPr>
                <w:rFonts w:eastAsia="Arial Unicode MS"/>
                <w:sz w:val="17"/>
                <w:szCs w:val="17"/>
                <w:lang w:val="en-GB"/>
              </w:rPr>
              <w:t xml:space="preserve">s Creek, </w:t>
            </w:r>
            <w:r w:rsidR="009D5AE1" w:rsidRPr="003978BF">
              <w:rPr>
                <w:rFonts w:eastAsia="Arial Unicode MS"/>
                <w:sz w:val="17"/>
                <w:szCs w:val="17"/>
                <w:lang w:val="en-GB"/>
              </w:rPr>
              <w:t>Foreign Affair</w:t>
            </w:r>
            <w:r w:rsidRPr="003978BF">
              <w:rPr>
                <w:rFonts w:eastAsia="Arial Unicode MS"/>
                <w:sz w:val="17"/>
                <w:szCs w:val="17"/>
                <w:lang w:val="en-GB"/>
              </w:rPr>
              <w:t xml:space="preserve">, George Wyndham, </w:t>
            </w:r>
            <w:proofErr w:type="spellStart"/>
            <w:r w:rsidRPr="003978BF">
              <w:rPr>
                <w:rFonts w:eastAsia="Arial Unicode MS"/>
                <w:sz w:val="17"/>
                <w:szCs w:val="17"/>
                <w:lang w:val="en-GB"/>
              </w:rPr>
              <w:t>Brancott</w:t>
            </w:r>
            <w:proofErr w:type="spellEnd"/>
            <w:r w:rsidRPr="003978BF">
              <w:rPr>
                <w:rFonts w:eastAsia="Arial Unicode MS"/>
                <w:sz w:val="17"/>
                <w:szCs w:val="17"/>
                <w:lang w:val="en-GB"/>
              </w:rPr>
              <w:t xml:space="preserve"> Estate, Buried Hope, Cupcake</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EAD63" w14:textId="062F7DA8"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Public</w:t>
            </w:r>
            <w:r w:rsidR="001E2D9B" w:rsidRPr="003978BF">
              <w:rPr>
                <w:rFonts w:eastAsia="Arial Unicode MS"/>
                <w:sz w:val="17"/>
                <w:szCs w:val="17"/>
                <w:lang w:val="en-GB"/>
              </w:rPr>
              <w:t>—</w:t>
            </w:r>
            <w:r w:rsidR="009961CF" w:rsidRPr="003978BF">
              <w:rPr>
                <w:rFonts w:eastAsia="Arial Unicode MS"/>
                <w:sz w:val="17"/>
                <w:szCs w:val="17"/>
                <w:lang w:val="en-GB"/>
              </w:rPr>
              <w:t xml:space="preserve">listed on </w:t>
            </w:r>
            <w:r w:rsidRPr="003978BF">
              <w:rPr>
                <w:rFonts w:eastAsia="Arial Unicode MS"/>
                <w:sz w:val="17"/>
                <w:szCs w:val="17"/>
                <w:lang w:val="en-GB"/>
              </w:rPr>
              <w:t>TS</w:t>
            </w:r>
            <w:r w:rsidR="00E82CA3" w:rsidRPr="003978BF">
              <w:rPr>
                <w:rFonts w:eastAsia="Arial Unicode MS"/>
                <w:sz w:val="17"/>
                <w:szCs w:val="17"/>
                <w:lang w:val="en-GB"/>
              </w:rPr>
              <w:t>X</w:t>
            </w:r>
            <w:r w:rsidRPr="003978BF">
              <w:rPr>
                <w:rFonts w:eastAsia="Arial Unicode MS"/>
                <w:sz w:val="17"/>
                <w:szCs w:val="17"/>
                <w:lang w:val="en-GB"/>
              </w:rPr>
              <w:t xml:space="preserve"> </w:t>
            </w:r>
          </w:p>
        </w:tc>
      </w:tr>
      <w:tr w:rsidR="00426D0E" w:rsidRPr="003978BF" w14:paraId="0613B430" w14:textId="77777777" w:rsidTr="003978BF">
        <w:trPr>
          <w:trHeight w:val="629"/>
        </w:trPr>
        <w:tc>
          <w:tcPr>
            <w:tcW w:w="1710" w:type="dxa"/>
            <w:tcBorders>
              <w:top w:val="single" w:sz="4" w:space="0" w:color="000000"/>
              <w:left w:val="single" w:sz="4" w:space="0" w:color="000000"/>
              <w:bottom w:val="single" w:sz="4" w:space="0" w:color="000000"/>
            </w:tcBorders>
            <w:shd w:val="clear" w:color="auto" w:fill="auto"/>
            <w:vAlign w:val="center"/>
          </w:tcPr>
          <w:p w14:paraId="79516934" w14:textId="66105F60" w:rsidR="00426D0E" w:rsidRPr="003978BF" w:rsidRDefault="00426D0E" w:rsidP="005009AC">
            <w:pPr>
              <w:pStyle w:val="ExhibitText"/>
              <w:spacing w:line="100" w:lineRule="atLeast"/>
              <w:jc w:val="left"/>
              <w:rPr>
                <w:rFonts w:eastAsia="Arial Unicode MS"/>
                <w:sz w:val="17"/>
                <w:szCs w:val="17"/>
                <w:lang w:val="en-GB"/>
              </w:rPr>
            </w:pPr>
            <w:proofErr w:type="spellStart"/>
            <w:r w:rsidRPr="003978BF">
              <w:rPr>
                <w:rFonts w:eastAsia="Arial Unicode MS"/>
                <w:sz w:val="17"/>
                <w:szCs w:val="17"/>
                <w:lang w:val="en-GB"/>
              </w:rPr>
              <w:t>Arterra</w:t>
            </w:r>
            <w:proofErr w:type="spellEnd"/>
            <w:r w:rsidR="00C23D63" w:rsidRPr="003978BF">
              <w:rPr>
                <w:rFonts w:eastAsia="Arial Unicode MS"/>
                <w:sz w:val="17"/>
                <w:szCs w:val="17"/>
                <w:lang w:val="en-GB"/>
              </w:rPr>
              <w:t xml:space="preserve"> Wines Canada</w:t>
            </w:r>
          </w:p>
        </w:tc>
        <w:tc>
          <w:tcPr>
            <w:tcW w:w="1260" w:type="dxa"/>
            <w:tcBorders>
              <w:top w:val="single" w:sz="4" w:space="0" w:color="000000"/>
              <w:left w:val="single" w:sz="4" w:space="0" w:color="000000"/>
              <w:bottom w:val="single" w:sz="4" w:space="0" w:color="000000"/>
            </w:tcBorders>
            <w:shd w:val="clear" w:color="auto" w:fill="auto"/>
            <w:vAlign w:val="center"/>
          </w:tcPr>
          <w:p w14:paraId="433DF0D8"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Canada</w:t>
            </w:r>
          </w:p>
        </w:tc>
        <w:tc>
          <w:tcPr>
            <w:tcW w:w="1530" w:type="dxa"/>
            <w:tcBorders>
              <w:top w:val="single" w:sz="4" w:space="0" w:color="000000"/>
              <w:left w:val="single" w:sz="4" w:space="0" w:color="000000"/>
              <w:bottom w:val="single" w:sz="4" w:space="0" w:color="000000"/>
            </w:tcBorders>
            <w:shd w:val="clear" w:color="auto" w:fill="auto"/>
            <w:vAlign w:val="center"/>
          </w:tcPr>
          <w:p w14:paraId="3A4D592C" w14:textId="5F8E7C2C"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4462CA7F" w14:textId="1AAEFB1B"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Jackson-</w:t>
            </w:r>
            <w:proofErr w:type="spellStart"/>
            <w:r w:rsidRPr="003978BF">
              <w:rPr>
                <w:rFonts w:eastAsia="Arial Unicode MS"/>
                <w:sz w:val="17"/>
                <w:szCs w:val="17"/>
                <w:lang w:val="en-GB"/>
              </w:rPr>
              <w:t>Triggs</w:t>
            </w:r>
            <w:proofErr w:type="spellEnd"/>
            <w:r w:rsidRPr="003978BF">
              <w:rPr>
                <w:rFonts w:eastAsia="Arial Unicode MS"/>
                <w:sz w:val="17"/>
                <w:szCs w:val="17"/>
                <w:lang w:val="en-GB"/>
              </w:rPr>
              <w:t xml:space="preserve">, </w:t>
            </w:r>
            <w:proofErr w:type="spellStart"/>
            <w:r w:rsidRPr="003978BF">
              <w:rPr>
                <w:rFonts w:eastAsia="Arial Unicode MS"/>
                <w:sz w:val="17"/>
                <w:szCs w:val="17"/>
                <w:lang w:val="en-GB"/>
              </w:rPr>
              <w:t>Inniskillin</w:t>
            </w:r>
            <w:proofErr w:type="spellEnd"/>
            <w:r w:rsidRPr="003978BF">
              <w:rPr>
                <w:rFonts w:eastAsia="Arial Unicode MS"/>
                <w:sz w:val="17"/>
                <w:szCs w:val="17"/>
                <w:lang w:val="en-GB"/>
              </w:rPr>
              <w:t xml:space="preserve">, </w:t>
            </w:r>
            <w:proofErr w:type="spellStart"/>
            <w:r w:rsidR="009D5AE1" w:rsidRPr="003978BF">
              <w:rPr>
                <w:rFonts w:eastAsia="Arial Unicode MS"/>
                <w:sz w:val="17"/>
                <w:szCs w:val="17"/>
                <w:lang w:val="en-GB"/>
              </w:rPr>
              <w:t>Nk’Mip</w:t>
            </w:r>
            <w:proofErr w:type="spellEnd"/>
            <w:r w:rsidRPr="003978BF">
              <w:rPr>
                <w:rFonts w:eastAsia="Arial Unicode MS"/>
                <w:sz w:val="17"/>
                <w:szCs w:val="17"/>
                <w:lang w:val="en-GB"/>
              </w:rPr>
              <w:t>,</w:t>
            </w:r>
            <w:r w:rsidRPr="003978BF">
              <w:rPr>
                <w:rFonts w:eastAsia="Arial Unicode MS"/>
                <w:sz w:val="17"/>
                <w:szCs w:val="17"/>
                <w:lang w:val="en-GB"/>
              </w:rPr>
              <w:br/>
              <w:t xml:space="preserve">Sawmill Creek, Bodacious, Woodbridge By Robert Mondavi, Naked Grape, </w:t>
            </w:r>
            <w:r w:rsidR="009D5AE1" w:rsidRPr="003978BF">
              <w:rPr>
                <w:rFonts w:eastAsia="Arial Unicode MS"/>
                <w:sz w:val="17"/>
                <w:szCs w:val="17"/>
                <w:lang w:val="en-GB"/>
              </w:rPr>
              <w:t>Ravenswood</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F37FD" w14:textId="53D49CB8"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Private</w:t>
            </w:r>
            <w:r w:rsidR="00A5621D" w:rsidRPr="003978BF">
              <w:rPr>
                <w:rFonts w:eastAsia="Arial Unicode MS"/>
                <w:sz w:val="17"/>
                <w:szCs w:val="17"/>
                <w:lang w:val="en-GB"/>
              </w:rPr>
              <w:t xml:space="preserve"> (</w:t>
            </w:r>
            <w:r w:rsidRPr="003978BF">
              <w:rPr>
                <w:rFonts w:eastAsia="Arial Unicode MS"/>
                <w:sz w:val="17"/>
                <w:szCs w:val="17"/>
                <w:lang w:val="en-GB"/>
              </w:rPr>
              <w:t>but part of Constellation until 2017</w:t>
            </w:r>
            <w:r w:rsidR="00A5621D" w:rsidRPr="003978BF">
              <w:rPr>
                <w:rFonts w:eastAsia="Arial Unicode MS"/>
                <w:sz w:val="17"/>
                <w:szCs w:val="17"/>
                <w:lang w:val="en-GB"/>
              </w:rPr>
              <w:t>)</w:t>
            </w:r>
          </w:p>
        </w:tc>
      </w:tr>
      <w:tr w:rsidR="00426D0E" w:rsidRPr="003978BF" w14:paraId="39C9D500" w14:textId="77777777" w:rsidTr="003978BF">
        <w:trPr>
          <w:trHeight w:val="42"/>
        </w:trPr>
        <w:tc>
          <w:tcPr>
            <w:tcW w:w="1710" w:type="dxa"/>
            <w:tcBorders>
              <w:top w:val="single" w:sz="4" w:space="0" w:color="000000"/>
              <w:left w:val="single" w:sz="4" w:space="0" w:color="000000"/>
              <w:bottom w:val="single" w:sz="4" w:space="0" w:color="000000"/>
            </w:tcBorders>
            <w:shd w:val="clear" w:color="auto" w:fill="auto"/>
            <w:vAlign w:val="center"/>
          </w:tcPr>
          <w:p w14:paraId="3CF44FA8"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Treasury Wine Estates</w:t>
            </w:r>
          </w:p>
        </w:tc>
        <w:tc>
          <w:tcPr>
            <w:tcW w:w="1260" w:type="dxa"/>
            <w:tcBorders>
              <w:top w:val="single" w:sz="4" w:space="0" w:color="000000"/>
              <w:left w:val="single" w:sz="4" w:space="0" w:color="000000"/>
              <w:bottom w:val="single" w:sz="4" w:space="0" w:color="000000"/>
            </w:tcBorders>
            <w:shd w:val="clear" w:color="auto" w:fill="auto"/>
            <w:vAlign w:val="center"/>
          </w:tcPr>
          <w:p w14:paraId="03A0BF0B"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International</w:t>
            </w:r>
          </w:p>
        </w:tc>
        <w:tc>
          <w:tcPr>
            <w:tcW w:w="1530" w:type="dxa"/>
            <w:tcBorders>
              <w:top w:val="single" w:sz="4" w:space="0" w:color="000000"/>
              <w:left w:val="single" w:sz="4" w:space="0" w:color="000000"/>
              <w:bottom w:val="single" w:sz="4" w:space="0" w:color="000000"/>
            </w:tcBorders>
            <w:shd w:val="clear" w:color="auto" w:fill="auto"/>
            <w:vAlign w:val="center"/>
          </w:tcPr>
          <w:p w14:paraId="48CDC8C3" w14:textId="1E8D0F05" w:rsidR="00426D0E" w:rsidRPr="003978BF" w:rsidRDefault="0095163E" w:rsidP="005009AC">
            <w:pPr>
              <w:pStyle w:val="ExhibitText"/>
              <w:spacing w:line="100" w:lineRule="atLeast"/>
              <w:jc w:val="left"/>
              <w:rPr>
                <w:rFonts w:eastAsia="Arial Unicode MS"/>
                <w:sz w:val="17"/>
                <w:szCs w:val="17"/>
                <w:u w:val="single"/>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199BAA6C" w14:textId="0D1ECD6A"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Luxury Brands: Penfolds, </w:t>
            </w:r>
            <w:r w:rsidR="00793DEF" w:rsidRPr="003978BF">
              <w:rPr>
                <w:rFonts w:eastAsia="Arial Unicode MS"/>
                <w:sz w:val="17"/>
                <w:szCs w:val="17"/>
                <w:lang w:val="en-GB"/>
              </w:rPr>
              <w:t>Beaulieu Vineyard</w:t>
            </w:r>
            <w:r w:rsidRPr="003978BF">
              <w:rPr>
                <w:rFonts w:eastAsia="Arial Unicode MS"/>
                <w:sz w:val="17"/>
                <w:szCs w:val="17"/>
                <w:lang w:val="en-GB"/>
              </w:rPr>
              <w:t xml:space="preserve">, </w:t>
            </w:r>
            <w:proofErr w:type="spellStart"/>
            <w:r w:rsidRPr="003978BF">
              <w:rPr>
                <w:rFonts w:eastAsia="Arial Unicode MS"/>
                <w:sz w:val="17"/>
                <w:szCs w:val="17"/>
                <w:lang w:val="en-GB"/>
              </w:rPr>
              <w:t>Beringer</w:t>
            </w:r>
            <w:proofErr w:type="spellEnd"/>
            <w:r w:rsidR="00793DEF" w:rsidRPr="003978BF">
              <w:rPr>
                <w:rFonts w:eastAsia="Arial Unicode MS"/>
                <w:sz w:val="17"/>
                <w:szCs w:val="17"/>
                <w:lang w:val="en-GB"/>
              </w:rPr>
              <w:t>,</w:t>
            </w:r>
            <w:r w:rsidRPr="003978BF">
              <w:rPr>
                <w:rFonts w:eastAsia="Arial Unicode MS"/>
                <w:sz w:val="17"/>
                <w:szCs w:val="17"/>
                <w:lang w:val="en-GB"/>
              </w:rPr>
              <w:t xml:space="preserve"> Maison de Grand Esprit</w:t>
            </w:r>
            <w:r w:rsidR="00793DEF" w:rsidRPr="003978BF">
              <w:rPr>
                <w:rFonts w:eastAsia="Arial Unicode MS"/>
                <w:sz w:val="17"/>
                <w:szCs w:val="17"/>
                <w:lang w:val="en-GB"/>
              </w:rPr>
              <w:t>,</w:t>
            </w:r>
            <w:r w:rsidRPr="003978BF">
              <w:rPr>
                <w:rFonts w:eastAsia="Arial Unicode MS"/>
                <w:sz w:val="17"/>
                <w:szCs w:val="17"/>
                <w:lang w:val="en-GB"/>
              </w:rPr>
              <w:t xml:space="preserve"> </w:t>
            </w:r>
            <w:r w:rsidR="00793DEF" w:rsidRPr="003978BF">
              <w:rPr>
                <w:rFonts w:eastAsia="Arial Unicode MS"/>
                <w:sz w:val="17"/>
                <w:szCs w:val="17"/>
                <w:lang w:val="en-GB"/>
              </w:rPr>
              <w:t xml:space="preserve">Wolf </w:t>
            </w:r>
            <w:r w:rsidRPr="003978BF">
              <w:rPr>
                <w:rFonts w:eastAsia="Arial Unicode MS"/>
                <w:sz w:val="17"/>
                <w:szCs w:val="17"/>
                <w:lang w:val="en-GB"/>
              </w:rPr>
              <w:t xml:space="preserve">Blass, </w:t>
            </w:r>
            <w:r w:rsidR="005E2807" w:rsidRPr="003978BF">
              <w:rPr>
                <w:rFonts w:eastAsia="Arial Unicode MS"/>
                <w:sz w:val="17"/>
                <w:szCs w:val="17"/>
                <w:lang w:val="en-GB"/>
              </w:rPr>
              <w:t>Rawson’s</w:t>
            </w:r>
            <w:r w:rsidRPr="003978BF">
              <w:rPr>
                <w:rFonts w:eastAsia="Arial Unicode MS"/>
                <w:sz w:val="17"/>
                <w:szCs w:val="17"/>
                <w:lang w:val="en-GB"/>
              </w:rPr>
              <w:t xml:space="preserve"> Retreat </w:t>
            </w:r>
          </w:p>
          <w:p w14:paraId="03E5B2F3" w14:textId="71BB11AE"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Drinkables: Lindeman</w:t>
            </w:r>
            <w:r w:rsidR="00D20ABA" w:rsidRPr="003978BF">
              <w:rPr>
                <w:rFonts w:eastAsia="Arial Unicode MS"/>
                <w:sz w:val="17"/>
                <w:szCs w:val="17"/>
                <w:lang w:val="en-GB"/>
              </w:rPr>
              <w:t>’</w:t>
            </w:r>
            <w:r w:rsidRPr="003978BF">
              <w:rPr>
                <w:rFonts w:eastAsia="Arial Unicode MS"/>
                <w:sz w:val="17"/>
                <w:szCs w:val="17"/>
                <w:lang w:val="en-GB"/>
              </w:rPr>
              <w:t>s, Walking Dead, 19 Crimes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ED338" w14:textId="06BE2009"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Public</w:t>
            </w:r>
            <w:r w:rsidR="00A5621D" w:rsidRPr="003978BF">
              <w:rPr>
                <w:rFonts w:eastAsia="Arial Unicode MS"/>
                <w:sz w:val="17"/>
                <w:szCs w:val="17"/>
                <w:lang w:val="en-GB"/>
              </w:rPr>
              <w:t>—</w:t>
            </w:r>
            <w:r w:rsidR="00362EAA" w:rsidRPr="003978BF">
              <w:rPr>
                <w:rFonts w:eastAsia="Arial Unicode MS"/>
                <w:sz w:val="17"/>
                <w:szCs w:val="17"/>
                <w:lang w:val="en-GB"/>
              </w:rPr>
              <w:t>l</w:t>
            </w:r>
            <w:r w:rsidR="009961CF" w:rsidRPr="003978BF">
              <w:rPr>
                <w:rFonts w:eastAsia="Arial Unicode MS"/>
                <w:sz w:val="17"/>
                <w:szCs w:val="17"/>
                <w:lang w:val="en-GB"/>
              </w:rPr>
              <w:t xml:space="preserve">isted on </w:t>
            </w:r>
            <w:r w:rsidR="00A5621D" w:rsidRPr="003978BF">
              <w:rPr>
                <w:rFonts w:eastAsia="Arial Unicode MS"/>
                <w:sz w:val="17"/>
                <w:szCs w:val="17"/>
                <w:lang w:val="en-GB"/>
              </w:rPr>
              <w:t>ASX</w:t>
            </w:r>
          </w:p>
        </w:tc>
      </w:tr>
      <w:tr w:rsidR="00426D0E" w:rsidRPr="003978BF" w14:paraId="06A9787A" w14:textId="77777777" w:rsidTr="003978BF">
        <w:trPr>
          <w:trHeight w:val="42"/>
        </w:trPr>
        <w:tc>
          <w:tcPr>
            <w:tcW w:w="1710" w:type="dxa"/>
            <w:tcBorders>
              <w:top w:val="single" w:sz="4" w:space="0" w:color="000000"/>
              <w:left w:val="single" w:sz="4" w:space="0" w:color="000000"/>
              <w:bottom w:val="single" w:sz="4" w:space="0" w:color="000000"/>
            </w:tcBorders>
            <w:shd w:val="clear" w:color="auto" w:fill="auto"/>
            <w:vAlign w:val="center"/>
          </w:tcPr>
          <w:p w14:paraId="0EFD29AF" w14:textId="69150E75"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Accolade</w:t>
            </w:r>
            <w:r w:rsidR="00C23D63" w:rsidRPr="003978BF">
              <w:rPr>
                <w:rFonts w:eastAsia="Arial Unicode MS"/>
                <w:sz w:val="17"/>
                <w:szCs w:val="17"/>
                <w:lang w:val="en-GB"/>
              </w:rPr>
              <w:t xml:space="preserve"> Wines</w:t>
            </w:r>
          </w:p>
        </w:tc>
        <w:tc>
          <w:tcPr>
            <w:tcW w:w="1260" w:type="dxa"/>
            <w:tcBorders>
              <w:top w:val="single" w:sz="4" w:space="0" w:color="000000"/>
              <w:left w:val="single" w:sz="4" w:space="0" w:color="000000"/>
              <w:bottom w:val="single" w:sz="4" w:space="0" w:color="000000"/>
            </w:tcBorders>
            <w:shd w:val="clear" w:color="auto" w:fill="auto"/>
            <w:vAlign w:val="center"/>
          </w:tcPr>
          <w:p w14:paraId="2134D965"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Australia</w:t>
            </w:r>
          </w:p>
        </w:tc>
        <w:tc>
          <w:tcPr>
            <w:tcW w:w="1530" w:type="dxa"/>
            <w:tcBorders>
              <w:top w:val="single" w:sz="4" w:space="0" w:color="000000"/>
              <w:left w:val="single" w:sz="4" w:space="0" w:color="000000"/>
              <w:bottom w:val="single" w:sz="4" w:space="0" w:color="000000"/>
            </w:tcBorders>
            <w:shd w:val="clear" w:color="auto" w:fill="auto"/>
            <w:vAlign w:val="center"/>
          </w:tcPr>
          <w:p w14:paraId="0384C1B9" w14:textId="57AE40F2"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17089B5E" w14:textId="52FE6D90" w:rsidR="00426D0E" w:rsidRPr="003978BF" w:rsidRDefault="00426D0E" w:rsidP="005009AC">
            <w:pPr>
              <w:pStyle w:val="ExhibitText"/>
              <w:spacing w:line="100" w:lineRule="atLeast"/>
              <w:jc w:val="left"/>
              <w:rPr>
                <w:rFonts w:eastAsia="Arial Unicode MS"/>
                <w:sz w:val="17"/>
                <w:szCs w:val="17"/>
                <w:lang w:val="en-GB"/>
              </w:rPr>
            </w:pPr>
            <w:proofErr w:type="spellStart"/>
            <w:r w:rsidRPr="003978BF">
              <w:rPr>
                <w:rFonts w:eastAsia="Arial Unicode MS"/>
                <w:sz w:val="17"/>
                <w:szCs w:val="17"/>
                <w:lang w:val="en-GB"/>
              </w:rPr>
              <w:t>XYZin</w:t>
            </w:r>
            <w:proofErr w:type="spellEnd"/>
            <w:r w:rsidRPr="003978BF">
              <w:rPr>
                <w:rFonts w:eastAsia="Arial Unicode MS"/>
                <w:sz w:val="17"/>
                <w:szCs w:val="17"/>
                <w:lang w:val="en-GB"/>
              </w:rPr>
              <w:t xml:space="preserve">, Geyser </w:t>
            </w:r>
            <w:r w:rsidR="00BC5394" w:rsidRPr="003978BF">
              <w:rPr>
                <w:rFonts w:eastAsia="Arial Unicode MS"/>
                <w:sz w:val="17"/>
                <w:szCs w:val="17"/>
                <w:lang w:val="en-GB"/>
              </w:rPr>
              <w:t>Peak</w:t>
            </w:r>
            <w:r w:rsidRPr="003978BF">
              <w:rPr>
                <w:rFonts w:eastAsia="Arial Unicode MS"/>
                <w:sz w:val="17"/>
                <w:szCs w:val="17"/>
                <w:lang w:val="en-GB"/>
              </w:rPr>
              <w:t>, Echo Falls, Atlas</w:t>
            </w:r>
            <w:r w:rsidR="00BC5394" w:rsidRPr="003978BF">
              <w:rPr>
                <w:rFonts w:eastAsia="Arial Unicode MS"/>
                <w:sz w:val="17"/>
                <w:szCs w:val="17"/>
                <w:lang w:val="en-GB"/>
              </w:rPr>
              <w:t xml:space="preserve"> </w:t>
            </w:r>
            <w:r w:rsidRPr="003978BF">
              <w:rPr>
                <w:rFonts w:eastAsia="Arial Unicode MS"/>
                <w:sz w:val="17"/>
                <w:szCs w:val="17"/>
                <w:lang w:val="en-GB"/>
              </w:rPr>
              <w:t>Peak, Turner Road</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D31BA" w14:textId="77777777"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Private</w:t>
            </w:r>
          </w:p>
        </w:tc>
      </w:tr>
      <w:tr w:rsidR="00426D0E" w:rsidRPr="003978BF" w14:paraId="7F9CAF8C" w14:textId="77777777" w:rsidTr="003978BF">
        <w:trPr>
          <w:trHeight w:val="56"/>
        </w:trPr>
        <w:tc>
          <w:tcPr>
            <w:tcW w:w="1710" w:type="dxa"/>
            <w:tcBorders>
              <w:top w:val="single" w:sz="4" w:space="0" w:color="000000"/>
              <w:left w:val="single" w:sz="4" w:space="0" w:color="000000"/>
              <w:bottom w:val="single" w:sz="4" w:space="0" w:color="000000"/>
            </w:tcBorders>
            <w:shd w:val="clear" w:color="auto" w:fill="auto"/>
            <w:vAlign w:val="center"/>
          </w:tcPr>
          <w:p w14:paraId="2E7F93DF" w14:textId="05BE0B80" w:rsidR="00426D0E" w:rsidRPr="003978BF" w:rsidRDefault="00C23D63"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E &amp; J Gallo Winery</w:t>
            </w:r>
          </w:p>
        </w:tc>
        <w:tc>
          <w:tcPr>
            <w:tcW w:w="1260" w:type="dxa"/>
            <w:tcBorders>
              <w:top w:val="single" w:sz="4" w:space="0" w:color="000000"/>
              <w:left w:val="single" w:sz="4" w:space="0" w:color="000000"/>
              <w:bottom w:val="single" w:sz="4" w:space="0" w:color="000000"/>
            </w:tcBorders>
            <w:shd w:val="clear" w:color="auto" w:fill="auto"/>
            <w:vAlign w:val="center"/>
          </w:tcPr>
          <w:p w14:paraId="6F58AAA6"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North America</w:t>
            </w:r>
          </w:p>
        </w:tc>
        <w:tc>
          <w:tcPr>
            <w:tcW w:w="1530" w:type="dxa"/>
            <w:tcBorders>
              <w:top w:val="single" w:sz="4" w:space="0" w:color="000000"/>
              <w:left w:val="single" w:sz="4" w:space="0" w:color="000000"/>
              <w:bottom w:val="single" w:sz="4" w:space="0" w:color="000000"/>
            </w:tcBorders>
            <w:shd w:val="clear" w:color="auto" w:fill="auto"/>
            <w:vAlign w:val="center"/>
          </w:tcPr>
          <w:p w14:paraId="37979DF0" w14:textId="66CBED56"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4E92CEF0" w14:textId="46DFB669" w:rsidR="00426D0E" w:rsidRPr="003978BF" w:rsidRDefault="00426D0E" w:rsidP="005009AC">
            <w:pPr>
              <w:pStyle w:val="ExhibitText"/>
              <w:spacing w:line="100" w:lineRule="atLeast"/>
              <w:jc w:val="left"/>
              <w:rPr>
                <w:rFonts w:eastAsia="Arial Unicode MS"/>
                <w:sz w:val="17"/>
                <w:szCs w:val="17"/>
                <w:lang w:val="en-GB"/>
              </w:rPr>
            </w:pPr>
            <w:proofErr w:type="spellStart"/>
            <w:r w:rsidRPr="003978BF">
              <w:rPr>
                <w:rFonts w:eastAsia="Arial Unicode MS"/>
                <w:sz w:val="17"/>
                <w:szCs w:val="17"/>
                <w:lang w:val="en-GB"/>
              </w:rPr>
              <w:t>Apothic</w:t>
            </w:r>
            <w:proofErr w:type="spellEnd"/>
            <w:r w:rsidRPr="003978BF">
              <w:rPr>
                <w:rFonts w:eastAsia="Arial Unicode MS"/>
                <w:sz w:val="17"/>
                <w:szCs w:val="17"/>
                <w:lang w:val="en-GB"/>
              </w:rPr>
              <w:t>, Naked Grape</w:t>
            </w:r>
            <w:r w:rsidR="00BC5394" w:rsidRPr="003978BF">
              <w:rPr>
                <w:rFonts w:eastAsia="Arial Unicode MS"/>
                <w:sz w:val="17"/>
                <w:szCs w:val="17"/>
                <w:lang w:val="en-GB"/>
              </w:rPr>
              <w:t>,</w:t>
            </w:r>
            <w:r w:rsidRPr="003978BF">
              <w:rPr>
                <w:rFonts w:eastAsia="Arial Unicode MS"/>
                <w:sz w:val="17"/>
                <w:szCs w:val="17"/>
                <w:lang w:val="en-GB"/>
              </w:rPr>
              <w:t xml:space="preserve"> and dozens </w:t>
            </w:r>
            <w:r w:rsidR="00C7491C" w:rsidRPr="003978BF">
              <w:rPr>
                <w:rFonts w:eastAsia="Arial Unicode MS"/>
                <w:sz w:val="17"/>
                <w:szCs w:val="17"/>
                <w:lang w:val="en-GB"/>
              </w:rPr>
              <w:t>more</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9A35A" w14:textId="0F65BC61"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Private</w:t>
            </w:r>
            <w:r w:rsidR="00A5621D" w:rsidRPr="003978BF">
              <w:rPr>
                <w:rFonts w:eastAsia="Arial Unicode MS"/>
                <w:sz w:val="17"/>
                <w:szCs w:val="17"/>
                <w:lang w:val="en-GB"/>
              </w:rPr>
              <w:t>—</w:t>
            </w:r>
            <w:r w:rsidR="00362EAA" w:rsidRPr="003978BF">
              <w:rPr>
                <w:rFonts w:eastAsia="Arial Unicode MS"/>
                <w:sz w:val="17"/>
                <w:szCs w:val="17"/>
                <w:lang w:val="en-GB"/>
              </w:rPr>
              <w:t>b</w:t>
            </w:r>
            <w:r w:rsidR="009961CF" w:rsidRPr="003978BF">
              <w:rPr>
                <w:rFonts w:eastAsia="Arial Unicode MS"/>
                <w:sz w:val="17"/>
                <w:szCs w:val="17"/>
                <w:lang w:val="en-GB"/>
              </w:rPr>
              <w:t>ased in United States</w:t>
            </w:r>
          </w:p>
        </w:tc>
      </w:tr>
      <w:tr w:rsidR="00426D0E" w:rsidRPr="003978BF" w14:paraId="1F1FEAE5" w14:textId="77777777" w:rsidTr="003978BF">
        <w:trPr>
          <w:trHeight w:val="188"/>
        </w:trPr>
        <w:tc>
          <w:tcPr>
            <w:tcW w:w="1710" w:type="dxa"/>
            <w:tcBorders>
              <w:top w:val="single" w:sz="4" w:space="0" w:color="000000"/>
              <w:left w:val="single" w:sz="4" w:space="0" w:color="000000"/>
              <w:bottom w:val="single" w:sz="4" w:space="0" w:color="000000"/>
            </w:tcBorders>
            <w:shd w:val="clear" w:color="auto" w:fill="auto"/>
            <w:vAlign w:val="center"/>
          </w:tcPr>
          <w:p w14:paraId="390797CE" w14:textId="4AC8FA25" w:rsidR="00426D0E" w:rsidRPr="003978BF" w:rsidRDefault="00C23D63"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Casella Family Brands</w:t>
            </w:r>
          </w:p>
        </w:tc>
        <w:tc>
          <w:tcPr>
            <w:tcW w:w="1260" w:type="dxa"/>
            <w:tcBorders>
              <w:top w:val="single" w:sz="4" w:space="0" w:color="000000"/>
              <w:left w:val="single" w:sz="4" w:space="0" w:color="000000"/>
              <w:bottom w:val="single" w:sz="4" w:space="0" w:color="000000"/>
            </w:tcBorders>
            <w:shd w:val="clear" w:color="auto" w:fill="auto"/>
            <w:vAlign w:val="center"/>
          </w:tcPr>
          <w:p w14:paraId="73577CBE"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International</w:t>
            </w:r>
          </w:p>
        </w:tc>
        <w:tc>
          <w:tcPr>
            <w:tcW w:w="1530" w:type="dxa"/>
            <w:tcBorders>
              <w:top w:val="single" w:sz="4" w:space="0" w:color="000000"/>
              <w:left w:val="single" w:sz="4" w:space="0" w:color="000000"/>
              <w:bottom w:val="single" w:sz="4" w:space="0" w:color="000000"/>
            </w:tcBorders>
            <w:shd w:val="clear" w:color="auto" w:fill="auto"/>
            <w:vAlign w:val="center"/>
          </w:tcPr>
          <w:p w14:paraId="7E598D17" w14:textId="1B313C3A"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4C86A62A" w14:textId="1A286931"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Yellowtail, </w:t>
            </w:r>
            <w:proofErr w:type="spellStart"/>
            <w:r w:rsidRPr="003978BF">
              <w:rPr>
                <w:rFonts w:eastAsia="Arial Unicode MS"/>
                <w:sz w:val="17"/>
                <w:szCs w:val="17"/>
                <w:lang w:val="en-GB"/>
              </w:rPr>
              <w:t>Caselle</w:t>
            </w:r>
            <w:proofErr w:type="spellEnd"/>
            <w:r w:rsidRPr="003978BF">
              <w:rPr>
                <w:rFonts w:eastAsia="Arial Unicode MS"/>
                <w:sz w:val="17"/>
                <w:szCs w:val="17"/>
                <w:lang w:val="en-GB"/>
              </w:rPr>
              <w:t xml:space="preserve">, Morris </w:t>
            </w:r>
            <w:r w:rsidR="00C7491C" w:rsidRPr="003978BF">
              <w:rPr>
                <w:rFonts w:eastAsia="Arial Unicode MS"/>
                <w:sz w:val="17"/>
                <w:szCs w:val="17"/>
                <w:lang w:val="en-GB"/>
              </w:rPr>
              <w:t>Wines</w:t>
            </w:r>
            <w:r w:rsidRPr="003978BF">
              <w:rPr>
                <w:rFonts w:eastAsia="Arial Unicode MS"/>
                <w:sz w:val="17"/>
                <w:szCs w:val="17"/>
                <w:lang w:val="en-GB"/>
              </w:rPr>
              <w:t xml:space="preserve">, Peter Lehmann, Brands </w:t>
            </w:r>
            <w:proofErr w:type="spellStart"/>
            <w:r w:rsidRPr="003978BF">
              <w:rPr>
                <w:rFonts w:eastAsia="Arial Unicode MS"/>
                <w:sz w:val="17"/>
                <w:szCs w:val="17"/>
                <w:lang w:val="en-GB"/>
              </w:rPr>
              <w:t>Laira</w:t>
            </w:r>
            <w:proofErr w:type="spellEnd"/>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16801" w14:textId="4CF88DBC"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Private</w:t>
            </w:r>
            <w:r w:rsidR="009961CF" w:rsidRPr="003978BF">
              <w:rPr>
                <w:rFonts w:eastAsia="Arial Unicode MS"/>
                <w:sz w:val="17"/>
                <w:szCs w:val="17"/>
                <w:lang w:val="en-GB"/>
              </w:rPr>
              <w:t>—</w:t>
            </w:r>
            <w:r w:rsidR="00362EAA" w:rsidRPr="003978BF">
              <w:rPr>
                <w:rFonts w:eastAsia="Arial Unicode MS"/>
                <w:sz w:val="17"/>
                <w:szCs w:val="17"/>
                <w:lang w:val="en-GB"/>
              </w:rPr>
              <w:t>b</w:t>
            </w:r>
            <w:r w:rsidR="009961CF" w:rsidRPr="003978BF">
              <w:rPr>
                <w:rFonts w:eastAsia="Arial Unicode MS"/>
                <w:sz w:val="17"/>
                <w:szCs w:val="17"/>
                <w:lang w:val="en-GB"/>
              </w:rPr>
              <w:t>ased in Australia</w:t>
            </w:r>
          </w:p>
        </w:tc>
      </w:tr>
      <w:tr w:rsidR="00426D0E" w:rsidRPr="003978BF" w14:paraId="16235CD7" w14:textId="77777777" w:rsidTr="003978BF">
        <w:trPr>
          <w:trHeight w:val="62"/>
        </w:trPr>
        <w:tc>
          <w:tcPr>
            <w:tcW w:w="1710" w:type="dxa"/>
            <w:tcBorders>
              <w:top w:val="single" w:sz="4" w:space="0" w:color="000000"/>
              <w:left w:val="single" w:sz="4" w:space="0" w:color="000000"/>
              <w:bottom w:val="single" w:sz="4" w:space="0" w:color="000000"/>
            </w:tcBorders>
            <w:shd w:val="clear" w:color="auto" w:fill="auto"/>
            <w:vAlign w:val="center"/>
          </w:tcPr>
          <w:p w14:paraId="268328B0" w14:textId="599B916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Mission Hill</w:t>
            </w:r>
            <w:r w:rsidR="00C23D63" w:rsidRPr="003978BF">
              <w:rPr>
                <w:rFonts w:eastAsia="Arial Unicode MS"/>
                <w:sz w:val="17"/>
                <w:szCs w:val="17"/>
                <w:lang w:val="en-GB"/>
              </w:rPr>
              <w:t xml:space="preserve"> Winery</w:t>
            </w:r>
          </w:p>
        </w:tc>
        <w:tc>
          <w:tcPr>
            <w:tcW w:w="1260" w:type="dxa"/>
            <w:tcBorders>
              <w:top w:val="single" w:sz="4" w:space="0" w:color="000000"/>
              <w:left w:val="single" w:sz="4" w:space="0" w:color="000000"/>
              <w:bottom w:val="single" w:sz="4" w:space="0" w:color="000000"/>
            </w:tcBorders>
            <w:shd w:val="clear" w:color="auto" w:fill="auto"/>
            <w:vAlign w:val="center"/>
          </w:tcPr>
          <w:p w14:paraId="10BCA515"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Canada</w:t>
            </w:r>
          </w:p>
        </w:tc>
        <w:tc>
          <w:tcPr>
            <w:tcW w:w="1530" w:type="dxa"/>
            <w:tcBorders>
              <w:top w:val="single" w:sz="4" w:space="0" w:color="000000"/>
              <w:left w:val="single" w:sz="4" w:space="0" w:color="000000"/>
              <w:bottom w:val="single" w:sz="4" w:space="0" w:color="000000"/>
            </w:tcBorders>
            <w:shd w:val="clear" w:color="auto" w:fill="auto"/>
            <w:vAlign w:val="center"/>
          </w:tcPr>
          <w:p w14:paraId="3015D27F" w14:textId="2337EED6"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Wine</w:t>
            </w:r>
          </w:p>
        </w:tc>
        <w:tc>
          <w:tcPr>
            <w:tcW w:w="5760" w:type="dxa"/>
            <w:tcBorders>
              <w:top w:val="single" w:sz="4" w:space="0" w:color="000000"/>
              <w:left w:val="single" w:sz="4" w:space="0" w:color="000000"/>
              <w:bottom w:val="single" w:sz="4" w:space="0" w:color="000000"/>
            </w:tcBorders>
            <w:shd w:val="clear" w:color="auto" w:fill="auto"/>
            <w:vAlign w:val="center"/>
          </w:tcPr>
          <w:p w14:paraId="503930FF" w14:textId="33D2427D"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Legacy</w:t>
            </w:r>
            <w:r w:rsidR="00872ED6" w:rsidRPr="003978BF">
              <w:rPr>
                <w:rFonts w:eastAsia="Arial Unicode MS"/>
                <w:sz w:val="17"/>
                <w:szCs w:val="17"/>
                <w:lang w:val="en-GB"/>
              </w:rPr>
              <w:t xml:space="preserve"> Collection</w:t>
            </w:r>
            <w:r w:rsidRPr="003978BF">
              <w:rPr>
                <w:rFonts w:eastAsia="Arial Unicode MS"/>
                <w:sz w:val="17"/>
                <w:szCs w:val="17"/>
                <w:lang w:val="en-GB"/>
              </w:rPr>
              <w:t>, Terroir</w:t>
            </w:r>
            <w:r w:rsidR="00872ED6" w:rsidRPr="003978BF">
              <w:rPr>
                <w:rFonts w:eastAsia="Arial Unicode MS"/>
                <w:sz w:val="17"/>
                <w:szCs w:val="17"/>
                <w:lang w:val="en-GB"/>
              </w:rPr>
              <w:t xml:space="preserve"> Collection</w:t>
            </w:r>
            <w:r w:rsidRPr="003978BF">
              <w:rPr>
                <w:rFonts w:eastAsia="Arial Unicode MS"/>
                <w:sz w:val="17"/>
                <w:szCs w:val="17"/>
                <w:lang w:val="en-GB"/>
              </w:rPr>
              <w:t>, Reserve, Five Vineyards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97ED4" w14:textId="76623D7C" w:rsidR="00426D0E" w:rsidRPr="003978BF" w:rsidRDefault="00426D0E" w:rsidP="005009AC">
            <w:pPr>
              <w:pStyle w:val="ExhibitText"/>
              <w:spacing w:line="100" w:lineRule="atLeast"/>
              <w:jc w:val="left"/>
              <w:rPr>
                <w:sz w:val="17"/>
                <w:szCs w:val="17"/>
                <w:lang w:val="en-GB"/>
              </w:rPr>
            </w:pPr>
            <w:r w:rsidRPr="003978BF">
              <w:rPr>
                <w:rFonts w:eastAsia="Arial Unicode MS"/>
                <w:sz w:val="17"/>
                <w:szCs w:val="17"/>
                <w:lang w:val="en-GB"/>
              </w:rPr>
              <w:t>Canadian</w:t>
            </w:r>
            <w:r w:rsidR="00F02883" w:rsidRPr="003978BF">
              <w:rPr>
                <w:rFonts w:eastAsia="Arial Unicode MS"/>
                <w:sz w:val="17"/>
                <w:szCs w:val="17"/>
                <w:lang w:val="en-GB"/>
              </w:rPr>
              <w:t>—</w:t>
            </w:r>
            <w:r w:rsidR="00362EAA" w:rsidRPr="003978BF">
              <w:rPr>
                <w:rFonts w:eastAsia="Arial Unicode MS"/>
                <w:sz w:val="17"/>
                <w:szCs w:val="17"/>
                <w:lang w:val="en-GB"/>
              </w:rPr>
              <w:t>p</w:t>
            </w:r>
            <w:r w:rsidR="00F02883" w:rsidRPr="003978BF">
              <w:rPr>
                <w:rFonts w:eastAsia="Arial Unicode MS"/>
                <w:sz w:val="17"/>
                <w:szCs w:val="17"/>
                <w:lang w:val="en-GB"/>
              </w:rPr>
              <w:t>rivate</w:t>
            </w:r>
          </w:p>
        </w:tc>
      </w:tr>
      <w:tr w:rsidR="00426D0E" w:rsidRPr="003978BF" w14:paraId="0F54811C" w14:textId="77777777" w:rsidTr="003978BF">
        <w:trPr>
          <w:trHeight w:val="206"/>
        </w:trPr>
        <w:tc>
          <w:tcPr>
            <w:tcW w:w="1710" w:type="dxa"/>
            <w:tcBorders>
              <w:top w:val="single" w:sz="4" w:space="0" w:color="000000"/>
              <w:left w:val="single" w:sz="4" w:space="0" w:color="000000"/>
              <w:bottom w:val="single" w:sz="4" w:space="0" w:color="000000"/>
            </w:tcBorders>
            <w:shd w:val="clear" w:color="auto" w:fill="auto"/>
            <w:vAlign w:val="center"/>
          </w:tcPr>
          <w:p w14:paraId="65AD6511" w14:textId="4B13833D" w:rsidR="00426D0E" w:rsidRPr="003978BF" w:rsidRDefault="00C23D63"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Diamond Estate Wines &amp; Spirits Inc.</w:t>
            </w:r>
          </w:p>
        </w:tc>
        <w:tc>
          <w:tcPr>
            <w:tcW w:w="1260" w:type="dxa"/>
            <w:tcBorders>
              <w:top w:val="single" w:sz="4" w:space="0" w:color="000000"/>
              <w:left w:val="single" w:sz="4" w:space="0" w:color="000000"/>
              <w:bottom w:val="single" w:sz="4" w:space="0" w:color="000000"/>
            </w:tcBorders>
            <w:shd w:val="clear" w:color="auto" w:fill="auto"/>
            <w:vAlign w:val="center"/>
          </w:tcPr>
          <w:p w14:paraId="480B2986"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Canada primarily</w:t>
            </w:r>
          </w:p>
        </w:tc>
        <w:tc>
          <w:tcPr>
            <w:tcW w:w="1530" w:type="dxa"/>
            <w:tcBorders>
              <w:top w:val="single" w:sz="4" w:space="0" w:color="000000"/>
              <w:left w:val="single" w:sz="4" w:space="0" w:color="000000"/>
              <w:bottom w:val="single" w:sz="4" w:space="0" w:color="000000"/>
            </w:tcBorders>
            <w:shd w:val="clear" w:color="auto" w:fill="auto"/>
            <w:vAlign w:val="center"/>
          </w:tcPr>
          <w:p w14:paraId="6F44C62E" w14:textId="469E875D" w:rsidR="00426D0E" w:rsidRPr="003978BF" w:rsidRDefault="0095163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 xml:space="preserve">Wines </w:t>
            </w:r>
            <w:r w:rsidR="00426D0E" w:rsidRPr="003978BF">
              <w:rPr>
                <w:rFonts w:eastAsia="Arial Unicode MS"/>
                <w:sz w:val="17"/>
                <w:szCs w:val="17"/>
                <w:lang w:val="en-GB"/>
              </w:rPr>
              <w:t xml:space="preserve">of various price points </w:t>
            </w:r>
          </w:p>
        </w:tc>
        <w:tc>
          <w:tcPr>
            <w:tcW w:w="5760" w:type="dxa"/>
            <w:tcBorders>
              <w:top w:val="single" w:sz="4" w:space="0" w:color="000000"/>
              <w:left w:val="single" w:sz="4" w:space="0" w:color="000000"/>
              <w:bottom w:val="single" w:sz="4" w:space="0" w:color="000000"/>
            </w:tcBorders>
            <w:shd w:val="clear" w:color="auto" w:fill="auto"/>
            <w:vAlign w:val="center"/>
          </w:tcPr>
          <w:p w14:paraId="3C73BE02" w14:textId="77777777" w:rsidR="00426D0E" w:rsidRPr="003978BF" w:rsidRDefault="00426D0E" w:rsidP="005009AC">
            <w:pPr>
              <w:pStyle w:val="ExhibitText"/>
              <w:spacing w:line="100" w:lineRule="atLeast"/>
              <w:jc w:val="left"/>
              <w:rPr>
                <w:rFonts w:eastAsia="Arial Unicode MS"/>
                <w:sz w:val="17"/>
                <w:szCs w:val="17"/>
                <w:lang w:val="en-GB"/>
              </w:rPr>
            </w:pPr>
            <w:r w:rsidRPr="003978BF">
              <w:rPr>
                <w:rFonts w:eastAsia="Arial Unicode MS"/>
                <w:sz w:val="17"/>
                <w:szCs w:val="17"/>
                <w:lang w:val="en-GB"/>
              </w:rPr>
              <w:t>See Exhibit 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D30C3" w14:textId="31DDB63C" w:rsidR="00426D0E" w:rsidRPr="003978BF" w:rsidRDefault="00F02883" w:rsidP="005009AC">
            <w:pPr>
              <w:pStyle w:val="ExhibitText"/>
              <w:spacing w:line="100" w:lineRule="atLeast"/>
              <w:jc w:val="left"/>
              <w:rPr>
                <w:sz w:val="17"/>
                <w:szCs w:val="17"/>
                <w:lang w:val="en-GB"/>
              </w:rPr>
            </w:pPr>
            <w:r w:rsidRPr="003978BF">
              <w:rPr>
                <w:rFonts w:eastAsia="Arial Unicode MS"/>
                <w:sz w:val="17"/>
                <w:szCs w:val="17"/>
                <w:lang w:val="en-GB"/>
              </w:rPr>
              <w:t>Public—</w:t>
            </w:r>
            <w:r w:rsidR="00362EAA" w:rsidRPr="003978BF">
              <w:rPr>
                <w:rFonts w:eastAsia="Arial Unicode MS"/>
                <w:sz w:val="17"/>
                <w:szCs w:val="17"/>
                <w:lang w:val="en-GB"/>
              </w:rPr>
              <w:t>l</w:t>
            </w:r>
            <w:r w:rsidRPr="003978BF">
              <w:rPr>
                <w:rFonts w:eastAsia="Arial Unicode MS"/>
                <w:sz w:val="17"/>
                <w:szCs w:val="17"/>
                <w:lang w:val="en-GB"/>
              </w:rPr>
              <w:t>isted on TS</w:t>
            </w:r>
            <w:r w:rsidR="00E82CA3" w:rsidRPr="003978BF">
              <w:rPr>
                <w:rFonts w:eastAsia="Arial Unicode MS"/>
                <w:sz w:val="17"/>
                <w:szCs w:val="17"/>
                <w:lang w:val="en-GB"/>
              </w:rPr>
              <w:t>X</w:t>
            </w:r>
          </w:p>
        </w:tc>
      </w:tr>
    </w:tbl>
    <w:p w14:paraId="37E9C199" w14:textId="77777777" w:rsidR="00426D0E" w:rsidRPr="003978BF" w:rsidRDefault="00426D0E" w:rsidP="003978BF">
      <w:pPr>
        <w:pStyle w:val="ExhibitText"/>
        <w:rPr>
          <w:rFonts w:eastAsia="Arial Unicode MS"/>
          <w:sz w:val="12"/>
          <w:szCs w:val="12"/>
          <w:lang w:val="en-GB" w:eastAsia="hi-IN" w:bidi="hi-IN"/>
        </w:rPr>
      </w:pPr>
    </w:p>
    <w:p w14:paraId="29BA28F9" w14:textId="63B8B433" w:rsidR="00872ED6" w:rsidRDefault="00872ED6" w:rsidP="00BE0DF4">
      <w:pPr>
        <w:pStyle w:val="Footnote"/>
        <w:rPr>
          <w:rFonts w:eastAsia="Cambria"/>
          <w:lang w:val="en-GB"/>
        </w:rPr>
      </w:pPr>
      <w:bookmarkStart w:id="2" w:name="cont1"/>
      <w:bookmarkEnd w:id="2"/>
      <w:r>
        <w:rPr>
          <w:rFonts w:eastAsia="Cambria"/>
          <w:lang w:val="en-GB"/>
        </w:rPr>
        <w:t xml:space="preserve">Note: TSX = Toronto Stock Exchange; </w:t>
      </w:r>
      <w:r w:rsidR="001E2D9B">
        <w:rPr>
          <w:rFonts w:eastAsia="Cambria"/>
          <w:lang w:val="en-GB"/>
        </w:rPr>
        <w:t xml:space="preserve">New York Stock Exchange; </w:t>
      </w:r>
      <w:r w:rsidR="00A5621D">
        <w:rPr>
          <w:rFonts w:eastAsia="Cambria"/>
          <w:lang w:val="en-GB"/>
        </w:rPr>
        <w:t>ASX = A</w:t>
      </w:r>
      <w:r w:rsidR="00A5621D" w:rsidRPr="00A5621D">
        <w:rPr>
          <w:rFonts w:eastAsia="Cambria"/>
          <w:lang w:val="en-GB"/>
        </w:rPr>
        <w:t>ustralian Securities Exchange</w:t>
      </w:r>
      <w:r w:rsidR="00F02883">
        <w:rPr>
          <w:rFonts w:eastAsia="Cambria"/>
          <w:lang w:val="en-GB"/>
        </w:rPr>
        <w:t>.</w:t>
      </w:r>
    </w:p>
    <w:p w14:paraId="44EBADA7" w14:textId="72B3A87E" w:rsidR="00426D0E" w:rsidRPr="003978BF" w:rsidRDefault="00426D0E" w:rsidP="00BE0DF4">
      <w:pPr>
        <w:pStyle w:val="Footnote"/>
        <w:rPr>
          <w:spacing w:val="-6"/>
          <w:kern w:val="17"/>
          <w:lang w:val="en-GB"/>
        </w:rPr>
      </w:pPr>
      <w:r w:rsidRPr="003978BF">
        <w:rPr>
          <w:rFonts w:eastAsia="Cambria"/>
          <w:spacing w:val="-6"/>
          <w:kern w:val="17"/>
          <w:lang w:val="en-GB"/>
        </w:rPr>
        <w:t xml:space="preserve">Source: </w:t>
      </w:r>
      <w:r w:rsidR="00C23D63" w:rsidRPr="003978BF">
        <w:rPr>
          <w:rFonts w:eastAsia="Cambria"/>
          <w:spacing w:val="-6"/>
          <w:kern w:val="17"/>
          <w:lang w:val="en-GB"/>
        </w:rPr>
        <w:t>Created</w:t>
      </w:r>
      <w:r w:rsidRPr="003978BF">
        <w:rPr>
          <w:rFonts w:eastAsia="Cambria"/>
          <w:spacing w:val="-6"/>
          <w:kern w:val="17"/>
          <w:lang w:val="en-GB"/>
        </w:rPr>
        <w:t xml:space="preserve"> by the </w:t>
      </w:r>
      <w:r w:rsidR="00362EAA" w:rsidRPr="003978BF">
        <w:rPr>
          <w:rFonts w:eastAsia="Cambria"/>
          <w:spacing w:val="-6"/>
          <w:kern w:val="17"/>
          <w:lang w:val="en-GB"/>
        </w:rPr>
        <w:t xml:space="preserve">case </w:t>
      </w:r>
      <w:r w:rsidRPr="003978BF">
        <w:rPr>
          <w:rFonts w:eastAsia="Cambria"/>
          <w:spacing w:val="-6"/>
          <w:kern w:val="17"/>
          <w:lang w:val="en-GB"/>
        </w:rPr>
        <w:t xml:space="preserve">authors using information from company reports </w:t>
      </w:r>
      <w:r w:rsidR="00317351" w:rsidRPr="003978BF">
        <w:rPr>
          <w:rFonts w:eastAsia="Cambria"/>
          <w:spacing w:val="-6"/>
          <w:kern w:val="17"/>
          <w:lang w:val="en-GB"/>
        </w:rPr>
        <w:t xml:space="preserve">of </w:t>
      </w:r>
      <w:r w:rsidRPr="003978BF">
        <w:rPr>
          <w:rFonts w:eastAsia="Cambria"/>
          <w:spacing w:val="-6"/>
          <w:kern w:val="17"/>
          <w:lang w:val="en-GB"/>
        </w:rPr>
        <w:t>Diamond Estates Winery and Spirits</w:t>
      </w:r>
      <w:r w:rsidR="00317351" w:rsidRPr="003978BF">
        <w:rPr>
          <w:rFonts w:eastAsia="Cambria"/>
          <w:spacing w:val="-6"/>
          <w:kern w:val="17"/>
          <w:lang w:val="en-GB"/>
        </w:rPr>
        <w:t>,</w:t>
      </w:r>
      <w:r w:rsidRPr="003978BF">
        <w:rPr>
          <w:rFonts w:eastAsia="Cambria"/>
          <w:spacing w:val="-6"/>
          <w:kern w:val="17"/>
          <w:lang w:val="en-GB"/>
        </w:rPr>
        <w:t xml:space="preserve"> accessed from either the company website</w:t>
      </w:r>
      <w:r w:rsidR="00317351" w:rsidRPr="003978BF">
        <w:rPr>
          <w:rFonts w:eastAsia="Cambria"/>
          <w:spacing w:val="-6"/>
          <w:kern w:val="17"/>
          <w:lang w:val="en-GB"/>
        </w:rPr>
        <w:t>,</w:t>
      </w:r>
      <w:r w:rsidRPr="003978BF">
        <w:rPr>
          <w:rFonts w:eastAsia="Cambria"/>
          <w:spacing w:val="-6"/>
          <w:kern w:val="17"/>
          <w:lang w:val="en-GB"/>
        </w:rPr>
        <w:t xml:space="preserve"> </w:t>
      </w:r>
      <w:r w:rsidR="00A4363F" w:rsidRPr="003978BF">
        <w:rPr>
          <w:rFonts w:eastAsia="Cambria"/>
          <w:spacing w:val="-6"/>
          <w:kern w:val="17"/>
          <w:lang w:val="en-GB"/>
        </w:rPr>
        <w:t>www.</w:t>
      </w:r>
      <w:r w:rsidRPr="003978BF">
        <w:rPr>
          <w:rFonts w:eastAsia="Cambria"/>
          <w:spacing w:val="-6"/>
          <w:kern w:val="17"/>
          <w:lang w:val="en-GB"/>
        </w:rPr>
        <w:t>lakeviewwineco.com/site/diamond-estates- wines-spirits</w:t>
      </w:r>
      <w:r w:rsidR="00317351" w:rsidRPr="003978BF">
        <w:rPr>
          <w:rFonts w:eastAsia="Cambria"/>
          <w:spacing w:val="-6"/>
          <w:kern w:val="17"/>
          <w:lang w:val="en-GB"/>
        </w:rPr>
        <w:t>,</w:t>
      </w:r>
      <w:r w:rsidRPr="003978BF">
        <w:rPr>
          <w:rFonts w:eastAsia="Cambria"/>
          <w:spacing w:val="-6"/>
          <w:kern w:val="17"/>
          <w:lang w:val="en-GB"/>
        </w:rPr>
        <w:t xml:space="preserve"> or its filings with SEDAR</w:t>
      </w:r>
      <w:r w:rsidR="00317351" w:rsidRPr="003978BF">
        <w:rPr>
          <w:rFonts w:eastAsia="Cambria"/>
          <w:spacing w:val="-6"/>
          <w:kern w:val="17"/>
          <w:lang w:val="en-GB"/>
        </w:rPr>
        <w:t>,</w:t>
      </w:r>
      <w:r w:rsidRPr="003978BF">
        <w:rPr>
          <w:rFonts w:eastAsia="Cambria"/>
          <w:spacing w:val="-6"/>
          <w:kern w:val="17"/>
          <w:lang w:val="en-GB"/>
        </w:rPr>
        <w:t xml:space="preserve"> accessed </w:t>
      </w:r>
      <w:r w:rsidR="00A4363F" w:rsidRPr="003978BF">
        <w:rPr>
          <w:rFonts w:eastAsia="Cambria"/>
          <w:spacing w:val="-6"/>
          <w:kern w:val="17"/>
          <w:lang w:val="en-GB"/>
        </w:rPr>
        <w:t>www.</w:t>
      </w:r>
      <w:r w:rsidRPr="003978BF">
        <w:rPr>
          <w:rFonts w:eastAsia="Cambria"/>
          <w:spacing w:val="-6"/>
          <w:kern w:val="17"/>
          <w:lang w:val="en-GB"/>
        </w:rPr>
        <w:t>sedar.com/DisplayCompanyDocuments.do?lang=EN&amp;issuerNo=00032682</w:t>
      </w:r>
      <w:r w:rsidR="00C23D63" w:rsidRPr="003978BF">
        <w:rPr>
          <w:rFonts w:eastAsia="Cambria"/>
          <w:spacing w:val="-6"/>
          <w:kern w:val="17"/>
          <w:lang w:val="en-GB"/>
        </w:rPr>
        <w:t>;</w:t>
      </w:r>
      <w:r w:rsidR="00C23D63" w:rsidRPr="003978BF">
        <w:rPr>
          <w:rStyle w:val="Hyperlink3"/>
          <w:rFonts w:ascii="Arial" w:hAnsi="Arial" w:cs="Arial"/>
          <w:spacing w:val="-6"/>
          <w:kern w:val="17"/>
          <w:sz w:val="17"/>
          <w:szCs w:val="17"/>
          <w:lang w:val="en-GB"/>
        </w:rPr>
        <w:t xml:space="preserve"> </w:t>
      </w:r>
      <w:r w:rsidRPr="003978BF">
        <w:rPr>
          <w:rStyle w:val="Hyperlink3"/>
          <w:rFonts w:ascii="Arial" w:hAnsi="Arial" w:cs="Arial"/>
          <w:spacing w:val="-6"/>
          <w:kern w:val="17"/>
          <w:sz w:val="17"/>
          <w:szCs w:val="17"/>
          <w:lang w:val="en-GB"/>
        </w:rPr>
        <w:t>Andrew Peller Limited</w:t>
      </w:r>
      <w:r w:rsidR="00C23D63" w:rsidRPr="003978BF">
        <w:rPr>
          <w:rStyle w:val="Hyperlink3"/>
          <w:rFonts w:ascii="Arial" w:hAnsi="Arial" w:cs="Arial"/>
          <w:spacing w:val="-6"/>
          <w:kern w:val="17"/>
          <w:sz w:val="17"/>
          <w:szCs w:val="17"/>
          <w:lang w:val="en-GB"/>
        </w:rPr>
        <w:t>,</w:t>
      </w:r>
      <w:r w:rsidRPr="003978BF">
        <w:rPr>
          <w:rStyle w:val="Hyperlink3"/>
          <w:rFonts w:ascii="Arial" w:hAnsi="Arial" w:cs="Arial"/>
          <w:i/>
          <w:spacing w:val="-6"/>
          <w:kern w:val="17"/>
          <w:sz w:val="17"/>
          <w:szCs w:val="17"/>
          <w:lang w:val="en-GB"/>
        </w:rPr>
        <w:t xml:space="preserve"> 2017 Annual Report</w:t>
      </w:r>
      <w:r w:rsidR="00C23D63" w:rsidRPr="003978BF">
        <w:rPr>
          <w:rStyle w:val="Hyperlink3"/>
          <w:rFonts w:ascii="Arial" w:hAnsi="Arial" w:cs="Arial"/>
          <w:spacing w:val="-6"/>
          <w:kern w:val="17"/>
          <w:sz w:val="17"/>
          <w:szCs w:val="17"/>
          <w:lang w:val="en-GB"/>
        </w:rPr>
        <w:t>,</w:t>
      </w:r>
      <w:r w:rsidRPr="003978BF">
        <w:rPr>
          <w:rStyle w:val="Hyperlink3"/>
          <w:rFonts w:ascii="Arial" w:hAnsi="Arial" w:cs="Arial"/>
          <w:spacing w:val="-6"/>
          <w:kern w:val="17"/>
          <w:sz w:val="17"/>
          <w:szCs w:val="17"/>
          <w:lang w:val="en-GB"/>
        </w:rPr>
        <w:t xml:space="preserve"> accessed</w:t>
      </w:r>
      <w:r w:rsidRPr="003978BF">
        <w:rPr>
          <w:rStyle w:val="None"/>
          <w:spacing w:val="-6"/>
          <w:kern w:val="17"/>
          <w:lang w:val="en-GB"/>
        </w:rPr>
        <w:t xml:space="preserve"> February 20, 2019, </w:t>
      </w:r>
      <w:r w:rsidR="00A4363F" w:rsidRPr="003978BF">
        <w:rPr>
          <w:rStyle w:val="Hyperlink3"/>
          <w:rFonts w:ascii="Arial" w:hAnsi="Arial" w:cs="Arial"/>
          <w:spacing w:val="-6"/>
          <w:kern w:val="17"/>
          <w:sz w:val="17"/>
          <w:szCs w:val="17"/>
          <w:lang w:val="en-GB"/>
        </w:rPr>
        <w:t>www.</w:t>
      </w:r>
      <w:r w:rsidRPr="003978BF">
        <w:rPr>
          <w:rStyle w:val="Hyperlink3"/>
          <w:rFonts w:ascii="Arial" w:hAnsi="Arial" w:cs="Arial"/>
          <w:spacing w:val="-6"/>
          <w:kern w:val="17"/>
          <w:sz w:val="17"/>
          <w:szCs w:val="17"/>
          <w:lang w:val="en-GB"/>
        </w:rPr>
        <w:t>andrewpeller.com/UserFiles/File/Annual%20Report%202017%20(FINAL)%20v4.pdf</w:t>
      </w:r>
      <w:r w:rsidR="00C23D63" w:rsidRPr="003978BF">
        <w:rPr>
          <w:rStyle w:val="Hyperlink3"/>
          <w:rFonts w:ascii="Arial" w:hAnsi="Arial" w:cs="Arial"/>
          <w:spacing w:val="-6"/>
          <w:kern w:val="17"/>
          <w:sz w:val="17"/>
          <w:szCs w:val="17"/>
          <w:lang w:val="en-GB"/>
        </w:rPr>
        <w:t>;</w:t>
      </w:r>
      <w:r w:rsidRPr="003978BF">
        <w:rPr>
          <w:rStyle w:val="Hyperlink3"/>
          <w:rFonts w:ascii="Arial" w:hAnsi="Arial" w:cs="Arial"/>
          <w:spacing w:val="-6"/>
          <w:kern w:val="17"/>
          <w:sz w:val="17"/>
          <w:szCs w:val="17"/>
          <w:lang w:val="en-GB"/>
        </w:rPr>
        <w:t xml:space="preserve"> </w:t>
      </w:r>
      <w:r w:rsidRPr="003978BF">
        <w:rPr>
          <w:spacing w:val="-6"/>
          <w:kern w:val="17"/>
          <w:lang w:val="en-GB"/>
        </w:rPr>
        <w:t xml:space="preserve"> </w:t>
      </w:r>
      <w:r w:rsidR="00C23D63" w:rsidRPr="003978BF">
        <w:rPr>
          <w:spacing w:val="-6"/>
          <w:kern w:val="17"/>
          <w:lang w:val="en-GB"/>
        </w:rPr>
        <w:t>“</w:t>
      </w:r>
      <w:r w:rsidRPr="003978BF">
        <w:rPr>
          <w:spacing w:val="-6"/>
          <w:kern w:val="17"/>
          <w:lang w:val="en-GB"/>
        </w:rPr>
        <w:t>2017 Annual Report,</w:t>
      </w:r>
      <w:r w:rsidR="00C23D63" w:rsidRPr="003978BF">
        <w:rPr>
          <w:spacing w:val="-6"/>
          <w:kern w:val="17"/>
          <w:lang w:val="en-GB"/>
        </w:rPr>
        <w:t>”</w:t>
      </w:r>
      <w:r w:rsidRPr="003978BF">
        <w:rPr>
          <w:spacing w:val="-6"/>
          <w:kern w:val="17"/>
          <w:lang w:val="en-GB"/>
        </w:rPr>
        <w:t xml:space="preserve"> </w:t>
      </w:r>
      <w:r w:rsidR="00CF7D78" w:rsidRPr="003978BF">
        <w:rPr>
          <w:spacing w:val="-6"/>
          <w:kern w:val="17"/>
          <w:lang w:val="en-GB"/>
        </w:rPr>
        <w:t xml:space="preserve">Corby Spirit and Wine, </w:t>
      </w:r>
      <w:r w:rsidRPr="003978BF">
        <w:rPr>
          <w:spacing w:val="-6"/>
          <w:kern w:val="17"/>
          <w:lang w:val="en-GB"/>
        </w:rPr>
        <w:t xml:space="preserve">accessed </w:t>
      </w:r>
      <w:r w:rsidRPr="003978BF">
        <w:rPr>
          <w:rStyle w:val="None"/>
          <w:spacing w:val="-6"/>
          <w:kern w:val="17"/>
          <w:lang w:val="en-GB"/>
        </w:rPr>
        <w:t>February 20, 2019,</w:t>
      </w:r>
      <w:r w:rsidRPr="003978BF">
        <w:rPr>
          <w:rStyle w:val="Hyperlink3"/>
          <w:rFonts w:ascii="Arial" w:hAnsi="Arial" w:cs="Arial"/>
          <w:spacing w:val="-6"/>
          <w:kern w:val="17"/>
          <w:sz w:val="17"/>
          <w:szCs w:val="17"/>
          <w:lang w:val="en-GB"/>
        </w:rPr>
        <w:t xml:space="preserve"> http://reports.corby.ca/2017/</w:t>
      </w:r>
      <w:r w:rsidR="00C23D63" w:rsidRPr="003978BF">
        <w:rPr>
          <w:rStyle w:val="Hyperlink3"/>
          <w:rFonts w:ascii="Arial" w:hAnsi="Arial" w:cs="Arial"/>
          <w:spacing w:val="-6"/>
          <w:kern w:val="17"/>
          <w:sz w:val="17"/>
          <w:szCs w:val="17"/>
          <w:lang w:val="en-GB"/>
        </w:rPr>
        <w:t>;</w:t>
      </w:r>
      <w:r w:rsidRPr="003978BF">
        <w:rPr>
          <w:rStyle w:val="Hyperlink3"/>
          <w:rFonts w:ascii="Arial" w:hAnsi="Arial" w:cs="Arial"/>
          <w:spacing w:val="-6"/>
          <w:kern w:val="17"/>
          <w:sz w:val="17"/>
          <w:szCs w:val="17"/>
          <w:lang w:val="en-GB"/>
        </w:rPr>
        <w:t xml:space="preserve"> </w:t>
      </w:r>
      <w:proofErr w:type="spellStart"/>
      <w:r w:rsidR="00CF7D78" w:rsidRPr="003978BF">
        <w:rPr>
          <w:spacing w:val="-6"/>
          <w:kern w:val="17"/>
          <w:lang w:val="en-GB"/>
        </w:rPr>
        <w:t>Viña</w:t>
      </w:r>
      <w:proofErr w:type="spellEnd"/>
      <w:r w:rsidR="00CF7D78" w:rsidRPr="003978BF">
        <w:rPr>
          <w:spacing w:val="-6"/>
          <w:kern w:val="17"/>
          <w:lang w:val="en-GB"/>
        </w:rPr>
        <w:t xml:space="preserve"> Concha y Toro S.A.,</w:t>
      </w:r>
      <w:r w:rsidRPr="003978BF">
        <w:rPr>
          <w:spacing w:val="-6"/>
          <w:kern w:val="17"/>
          <w:lang w:val="en-GB"/>
        </w:rPr>
        <w:t xml:space="preserve"> </w:t>
      </w:r>
      <w:r w:rsidRPr="003978BF">
        <w:rPr>
          <w:i/>
          <w:spacing w:val="-6"/>
          <w:kern w:val="17"/>
          <w:lang w:val="en-GB"/>
        </w:rPr>
        <w:t>Form 6-K</w:t>
      </w:r>
      <w:r w:rsidR="00CF7D78" w:rsidRPr="003978BF">
        <w:rPr>
          <w:spacing w:val="-6"/>
          <w:kern w:val="17"/>
          <w:lang w:val="en-GB"/>
        </w:rPr>
        <w:t xml:space="preserve">, </w:t>
      </w:r>
      <w:r w:rsidRPr="003978BF">
        <w:rPr>
          <w:spacing w:val="-6"/>
          <w:kern w:val="17"/>
          <w:lang w:val="en-GB"/>
        </w:rPr>
        <w:t xml:space="preserve">May </w:t>
      </w:r>
      <w:r w:rsidR="00CF7D78" w:rsidRPr="003978BF">
        <w:rPr>
          <w:spacing w:val="-6"/>
          <w:kern w:val="17"/>
          <w:lang w:val="en-GB"/>
        </w:rPr>
        <w:t xml:space="preserve">22, </w:t>
      </w:r>
      <w:r w:rsidRPr="003978BF">
        <w:rPr>
          <w:spacing w:val="-6"/>
          <w:kern w:val="17"/>
          <w:lang w:val="en-GB"/>
        </w:rPr>
        <w:t xml:space="preserve">2018, accessed February 20, 2019, </w:t>
      </w:r>
      <w:r w:rsidRPr="003978BF">
        <w:rPr>
          <w:rStyle w:val="Hyperlink3"/>
          <w:rFonts w:ascii="Arial" w:hAnsi="Arial" w:cs="Arial"/>
          <w:spacing w:val="-6"/>
          <w:kern w:val="17"/>
          <w:sz w:val="17"/>
          <w:szCs w:val="17"/>
          <w:lang w:val="en-GB"/>
        </w:rPr>
        <w:t>http://secfilings.nasdaq.com/filingFrameset.asp?FilingID=12772698&amp;RcvdDate=5/22/2018&amp;CoName=CONCHA%20Y%20TORO%20WINERY%20INC&amp;FormType=6-K&amp;View=orig</w:t>
      </w:r>
      <w:r w:rsidR="00CF7D78" w:rsidRPr="003978BF">
        <w:rPr>
          <w:rStyle w:val="Hyperlink3"/>
          <w:rFonts w:ascii="Arial" w:hAnsi="Arial" w:cs="Arial"/>
          <w:spacing w:val="-6"/>
          <w:kern w:val="17"/>
          <w:sz w:val="17"/>
          <w:szCs w:val="17"/>
          <w:lang w:val="en-GB"/>
        </w:rPr>
        <w:t xml:space="preserve">; </w:t>
      </w:r>
      <w:r w:rsidRPr="003978BF">
        <w:rPr>
          <w:rStyle w:val="Hyperlink3"/>
          <w:rFonts w:ascii="Arial" w:hAnsi="Arial" w:cs="Arial"/>
          <w:spacing w:val="-6"/>
          <w:kern w:val="17"/>
          <w:sz w:val="17"/>
          <w:szCs w:val="17"/>
          <w:lang w:val="en-GB"/>
        </w:rPr>
        <w:t xml:space="preserve">Truett-Hurst Inc., SEC filings accessed February 20, 2019, </w:t>
      </w:r>
      <w:r w:rsidR="00A4363F" w:rsidRPr="003978BF">
        <w:rPr>
          <w:rStyle w:val="Hyperlink3"/>
          <w:rFonts w:ascii="Arial" w:hAnsi="Arial" w:cs="Arial"/>
          <w:spacing w:val="-6"/>
          <w:kern w:val="17"/>
          <w:sz w:val="17"/>
          <w:szCs w:val="17"/>
          <w:lang w:val="en-GB"/>
        </w:rPr>
        <w:t>www.</w:t>
      </w:r>
      <w:r w:rsidRPr="003978BF">
        <w:rPr>
          <w:rStyle w:val="Hyperlink3"/>
          <w:rFonts w:ascii="Arial" w:hAnsi="Arial" w:cs="Arial"/>
          <w:spacing w:val="-6"/>
          <w:kern w:val="17"/>
          <w:sz w:val="17"/>
          <w:szCs w:val="17"/>
          <w:lang w:val="en-GB"/>
        </w:rPr>
        <w:t>truetthurstinc.com/investors/#secfilings</w:t>
      </w:r>
      <w:r w:rsidR="00CF7D78" w:rsidRPr="003978BF">
        <w:rPr>
          <w:rStyle w:val="Hyperlink3"/>
          <w:rFonts w:ascii="Arial" w:hAnsi="Arial" w:cs="Arial"/>
          <w:spacing w:val="-6"/>
          <w:kern w:val="17"/>
          <w:sz w:val="17"/>
          <w:szCs w:val="17"/>
          <w:lang w:val="en-GB"/>
        </w:rPr>
        <w:t xml:space="preserve">; </w:t>
      </w:r>
      <w:r w:rsidRPr="003978BF">
        <w:rPr>
          <w:spacing w:val="-6"/>
          <w:kern w:val="17"/>
          <w:lang w:val="en-GB"/>
        </w:rPr>
        <w:t xml:space="preserve">Treasury Wine Estates, Company Reports accessed February 20, 2019, </w:t>
      </w:r>
      <w:r w:rsidR="00A4363F" w:rsidRPr="003978BF">
        <w:rPr>
          <w:spacing w:val="-6"/>
          <w:kern w:val="17"/>
          <w:lang w:val="en-GB"/>
        </w:rPr>
        <w:t>www.</w:t>
      </w:r>
      <w:r w:rsidRPr="003978BF">
        <w:rPr>
          <w:spacing w:val="-6"/>
          <w:kern w:val="17"/>
          <w:lang w:val="en-GB"/>
        </w:rPr>
        <w:t>tweglobal.com/investors</w:t>
      </w:r>
      <w:r w:rsidR="00CF7D78" w:rsidRPr="003978BF">
        <w:rPr>
          <w:spacing w:val="-6"/>
          <w:kern w:val="17"/>
          <w:lang w:val="en-GB"/>
        </w:rPr>
        <w:t xml:space="preserve">; </w:t>
      </w:r>
      <w:proofErr w:type="spellStart"/>
      <w:r w:rsidRPr="003978BF">
        <w:rPr>
          <w:spacing w:val="-6"/>
          <w:kern w:val="17"/>
          <w:lang w:val="en-GB"/>
        </w:rPr>
        <w:t>Arterra</w:t>
      </w:r>
      <w:proofErr w:type="spellEnd"/>
      <w:r w:rsidRPr="003978BF">
        <w:rPr>
          <w:spacing w:val="-6"/>
          <w:kern w:val="17"/>
          <w:lang w:val="en-GB"/>
        </w:rPr>
        <w:t xml:space="preserve"> Wines Canada</w:t>
      </w:r>
      <w:r w:rsidR="00CF7D78" w:rsidRPr="003978BF">
        <w:rPr>
          <w:spacing w:val="-6"/>
          <w:kern w:val="17"/>
          <w:lang w:val="en-GB"/>
        </w:rPr>
        <w:t xml:space="preserve"> (website)</w:t>
      </w:r>
      <w:r w:rsidRPr="003978BF">
        <w:rPr>
          <w:spacing w:val="-6"/>
          <w:kern w:val="17"/>
          <w:lang w:val="en-GB"/>
        </w:rPr>
        <w:t xml:space="preserve">, </w:t>
      </w:r>
      <w:r w:rsidR="00CF7D78" w:rsidRPr="003978BF">
        <w:rPr>
          <w:spacing w:val="-6"/>
          <w:kern w:val="17"/>
          <w:lang w:val="en-GB"/>
        </w:rPr>
        <w:t>accessed February</w:t>
      </w:r>
      <w:r w:rsidRPr="003978BF">
        <w:rPr>
          <w:spacing w:val="-6"/>
          <w:kern w:val="17"/>
          <w:lang w:val="en-GB"/>
        </w:rPr>
        <w:t xml:space="preserve"> 12, 2019, </w:t>
      </w:r>
      <w:r w:rsidR="00A4363F" w:rsidRPr="003978BF">
        <w:rPr>
          <w:spacing w:val="-6"/>
          <w:kern w:val="17"/>
          <w:lang w:val="en-GB"/>
        </w:rPr>
        <w:t>www.</w:t>
      </w:r>
      <w:r w:rsidRPr="003978BF">
        <w:rPr>
          <w:spacing w:val="-6"/>
          <w:kern w:val="17"/>
          <w:lang w:val="en-GB"/>
        </w:rPr>
        <w:t>arterracanada.com</w:t>
      </w:r>
      <w:r w:rsidR="00CF7D78" w:rsidRPr="003978BF">
        <w:rPr>
          <w:spacing w:val="-6"/>
          <w:kern w:val="17"/>
          <w:lang w:val="en-GB"/>
        </w:rPr>
        <w:t>;</w:t>
      </w:r>
      <w:r w:rsidRPr="003978BF">
        <w:rPr>
          <w:spacing w:val="-6"/>
          <w:kern w:val="17"/>
          <w:lang w:val="en-GB"/>
        </w:rPr>
        <w:t xml:space="preserve"> </w:t>
      </w:r>
    </w:p>
    <w:p w14:paraId="38D9F4E7" w14:textId="49B17646" w:rsidR="00426D0E" w:rsidRPr="00F40142" w:rsidRDefault="00426D0E" w:rsidP="001D53BE">
      <w:pPr>
        <w:pStyle w:val="Footnote"/>
        <w:rPr>
          <w:rFonts w:eastAsia="Cambria"/>
          <w:lang w:val="en-GB" w:eastAsia="hi-IN" w:bidi="hi-IN"/>
        </w:rPr>
      </w:pPr>
      <w:r w:rsidRPr="003978BF">
        <w:rPr>
          <w:spacing w:val="-6"/>
          <w:kern w:val="17"/>
          <w:lang w:val="en-GB"/>
        </w:rPr>
        <w:t xml:space="preserve">Constellation Brands, </w:t>
      </w:r>
      <w:r w:rsidR="00317351" w:rsidRPr="003978BF">
        <w:rPr>
          <w:spacing w:val="-6"/>
          <w:kern w:val="17"/>
          <w:lang w:val="en-GB"/>
        </w:rPr>
        <w:t>company reports</w:t>
      </w:r>
      <w:r w:rsidRPr="003978BF">
        <w:rPr>
          <w:spacing w:val="-6"/>
          <w:kern w:val="17"/>
          <w:lang w:val="en-GB"/>
        </w:rPr>
        <w:t xml:space="preserve"> and SEC filings</w:t>
      </w:r>
      <w:r w:rsidR="00317351" w:rsidRPr="003978BF">
        <w:rPr>
          <w:spacing w:val="-6"/>
          <w:kern w:val="17"/>
          <w:lang w:val="en-GB"/>
        </w:rPr>
        <w:t>,</w:t>
      </w:r>
      <w:r w:rsidRPr="003978BF">
        <w:rPr>
          <w:spacing w:val="-6"/>
          <w:kern w:val="17"/>
          <w:lang w:val="en-GB"/>
        </w:rPr>
        <w:t xml:space="preserve"> accessed </w:t>
      </w:r>
      <w:r w:rsidR="00317351" w:rsidRPr="003978BF">
        <w:rPr>
          <w:spacing w:val="-6"/>
          <w:kern w:val="17"/>
          <w:lang w:val="en-GB"/>
        </w:rPr>
        <w:t xml:space="preserve">February </w:t>
      </w:r>
      <w:r w:rsidRPr="003978BF">
        <w:rPr>
          <w:spacing w:val="-6"/>
          <w:kern w:val="17"/>
          <w:lang w:val="en-GB"/>
        </w:rPr>
        <w:t xml:space="preserve">12, 2019, </w:t>
      </w:r>
      <w:r w:rsidR="00A4363F" w:rsidRPr="003978BF">
        <w:rPr>
          <w:spacing w:val="-6"/>
          <w:kern w:val="17"/>
          <w:lang w:val="en-GB"/>
        </w:rPr>
        <w:t>www.</w:t>
      </w:r>
      <w:r w:rsidRPr="003978BF">
        <w:rPr>
          <w:spacing w:val="-6"/>
          <w:kern w:val="17"/>
          <w:lang w:val="en-GB"/>
        </w:rPr>
        <w:t>cbrands.com/investors</w:t>
      </w:r>
      <w:r w:rsidR="00CF7D78" w:rsidRPr="003978BF">
        <w:rPr>
          <w:spacing w:val="-6"/>
          <w:kern w:val="17"/>
          <w:lang w:val="en-GB"/>
        </w:rPr>
        <w:t xml:space="preserve">; </w:t>
      </w:r>
      <w:r w:rsidR="00C23D63" w:rsidRPr="003978BF">
        <w:rPr>
          <w:spacing w:val="-6"/>
          <w:kern w:val="17"/>
          <w:lang w:val="en-GB"/>
        </w:rPr>
        <w:t>“</w:t>
      </w:r>
      <w:r w:rsidRPr="003978BF">
        <w:rPr>
          <w:spacing w:val="-6"/>
          <w:kern w:val="17"/>
          <w:lang w:val="en-GB"/>
        </w:rPr>
        <w:t>Our Story,</w:t>
      </w:r>
      <w:r w:rsidR="00C23D63" w:rsidRPr="003978BF">
        <w:rPr>
          <w:spacing w:val="-6"/>
          <w:kern w:val="17"/>
          <w:lang w:val="en-GB"/>
        </w:rPr>
        <w:t>”</w:t>
      </w:r>
      <w:r w:rsidRPr="003978BF">
        <w:rPr>
          <w:spacing w:val="-6"/>
          <w:kern w:val="17"/>
          <w:lang w:val="en-GB"/>
        </w:rPr>
        <w:t xml:space="preserve"> </w:t>
      </w:r>
      <w:r w:rsidR="00CF7D78" w:rsidRPr="003978BF">
        <w:rPr>
          <w:rStyle w:val="EndnoteReference"/>
          <w:rFonts w:eastAsia="Cambria"/>
          <w:spacing w:val="-6"/>
          <w:kern w:val="17"/>
          <w:vertAlign w:val="baseline"/>
          <w:lang w:val="en-GB"/>
        </w:rPr>
        <w:t xml:space="preserve">Accolade Wines, </w:t>
      </w:r>
      <w:r w:rsidR="00CF7D78" w:rsidRPr="003978BF">
        <w:rPr>
          <w:spacing w:val="-6"/>
          <w:kern w:val="17"/>
          <w:lang w:val="en-GB"/>
        </w:rPr>
        <w:t xml:space="preserve">Casella Family Brands, </w:t>
      </w:r>
      <w:r w:rsidRPr="003978BF">
        <w:rPr>
          <w:spacing w:val="-6"/>
          <w:kern w:val="17"/>
          <w:lang w:val="en-GB"/>
        </w:rPr>
        <w:t xml:space="preserve">accessed </w:t>
      </w:r>
      <w:r w:rsidR="00317351" w:rsidRPr="003978BF">
        <w:rPr>
          <w:spacing w:val="-6"/>
          <w:kern w:val="17"/>
          <w:lang w:val="en-GB"/>
        </w:rPr>
        <w:t xml:space="preserve">February </w:t>
      </w:r>
      <w:r w:rsidRPr="003978BF">
        <w:rPr>
          <w:spacing w:val="-6"/>
          <w:kern w:val="17"/>
          <w:lang w:val="en-GB"/>
        </w:rPr>
        <w:t xml:space="preserve">12, 2019, </w:t>
      </w:r>
      <w:r w:rsidR="00927244" w:rsidRPr="003978BF">
        <w:rPr>
          <w:spacing w:val="-6"/>
          <w:kern w:val="17"/>
          <w:lang w:val="en-GB"/>
        </w:rPr>
        <w:t>www.</w:t>
      </w:r>
      <w:r w:rsidR="00CF7D78" w:rsidRPr="003978BF">
        <w:rPr>
          <w:spacing w:val="-6"/>
          <w:kern w:val="17"/>
          <w:lang w:val="en-GB"/>
        </w:rPr>
        <w:t>casellafamilybrands.com/Our-Story;</w:t>
      </w:r>
      <w:r w:rsidRPr="003978BF">
        <w:rPr>
          <w:spacing w:val="-6"/>
          <w:kern w:val="17"/>
          <w:lang w:val="en-GB"/>
        </w:rPr>
        <w:t xml:space="preserve"> </w:t>
      </w:r>
      <w:r w:rsidR="00C23D63" w:rsidRPr="003978BF">
        <w:rPr>
          <w:rStyle w:val="EndnoteReference"/>
          <w:rFonts w:eastAsia="Cambria"/>
          <w:spacing w:val="-6"/>
          <w:kern w:val="17"/>
          <w:vertAlign w:val="baseline"/>
          <w:lang w:val="en-GB"/>
        </w:rPr>
        <w:t>“</w:t>
      </w:r>
      <w:r w:rsidRPr="003978BF">
        <w:rPr>
          <w:rStyle w:val="EndnoteReference"/>
          <w:rFonts w:eastAsia="Cambria"/>
          <w:spacing w:val="-6"/>
          <w:kern w:val="17"/>
          <w:vertAlign w:val="baseline"/>
          <w:lang w:val="en-GB"/>
        </w:rPr>
        <w:t>Our Portfolio,</w:t>
      </w:r>
      <w:r w:rsidR="00C23D63" w:rsidRPr="003978BF">
        <w:rPr>
          <w:rStyle w:val="EndnoteReference"/>
          <w:rFonts w:eastAsia="Cambria"/>
          <w:spacing w:val="-6"/>
          <w:kern w:val="17"/>
          <w:vertAlign w:val="baseline"/>
          <w:lang w:val="en-GB"/>
        </w:rPr>
        <w:t>”</w:t>
      </w:r>
      <w:r w:rsidRPr="003978BF">
        <w:rPr>
          <w:rStyle w:val="EndnoteReference"/>
          <w:rFonts w:eastAsia="Cambria"/>
          <w:spacing w:val="-6"/>
          <w:kern w:val="17"/>
          <w:vertAlign w:val="baseline"/>
          <w:lang w:val="en-GB"/>
        </w:rPr>
        <w:t xml:space="preserve"> accessed </w:t>
      </w:r>
      <w:r w:rsidR="00CF7D78" w:rsidRPr="003978BF">
        <w:rPr>
          <w:rStyle w:val="EndnoteReference"/>
          <w:rFonts w:eastAsia="Cambria"/>
          <w:spacing w:val="-6"/>
          <w:kern w:val="17"/>
          <w:vertAlign w:val="baseline"/>
          <w:lang w:val="en-GB"/>
        </w:rPr>
        <w:t>F</w:t>
      </w:r>
      <w:r w:rsidR="00CF7D78" w:rsidRPr="003978BF">
        <w:rPr>
          <w:rFonts w:eastAsia="Cambria"/>
          <w:spacing w:val="-6"/>
          <w:kern w:val="17"/>
          <w:lang w:val="en-GB"/>
        </w:rPr>
        <w:t>ebruary</w:t>
      </w:r>
      <w:r w:rsidR="00CF7D78" w:rsidRPr="003978BF">
        <w:rPr>
          <w:rStyle w:val="EndnoteReference"/>
          <w:rFonts w:eastAsia="Cambria"/>
          <w:spacing w:val="-6"/>
          <w:kern w:val="17"/>
          <w:vertAlign w:val="baseline"/>
          <w:lang w:val="en-GB"/>
        </w:rPr>
        <w:t xml:space="preserve"> </w:t>
      </w:r>
      <w:r w:rsidRPr="003978BF">
        <w:rPr>
          <w:rStyle w:val="EndnoteReference"/>
          <w:rFonts w:eastAsia="Cambria"/>
          <w:spacing w:val="-6"/>
          <w:kern w:val="17"/>
          <w:vertAlign w:val="baseline"/>
          <w:lang w:val="en-GB"/>
        </w:rPr>
        <w:t xml:space="preserve">12, 2019, </w:t>
      </w:r>
      <w:r w:rsidR="00A4363F" w:rsidRPr="003978BF">
        <w:rPr>
          <w:rStyle w:val="EndnoteReference"/>
          <w:rFonts w:eastAsia="Cambria"/>
          <w:spacing w:val="-6"/>
          <w:kern w:val="17"/>
          <w:vertAlign w:val="baseline"/>
          <w:lang w:val="en-GB"/>
        </w:rPr>
        <w:t>www.</w:t>
      </w:r>
      <w:r w:rsidRPr="003978BF">
        <w:rPr>
          <w:rStyle w:val="EndnoteReference"/>
          <w:rFonts w:eastAsia="Cambria"/>
          <w:spacing w:val="-6"/>
          <w:kern w:val="17"/>
          <w:vertAlign w:val="baseline"/>
          <w:lang w:val="en-GB"/>
        </w:rPr>
        <w:t>accolade-wines.com/brands/our-full-portfolio/#1451837716464-4bf60d9b-e222.</w:t>
      </w:r>
    </w:p>
    <w:p w14:paraId="67E871C1" w14:textId="77777777" w:rsidR="002108C7" w:rsidRDefault="002108C7">
      <w:pPr>
        <w:spacing w:after="200" w:line="276" w:lineRule="auto"/>
        <w:rPr>
          <w:rFonts w:eastAsia="Cambria"/>
          <w:lang w:val="en-GB" w:eastAsia="hi-IN" w:bidi="hi-IN"/>
        </w:rPr>
        <w:sectPr w:rsidR="002108C7" w:rsidSect="003978BF">
          <w:headerReference w:type="default" r:id="rId13"/>
          <w:endnotePr>
            <w:numFmt w:val="decimal"/>
          </w:endnotePr>
          <w:pgSz w:w="15840" w:h="12240" w:orient="landscape" w:code="1"/>
          <w:pgMar w:top="1440" w:right="1440" w:bottom="1440" w:left="1440" w:header="1080" w:footer="720" w:gutter="0"/>
          <w:cols w:space="720"/>
          <w:docGrid w:linePitch="360"/>
        </w:sectPr>
      </w:pPr>
      <w:r>
        <w:rPr>
          <w:rFonts w:eastAsia="Cambria"/>
          <w:lang w:val="en-GB" w:eastAsia="hi-IN" w:bidi="hi-IN"/>
        </w:rPr>
        <w:br w:type="page"/>
      </w:r>
    </w:p>
    <w:p w14:paraId="1D85081A" w14:textId="32D120DE" w:rsidR="00426D0E" w:rsidRPr="00F40142" w:rsidRDefault="00426D0E" w:rsidP="00426D0E">
      <w:pPr>
        <w:pStyle w:val="ExhibitHeading"/>
        <w:rPr>
          <w:rFonts w:eastAsia="Arial Unicode MS" w:cs="Arial Unicode MS"/>
          <w:color w:val="000000"/>
          <w:kern w:val="1"/>
          <w:sz w:val="24"/>
          <w:szCs w:val="24"/>
          <w:lang w:val="en-GB" w:eastAsia="hi-IN" w:bidi="hi-IN"/>
        </w:rPr>
      </w:pPr>
      <w:r w:rsidRPr="00F40142">
        <w:rPr>
          <w:rFonts w:eastAsia="Cambria"/>
          <w:lang w:val="en-GB" w:eastAsia="hi-IN" w:bidi="hi-IN"/>
        </w:rPr>
        <w:lastRenderedPageBreak/>
        <w:t>Exhibit 8: Selected Financial Information</w:t>
      </w:r>
      <w:r w:rsidR="0095163E">
        <w:rPr>
          <w:rFonts w:eastAsia="Cambria"/>
          <w:lang w:val="en-GB" w:eastAsia="hi-IN" w:bidi="hi-IN"/>
        </w:rPr>
        <w:t xml:space="preserve"> of</w:t>
      </w:r>
      <w:r w:rsidRPr="00F40142">
        <w:rPr>
          <w:rFonts w:eastAsia="Cambria"/>
          <w:lang w:val="en-GB" w:eastAsia="hi-IN" w:bidi="hi-IN"/>
        </w:rPr>
        <w:t xml:space="preserve"> Competitors in the Canadian Wine Industry</w:t>
      </w:r>
    </w:p>
    <w:p w14:paraId="13948FE9" w14:textId="77777777" w:rsidR="00426D0E" w:rsidRPr="00F40142" w:rsidRDefault="00426D0E" w:rsidP="00426D0E">
      <w:pPr>
        <w:shd w:val="clear" w:color="auto" w:fill="FFFFFF"/>
        <w:spacing w:line="100" w:lineRule="atLeast"/>
        <w:rPr>
          <w:rFonts w:eastAsia="Arial Unicode MS" w:cs="Arial Unicode MS"/>
          <w:color w:val="000000"/>
          <w:kern w:val="1"/>
          <w:sz w:val="24"/>
          <w:szCs w:val="24"/>
          <w:lang w:val="en-GB" w:eastAsia="hi-IN" w:bidi="hi-IN"/>
        </w:rPr>
      </w:pPr>
    </w:p>
    <w:tbl>
      <w:tblPr>
        <w:tblW w:w="9360" w:type="dxa"/>
        <w:jc w:val="center"/>
        <w:tblLayout w:type="fixed"/>
        <w:tblLook w:val="0000" w:firstRow="0" w:lastRow="0" w:firstColumn="0" w:lastColumn="0" w:noHBand="0" w:noVBand="0"/>
      </w:tblPr>
      <w:tblGrid>
        <w:gridCol w:w="2119"/>
        <w:gridCol w:w="1385"/>
        <w:gridCol w:w="1425"/>
        <w:gridCol w:w="1179"/>
        <w:gridCol w:w="1259"/>
        <w:gridCol w:w="1968"/>
        <w:gridCol w:w="25"/>
      </w:tblGrid>
      <w:tr w:rsidR="00426D0E" w:rsidRPr="00F40142" w14:paraId="2F26AD63" w14:textId="77777777" w:rsidTr="00802190">
        <w:trPr>
          <w:gridAfter w:val="1"/>
          <w:wAfter w:w="25" w:type="dxa"/>
          <w:trHeight w:val="350"/>
          <w:jc w:val="center"/>
        </w:trPr>
        <w:tc>
          <w:tcPr>
            <w:tcW w:w="2119" w:type="dxa"/>
            <w:tcBorders>
              <w:top w:val="single" w:sz="4" w:space="0" w:color="000000"/>
              <w:left w:val="single" w:sz="4" w:space="0" w:color="000000"/>
              <w:bottom w:val="single" w:sz="4" w:space="0" w:color="000000"/>
            </w:tcBorders>
            <w:shd w:val="clear" w:color="auto" w:fill="auto"/>
          </w:tcPr>
          <w:p w14:paraId="4561958B" w14:textId="77777777" w:rsidR="00426D0E" w:rsidRPr="00F40142" w:rsidRDefault="00426D0E" w:rsidP="00411B4A">
            <w:pPr>
              <w:pStyle w:val="ExhibitText"/>
              <w:spacing w:line="100" w:lineRule="atLeast"/>
              <w:rPr>
                <w:rFonts w:eastAsia="Arial Unicode MS"/>
                <w:b/>
                <w:lang w:val="en-GB" w:eastAsia="hi-IN" w:bidi="hi-IN"/>
              </w:rPr>
            </w:pPr>
            <w:r w:rsidRPr="00F40142">
              <w:rPr>
                <w:rFonts w:eastAsia="Arial Unicode MS"/>
                <w:lang w:val="en-GB" w:eastAsia="hi-IN" w:bidi="hi-IN"/>
              </w:rPr>
              <w:t> </w:t>
            </w:r>
          </w:p>
        </w:tc>
        <w:tc>
          <w:tcPr>
            <w:tcW w:w="1385" w:type="dxa"/>
            <w:tcBorders>
              <w:top w:val="single" w:sz="4" w:space="0" w:color="000000"/>
              <w:left w:val="single" w:sz="4" w:space="0" w:color="000000"/>
              <w:bottom w:val="single" w:sz="4" w:space="0" w:color="000000"/>
            </w:tcBorders>
            <w:shd w:val="clear" w:color="auto" w:fill="auto"/>
            <w:vAlign w:val="center"/>
          </w:tcPr>
          <w:p w14:paraId="4BB2BC4E" w14:textId="6C0A3444" w:rsidR="00426D0E" w:rsidRPr="00F40142" w:rsidRDefault="00426D0E"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Diamond</w:t>
            </w:r>
            <w:r w:rsidR="004013CE">
              <w:rPr>
                <w:rFonts w:eastAsia="Arial Unicode MS"/>
                <w:b/>
                <w:lang w:val="en-GB" w:eastAsia="hi-IN" w:bidi="hi-IN"/>
              </w:rPr>
              <w:t xml:space="preserve"> Estate Wines &amp; Spirits</w:t>
            </w:r>
            <w:r w:rsidR="00E00592">
              <w:rPr>
                <w:rFonts w:eastAsia="Arial Unicode MS"/>
                <w:b/>
                <w:lang w:val="en-GB" w:eastAsia="hi-IN" w:bidi="hi-IN"/>
              </w:rPr>
              <w:t>*</w:t>
            </w:r>
          </w:p>
        </w:tc>
        <w:tc>
          <w:tcPr>
            <w:tcW w:w="1425" w:type="dxa"/>
            <w:tcBorders>
              <w:top w:val="single" w:sz="4" w:space="0" w:color="000000"/>
              <w:left w:val="single" w:sz="4" w:space="0" w:color="000000"/>
              <w:bottom w:val="single" w:sz="4" w:space="0" w:color="000000"/>
            </w:tcBorders>
            <w:shd w:val="clear" w:color="auto" w:fill="auto"/>
            <w:vAlign w:val="center"/>
          </w:tcPr>
          <w:p w14:paraId="22EEC8C4" w14:textId="1A6C2B63" w:rsidR="00426D0E" w:rsidRPr="00F40142" w:rsidRDefault="00426D0E"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Andre</w:t>
            </w:r>
            <w:r w:rsidR="00A4363F" w:rsidRPr="00F40142">
              <w:rPr>
                <w:rFonts w:eastAsia="Arial Unicode MS"/>
                <w:b/>
                <w:lang w:val="en-GB" w:eastAsia="hi-IN" w:bidi="hi-IN"/>
              </w:rPr>
              <w:t>w</w:t>
            </w:r>
            <w:r w:rsidRPr="00F40142">
              <w:rPr>
                <w:rFonts w:eastAsia="Arial Unicode MS"/>
                <w:b/>
                <w:lang w:val="en-GB" w:eastAsia="hi-IN" w:bidi="hi-IN"/>
              </w:rPr>
              <w:t xml:space="preserve"> Peller</w:t>
            </w:r>
            <w:r w:rsidR="004013CE">
              <w:rPr>
                <w:rFonts w:eastAsia="Arial Unicode MS"/>
                <w:b/>
                <w:lang w:val="en-GB" w:eastAsia="hi-IN" w:bidi="hi-IN"/>
              </w:rPr>
              <w:t xml:space="preserve"> Limited</w:t>
            </w:r>
            <w:r w:rsidR="00E00592">
              <w:rPr>
                <w:rFonts w:eastAsia="Arial Unicode MS"/>
                <w:b/>
                <w:lang w:val="en-GB" w:eastAsia="hi-IN" w:bidi="hi-IN"/>
              </w:rPr>
              <w:t>*</w:t>
            </w:r>
          </w:p>
        </w:tc>
        <w:tc>
          <w:tcPr>
            <w:tcW w:w="1179" w:type="dxa"/>
            <w:tcBorders>
              <w:top w:val="single" w:sz="4" w:space="0" w:color="000000"/>
              <w:left w:val="single" w:sz="4" w:space="0" w:color="000000"/>
              <w:bottom w:val="single" w:sz="4" w:space="0" w:color="000000"/>
            </w:tcBorders>
            <w:shd w:val="clear" w:color="auto" w:fill="auto"/>
            <w:vAlign w:val="center"/>
          </w:tcPr>
          <w:p w14:paraId="3D98C52B" w14:textId="7B71325F" w:rsidR="00426D0E" w:rsidRPr="00F40142" w:rsidRDefault="00426D0E"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Concho y Toro</w:t>
            </w:r>
            <w:r w:rsidR="00A979E0">
              <w:rPr>
                <w:rFonts w:eastAsia="Arial Unicode MS"/>
                <w:b/>
                <w:lang w:val="en-GB" w:eastAsia="hi-IN" w:bidi="hi-IN"/>
              </w:rPr>
              <w:t>**</w:t>
            </w:r>
          </w:p>
        </w:tc>
        <w:tc>
          <w:tcPr>
            <w:tcW w:w="1259" w:type="dxa"/>
            <w:tcBorders>
              <w:top w:val="single" w:sz="4" w:space="0" w:color="000000"/>
              <w:left w:val="single" w:sz="4" w:space="0" w:color="000000"/>
              <w:bottom w:val="single" w:sz="4" w:space="0" w:color="000000"/>
            </w:tcBorders>
            <w:shd w:val="clear" w:color="auto" w:fill="auto"/>
            <w:vAlign w:val="center"/>
          </w:tcPr>
          <w:p w14:paraId="28D0E4C7" w14:textId="59252240" w:rsidR="00426D0E" w:rsidRPr="00F40142" w:rsidRDefault="00426D0E" w:rsidP="00411B4A">
            <w:pPr>
              <w:pStyle w:val="ExhibitText"/>
              <w:spacing w:line="100" w:lineRule="atLeast"/>
              <w:jc w:val="center"/>
              <w:rPr>
                <w:rFonts w:eastAsia="Arial Unicode MS"/>
                <w:b/>
                <w:lang w:val="en-GB" w:eastAsia="hi-IN" w:bidi="hi-IN"/>
              </w:rPr>
            </w:pPr>
            <w:r w:rsidRPr="00F40142">
              <w:rPr>
                <w:rFonts w:eastAsia="Arial Unicode MS"/>
                <w:b/>
                <w:lang w:val="en-GB" w:eastAsia="hi-IN" w:bidi="hi-IN"/>
              </w:rPr>
              <w:t>Truet</w:t>
            </w:r>
            <w:r w:rsidR="00E00592">
              <w:rPr>
                <w:rFonts w:eastAsia="Arial Unicode MS"/>
                <w:b/>
                <w:lang w:val="en-GB" w:eastAsia="hi-IN" w:bidi="hi-IN"/>
              </w:rPr>
              <w:t>t-</w:t>
            </w:r>
            <w:r w:rsidRPr="00F40142">
              <w:rPr>
                <w:rFonts w:eastAsia="Arial Unicode MS"/>
                <w:b/>
                <w:lang w:val="en-GB" w:eastAsia="hi-IN" w:bidi="hi-IN"/>
              </w:rPr>
              <w:t>Hurst</w:t>
            </w:r>
            <w:r w:rsidR="00A979E0">
              <w:rPr>
                <w:rFonts w:eastAsia="Arial Unicode MS"/>
                <w:b/>
                <w:lang w:val="en-GB" w:eastAsia="hi-IN" w:bidi="hi-IN"/>
              </w:rPr>
              <w:t>*</w:t>
            </w:r>
            <w:r w:rsidR="00480FB4">
              <w:rPr>
                <w:rFonts w:eastAsia="Arial Unicode MS"/>
                <w:b/>
                <w:lang w:val="en-GB" w:eastAsia="hi-IN" w:bidi="hi-IN"/>
              </w:rPr>
              <w:t>**</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57E2E" w14:textId="5C55D573" w:rsidR="00426D0E" w:rsidRPr="00F40142" w:rsidRDefault="00426D0E" w:rsidP="00411B4A">
            <w:pPr>
              <w:pStyle w:val="ExhibitText"/>
              <w:spacing w:line="100" w:lineRule="atLeast"/>
              <w:jc w:val="center"/>
              <w:rPr>
                <w:lang w:val="en-GB"/>
              </w:rPr>
            </w:pPr>
            <w:r w:rsidRPr="00F40142">
              <w:rPr>
                <w:rFonts w:eastAsia="Arial Unicode MS"/>
                <w:b/>
                <w:lang w:val="en-GB" w:eastAsia="hi-IN" w:bidi="hi-IN"/>
              </w:rPr>
              <w:t>Treasury</w:t>
            </w:r>
            <w:r w:rsidR="004013CE">
              <w:rPr>
                <w:rFonts w:eastAsia="Arial Unicode MS"/>
                <w:b/>
                <w:lang w:val="en-GB" w:eastAsia="hi-IN" w:bidi="hi-IN"/>
              </w:rPr>
              <w:t xml:space="preserve"> Wine Estates</w:t>
            </w:r>
            <w:r w:rsidR="00C01E5C">
              <w:rPr>
                <w:rFonts w:eastAsia="Arial Unicode MS"/>
                <w:b/>
                <w:lang w:val="en-GB" w:eastAsia="hi-IN" w:bidi="hi-IN"/>
              </w:rPr>
              <w:t>***</w:t>
            </w:r>
            <w:r w:rsidR="00480FB4">
              <w:rPr>
                <w:rFonts w:eastAsia="Arial Unicode MS"/>
                <w:b/>
                <w:lang w:val="en-GB" w:eastAsia="hi-IN" w:bidi="hi-IN"/>
              </w:rPr>
              <w:t>*</w:t>
            </w:r>
          </w:p>
        </w:tc>
      </w:tr>
      <w:tr w:rsidR="00426D0E" w:rsidRPr="00F40142" w14:paraId="30737B55" w14:textId="77777777" w:rsidTr="00802190">
        <w:tblPrEx>
          <w:tblCellMar>
            <w:left w:w="0" w:type="dxa"/>
            <w:right w:w="0" w:type="dxa"/>
          </w:tblCellMar>
        </w:tblPrEx>
        <w:trPr>
          <w:trHeight w:val="255"/>
          <w:jc w:val="center"/>
        </w:trPr>
        <w:tc>
          <w:tcPr>
            <w:tcW w:w="9335" w:type="dxa"/>
            <w:gridSpan w:val="6"/>
            <w:tcBorders>
              <w:top w:val="single" w:sz="4" w:space="0" w:color="000000"/>
              <w:left w:val="single" w:sz="4" w:space="0" w:color="000000"/>
              <w:bottom w:val="single" w:sz="4" w:space="0" w:color="000000"/>
              <w:right w:val="single" w:sz="4" w:space="0" w:color="auto"/>
            </w:tcBorders>
            <w:shd w:val="clear" w:color="auto" w:fill="auto"/>
            <w:vAlign w:val="center"/>
          </w:tcPr>
          <w:p w14:paraId="3B29B903" w14:textId="57C32783" w:rsidR="00426D0E" w:rsidRPr="00F40142" w:rsidRDefault="00426D0E" w:rsidP="00411B4A">
            <w:pPr>
              <w:snapToGrid w:val="0"/>
              <w:rPr>
                <w:rFonts w:ascii="Arial" w:hAnsi="Arial" w:cs="Arial"/>
                <w:i/>
                <w:lang w:val="en-GB"/>
              </w:rPr>
            </w:pPr>
            <w:r w:rsidRPr="00F40142">
              <w:rPr>
                <w:rFonts w:ascii="Arial" w:eastAsia="Arial Unicode MS" w:hAnsi="Arial" w:cs="Arial"/>
                <w:i/>
                <w:lang w:val="en-GB" w:eastAsia="hi-IN" w:bidi="hi-IN"/>
              </w:rPr>
              <w:t>Scope of Business</w:t>
            </w:r>
          </w:p>
        </w:tc>
        <w:tc>
          <w:tcPr>
            <w:tcW w:w="25" w:type="dxa"/>
            <w:tcBorders>
              <w:left w:val="single" w:sz="4" w:space="0" w:color="auto"/>
            </w:tcBorders>
            <w:shd w:val="clear" w:color="auto" w:fill="auto"/>
          </w:tcPr>
          <w:p w14:paraId="4AAB80A8" w14:textId="77777777" w:rsidR="00426D0E" w:rsidRPr="00F40142" w:rsidRDefault="00426D0E" w:rsidP="00411B4A">
            <w:pPr>
              <w:snapToGrid w:val="0"/>
              <w:rPr>
                <w:rFonts w:ascii="Arial" w:hAnsi="Arial" w:cs="Arial"/>
                <w:lang w:val="en-GB"/>
              </w:rPr>
            </w:pPr>
          </w:p>
        </w:tc>
      </w:tr>
      <w:tr w:rsidR="00426D0E" w:rsidRPr="00F40142" w14:paraId="791B088A"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594F3E99" w14:textId="21A4DCC3" w:rsidR="00426D0E" w:rsidRPr="00F40142" w:rsidRDefault="00E00592" w:rsidP="00411B4A">
            <w:pPr>
              <w:pStyle w:val="ExhibitText"/>
              <w:spacing w:line="100" w:lineRule="atLeast"/>
              <w:jc w:val="left"/>
              <w:rPr>
                <w:rFonts w:eastAsia="Arial Unicode MS"/>
                <w:lang w:val="en-GB" w:eastAsia="hi-IN" w:bidi="hi-IN"/>
              </w:rPr>
            </w:pPr>
            <w:r>
              <w:rPr>
                <w:rFonts w:eastAsia="Arial Unicode MS"/>
                <w:lang w:val="en-GB" w:eastAsia="hi-IN" w:bidi="hi-IN"/>
              </w:rPr>
              <w:t>Total</w:t>
            </w:r>
            <w:r w:rsidRPr="00F40142">
              <w:rPr>
                <w:rFonts w:eastAsia="Arial Unicode MS"/>
                <w:lang w:val="en-GB" w:eastAsia="hi-IN" w:bidi="hi-IN"/>
              </w:rPr>
              <w:t xml:space="preserve"> </w:t>
            </w:r>
            <w:r w:rsidR="00D01BC1">
              <w:rPr>
                <w:rFonts w:eastAsia="Arial Unicode MS"/>
                <w:lang w:val="en-GB" w:eastAsia="hi-IN" w:bidi="hi-IN"/>
              </w:rPr>
              <w:t>r</w:t>
            </w:r>
            <w:r w:rsidR="00426D0E" w:rsidRPr="00F40142">
              <w:rPr>
                <w:rFonts w:eastAsia="Arial Unicode MS"/>
                <w:lang w:val="en-GB" w:eastAsia="hi-IN" w:bidi="hi-IN"/>
              </w:rPr>
              <w:t>evenues</w:t>
            </w:r>
            <w:r>
              <w:rPr>
                <w:rFonts w:eastAsia="Arial Unicode MS"/>
                <w:lang w:val="en-GB" w:eastAsia="hi-IN" w:bidi="hi-IN"/>
              </w:rPr>
              <w:t>, 2017</w:t>
            </w:r>
          </w:p>
        </w:tc>
        <w:tc>
          <w:tcPr>
            <w:tcW w:w="1385" w:type="dxa"/>
            <w:tcBorders>
              <w:top w:val="single" w:sz="4" w:space="0" w:color="000000"/>
              <w:left w:val="single" w:sz="4" w:space="0" w:color="000000"/>
              <w:bottom w:val="single" w:sz="4" w:space="0" w:color="000000"/>
            </w:tcBorders>
            <w:shd w:val="clear" w:color="auto" w:fill="auto"/>
            <w:vAlign w:val="center"/>
          </w:tcPr>
          <w:p w14:paraId="502161CD" w14:textId="0113A57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34.3</w:t>
            </w:r>
            <w:r w:rsidR="00D01BC1">
              <w:rPr>
                <w:rFonts w:eastAsia="Arial Unicode MS"/>
                <w:lang w:val="en-GB" w:eastAsia="hi-IN" w:bidi="hi-IN"/>
              </w:rPr>
              <w:t>0</w:t>
            </w:r>
          </w:p>
        </w:tc>
        <w:tc>
          <w:tcPr>
            <w:tcW w:w="1425" w:type="dxa"/>
            <w:tcBorders>
              <w:top w:val="single" w:sz="4" w:space="0" w:color="000000"/>
              <w:left w:val="single" w:sz="4" w:space="0" w:color="000000"/>
              <w:bottom w:val="single" w:sz="4" w:space="0" w:color="000000"/>
            </w:tcBorders>
            <w:shd w:val="clear" w:color="auto" w:fill="auto"/>
            <w:vAlign w:val="center"/>
          </w:tcPr>
          <w:p w14:paraId="2BB1D6BB" w14:textId="56B9EC5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342.6</w:t>
            </w:r>
            <w:r w:rsidR="00C62D85">
              <w:rPr>
                <w:rFonts w:eastAsia="Arial Unicode MS"/>
                <w:lang w:val="en-GB" w:eastAsia="hi-IN" w:bidi="hi-IN"/>
              </w:rPr>
              <w:t>0</w:t>
            </w:r>
            <w:r w:rsidR="00E00592">
              <w:rPr>
                <w:rFonts w:eastAsia="Arial Unicode MS"/>
                <w:lang w:val="en-GB" w:eastAsia="hi-IN" w:bidi="hi-IN"/>
              </w:rPr>
              <w:t xml:space="preserve"> </w:t>
            </w:r>
          </w:p>
        </w:tc>
        <w:tc>
          <w:tcPr>
            <w:tcW w:w="1179" w:type="dxa"/>
            <w:tcBorders>
              <w:top w:val="single" w:sz="4" w:space="0" w:color="000000"/>
              <w:left w:val="single" w:sz="4" w:space="0" w:color="000000"/>
              <w:bottom w:val="single" w:sz="4" w:space="0" w:color="000000"/>
            </w:tcBorders>
            <w:shd w:val="clear" w:color="auto" w:fill="auto"/>
            <w:vAlign w:val="center"/>
          </w:tcPr>
          <w:p w14:paraId="608794EE" w14:textId="192708E4"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643.8</w:t>
            </w:r>
            <w:r w:rsidR="00D01BC1">
              <w:rPr>
                <w:rFonts w:eastAsia="Arial Unicode MS"/>
                <w:lang w:val="en-GB" w:eastAsia="hi-IN" w:bidi="hi-IN"/>
              </w:rPr>
              <w:t>0</w:t>
            </w:r>
          </w:p>
        </w:tc>
        <w:tc>
          <w:tcPr>
            <w:tcW w:w="1259" w:type="dxa"/>
            <w:tcBorders>
              <w:top w:val="single" w:sz="4" w:space="0" w:color="000000"/>
              <w:left w:val="single" w:sz="4" w:space="0" w:color="000000"/>
              <w:bottom w:val="single" w:sz="4" w:space="0" w:color="000000"/>
            </w:tcBorders>
            <w:shd w:val="clear" w:color="auto" w:fill="auto"/>
            <w:vAlign w:val="center"/>
          </w:tcPr>
          <w:p w14:paraId="4C6955DD" w14:textId="1C571FB2"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22.2</w:t>
            </w:r>
            <w:r w:rsidR="00D01BC1">
              <w:rPr>
                <w:rFonts w:eastAsia="Arial Unicode MS"/>
                <w:lang w:val="en-GB" w:eastAsia="hi-IN" w:bidi="hi-IN"/>
              </w:rPr>
              <w:t>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FCC3E" w14:textId="3B58DBD6"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2.534</w:t>
            </w:r>
          </w:p>
        </w:tc>
      </w:tr>
      <w:tr w:rsidR="00426D0E" w:rsidRPr="00F40142" w14:paraId="1CA3205A"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1D2381CF" w14:textId="4CB5EAD3"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Total </w:t>
            </w:r>
            <w:r w:rsidR="00D01BC1">
              <w:rPr>
                <w:rFonts w:eastAsia="Arial Unicode MS"/>
                <w:lang w:val="en-GB" w:eastAsia="hi-IN" w:bidi="hi-IN"/>
              </w:rPr>
              <w:t>a</w:t>
            </w:r>
            <w:r w:rsidRPr="00F40142">
              <w:rPr>
                <w:rFonts w:eastAsia="Arial Unicode MS"/>
                <w:lang w:val="en-GB" w:eastAsia="hi-IN" w:bidi="hi-IN"/>
              </w:rPr>
              <w:t>ssets</w:t>
            </w:r>
          </w:p>
        </w:tc>
        <w:tc>
          <w:tcPr>
            <w:tcW w:w="1385" w:type="dxa"/>
            <w:tcBorders>
              <w:top w:val="single" w:sz="4" w:space="0" w:color="000000"/>
              <w:left w:val="single" w:sz="4" w:space="0" w:color="000000"/>
              <w:bottom w:val="single" w:sz="4" w:space="0" w:color="000000"/>
            </w:tcBorders>
            <w:shd w:val="clear" w:color="auto" w:fill="auto"/>
            <w:vAlign w:val="center"/>
          </w:tcPr>
          <w:p w14:paraId="7637A40F" w14:textId="69BE7062"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40</w:t>
            </w:r>
            <w:r w:rsidR="00C62D85">
              <w:rPr>
                <w:rFonts w:eastAsia="Arial Unicode MS"/>
                <w:lang w:val="en-GB" w:eastAsia="hi-IN" w:bidi="hi-IN"/>
              </w:rPr>
              <w:t>.0</w:t>
            </w:r>
            <w:r w:rsidR="00D01BC1">
              <w:rPr>
                <w:rFonts w:eastAsia="Arial Unicode MS"/>
                <w:lang w:val="en-GB" w:eastAsia="hi-IN" w:bidi="hi-IN"/>
              </w:rPr>
              <w:t>0</w:t>
            </w:r>
            <w:r w:rsidR="00E00592">
              <w:rPr>
                <w:rFonts w:eastAsia="Arial Unicode MS"/>
                <w:lang w:val="en-GB" w:eastAsia="hi-IN" w:bidi="hi-IN"/>
              </w:rPr>
              <w:t xml:space="preserve"> </w:t>
            </w:r>
          </w:p>
        </w:tc>
        <w:tc>
          <w:tcPr>
            <w:tcW w:w="1425" w:type="dxa"/>
            <w:tcBorders>
              <w:top w:val="single" w:sz="4" w:space="0" w:color="000000"/>
              <w:left w:val="single" w:sz="4" w:space="0" w:color="000000"/>
              <w:bottom w:val="single" w:sz="4" w:space="0" w:color="000000"/>
            </w:tcBorders>
            <w:shd w:val="clear" w:color="auto" w:fill="auto"/>
            <w:vAlign w:val="center"/>
          </w:tcPr>
          <w:p w14:paraId="4F9DC6B0" w14:textId="494771D6"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329.4</w:t>
            </w:r>
            <w:r w:rsidR="00C62D85">
              <w:rPr>
                <w:rFonts w:eastAsia="Arial Unicode MS"/>
                <w:lang w:val="en-GB" w:eastAsia="hi-IN" w:bidi="hi-IN"/>
              </w:rPr>
              <w:t>0</w:t>
            </w:r>
          </w:p>
        </w:tc>
        <w:tc>
          <w:tcPr>
            <w:tcW w:w="1179" w:type="dxa"/>
            <w:tcBorders>
              <w:top w:val="single" w:sz="4" w:space="0" w:color="000000"/>
              <w:left w:val="single" w:sz="4" w:space="0" w:color="000000"/>
              <w:bottom w:val="single" w:sz="4" w:space="0" w:color="000000"/>
            </w:tcBorders>
            <w:shd w:val="clear" w:color="auto" w:fill="auto"/>
            <w:vAlign w:val="center"/>
          </w:tcPr>
          <w:p w14:paraId="72DC35DC" w14:textId="098CCF7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1956.8</w:t>
            </w:r>
            <w:r w:rsidR="00D01BC1">
              <w:rPr>
                <w:rFonts w:eastAsia="Arial Unicode MS"/>
                <w:lang w:val="en-GB" w:eastAsia="hi-IN" w:bidi="hi-IN"/>
              </w:rPr>
              <w:t>0</w:t>
            </w:r>
          </w:p>
        </w:tc>
        <w:tc>
          <w:tcPr>
            <w:tcW w:w="1259" w:type="dxa"/>
            <w:tcBorders>
              <w:top w:val="single" w:sz="4" w:space="0" w:color="000000"/>
              <w:left w:val="single" w:sz="4" w:space="0" w:color="000000"/>
              <w:bottom w:val="single" w:sz="4" w:space="0" w:color="000000"/>
            </w:tcBorders>
            <w:shd w:val="clear" w:color="auto" w:fill="auto"/>
            <w:vAlign w:val="center"/>
          </w:tcPr>
          <w:p w14:paraId="050B36A8" w14:textId="5567A8F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30.0</w:t>
            </w:r>
            <w:r w:rsidR="00D01BC1">
              <w:rPr>
                <w:rFonts w:eastAsia="Arial Unicode MS"/>
                <w:lang w:val="en-GB" w:eastAsia="hi-IN" w:bidi="hi-IN"/>
              </w:rPr>
              <w:t>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76B8" w14:textId="79FE6D2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5.3</w:t>
            </w:r>
            <w:r w:rsidR="00C62D85">
              <w:rPr>
                <w:rFonts w:eastAsia="Arial Unicode MS"/>
                <w:lang w:val="en-GB" w:eastAsia="hi-IN" w:bidi="hi-IN"/>
              </w:rPr>
              <w:t>00</w:t>
            </w:r>
          </w:p>
        </w:tc>
      </w:tr>
      <w:tr w:rsidR="00426D0E" w:rsidRPr="00F40142" w14:paraId="28D57CFE"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391CD651"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Inventory</w:t>
            </w:r>
          </w:p>
        </w:tc>
        <w:tc>
          <w:tcPr>
            <w:tcW w:w="1385" w:type="dxa"/>
            <w:tcBorders>
              <w:top w:val="single" w:sz="4" w:space="0" w:color="000000"/>
              <w:left w:val="single" w:sz="4" w:space="0" w:color="000000"/>
              <w:bottom w:val="single" w:sz="4" w:space="0" w:color="000000"/>
            </w:tcBorders>
            <w:shd w:val="clear" w:color="auto" w:fill="auto"/>
            <w:vAlign w:val="center"/>
          </w:tcPr>
          <w:p w14:paraId="2256AF0E" w14:textId="49EA505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16.6</w:t>
            </w:r>
            <w:r w:rsidR="00D01BC1">
              <w:rPr>
                <w:rFonts w:eastAsia="Arial Unicode MS"/>
                <w:lang w:val="en-GB" w:eastAsia="hi-IN" w:bidi="hi-IN"/>
              </w:rPr>
              <w:t>0</w:t>
            </w:r>
            <w:r w:rsidR="00E00592" w:rsidRPr="00F40142" w:rsidDel="00E00592">
              <w:rPr>
                <w:rFonts w:eastAsia="Arial Unicode MS"/>
                <w:lang w:val="en-GB" w:eastAsia="hi-IN" w:bidi="hi-IN"/>
              </w:rPr>
              <w:t xml:space="preserve"> </w:t>
            </w:r>
          </w:p>
        </w:tc>
        <w:tc>
          <w:tcPr>
            <w:tcW w:w="1425" w:type="dxa"/>
            <w:tcBorders>
              <w:top w:val="single" w:sz="4" w:space="0" w:color="000000"/>
              <w:left w:val="single" w:sz="4" w:space="0" w:color="000000"/>
              <w:bottom w:val="single" w:sz="4" w:space="0" w:color="000000"/>
            </w:tcBorders>
            <w:shd w:val="clear" w:color="auto" w:fill="auto"/>
            <w:vAlign w:val="center"/>
          </w:tcPr>
          <w:p w14:paraId="72866674" w14:textId="78C8FF3B"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130.50</w:t>
            </w:r>
          </w:p>
        </w:tc>
        <w:tc>
          <w:tcPr>
            <w:tcW w:w="1179" w:type="dxa"/>
            <w:tcBorders>
              <w:top w:val="single" w:sz="4" w:space="0" w:color="000000"/>
              <w:left w:val="single" w:sz="4" w:space="0" w:color="000000"/>
              <w:bottom w:val="single" w:sz="4" w:space="0" w:color="000000"/>
            </w:tcBorders>
            <w:shd w:val="clear" w:color="auto" w:fill="auto"/>
            <w:vAlign w:val="center"/>
          </w:tcPr>
          <w:p w14:paraId="29155D17" w14:textId="79FF203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254.7</w:t>
            </w:r>
            <w:r w:rsidR="00D01BC1">
              <w:rPr>
                <w:rFonts w:eastAsia="Arial Unicode MS"/>
                <w:lang w:val="en-GB" w:eastAsia="hi-IN" w:bidi="hi-IN"/>
              </w:rPr>
              <w:t>0</w:t>
            </w:r>
          </w:p>
        </w:tc>
        <w:tc>
          <w:tcPr>
            <w:tcW w:w="1259" w:type="dxa"/>
            <w:tcBorders>
              <w:top w:val="single" w:sz="4" w:space="0" w:color="000000"/>
              <w:left w:val="single" w:sz="4" w:space="0" w:color="000000"/>
              <w:bottom w:val="single" w:sz="4" w:space="0" w:color="000000"/>
            </w:tcBorders>
            <w:shd w:val="clear" w:color="auto" w:fill="auto"/>
            <w:vAlign w:val="center"/>
          </w:tcPr>
          <w:p w14:paraId="33A0F307" w14:textId="04CAA3AB"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20.6</w:t>
            </w:r>
            <w:r w:rsidR="00D01BC1">
              <w:rPr>
                <w:rFonts w:eastAsia="Arial Unicode MS"/>
                <w:lang w:val="en-GB" w:eastAsia="hi-IN" w:bidi="hi-IN"/>
              </w:rPr>
              <w:t>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82BCF" w14:textId="30AE5C7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0.95</w:t>
            </w:r>
            <w:r w:rsidR="00C62D85">
              <w:rPr>
                <w:rFonts w:eastAsia="Arial Unicode MS"/>
                <w:lang w:val="en-GB" w:eastAsia="hi-IN" w:bidi="hi-IN"/>
              </w:rPr>
              <w:t>0</w:t>
            </w:r>
          </w:p>
        </w:tc>
      </w:tr>
      <w:tr w:rsidR="00426D0E" w:rsidRPr="00F40142" w14:paraId="197D254E"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2128D91E" w14:textId="1AA24BF9"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Net </w:t>
            </w:r>
            <w:r w:rsidR="00D01BC1">
              <w:rPr>
                <w:rFonts w:eastAsia="Arial Unicode MS"/>
                <w:lang w:val="en-GB" w:eastAsia="hi-IN" w:bidi="hi-IN"/>
              </w:rPr>
              <w:t>p</w:t>
            </w:r>
            <w:r w:rsidRPr="00F40142">
              <w:rPr>
                <w:rFonts w:eastAsia="Arial Unicode MS"/>
                <w:lang w:val="en-GB" w:eastAsia="hi-IN" w:bidi="hi-IN"/>
              </w:rPr>
              <w:t xml:space="preserve">roperty, </w:t>
            </w:r>
            <w:r w:rsidR="00D01BC1">
              <w:rPr>
                <w:rFonts w:eastAsia="Arial Unicode MS"/>
                <w:lang w:val="en-GB" w:eastAsia="hi-IN" w:bidi="hi-IN"/>
              </w:rPr>
              <w:t>e</w:t>
            </w:r>
            <w:r w:rsidR="00E25FAF">
              <w:rPr>
                <w:rFonts w:eastAsia="Arial Unicode MS"/>
                <w:lang w:val="en-GB" w:eastAsia="hi-IN" w:bidi="hi-IN"/>
              </w:rPr>
              <w:t>quipment</w:t>
            </w:r>
          </w:p>
        </w:tc>
        <w:tc>
          <w:tcPr>
            <w:tcW w:w="1385" w:type="dxa"/>
            <w:tcBorders>
              <w:top w:val="single" w:sz="4" w:space="0" w:color="000000"/>
              <w:left w:val="single" w:sz="4" w:space="0" w:color="000000"/>
              <w:bottom w:val="single" w:sz="4" w:space="0" w:color="000000"/>
            </w:tcBorders>
            <w:shd w:val="clear" w:color="auto" w:fill="auto"/>
            <w:vAlign w:val="center"/>
          </w:tcPr>
          <w:p w14:paraId="371E1A42" w14:textId="3D1A199D"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16.0</w:t>
            </w:r>
            <w:r w:rsidR="00D01BC1">
              <w:rPr>
                <w:rFonts w:eastAsia="Arial Unicode MS"/>
                <w:lang w:val="en-GB" w:eastAsia="hi-IN" w:bidi="hi-IN"/>
              </w:rPr>
              <w:t>0</w:t>
            </w:r>
            <w:r w:rsidR="00E00592">
              <w:rPr>
                <w:rFonts w:eastAsia="Arial Unicode MS"/>
                <w:lang w:val="en-GB" w:eastAsia="hi-IN" w:bidi="hi-IN"/>
              </w:rPr>
              <w:t xml:space="preserve"> </w:t>
            </w:r>
          </w:p>
        </w:tc>
        <w:tc>
          <w:tcPr>
            <w:tcW w:w="1425" w:type="dxa"/>
            <w:tcBorders>
              <w:top w:val="single" w:sz="4" w:space="0" w:color="000000"/>
              <w:left w:val="single" w:sz="4" w:space="0" w:color="000000"/>
              <w:bottom w:val="single" w:sz="4" w:space="0" w:color="000000"/>
            </w:tcBorders>
            <w:shd w:val="clear" w:color="auto" w:fill="auto"/>
            <w:vAlign w:val="center"/>
          </w:tcPr>
          <w:p w14:paraId="18E21EF6" w14:textId="0B53A60D"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118.80</w:t>
            </w:r>
          </w:p>
        </w:tc>
        <w:tc>
          <w:tcPr>
            <w:tcW w:w="1179" w:type="dxa"/>
            <w:tcBorders>
              <w:top w:val="single" w:sz="4" w:space="0" w:color="000000"/>
              <w:left w:val="single" w:sz="4" w:space="0" w:color="000000"/>
              <w:bottom w:val="single" w:sz="4" w:space="0" w:color="000000"/>
            </w:tcBorders>
            <w:shd w:val="clear" w:color="auto" w:fill="auto"/>
            <w:vAlign w:val="center"/>
          </w:tcPr>
          <w:p w14:paraId="35CA73B2" w14:textId="4B844CC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381.7</w:t>
            </w:r>
            <w:r w:rsidR="00D01BC1">
              <w:rPr>
                <w:rFonts w:eastAsia="Arial Unicode MS"/>
                <w:lang w:val="en-GB" w:eastAsia="hi-IN" w:bidi="hi-IN"/>
              </w:rPr>
              <w:t>0</w:t>
            </w:r>
          </w:p>
        </w:tc>
        <w:tc>
          <w:tcPr>
            <w:tcW w:w="1259" w:type="dxa"/>
            <w:tcBorders>
              <w:top w:val="single" w:sz="4" w:space="0" w:color="000000"/>
              <w:left w:val="single" w:sz="4" w:space="0" w:color="000000"/>
              <w:bottom w:val="single" w:sz="4" w:space="0" w:color="000000"/>
            </w:tcBorders>
            <w:shd w:val="clear" w:color="auto" w:fill="auto"/>
            <w:vAlign w:val="center"/>
          </w:tcPr>
          <w:p w14:paraId="32C55393" w14:textId="6CF57B9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5.4</w:t>
            </w:r>
            <w:r w:rsidR="00D01BC1">
              <w:rPr>
                <w:rFonts w:eastAsia="Arial Unicode MS"/>
                <w:lang w:val="en-GB" w:eastAsia="hi-IN" w:bidi="hi-IN"/>
              </w:rPr>
              <w:t>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3F50F" w14:textId="5F4941E2"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1.4</w:t>
            </w:r>
            <w:r w:rsidR="00C62D85">
              <w:rPr>
                <w:rFonts w:eastAsia="Arial Unicode MS"/>
                <w:lang w:val="en-GB" w:eastAsia="hi-IN" w:bidi="hi-IN"/>
              </w:rPr>
              <w:t>00</w:t>
            </w:r>
          </w:p>
        </w:tc>
      </w:tr>
      <w:tr w:rsidR="00426D0E" w:rsidRPr="00F40142" w14:paraId="2553570C"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710CE78B" w14:textId="6A3EF716" w:rsidR="00426D0E" w:rsidRPr="00F40142" w:rsidRDefault="00E25FAF" w:rsidP="00411B4A">
            <w:pPr>
              <w:pStyle w:val="ExhibitText"/>
              <w:spacing w:line="100" w:lineRule="atLeast"/>
              <w:jc w:val="left"/>
              <w:rPr>
                <w:rFonts w:eastAsia="Arial Unicode MS"/>
                <w:lang w:val="en-GB" w:eastAsia="hi-IN" w:bidi="hi-IN"/>
              </w:rPr>
            </w:pPr>
            <w:r>
              <w:rPr>
                <w:rFonts w:eastAsia="Arial Unicode MS"/>
                <w:lang w:val="en-GB" w:eastAsia="hi-IN" w:bidi="hi-IN"/>
              </w:rPr>
              <w:t>Long-</w:t>
            </w:r>
            <w:r w:rsidR="00D01BC1">
              <w:rPr>
                <w:rFonts w:eastAsia="Arial Unicode MS"/>
                <w:lang w:val="en-GB" w:eastAsia="hi-IN" w:bidi="hi-IN"/>
              </w:rPr>
              <w:t>t</w:t>
            </w:r>
            <w:r>
              <w:rPr>
                <w:rFonts w:eastAsia="Arial Unicode MS"/>
                <w:lang w:val="en-GB" w:eastAsia="hi-IN" w:bidi="hi-IN"/>
              </w:rPr>
              <w:t>erm</w:t>
            </w:r>
            <w:r w:rsidR="00426D0E" w:rsidRPr="00F40142">
              <w:rPr>
                <w:rFonts w:eastAsia="Arial Unicode MS"/>
                <w:lang w:val="en-GB" w:eastAsia="hi-IN" w:bidi="hi-IN"/>
              </w:rPr>
              <w:t xml:space="preserve"> </w:t>
            </w:r>
            <w:r w:rsidR="00D01BC1">
              <w:rPr>
                <w:rFonts w:eastAsia="Arial Unicode MS"/>
                <w:lang w:val="en-GB" w:eastAsia="hi-IN" w:bidi="hi-IN"/>
              </w:rPr>
              <w:t>d</w:t>
            </w:r>
            <w:r w:rsidR="00426D0E" w:rsidRPr="00F40142">
              <w:rPr>
                <w:rFonts w:eastAsia="Arial Unicode MS"/>
                <w:lang w:val="en-GB" w:eastAsia="hi-IN" w:bidi="hi-IN"/>
              </w:rPr>
              <w:t>ebt</w:t>
            </w:r>
          </w:p>
        </w:tc>
        <w:tc>
          <w:tcPr>
            <w:tcW w:w="1385" w:type="dxa"/>
            <w:tcBorders>
              <w:top w:val="single" w:sz="4" w:space="0" w:color="000000"/>
              <w:left w:val="single" w:sz="4" w:space="0" w:color="000000"/>
              <w:bottom w:val="single" w:sz="4" w:space="0" w:color="000000"/>
            </w:tcBorders>
            <w:shd w:val="clear" w:color="auto" w:fill="auto"/>
            <w:vAlign w:val="center"/>
          </w:tcPr>
          <w:p w14:paraId="171BA0E8" w14:textId="2D55725B"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7.5</w:t>
            </w:r>
            <w:r w:rsidR="00D01BC1">
              <w:rPr>
                <w:rFonts w:eastAsia="Arial Unicode MS"/>
                <w:lang w:val="en-GB" w:eastAsia="hi-IN" w:bidi="hi-IN"/>
              </w:rPr>
              <w:t>0</w:t>
            </w:r>
            <w:r w:rsidR="00E00592" w:rsidRPr="00F40142" w:rsidDel="00E00592">
              <w:rPr>
                <w:rFonts w:eastAsia="Arial Unicode MS"/>
                <w:lang w:val="en-GB" w:eastAsia="hi-IN" w:bidi="hi-IN"/>
              </w:rPr>
              <w:t xml:space="preserve"> </w:t>
            </w:r>
          </w:p>
        </w:tc>
        <w:tc>
          <w:tcPr>
            <w:tcW w:w="1425" w:type="dxa"/>
            <w:tcBorders>
              <w:top w:val="single" w:sz="4" w:space="0" w:color="000000"/>
              <w:left w:val="single" w:sz="4" w:space="0" w:color="000000"/>
              <w:bottom w:val="single" w:sz="4" w:space="0" w:color="000000"/>
            </w:tcBorders>
            <w:shd w:val="clear" w:color="auto" w:fill="auto"/>
            <w:vAlign w:val="center"/>
          </w:tcPr>
          <w:p w14:paraId="19F89CDB" w14:textId="770CD0FE"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46.7</w:t>
            </w:r>
            <w:r w:rsidR="00C62D85">
              <w:rPr>
                <w:rFonts w:eastAsia="Arial Unicode MS"/>
                <w:lang w:val="en-GB" w:eastAsia="hi-IN" w:bidi="hi-IN"/>
              </w:rPr>
              <w:t>0</w:t>
            </w:r>
          </w:p>
        </w:tc>
        <w:tc>
          <w:tcPr>
            <w:tcW w:w="1179" w:type="dxa"/>
            <w:tcBorders>
              <w:top w:val="single" w:sz="4" w:space="0" w:color="000000"/>
              <w:left w:val="single" w:sz="4" w:space="0" w:color="000000"/>
              <w:bottom w:val="single" w:sz="4" w:space="0" w:color="000000"/>
            </w:tcBorders>
            <w:shd w:val="clear" w:color="auto" w:fill="auto"/>
            <w:vAlign w:val="center"/>
          </w:tcPr>
          <w:p w14:paraId="71A6365A" w14:textId="2D8243F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127.8</w:t>
            </w:r>
            <w:r w:rsidR="00D01BC1">
              <w:rPr>
                <w:rFonts w:eastAsia="Arial Unicode MS"/>
                <w:lang w:val="en-GB" w:eastAsia="hi-IN" w:bidi="hi-IN"/>
              </w:rPr>
              <w:t>0</w:t>
            </w:r>
          </w:p>
        </w:tc>
        <w:tc>
          <w:tcPr>
            <w:tcW w:w="1259" w:type="dxa"/>
            <w:tcBorders>
              <w:top w:val="single" w:sz="4" w:space="0" w:color="000000"/>
              <w:left w:val="single" w:sz="4" w:space="0" w:color="000000"/>
              <w:bottom w:val="single" w:sz="4" w:space="0" w:color="000000"/>
            </w:tcBorders>
            <w:shd w:val="clear" w:color="auto" w:fill="auto"/>
            <w:vAlign w:val="center"/>
          </w:tcPr>
          <w:p w14:paraId="10800EC3" w14:textId="2093FB1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3.1</w:t>
            </w:r>
            <w:r w:rsidR="00D01BC1">
              <w:rPr>
                <w:rFonts w:eastAsia="Arial Unicode MS"/>
                <w:lang w:val="en-GB" w:eastAsia="hi-IN" w:bidi="hi-IN"/>
              </w:rPr>
              <w:t>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31041" w14:textId="503BC30E"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0.6</w:t>
            </w:r>
            <w:r w:rsidR="00C62D85">
              <w:rPr>
                <w:rFonts w:eastAsia="Arial Unicode MS"/>
                <w:lang w:val="en-GB" w:eastAsia="hi-IN" w:bidi="hi-IN"/>
              </w:rPr>
              <w:t>00</w:t>
            </w:r>
          </w:p>
        </w:tc>
      </w:tr>
      <w:tr w:rsidR="00426D0E" w:rsidRPr="00F40142" w14:paraId="3E4B87C3"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093F1B23" w14:textId="1FB6DF6F"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Current </w:t>
            </w:r>
            <w:r w:rsidR="00D01BC1">
              <w:rPr>
                <w:rFonts w:eastAsia="Arial Unicode MS"/>
                <w:lang w:val="en-GB" w:eastAsia="hi-IN" w:bidi="hi-IN"/>
              </w:rPr>
              <w:t>l</w:t>
            </w:r>
            <w:r w:rsidR="00E25FAF">
              <w:rPr>
                <w:rFonts w:eastAsia="Arial Unicode MS"/>
                <w:lang w:val="en-GB" w:eastAsia="hi-IN" w:bidi="hi-IN"/>
              </w:rPr>
              <w:t>iabilities</w:t>
            </w:r>
          </w:p>
        </w:tc>
        <w:tc>
          <w:tcPr>
            <w:tcW w:w="1385" w:type="dxa"/>
            <w:tcBorders>
              <w:top w:val="single" w:sz="4" w:space="0" w:color="000000"/>
              <w:left w:val="single" w:sz="4" w:space="0" w:color="000000"/>
              <w:bottom w:val="single" w:sz="4" w:space="0" w:color="000000"/>
            </w:tcBorders>
            <w:shd w:val="clear" w:color="auto" w:fill="auto"/>
            <w:vAlign w:val="center"/>
          </w:tcPr>
          <w:p w14:paraId="5500D4E5" w14:textId="4210CA2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12.1</w:t>
            </w:r>
            <w:r w:rsidR="00D01BC1">
              <w:rPr>
                <w:rFonts w:eastAsia="Arial Unicode MS"/>
                <w:lang w:val="en-GB" w:eastAsia="hi-IN" w:bidi="hi-IN"/>
              </w:rPr>
              <w:t>0</w:t>
            </w:r>
          </w:p>
        </w:tc>
        <w:tc>
          <w:tcPr>
            <w:tcW w:w="1425" w:type="dxa"/>
            <w:tcBorders>
              <w:top w:val="single" w:sz="4" w:space="0" w:color="000000"/>
              <w:left w:val="single" w:sz="4" w:space="0" w:color="000000"/>
              <w:bottom w:val="single" w:sz="4" w:space="0" w:color="000000"/>
            </w:tcBorders>
            <w:shd w:val="clear" w:color="auto" w:fill="auto"/>
            <w:vAlign w:val="center"/>
          </w:tcPr>
          <w:p w14:paraId="1BF44476" w14:textId="0D3C104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81.7</w:t>
            </w:r>
            <w:r w:rsidR="00C62D85">
              <w:rPr>
                <w:rFonts w:eastAsia="Arial Unicode MS"/>
                <w:lang w:val="en-GB" w:eastAsia="hi-IN" w:bidi="hi-IN"/>
              </w:rPr>
              <w:t>0</w:t>
            </w:r>
          </w:p>
        </w:tc>
        <w:tc>
          <w:tcPr>
            <w:tcW w:w="1179" w:type="dxa"/>
            <w:tcBorders>
              <w:top w:val="single" w:sz="4" w:space="0" w:color="000000"/>
              <w:left w:val="single" w:sz="4" w:space="0" w:color="000000"/>
              <w:bottom w:val="single" w:sz="4" w:space="0" w:color="000000"/>
            </w:tcBorders>
            <w:shd w:val="clear" w:color="auto" w:fill="auto"/>
            <w:vAlign w:val="center"/>
          </w:tcPr>
          <w:p w14:paraId="04F33298" w14:textId="7975194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320.7</w:t>
            </w:r>
            <w:r w:rsidR="00D01BC1">
              <w:rPr>
                <w:rFonts w:eastAsia="Arial Unicode MS"/>
                <w:lang w:val="en-GB" w:eastAsia="hi-IN" w:bidi="hi-IN"/>
              </w:rPr>
              <w:t>0</w:t>
            </w:r>
          </w:p>
        </w:tc>
        <w:tc>
          <w:tcPr>
            <w:tcW w:w="1259" w:type="dxa"/>
            <w:tcBorders>
              <w:top w:val="single" w:sz="4" w:space="0" w:color="000000"/>
              <w:left w:val="single" w:sz="4" w:space="0" w:color="000000"/>
              <w:bottom w:val="single" w:sz="4" w:space="0" w:color="000000"/>
            </w:tcBorders>
            <w:shd w:val="clear" w:color="auto" w:fill="auto"/>
            <w:vAlign w:val="center"/>
          </w:tcPr>
          <w:p w14:paraId="00E8AEE4" w14:textId="68159A05"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10.8</w:t>
            </w:r>
            <w:r w:rsidR="00D01BC1">
              <w:rPr>
                <w:rFonts w:eastAsia="Arial Unicode MS"/>
                <w:lang w:val="en-GB" w:eastAsia="hi-IN" w:bidi="hi-IN"/>
              </w:rPr>
              <w:t>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A00BF" w14:textId="45A655A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0.8</w:t>
            </w:r>
            <w:r w:rsidR="00C62D85">
              <w:rPr>
                <w:rFonts w:eastAsia="Arial Unicode MS"/>
                <w:lang w:val="en-GB" w:eastAsia="hi-IN" w:bidi="hi-IN"/>
              </w:rPr>
              <w:t>00</w:t>
            </w:r>
          </w:p>
        </w:tc>
      </w:tr>
      <w:tr w:rsidR="00426D0E" w:rsidRPr="00F40142" w14:paraId="1004323E" w14:textId="77777777" w:rsidTr="00802190">
        <w:tblPrEx>
          <w:tblCellMar>
            <w:left w:w="0" w:type="dxa"/>
            <w:right w:w="0" w:type="dxa"/>
          </w:tblCellMar>
        </w:tblPrEx>
        <w:trPr>
          <w:trHeight w:val="255"/>
          <w:jc w:val="center"/>
        </w:trPr>
        <w:tc>
          <w:tcPr>
            <w:tcW w:w="9335" w:type="dxa"/>
            <w:gridSpan w:val="6"/>
            <w:tcBorders>
              <w:top w:val="single" w:sz="4" w:space="0" w:color="000000"/>
              <w:left w:val="single" w:sz="4" w:space="0" w:color="000000"/>
              <w:bottom w:val="single" w:sz="4" w:space="0" w:color="000000"/>
              <w:right w:val="single" w:sz="4" w:space="0" w:color="auto"/>
            </w:tcBorders>
            <w:shd w:val="clear" w:color="auto" w:fill="auto"/>
            <w:vAlign w:val="center"/>
          </w:tcPr>
          <w:p w14:paraId="753DEFFA" w14:textId="062976B5" w:rsidR="00426D0E" w:rsidRPr="00F40142" w:rsidRDefault="00426D0E" w:rsidP="00411B4A">
            <w:pPr>
              <w:snapToGrid w:val="0"/>
              <w:rPr>
                <w:rFonts w:ascii="Arial" w:hAnsi="Arial" w:cs="Arial"/>
                <w:i/>
                <w:lang w:val="en-GB"/>
              </w:rPr>
            </w:pPr>
            <w:r w:rsidRPr="00F40142">
              <w:rPr>
                <w:rFonts w:ascii="Arial" w:eastAsia="Arial Unicode MS" w:hAnsi="Arial" w:cs="Arial"/>
                <w:i/>
                <w:lang w:val="en-GB" w:eastAsia="hi-IN" w:bidi="hi-IN"/>
              </w:rPr>
              <w:t xml:space="preserve">Business Comparisons (2017, </w:t>
            </w:r>
            <w:r w:rsidR="00E25FAF">
              <w:rPr>
                <w:rFonts w:ascii="Arial" w:eastAsia="Arial Unicode MS" w:hAnsi="Arial" w:cs="Arial"/>
                <w:i/>
                <w:lang w:val="en-GB" w:eastAsia="hi-IN" w:bidi="hi-IN"/>
              </w:rPr>
              <w:t>All Values</w:t>
            </w:r>
            <w:r w:rsidRPr="00F40142">
              <w:rPr>
                <w:rFonts w:ascii="Arial" w:eastAsia="Arial Unicode MS" w:hAnsi="Arial" w:cs="Arial"/>
                <w:i/>
                <w:lang w:val="en-GB" w:eastAsia="hi-IN" w:bidi="hi-IN"/>
              </w:rPr>
              <w:t xml:space="preserve"> </w:t>
            </w:r>
            <w:r w:rsidR="00E25FAF">
              <w:rPr>
                <w:rFonts w:ascii="Arial" w:eastAsia="Arial Unicode MS" w:hAnsi="Arial" w:cs="Arial"/>
                <w:i/>
                <w:lang w:val="en-GB" w:eastAsia="hi-IN" w:bidi="hi-IN"/>
              </w:rPr>
              <w:t>%</w:t>
            </w:r>
            <w:r w:rsidRPr="00F40142">
              <w:rPr>
                <w:rFonts w:ascii="Arial" w:eastAsia="Arial Unicode MS" w:hAnsi="Arial" w:cs="Arial"/>
                <w:i/>
                <w:lang w:val="en-GB" w:eastAsia="hi-IN" w:bidi="hi-IN"/>
              </w:rPr>
              <w:t xml:space="preserve"> of Revenue or </w:t>
            </w:r>
            <w:r w:rsidR="00E25FAF">
              <w:rPr>
                <w:rFonts w:ascii="Arial" w:eastAsia="Arial Unicode MS" w:hAnsi="Arial" w:cs="Arial"/>
                <w:i/>
                <w:lang w:val="en-GB" w:eastAsia="hi-IN" w:bidi="hi-IN"/>
              </w:rPr>
              <w:t>Total Assets</w:t>
            </w:r>
            <w:r w:rsidRPr="00F40142">
              <w:rPr>
                <w:rFonts w:ascii="Arial" w:eastAsia="Arial Unicode MS" w:hAnsi="Arial" w:cs="Arial"/>
                <w:i/>
                <w:lang w:val="en-GB" w:eastAsia="hi-IN" w:bidi="hi-IN"/>
              </w:rPr>
              <w:t>)</w:t>
            </w:r>
          </w:p>
        </w:tc>
        <w:tc>
          <w:tcPr>
            <w:tcW w:w="25" w:type="dxa"/>
            <w:tcBorders>
              <w:left w:val="single" w:sz="4" w:space="0" w:color="auto"/>
            </w:tcBorders>
            <w:shd w:val="clear" w:color="auto" w:fill="auto"/>
          </w:tcPr>
          <w:p w14:paraId="642C3BEF" w14:textId="77777777" w:rsidR="00426D0E" w:rsidRPr="00F40142" w:rsidRDefault="00426D0E" w:rsidP="00411B4A">
            <w:pPr>
              <w:snapToGrid w:val="0"/>
              <w:rPr>
                <w:rFonts w:ascii="Arial" w:hAnsi="Arial" w:cs="Arial"/>
                <w:lang w:val="en-GB"/>
              </w:rPr>
            </w:pPr>
          </w:p>
        </w:tc>
      </w:tr>
      <w:tr w:rsidR="00426D0E" w:rsidRPr="00F40142" w14:paraId="29474D21"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0C083604" w14:textId="1930C794"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Gross </w:t>
            </w:r>
            <w:r w:rsidR="00D01BC1">
              <w:rPr>
                <w:rFonts w:eastAsia="Arial Unicode MS"/>
                <w:lang w:val="en-GB" w:eastAsia="hi-IN" w:bidi="hi-IN"/>
              </w:rPr>
              <w:t>m</w:t>
            </w:r>
            <w:r w:rsidRPr="00F40142">
              <w:rPr>
                <w:rFonts w:eastAsia="Arial Unicode MS"/>
                <w:lang w:val="en-GB" w:eastAsia="hi-IN" w:bidi="hi-IN"/>
              </w:rPr>
              <w:t>argin</w:t>
            </w:r>
          </w:p>
        </w:tc>
        <w:tc>
          <w:tcPr>
            <w:tcW w:w="1385" w:type="dxa"/>
            <w:tcBorders>
              <w:top w:val="single" w:sz="4" w:space="0" w:color="000000"/>
              <w:left w:val="single" w:sz="4" w:space="0" w:color="000000"/>
              <w:bottom w:val="single" w:sz="4" w:space="0" w:color="000000"/>
            </w:tcBorders>
            <w:shd w:val="clear" w:color="auto" w:fill="auto"/>
            <w:vAlign w:val="center"/>
          </w:tcPr>
          <w:p w14:paraId="320CE17D" w14:textId="7FBBB61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41.50</w:t>
            </w:r>
          </w:p>
        </w:tc>
        <w:tc>
          <w:tcPr>
            <w:tcW w:w="1425" w:type="dxa"/>
            <w:tcBorders>
              <w:top w:val="single" w:sz="4" w:space="0" w:color="000000"/>
              <w:left w:val="single" w:sz="4" w:space="0" w:color="000000"/>
              <w:bottom w:val="single" w:sz="4" w:space="0" w:color="000000"/>
            </w:tcBorders>
            <w:shd w:val="clear" w:color="auto" w:fill="auto"/>
            <w:vAlign w:val="center"/>
          </w:tcPr>
          <w:p w14:paraId="33334E6E" w14:textId="5F45CDB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38.30</w:t>
            </w:r>
          </w:p>
        </w:tc>
        <w:tc>
          <w:tcPr>
            <w:tcW w:w="1179" w:type="dxa"/>
            <w:tcBorders>
              <w:top w:val="single" w:sz="4" w:space="0" w:color="000000"/>
              <w:left w:val="single" w:sz="4" w:space="0" w:color="000000"/>
              <w:bottom w:val="single" w:sz="4" w:space="0" w:color="000000"/>
            </w:tcBorders>
            <w:shd w:val="clear" w:color="auto" w:fill="auto"/>
            <w:vAlign w:val="center"/>
          </w:tcPr>
          <w:p w14:paraId="52549984" w14:textId="13F1262B"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36.00</w:t>
            </w:r>
          </w:p>
        </w:tc>
        <w:tc>
          <w:tcPr>
            <w:tcW w:w="1259" w:type="dxa"/>
            <w:tcBorders>
              <w:top w:val="single" w:sz="4" w:space="0" w:color="000000"/>
              <w:left w:val="single" w:sz="4" w:space="0" w:color="000000"/>
              <w:bottom w:val="single" w:sz="4" w:space="0" w:color="000000"/>
            </w:tcBorders>
            <w:shd w:val="clear" w:color="auto" w:fill="auto"/>
            <w:vAlign w:val="center"/>
          </w:tcPr>
          <w:p w14:paraId="129248B4" w14:textId="255206CE"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35.40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BDC83" w14:textId="56DBD5BD"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38.10</w:t>
            </w:r>
          </w:p>
        </w:tc>
      </w:tr>
      <w:tr w:rsidR="00426D0E" w:rsidRPr="00F40142" w14:paraId="303B635E"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2F66C607" w14:textId="7F653F6B"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Net </w:t>
            </w:r>
            <w:r w:rsidR="00D01BC1">
              <w:rPr>
                <w:rFonts w:eastAsia="Arial Unicode MS"/>
                <w:lang w:val="en-GB" w:eastAsia="hi-IN" w:bidi="hi-IN"/>
              </w:rPr>
              <w:t>m</w:t>
            </w:r>
            <w:r w:rsidRPr="00F40142">
              <w:rPr>
                <w:rFonts w:eastAsia="Arial Unicode MS"/>
                <w:lang w:val="en-GB" w:eastAsia="hi-IN" w:bidi="hi-IN"/>
              </w:rPr>
              <w:t>argin</w:t>
            </w:r>
          </w:p>
        </w:tc>
        <w:tc>
          <w:tcPr>
            <w:tcW w:w="1385" w:type="dxa"/>
            <w:tcBorders>
              <w:top w:val="single" w:sz="4" w:space="0" w:color="000000"/>
              <w:left w:val="single" w:sz="4" w:space="0" w:color="000000"/>
              <w:bottom w:val="single" w:sz="4" w:space="0" w:color="000000"/>
            </w:tcBorders>
            <w:shd w:val="clear" w:color="auto" w:fill="auto"/>
            <w:vAlign w:val="center"/>
          </w:tcPr>
          <w:p w14:paraId="14C7C89F" w14:textId="4AA3A9B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4.70</w:t>
            </w:r>
          </w:p>
        </w:tc>
        <w:tc>
          <w:tcPr>
            <w:tcW w:w="1425" w:type="dxa"/>
            <w:tcBorders>
              <w:top w:val="single" w:sz="4" w:space="0" w:color="000000"/>
              <w:left w:val="single" w:sz="4" w:space="0" w:color="000000"/>
              <w:bottom w:val="single" w:sz="4" w:space="0" w:color="000000"/>
            </w:tcBorders>
            <w:shd w:val="clear" w:color="auto" w:fill="auto"/>
            <w:vAlign w:val="center"/>
          </w:tcPr>
          <w:p w14:paraId="4F683994" w14:textId="03B3E86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10.00</w:t>
            </w:r>
          </w:p>
        </w:tc>
        <w:tc>
          <w:tcPr>
            <w:tcW w:w="1179" w:type="dxa"/>
            <w:tcBorders>
              <w:top w:val="single" w:sz="4" w:space="0" w:color="000000"/>
              <w:left w:val="single" w:sz="4" w:space="0" w:color="000000"/>
              <w:bottom w:val="single" w:sz="4" w:space="0" w:color="000000"/>
            </w:tcBorders>
            <w:shd w:val="clear" w:color="auto" w:fill="auto"/>
            <w:vAlign w:val="center"/>
          </w:tcPr>
          <w:p w14:paraId="6C75B6FC" w14:textId="27E81728"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9.90</w:t>
            </w:r>
          </w:p>
        </w:tc>
        <w:tc>
          <w:tcPr>
            <w:tcW w:w="1259" w:type="dxa"/>
            <w:tcBorders>
              <w:top w:val="single" w:sz="4" w:space="0" w:color="000000"/>
              <w:left w:val="single" w:sz="4" w:space="0" w:color="000000"/>
              <w:bottom w:val="single" w:sz="4" w:space="0" w:color="000000"/>
            </w:tcBorders>
            <w:shd w:val="clear" w:color="auto" w:fill="auto"/>
            <w:vAlign w:val="center"/>
          </w:tcPr>
          <w:p w14:paraId="7AF9C1AD" w14:textId="10A67E50"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w:t>
            </w:r>
            <w:r w:rsidR="00426D0E" w:rsidRPr="00F40142">
              <w:rPr>
                <w:rFonts w:eastAsia="Arial Unicode MS"/>
                <w:lang w:val="en-GB" w:eastAsia="hi-IN" w:bidi="hi-IN"/>
              </w:rPr>
              <w:t>0.90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80BD9" w14:textId="5E487C3B"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15.30</w:t>
            </w:r>
          </w:p>
        </w:tc>
      </w:tr>
      <w:tr w:rsidR="00426D0E" w:rsidRPr="00F40142" w14:paraId="51FF1E0A"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715FD753" w14:textId="0C99F3B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Profit </w:t>
            </w:r>
            <w:r w:rsidR="00D01BC1">
              <w:rPr>
                <w:rFonts w:eastAsia="Arial Unicode MS"/>
                <w:lang w:val="en-GB" w:eastAsia="hi-IN" w:bidi="hi-IN"/>
              </w:rPr>
              <w:t>m</w:t>
            </w:r>
            <w:r w:rsidRPr="00F40142">
              <w:rPr>
                <w:rFonts w:eastAsia="Arial Unicode MS"/>
                <w:lang w:val="en-GB" w:eastAsia="hi-IN" w:bidi="hi-IN"/>
              </w:rPr>
              <w:t>argin</w:t>
            </w:r>
          </w:p>
        </w:tc>
        <w:tc>
          <w:tcPr>
            <w:tcW w:w="1385" w:type="dxa"/>
            <w:tcBorders>
              <w:top w:val="single" w:sz="4" w:space="0" w:color="000000"/>
              <w:left w:val="single" w:sz="4" w:space="0" w:color="000000"/>
              <w:bottom w:val="single" w:sz="4" w:space="0" w:color="000000"/>
            </w:tcBorders>
            <w:shd w:val="clear" w:color="auto" w:fill="auto"/>
            <w:vAlign w:val="center"/>
          </w:tcPr>
          <w:p w14:paraId="04D4849D" w14:textId="1DD2D3F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1.60</w:t>
            </w:r>
          </w:p>
        </w:tc>
        <w:tc>
          <w:tcPr>
            <w:tcW w:w="1425" w:type="dxa"/>
            <w:tcBorders>
              <w:top w:val="single" w:sz="4" w:space="0" w:color="000000"/>
              <w:left w:val="single" w:sz="4" w:space="0" w:color="000000"/>
              <w:bottom w:val="single" w:sz="4" w:space="0" w:color="000000"/>
            </w:tcBorders>
            <w:shd w:val="clear" w:color="auto" w:fill="auto"/>
            <w:vAlign w:val="center"/>
          </w:tcPr>
          <w:p w14:paraId="67F03F71" w14:textId="3C1AF0EB"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7.70</w:t>
            </w:r>
          </w:p>
        </w:tc>
        <w:tc>
          <w:tcPr>
            <w:tcW w:w="1179" w:type="dxa"/>
            <w:tcBorders>
              <w:top w:val="single" w:sz="4" w:space="0" w:color="000000"/>
              <w:left w:val="single" w:sz="4" w:space="0" w:color="000000"/>
              <w:bottom w:val="single" w:sz="4" w:space="0" w:color="000000"/>
            </w:tcBorders>
            <w:shd w:val="clear" w:color="auto" w:fill="auto"/>
            <w:vAlign w:val="center"/>
          </w:tcPr>
          <w:p w14:paraId="06BECC0A" w14:textId="70992BB4"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7.80</w:t>
            </w:r>
          </w:p>
        </w:tc>
        <w:tc>
          <w:tcPr>
            <w:tcW w:w="1259" w:type="dxa"/>
            <w:tcBorders>
              <w:top w:val="single" w:sz="4" w:space="0" w:color="000000"/>
              <w:left w:val="single" w:sz="4" w:space="0" w:color="000000"/>
              <w:bottom w:val="single" w:sz="4" w:space="0" w:color="000000"/>
            </w:tcBorders>
            <w:shd w:val="clear" w:color="auto" w:fill="auto"/>
            <w:vAlign w:val="center"/>
          </w:tcPr>
          <w:p w14:paraId="60A64404" w14:textId="77A6E7B9"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w:t>
            </w:r>
            <w:r w:rsidR="00426D0E" w:rsidRPr="00F40142">
              <w:rPr>
                <w:rFonts w:eastAsia="Arial Unicode MS"/>
                <w:lang w:val="en-GB" w:eastAsia="hi-IN" w:bidi="hi-IN"/>
              </w:rPr>
              <w:t>0.90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C49FB" w14:textId="5914A755"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10.60</w:t>
            </w:r>
          </w:p>
        </w:tc>
      </w:tr>
      <w:tr w:rsidR="00426D0E" w:rsidRPr="00F40142" w14:paraId="48B6A8C0"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43304923" w14:textId="4ADE918F"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Inventory (% </w:t>
            </w:r>
            <w:r w:rsidR="00480FB4">
              <w:rPr>
                <w:rFonts w:eastAsia="Arial Unicode MS"/>
                <w:lang w:val="en-GB" w:eastAsia="hi-IN" w:bidi="hi-IN"/>
              </w:rPr>
              <w:t xml:space="preserve">of </w:t>
            </w:r>
            <w:r w:rsidR="00D01BC1">
              <w:rPr>
                <w:rFonts w:eastAsia="Arial Unicode MS"/>
                <w:lang w:val="en-GB" w:eastAsia="hi-IN" w:bidi="hi-IN"/>
              </w:rPr>
              <w:t>t</w:t>
            </w:r>
            <w:r w:rsidRPr="00F40142">
              <w:rPr>
                <w:rFonts w:eastAsia="Arial Unicode MS"/>
                <w:lang w:val="en-GB" w:eastAsia="hi-IN" w:bidi="hi-IN"/>
              </w:rPr>
              <w:t xml:space="preserve">otal </w:t>
            </w:r>
            <w:r w:rsidR="00D01BC1">
              <w:rPr>
                <w:rFonts w:eastAsia="Arial Unicode MS"/>
                <w:lang w:val="en-GB" w:eastAsia="hi-IN" w:bidi="hi-IN"/>
              </w:rPr>
              <w:t>a</w:t>
            </w:r>
            <w:r w:rsidRPr="00F40142">
              <w:rPr>
                <w:rFonts w:eastAsia="Arial Unicode MS"/>
                <w:lang w:val="en-GB" w:eastAsia="hi-IN" w:bidi="hi-IN"/>
              </w:rPr>
              <w:t>ssets)</w:t>
            </w:r>
          </w:p>
        </w:tc>
        <w:tc>
          <w:tcPr>
            <w:tcW w:w="1385" w:type="dxa"/>
            <w:tcBorders>
              <w:top w:val="single" w:sz="4" w:space="0" w:color="000000"/>
              <w:left w:val="single" w:sz="4" w:space="0" w:color="000000"/>
              <w:bottom w:val="single" w:sz="4" w:space="0" w:color="000000"/>
            </w:tcBorders>
            <w:shd w:val="clear" w:color="auto" w:fill="auto"/>
            <w:vAlign w:val="center"/>
          </w:tcPr>
          <w:p w14:paraId="2E72A5F2" w14:textId="08643CED"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41.00</w:t>
            </w:r>
          </w:p>
        </w:tc>
        <w:tc>
          <w:tcPr>
            <w:tcW w:w="1425" w:type="dxa"/>
            <w:tcBorders>
              <w:top w:val="single" w:sz="4" w:space="0" w:color="000000"/>
              <w:left w:val="single" w:sz="4" w:space="0" w:color="000000"/>
              <w:bottom w:val="single" w:sz="4" w:space="0" w:color="000000"/>
            </w:tcBorders>
            <w:shd w:val="clear" w:color="auto" w:fill="auto"/>
            <w:vAlign w:val="center"/>
          </w:tcPr>
          <w:p w14:paraId="7F5513C5" w14:textId="088209C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36.00</w:t>
            </w:r>
          </w:p>
        </w:tc>
        <w:tc>
          <w:tcPr>
            <w:tcW w:w="1179" w:type="dxa"/>
            <w:tcBorders>
              <w:top w:val="single" w:sz="4" w:space="0" w:color="000000"/>
              <w:left w:val="single" w:sz="4" w:space="0" w:color="000000"/>
              <w:bottom w:val="single" w:sz="4" w:space="0" w:color="000000"/>
            </w:tcBorders>
            <w:shd w:val="clear" w:color="auto" w:fill="auto"/>
            <w:vAlign w:val="center"/>
          </w:tcPr>
          <w:p w14:paraId="7DE46B1E" w14:textId="7FBE8556"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24.00</w:t>
            </w:r>
          </w:p>
        </w:tc>
        <w:tc>
          <w:tcPr>
            <w:tcW w:w="1259" w:type="dxa"/>
            <w:tcBorders>
              <w:top w:val="single" w:sz="4" w:space="0" w:color="000000"/>
              <w:left w:val="single" w:sz="4" w:space="0" w:color="000000"/>
              <w:bottom w:val="single" w:sz="4" w:space="0" w:color="000000"/>
            </w:tcBorders>
            <w:shd w:val="clear" w:color="auto" w:fill="auto"/>
            <w:vAlign w:val="center"/>
          </w:tcPr>
          <w:p w14:paraId="3EEE5629" w14:textId="4B0E373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69.00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C2AE6" w14:textId="7B69264C"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18.00</w:t>
            </w:r>
          </w:p>
        </w:tc>
      </w:tr>
      <w:tr w:rsidR="00426D0E" w:rsidRPr="00F40142" w14:paraId="1BA642FB"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22749682" w14:textId="5782FADB"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Fixed </w:t>
            </w:r>
            <w:r w:rsidR="00D01BC1">
              <w:rPr>
                <w:rFonts w:eastAsia="Arial Unicode MS"/>
                <w:lang w:val="en-GB" w:eastAsia="hi-IN" w:bidi="hi-IN"/>
              </w:rPr>
              <w:t>a</w:t>
            </w:r>
            <w:r w:rsidRPr="00F40142">
              <w:rPr>
                <w:rFonts w:eastAsia="Arial Unicode MS"/>
                <w:lang w:val="en-GB" w:eastAsia="hi-IN" w:bidi="hi-IN"/>
              </w:rPr>
              <w:t>ssets</w:t>
            </w:r>
          </w:p>
        </w:tc>
        <w:tc>
          <w:tcPr>
            <w:tcW w:w="1385" w:type="dxa"/>
            <w:tcBorders>
              <w:top w:val="single" w:sz="4" w:space="0" w:color="000000"/>
              <w:left w:val="single" w:sz="4" w:space="0" w:color="000000"/>
              <w:bottom w:val="single" w:sz="4" w:space="0" w:color="000000"/>
            </w:tcBorders>
            <w:shd w:val="clear" w:color="auto" w:fill="auto"/>
            <w:vAlign w:val="center"/>
          </w:tcPr>
          <w:p w14:paraId="6DBEBB03" w14:textId="0BEF325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40.00</w:t>
            </w:r>
          </w:p>
        </w:tc>
        <w:tc>
          <w:tcPr>
            <w:tcW w:w="1425" w:type="dxa"/>
            <w:tcBorders>
              <w:top w:val="single" w:sz="4" w:space="0" w:color="000000"/>
              <w:left w:val="single" w:sz="4" w:space="0" w:color="000000"/>
              <w:bottom w:val="single" w:sz="4" w:space="0" w:color="000000"/>
            </w:tcBorders>
            <w:shd w:val="clear" w:color="auto" w:fill="auto"/>
            <w:vAlign w:val="center"/>
          </w:tcPr>
          <w:p w14:paraId="49194E5C" w14:textId="726AE97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36.00</w:t>
            </w:r>
          </w:p>
        </w:tc>
        <w:tc>
          <w:tcPr>
            <w:tcW w:w="1179" w:type="dxa"/>
            <w:tcBorders>
              <w:top w:val="single" w:sz="4" w:space="0" w:color="000000"/>
              <w:left w:val="single" w:sz="4" w:space="0" w:color="000000"/>
              <w:bottom w:val="single" w:sz="4" w:space="0" w:color="000000"/>
            </w:tcBorders>
            <w:shd w:val="clear" w:color="auto" w:fill="auto"/>
            <w:vAlign w:val="center"/>
          </w:tcPr>
          <w:p w14:paraId="6AE00B64" w14:textId="0A8BDE2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36.00</w:t>
            </w:r>
          </w:p>
        </w:tc>
        <w:tc>
          <w:tcPr>
            <w:tcW w:w="1259" w:type="dxa"/>
            <w:tcBorders>
              <w:top w:val="single" w:sz="4" w:space="0" w:color="000000"/>
              <w:left w:val="single" w:sz="4" w:space="0" w:color="000000"/>
              <w:bottom w:val="single" w:sz="4" w:space="0" w:color="000000"/>
            </w:tcBorders>
            <w:shd w:val="clear" w:color="auto" w:fill="auto"/>
            <w:vAlign w:val="center"/>
          </w:tcPr>
          <w:p w14:paraId="3021F1B7" w14:textId="32D6BA04"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18.00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2D306" w14:textId="72AAED3D"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26.00</w:t>
            </w:r>
          </w:p>
        </w:tc>
      </w:tr>
      <w:tr w:rsidR="00426D0E" w:rsidRPr="00F40142" w14:paraId="3F6D43CE"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54645AB1" w14:textId="335D629F" w:rsidR="00426D0E" w:rsidRPr="00F40142" w:rsidRDefault="00480FB4" w:rsidP="00411B4A">
            <w:pPr>
              <w:pStyle w:val="ExhibitText"/>
              <w:spacing w:line="100" w:lineRule="atLeast"/>
              <w:jc w:val="left"/>
              <w:rPr>
                <w:rFonts w:eastAsia="Arial Unicode MS"/>
                <w:lang w:val="en-GB" w:eastAsia="hi-IN" w:bidi="hi-IN"/>
              </w:rPr>
            </w:pPr>
            <w:r>
              <w:rPr>
                <w:rFonts w:eastAsia="Arial Unicode MS"/>
                <w:lang w:val="en-GB" w:eastAsia="hi-IN" w:bidi="hi-IN"/>
              </w:rPr>
              <w:t>Long-</w:t>
            </w:r>
            <w:r w:rsidR="00D01BC1">
              <w:rPr>
                <w:rFonts w:eastAsia="Arial Unicode MS"/>
                <w:lang w:val="en-GB" w:eastAsia="hi-IN" w:bidi="hi-IN"/>
              </w:rPr>
              <w:t>t</w:t>
            </w:r>
            <w:r>
              <w:rPr>
                <w:rFonts w:eastAsia="Arial Unicode MS"/>
                <w:lang w:val="en-GB" w:eastAsia="hi-IN" w:bidi="hi-IN"/>
              </w:rPr>
              <w:t>erm</w:t>
            </w:r>
            <w:r w:rsidR="00426D0E" w:rsidRPr="00F40142">
              <w:rPr>
                <w:rFonts w:eastAsia="Arial Unicode MS"/>
                <w:lang w:val="en-GB" w:eastAsia="hi-IN" w:bidi="hi-IN"/>
              </w:rPr>
              <w:t xml:space="preserve"> </w:t>
            </w:r>
            <w:r w:rsidR="00D01BC1">
              <w:rPr>
                <w:rFonts w:eastAsia="Arial Unicode MS"/>
                <w:lang w:val="en-GB" w:eastAsia="hi-IN" w:bidi="hi-IN"/>
              </w:rPr>
              <w:t>d</w:t>
            </w:r>
            <w:r w:rsidR="00426D0E" w:rsidRPr="00F40142">
              <w:rPr>
                <w:rFonts w:eastAsia="Arial Unicode MS"/>
                <w:lang w:val="en-GB" w:eastAsia="hi-IN" w:bidi="hi-IN"/>
              </w:rPr>
              <w:t>ebt</w:t>
            </w:r>
          </w:p>
        </w:tc>
        <w:tc>
          <w:tcPr>
            <w:tcW w:w="1385" w:type="dxa"/>
            <w:tcBorders>
              <w:top w:val="single" w:sz="4" w:space="0" w:color="000000"/>
              <w:left w:val="single" w:sz="4" w:space="0" w:color="000000"/>
              <w:bottom w:val="single" w:sz="4" w:space="0" w:color="000000"/>
            </w:tcBorders>
            <w:shd w:val="clear" w:color="auto" w:fill="auto"/>
            <w:vAlign w:val="center"/>
          </w:tcPr>
          <w:p w14:paraId="28F82B64" w14:textId="44AE4CE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19.00</w:t>
            </w:r>
          </w:p>
        </w:tc>
        <w:tc>
          <w:tcPr>
            <w:tcW w:w="1425" w:type="dxa"/>
            <w:tcBorders>
              <w:top w:val="single" w:sz="4" w:space="0" w:color="000000"/>
              <w:left w:val="single" w:sz="4" w:space="0" w:color="000000"/>
              <w:bottom w:val="single" w:sz="4" w:space="0" w:color="000000"/>
            </w:tcBorders>
            <w:shd w:val="clear" w:color="auto" w:fill="auto"/>
            <w:vAlign w:val="center"/>
          </w:tcPr>
          <w:p w14:paraId="53A5752B" w14:textId="6DCA3CD8"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14.00</w:t>
            </w:r>
          </w:p>
        </w:tc>
        <w:tc>
          <w:tcPr>
            <w:tcW w:w="1179" w:type="dxa"/>
            <w:tcBorders>
              <w:top w:val="single" w:sz="4" w:space="0" w:color="000000"/>
              <w:left w:val="single" w:sz="4" w:space="0" w:color="000000"/>
              <w:bottom w:val="single" w:sz="4" w:space="0" w:color="000000"/>
            </w:tcBorders>
            <w:shd w:val="clear" w:color="auto" w:fill="auto"/>
            <w:vAlign w:val="center"/>
          </w:tcPr>
          <w:p w14:paraId="0D8CC44C" w14:textId="028D2A6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12.00</w:t>
            </w:r>
          </w:p>
        </w:tc>
        <w:tc>
          <w:tcPr>
            <w:tcW w:w="1259" w:type="dxa"/>
            <w:tcBorders>
              <w:top w:val="single" w:sz="4" w:space="0" w:color="000000"/>
              <w:left w:val="single" w:sz="4" w:space="0" w:color="000000"/>
              <w:bottom w:val="single" w:sz="4" w:space="0" w:color="000000"/>
            </w:tcBorders>
            <w:shd w:val="clear" w:color="auto" w:fill="auto"/>
            <w:vAlign w:val="center"/>
          </w:tcPr>
          <w:p w14:paraId="6C534AA2" w14:textId="7C9F5AB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10.00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31D70" w14:textId="0869423C"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11.00</w:t>
            </w:r>
          </w:p>
        </w:tc>
      </w:tr>
      <w:tr w:rsidR="00426D0E" w:rsidRPr="00F40142" w14:paraId="20AA4391"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5DCF01D0" w14:textId="49DF9280" w:rsidR="00426D0E" w:rsidRPr="00F40142" w:rsidRDefault="00480FB4" w:rsidP="00411B4A">
            <w:pPr>
              <w:pStyle w:val="ExhibitText"/>
              <w:spacing w:line="100" w:lineRule="atLeast"/>
              <w:jc w:val="left"/>
              <w:rPr>
                <w:rFonts w:eastAsia="Arial Unicode MS"/>
                <w:lang w:val="en-GB" w:eastAsia="hi-IN" w:bidi="hi-IN"/>
              </w:rPr>
            </w:pPr>
            <w:r>
              <w:rPr>
                <w:rFonts w:eastAsia="Arial Unicode MS"/>
                <w:lang w:val="en-GB" w:eastAsia="hi-IN" w:bidi="hi-IN"/>
              </w:rPr>
              <w:t>Shareholders</w:t>
            </w:r>
            <w:r w:rsidR="00D01BC1">
              <w:rPr>
                <w:rFonts w:eastAsia="Arial Unicode MS"/>
                <w:lang w:val="en-GB" w:eastAsia="hi-IN" w:bidi="hi-IN"/>
              </w:rPr>
              <w:t>’</w:t>
            </w:r>
            <w:r w:rsidR="00426D0E" w:rsidRPr="00F40142">
              <w:rPr>
                <w:rFonts w:eastAsia="Arial Unicode MS"/>
                <w:lang w:val="en-GB" w:eastAsia="hi-IN" w:bidi="hi-IN"/>
              </w:rPr>
              <w:t xml:space="preserve"> </w:t>
            </w:r>
            <w:r w:rsidR="00D01BC1">
              <w:rPr>
                <w:rFonts w:eastAsia="Arial Unicode MS"/>
                <w:lang w:val="en-GB" w:eastAsia="hi-IN" w:bidi="hi-IN"/>
              </w:rPr>
              <w:t>e</w:t>
            </w:r>
            <w:r w:rsidR="00426D0E" w:rsidRPr="00F40142">
              <w:rPr>
                <w:rFonts w:eastAsia="Arial Unicode MS"/>
                <w:lang w:val="en-GB" w:eastAsia="hi-IN" w:bidi="hi-IN"/>
              </w:rPr>
              <w:t>quity</w:t>
            </w:r>
          </w:p>
        </w:tc>
        <w:tc>
          <w:tcPr>
            <w:tcW w:w="1385" w:type="dxa"/>
            <w:tcBorders>
              <w:top w:val="single" w:sz="4" w:space="0" w:color="000000"/>
              <w:left w:val="single" w:sz="4" w:space="0" w:color="000000"/>
              <w:bottom w:val="single" w:sz="4" w:space="0" w:color="000000"/>
            </w:tcBorders>
            <w:shd w:val="clear" w:color="auto" w:fill="auto"/>
            <w:vAlign w:val="center"/>
          </w:tcPr>
          <w:p w14:paraId="69856971" w14:textId="2409F84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42.00</w:t>
            </w:r>
          </w:p>
        </w:tc>
        <w:tc>
          <w:tcPr>
            <w:tcW w:w="1425" w:type="dxa"/>
            <w:tcBorders>
              <w:top w:val="single" w:sz="4" w:space="0" w:color="000000"/>
              <w:left w:val="single" w:sz="4" w:space="0" w:color="000000"/>
              <w:bottom w:val="single" w:sz="4" w:space="0" w:color="000000"/>
            </w:tcBorders>
            <w:shd w:val="clear" w:color="auto" w:fill="auto"/>
            <w:vAlign w:val="center"/>
          </w:tcPr>
          <w:p w14:paraId="3E2B0EEF" w14:textId="2D87B3C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54.00</w:t>
            </w:r>
          </w:p>
        </w:tc>
        <w:tc>
          <w:tcPr>
            <w:tcW w:w="1179" w:type="dxa"/>
            <w:tcBorders>
              <w:top w:val="single" w:sz="4" w:space="0" w:color="000000"/>
              <w:left w:val="single" w:sz="4" w:space="0" w:color="000000"/>
              <w:bottom w:val="single" w:sz="4" w:space="0" w:color="000000"/>
            </w:tcBorders>
            <w:shd w:val="clear" w:color="auto" w:fill="auto"/>
            <w:vAlign w:val="center"/>
          </w:tcPr>
          <w:p w14:paraId="14E8BC78" w14:textId="4A08EBA1"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52.00</w:t>
            </w:r>
          </w:p>
        </w:tc>
        <w:tc>
          <w:tcPr>
            <w:tcW w:w="1259" w:type="dxa"/>
            <w:tcBorders>
              <w:top w:val="single" w:sz="4" w:space="0" w:color="000000"/>
              <w:left w:val="single" w:sz="4" w:space="0" w:color="000000"/>
              <w:bottom w:val="single" w:sz="4" w:space="0" w:color="000000"/>
            </w:tcBorders>
            <w:shd w:val="clear" w:color="auto" w:fill="auto"/>
            <w:vAlign w:val="center"/>
          </w:tcPr>
          <w:p w14:paraId="3F9312AC" w14:textId="53444F8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35.00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02A7A" w14:textId="7EAB2E20"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68.00</w:t>
            </w:r>
          </w:p>
        </w:tc>
      </w:tr>
      <w:tr w:rsidR="00426D0E" w:rsidRPr="00F40142" w14:paraId="67971064" w14:textId="77777777" w:rsidTr="00802190">
        <w:tblPrEx>
          <w:tblCellMar>
            <w:left w:w="0" w:type="dxa"/>
            <w:right w:w="0" w:type="dxa"/>
          </w:tblCellMar>
        </w:tblPrEx>
        <w:trPr>
          <w:gridAfter w:val="1"/>
          <w:wAfter w:w="25" w:type="dxa"/>
          <w:trHeight w:val="255"/>
          <w:jc w:val="center"/>
        </w:trPr>
        <w:tc>
          <w:tcPr>
            <w:tcW w:w="9335" w:type="dxa"/>
            <w:gridSpan w:val="6"/>
            <w:tcBorders>
              <w:top w:val="single" w:sz="4" w:space="0" w:color="000000"/>
              <w:left w:val="single" w:sz="4" w:space="0" w:color="000000"/>
              <w:bottom w:val="single" w:sz="4" w:space="0" w:color="000000"/>
              <w:right w:val="single" w:sz="4" w:space="0" w:color="auto"/>
            </w:tcBorders>
            <w:shd w:val="clear" w:color="auto" w:fill="auto"/>
            <w:vAlign w:val="center"/>
          </w:tcPr>
          <w:p w14:paraId="071FBCB5" w14:textId="08158427" w:rsidR="00426D0E" w:rsidRPr="00F40142" w:rsidRDefault="00426D0E" w:rsidP="00426D0E">
            <w:pPr>
              <w:pStyle w:val="ExhibitText"/>
              <w:spacing w:line="100" w:lineRule="atLeast"/>
              <w:jc w:val="left"/>
              <w:rPr>
                <w:i/>
                <w:lang w:val="en-GB"/>
              </w:rPr>
            </w:pPr>
            <w:r w:rsidRPr="00F40142">
              <w:rPr>
                <w:rFonts w:eastAsia="Arial Unicode MS"/>
                <w:i/>
                <w:lang w:val="en-GB" w:eastAsia="hi-IN" w:bidi="hi-IN"/>
              </w:rPr>
              <w:t>Rate of Growth/Decline Analysis (CAGR</w:t>
            </w:r>
            <w:r w:rsidR="00947ED5">
              <w:rPr>
                <w:rFonts w:eastAsia="Arial Unicode MS"/>
                <w:i/>
                <w:lang w:val="en-GB" w:eastAsia="hi-IN" w:bidi="hi-IN"/>
              </w:rPr>
              <w:t xml:space="preserve"> (%)</w:t>
            </w:r>
            <w:r w:rsidR="00480FB4">
              <w:rPr>
                <w:rFonts w:eastAsia="Arial Unicode MS"/>
                <w:i/>
                <w:lang w:val="en-GB" w:eastAsia="hi-IN" w:bidi="hi-IN"/>
              </w:rPr>
              <w:t>,</w:t>
            </w:r>
            <w:r w:rsidRPr="00F40142">
              <w:rPr>
                <w:rFonts w:eastAsia="Arial Unicode MS"/>
                <w:i/>
                <w:lang w:val="en-GB" w:eastAsia="hi-IN" w:bidi="hi-IN"/>
              </w:rPr>
              <w:t xml:space="preserve"> 2013</w:t>
            </w:r>
            <w:r w:rsidR="00480FB4">
              <w:rPr>
                <w:rFonts w:eastAsia="Arial Unicode MS"/>
                <w:i/>
                <w:lang w:val="en-GB" w:eastAsia="hi-IN" w:bidi="hi-IN"/>
              </w:rPr>
              <w:t>–</w:t>
            </w:r>
            <w:r w:rsidRPr="00F40142">
              <w:rPr>
                <w:rFonts w:eastAsia="Arial Unicode MS"/>
                <w:i/>
                <w:lang w:val="en-GB" w:eastAsia="hi-IN" w:bidi="hi-IN"/>
              </w:rPr>
              <w:t>2017) </w:t>
            </w:r>
          </w:p>
        </w:tc>
      </w:tr>
      <w:tr w:rsidR="00426D0E" w:rsidRPr="00F40142" w14:paraId="7E59338B"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295CC5B7"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Revenue</w:t>
            </w:r>
          </w:p>
        </w:tc>
        <w:tc>
          <w:tcPr>
            <w:tcW w:w="1385" w:type="dxa"/>
            <w:tcBorders>
              <w:top w:val="single" w:sz="4" w:space="0" w:color="000000"/>
              <w:left w:val="single" w:sz="4" w:space="0" w:color="000000"/>
              <w:bottom w:val="single" w:sz="4" w:space="0" w:color="000000"/>
            </w:tcBorders>
            <w:shd w:val="clear" w:color="auto" w:fill="auto"/>
            <w:vAlign w:val="center"/>
          </w:tcPr>
          <w:p w14:paraId="6719BAD8" w14:textId="3C7B8FD4"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9.20</w:t>
            </w:r>
          </w:p>
        </w:tc>
        <w:tc>
          <w:tcPr>
            <w:tcW w:w="1425" w:type="dxa"/>
            <w:tcBorders>
              <w:top w:val="single" w:sz="4" w:space="0" w:color="000000"/>
              <w:left w:val="single" w:sz="4" w:space="0" w:color="000000"/>
              <w:bottom w:val="single" w:sz="4" w:space="0" w:color="000000"/>
            </w:tcBorders>
            <w:shd w:val="clear" w:color="auto" w:fill="auto"/>
            <w:vAlign w:val="center"/>
          </w:tcPr>
          <w:p w14:paraId="6121E79A" w14:textId="6B4992AD"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4.30</w:t>
            </w:r>
          </w:p>
        </w:tc>
        <w:tc>
          <w:tcPr>
            <w:tcW w:w="1179" w:type="dxa"/>
            <w:tcBorders>
              <w:top w:val="single" w:sz="4" w:space="0" w:color="000000"/>
              <w:left w:val="single" w:sz="4" w:space="0" w:color="000000"/>
              <w:bottom w:val="single" w:sz="4" w:space="0" w:color="000000"/>
            </w:tcBorders>
            <w:shd w:val="clear" w:color="auto" w:fill="auto"/>
            <w:vAlign w:val="center"/>
          </w:tcPr>
          <w:p w14:paraId="6CBEF7CD" w14:textId="008CEED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7.90</w:t>
            </w:r>
          </w:p>
        </w:tc>
        <w:tc>
          <w:tcPr>
            <w:tcW w:w="1259" w:type="dxa"/>
            <w:tcBorders>
              <w:top w:val="single" w:sz="4" w:space="0" w:color="000000"/>
              <w:left w:val="single" w:sz="4" w:space="0" w:color="000000"/>
              <w:bottom w:val="single" w:sz="4" w:space="0" w:color="000000"/>
            </w:tcBorders>
            <w:shd w:val="clear" w:color="auto" w:fill="auto"/>
            <w:vAlign w:val="center"/>
          </w:tcPr>
          <w:p w14:paraId="75357326" w14:textId="39B24DB2"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5.90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F666D" w14:textId="085B7EFC"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10.00</w:t>
            </w:r>
          </w:p>
        </w:tc>
      </w:tr>
      <w:tr w:rsidR="00426D0E" w:rsidRPr="00F40142" w14:paraId="45EF238E"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3F1B546E" w14:textId="21041770"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Gross </w:t>
            </w:r>
            <w:r w:rsidR="00D01BC1">
              <w:rPr>
                <w:rFonts w:eastAsia="Arial Unicode MS"/>
                <w:lang w:val="en-GB" w:eastAsia="hi-IN" w:bidi="hi-IN"/>
              </w:rPr>
              <w:t>m</w:t>
            </w:r>
            <w:r w:rsidRPr="00F40142">
              <w:rPr>
                <w:rFonts w:eastAsia="Arial Unicode MS"/>
                <w:lang w:val="en-GB" w:eastAsia="hi-IN" w:bidi="hi-IN"/>
              </w:rPr>
              <w:t>argin</w:t>
            </w:r>
          </w:p>
        </w:tc>
        <w:tc>
          <w:tcPr>
            <w:tcW w:w="1385" w:type="dxa"/>
            <w:tcBorders>
              <w:top w:val="single" w:sz="4" w:space="0" w:color="000000"/>
              <w:left w:val="single" w:sz="4" w:space="0" w:color="000000"/>
              <w:bottom w:val="single" w:sz="4" w:space="0" w:color="000000"/>
            </w:tcBorders>
            <w:shd w:val="clear" w:color="auto" w:fill="auto"/>
            <w:vAlign w:val="center"/>
          </w:tcPr>
          <w:p w14:paraId="1682E066" w14:textId="392335E8"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6.00</w:t>
            </w:r>
          </w:p>
        </w:tc>
        <w:tc>
          <w:tcPr>
            <w:tcW w:w="1425" w:type="dxa"/>
            <w:tcBorders>
              <w:top w:val="single" w:sz="4" w:space="0" w:color="000000"/>
              <w:left w:val="single" w:sz="4" w:space="0" w:color="000000"/>
              <w:bottom w:val="single" w:sz="4" w:space="0" w:color="000000"/>
            </w:tcBorders>
            <w:shd w:val="clear" w:color="auto" w:fill="auto"/>
            <w:vAlign w:val="center"/>
          </w:tcPr>
          <w:p w14:paraId="35E753C4" w14:textId="16D7CD24"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4.60</w:t>
            </w:r>
          </w:p>
        </w:tc>
        <w:tc>
          <w:tcPr>
            <w:tcW w:w="1179" w:type="dxa"/>
            <w:tcBorders>
              <w:top w:val="single" w:sz="4" w:space="0" w:color="000000"/>
              <w:left w:val="single" w:sz="4" w:space="0" w:color="000000"/>
              <w:bottom w:val="single" w:sz="4" w:space="0" w:color="000000"/>
            </w:tcBorders>
            <w:shd w:val="clear" w:color="auto" w:fill="auto"/>
            <w:vAlign w:val="center"/>
          </w:tcPr>
          <w:p w14:paraId="06854E37" w14:textId="6FE598F8"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9.00</w:t>
            </w:r>
          </w:p>
        </w:tc>
        <w:tc>
          <w:tcPr>
            <w:tcW w:w="1259" w:type="dxa"/>
            <w:tcBorders>
              <w:top w:val="single" w:sz="4" w:space="0" w:color="000000"/>
              <w:left w:val="single" w:sz="4" w:space="0" w:color="000000"/>
              <w:bottom w:val="single" w:sz="4" w:space="0" w:color="000000"/>
            </w:tcBorders>
            <w:shd w:val="clear" w:color="auto" w:fill="auto"/>
            <w:vAlign w:val="center"/>
          </w:tcPr>
          <w:p w14:paraId="43163673" w14:textId="562A5974"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5.00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3A288" w14:textId="31B69E9E"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22.80</w:t>
            </w:r>
          </w:p>
        </w:tc>
      </w:tr>
      <w:tr w:rsidR="00426D0E" w:rsidRPr="00F40142" w14:paraId="09D18F24"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0233EADD" w14:textId="3503DC7C"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Operating </w:t>
            </w:r>
            <w:r w:rsidR="00D01BC1">
              <w:rPr>
                <w:rFonts w:eastAsia="Arial Unicode MS"/>
                <w:lang w:val="en-GB" w:eastAsia="hi-IN" w:bidi="hi-IN"/>
              </w:rPr>
              <w:t>e</w:t>
            </w:r>
            <w:r w:rsidRPr="00F40142">
              <w:rPr>
                <w:rFonts w:eastAsia="Arial Unicode MS"/>
                <w:lang w:val="en-GB" w:eastAsia="hi-IN" w:bidi="hi-IN"/>
              </w:rPr>
              <w:t>xpenses</w:t>
            </w:r>
          </w:p>
        </w:tc>
        <w:tc>
          <w:tcPr>
            <w:tcW w:w="1385" w:type="dxa"/>
            <w:tcBorders>
              <w:top w:val="single" w:sz="4" w:space="0" w:color="000000"/>
              <w:left w:val="single" w:sz="4" w:space="0" w:color="000000"/>
              <w:bottom w:val="single" w:sz="4" w:space="0" w:color="000000"/>
            </w:tcBorders>
            <w:shd w:val="clear" w:color="auto" w:fill="auto"/>
            <w:vAlign w:val="center"/>
          </w:tcPr>
          <w:p w14:paraId="1CC5BF75" w14:textId="45EFE751"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3.40</w:t>
            </w:r>
          </w:p>
        </w:tc>
        <w:tc>
          <w:tcPr>
            <w:tcW w:w="1425" w:type="dxa"/>
            <w:tcBorders>
              <w:top w:val="single" w:sz="4" w:space="0" w:color="000000"/>
              <w:left w:val="single" w:sz="4" w:space="0" w:color="000000"/>
              <w:bottom w:val="single" w:sz="4" w:space="0" w:color="000000"/>
            </w:tcBorders>
            <w:shd w:val="clear" w:color="auto" w:fill="auto"/>
            <w:vAlign w:val="center"/>
          </w:tcPr>
          <w:p w14:paraId="694EB48F" w14:textId="1F89F90D"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3.10</w:t>
            </w:r>
          </w:p>
        </w:tc>
        <w:tc>
          <w:tcPr>
            <w:tcW w:w="1179" w:type="dxa"/>
            <w:tcBorders>
              <w:top w:val="single" w:sz="4" w:space="0" w:color="000000"/>
              <w:left w:val="single" w:sz="4" w:space="0" w:color="000000"/>
              <w:bottom w:val="single" w:sz="4" w:space="0" w:color="000000"/>
            </w:tcBorders>
            <w:shd w:val="clear" w:color="auto" w:fill="auto"/>
            <w:vAlign w:val="center"/>
          </w:tcPr>
          <w:p w14:paraId="0B71C69E" w14:textId="0B242D6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7.50</w:t>
            </w:r>
          </w:p>
        </w:tc>
        <w:tc>
          <w:tcPr>
            <w:tcW w:w="1259" w:type="dxa"/>
            <w:tcBorders>
              <w:top w:val="single" w:sz="4" w:space="0" w:color="000000"/>
              <w:left w:val="single" w:sz="4" w:space="0" w:color="000000"/>
              <w:bottom w:val="single" w:sz="4" w:space="0" w:color="000000"/>
            </w:tcBorders>
            <w:shd w:val="clear" w:color="auto" w:fill="auto"/>
            <w:vAlign w:val="center"/>
          </w:tcPr>
          <w:p w14:paraId="26DD47C2" w14:textId="05EEC5C7"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7.60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6A556" w14:textId="34261259"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10.80</w:t>
            </w:r>
          </w:p>
        </w:tc>
      </w:tr>
      <w:tr w:rsidR="00426D0E" w:rsidRPr="00F40142" w14:paraId="089ECAAC"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476D02B6" w14:textId="702E4EBF"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Profit </w:t>
            </w:r>
            <w:r w:rsidR="00D01BC1">
              <w:rPr>
                <w:rFonts w:eastAsia="Arial Unicode MS"/>
                <w:lang w:val="en-GB" w:eastAsia="hi-IN" w:bidi="hi-IN"/>
              </w:rPr>
              <w:t>m</w:t>
            </w:r>
            <w:r w:rsidRPr="00F40142">
              <w:rPr>
                <w:rFonts w:eastAsia="Arial Unicode MS"/>
                <w:lang w:val="en-GB" w:eastAsia="hi-IN" w:bidi="hi-IN"/>
              </w:rPr>
              <w:t>argin</w:t>
            </w:r>
          </w:p>
        </w:tc>
        <w:tc>
          <w:tcPr>
            <w:tcW w:w="1385" w:type="dxa"/>
            <w:tcBorders>
              <w:top w:val="single" w:sz="4" w:space="0" w:color="000000"/>
              <w:left w:val="single" w:sz="4" w:space="0" w:color="000000"/>
              <w:bottom w:val="single" w:sz="4" w:space="0" w:color="000000"/>
            </w:tcBorders>
            <w:shd w:val="clear" w:color="auto" w:fill="auto"/>
            <w:vAlign w:val="center"/>
          </w:tcPr>
          <w:p w14:paraId="3C0DE785" w14:textId="339ABCDF" w:rsidR="00426D0E" w:rsidRPr="00F40142" w:rsidRDefault="00426D0E" w:rsidP="00411B4A">
            <w:pPr>
              <w:pStyle w:val="ExhibitText"/>
              <w:spacing w:line="100" w:lineRule="atLeast"/>
              <w:jc w:val="right"/>
              <w:rPr>
                <w:rFonts w:eastAsia="Arial Unicode MS"/>
                <w:lang w:val="en-GB" w:eastAsia="hi-IN" w:bidi="hi-IN"/>
              </w:rPr>
            </w:pPr>
          </w:p>
        </w:tc>
        <w:tc>
          <w:tcPr>
            <w:tcW w:w="1425" w:type="dxa"/>
            <w:tcBorders>
              <w:top w:val="single" w:sz="4" w:space="0" w:color="000000"/>
              <w:left w:val="single" w:sz="4" w:space="0" w:color="000000"/>
              <w:bottom w:val="single" w:sz="4" w:space="0" w:color="000000"/>
            </w:tcBorders>
            <w:shd w:val="clear" w:color="auto" w:fill="auto"/>
            <w:vAlign w:val="center"/>
          </w:tcPr>
          <w:p w14:paraId="7C77A644" w14:textId="524C770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16.10</w:t>
            </w:r>
          </w:p>
        </w:tc>
        <w:tc>
          <w:tcPr>
            <w:tcW w:w="1179" w:type="dxa"/>
            <w:tcBorders>
              <w:top w:val="single" w:sz="4" w:space="0" w:color="000000"/>
              <w:left w:val="single" w:sz="4" w:space="0" w:color="000000"/>
              <w:bottom w:val="single" w:sz="4" w:space="0" w:color="000000"/>
            </w:tcBorders>
            <w:shd w:val="clear" w:color="auto" w:fill="auto"/>
            <w:vAlign w:val="center"/>
          </w:tcPr>
          <w:p w14:paraId="15326D73" w14:textId="5A7E197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10.80</w:t>
            </w:r>
          </w:p>
        </w:tc>
        <w:tc>
          <w:tcPr>
            <w:tcW w:w="1259" w:type="dxa"/>
            <w:tcBorders>
              <w:top w:val="single" w:sz="4" w:space="0" w:color="000000"/>
              <w:left w:val="single" w:sz="4" w:space="0" w:color="000000"/>
              <w:bottom w:val="single" w:sz="4" w:space="0" w:color="000000"/>
            </w:tcBorders>
            <w:shd w:val="clear" w:color="auto" w:fill="auto"/>
            <w:vAlign w:val="center"/>
          </w:tcPr>
          <w:p w14:paraId="4A9D9A3C" w14:textId="32A485C3"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Loss</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2D840" w14:textId="6CAC49E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58.50</w:t>
            </w:r>
          </w:p>
        </w:tc>
      </w:tr>
      <w:tr w:rsidR="00426D0E" w:rsidRPr="00F40142" w14:paraId="488B2696"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4ED1DD88" w14:textId="7777777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Inventory</w:t>
            </w:r>
          </w:p>
        </w:tc>
        <w:tc>
          <w:tcPr>
            <w:tcW w:w="1385" w:type="dxa"/>
            <w:tcBorders>
              <w:top w:val="single" w:sz="4" w:space="0" w:color="000000"/>
              <w:left w:val="single" w:sz="4" w:space="0" w:color="000000"/>
              <w:bottom w:val="single" w:sz="4" w:space="0" w:color="000000"/>
            </w:tcBorders>
            <w:shd w:val="clear" w:color="auto" w:fill="auto"/>
            <w:vAlign w:val="center"/>
          </w:tcPr>
          <w:p w14:paraId="642C9B52" w14:textId="289C085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10.10</w:t>
            </w:r>
          </w:p>
        </w:tc>
        <w:tc>
          <w:tcPr>
            <w:tcW w:w="1425" w:type="dxa"/>
            <w:tcBorders>
              <w:top w:val="single" w:sz="4" w:space="0" w:color="000000"/>
              <w:left w:val="single" w:sz="4" w:space="0" w:color="000000"/>
              <w:bottom w:val="single" w:sz="4" w:space="0" w:color="000000"/>
            </w:tcBorders>
            <w:shd w:val="clear" w:color="auto" w:fill="auto"/>
            <w:vAlign w:val="center"/>
          </w:tcPr>
          <w:p w14:paraId="1E4F8EBB" w14:textId="04F9FC42"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2.80</w:t>
            </w:r>
          </w:p>
        </w:tc>
        <w:tc>
          <w:tcPr>
            <w:tcW w:w="1179" w:type="dxa"/>
            <w:tcBorders>
              <w:top w:val="single" w:sz="4" w:space="0" w:color="000000"/>
              <w:left w:val="single" w:sz="4" w:space="0" w:color="000000"/>
              <w:bottom w:val="single" w:sz="4" w:space="0" w:color="000000"/>
            </w:tcBorders>
            <w:shd w:val="clear" w:color="auto" w:fill="auto"/>
            <w:vAlign w:val="center"/>
          </w:tcPr>
          <w:p w14:paraId="6D234BA9" w14:textId="054F17FE"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1.70</w:t>
            </w:r>
          </w:p>
        </w:tc>
        <w:tc>
          <w:tcPr>
            <w:tcW w:w="1259" w:type="dxa"/>
            <w:tcBorders>
              <w:top w:val="single" w:sz="4" w:space="0" w:color="000000"/>
              <w:left w:val="single" w:sz="4" w:space="0" w:color="000000"/>
              <w:bottom w:val="single" w:sz="4" w:space="0" w:color="000000"/>
            </w:tcBorders>
            <w:shd w:val="clear" w:color="auto" w:fill="auto"/>
            <w:vAlign w:val="center"/>
          </w:tcPr>
          <w:p w14:paraId="7E1A8747" w14:textId="46581E9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11.70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4BCC8" w14:textId="3D9ABDAE"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7.30</w:t>
            </w:r>
          </w:p>
        </w:tc>
      </w:tr>
      <w:tr w:rsidR="00426D0E" w:rsidRPr="00F40142" w14:paraId="6B263C68"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1D5431D8" w14:textId="3B8FDD17" w:rsidR="00426D0E" w:rsidRPr="00F40142" w:rsidRDefault="00426D0E" w:rsidP="00411B4A">
            <w:pPr>
              <w:pStyle w:val="ExhibitText"/>
              <w:spacing w:line="100" w:lineRule="atLeast"/>
              <w:jc w:val="left"/>
              <w:rPr>
                <w:rFonts w:eastAsia="Arial Unicode MS"/>
                <w:lang w:val="en-GB" w:eastAsia="hi-IN" w:bidi="hi-IN"/>
              </w:rPr>
            </w:pPr>
            <w:r w:rsidRPr="00F40142">
              <w:rPr>
                <w:rFonts w:eastAsia="Arial Unicode MS"/>
                <w:lang w:val="en-GB" w:eastAsia="hi-IN" w:bidi="hi-IN"/>
              </w:rPr>
              <w:t xml:space="preserve">Fixed </w:t>
            </w:r>
            <w:r w:rsidR="00D01BC1">
              <w:rPr>
                <w:rFonts w:eastAsia="Arial Unicode MS"/>
                <w:lang w:val="en-GB" w:eastAsia="hi-IN" w:bidi="hi-IN"/>
              </w:rPr>
              <w:t>a</w:t>
            </w:r>
            <w:r w:rsidRPr="00F40142">
              <w:rPr>
                <w:rFonts w:eastAsia="Arial Unicode MS"/>
                <w:lang w:val="en-GB" w:eastAsia="hi-IN" w:bidi="hi-IN"/>
              </w:rPr>
              <w:t>ssets</w:t>
            </w:r>
          </w:p>
        </w:tc>
        <w:tc>
          <w:tcPr>
            <w:tcW w:w="1385" w:type="dxa"/>
            <w:tcBorders>
              <w:top w:val="single" w:sz="4" w:space="0" w:color="000000"/>
              <w:left w:val="single" w:sz="4" w:space="0" w:color="000000"/>
              <w:bottom w:val="single" w:sz="4" w:space="0" w:color="000000"/>
            </w:tcBorders>
            <w:shd w:val="clear" w:color="auto" w:fill="auto"/>
            <w:vAlign w:val="center"/>
          </w:tcPr>
          <w:p w14:paraId="4208EDC8" w14:textId="5F9334F1"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w:t>
            </w:r>
            <w:r w:rsidR="00426D0E" w:rsidRPr="00F40142">
              <w:rPr>
                <w:rFonts w:eastAsia="Arial Unicode MS"/>
                <w:lang w:val="en-GB" w:eastAsia="hi-IN" w:bidi="hi-IN"/>
              </w:rPr>
              <w:t>4.50</w:t>
            </w:r>
          </w:p>
        </w:tc>
        <w:tc>
          <w:tcPr>
            <w:tcW w:w="1425" w:type="dxa"/>
            <w:tcBorders>
              <w:top w:val="single" w:sz="4" w:space="0" w:color="000000"/>
              <w:left w:val="single" w:sz="4" w:space="0" w:color="000000"/>
              <w:bottom w:val="single" w:sz="4" w:space="0" w:color="000000"/>
            </w:tcBorders>
            <w:shd w:val="clear" w:color="auto" w:fill="auto"/>
            <w:vAlign w:val="center"/>
          </w:tcPr>
          <w:p w14:paraId="6B96E1FA" w14:textId="2D62FAD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3.80</w:t>
            </w:r>
          </w:p>
        </w:tc>
        <w:tc>
          <w:tcPr>
            <w:tcW w:w="1179" w:type="dxa"/>
            <w:tcBorders>
              <w:top w:val="single" w:sz="4" w:space="0" w:color="000000"/>
              <w:left w:val="single" w:sz="4" w:space="0" w:color="000000"/>
              <w:bottom w:val="single" w:sz="4" w:space="0" w:color="000000"/>
            </w:tcBorders>
            <w:shd w:val="clear" w:color="auto" w:fill="auto"/>
            <w:vAlign w:val="center"/>
          </w:tcPr>
          <w:p w14:paraId="1668293C" w14:textId="493EA6AF"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3.70</w:t>
            </w:r>
          </w:p>
        </w:tc>
        <w:tc>
          <w:tcPr>
            <w:tcW w:w="1259" w:type="dxa"/>
            <w:tcBorders>
              <w:top w:val="single" w:sz="4" w:space="0" w:color="000000"/>
              <w:left w:val="single" w:sz="4" w:space="0" w:color="000000"/>
              <w:bottom w:val="single" w:sz="4" w:space="0" w:color="000000"/>
            </w:tcBorders>
            <w:shd w:val="clear" w:color="auto" w:fill="auto"/>
            <w:vAlign w:val="center"/>
          </w:tcPr>
          <w:p w14:paraId="3502AE8D" w14:textId="038D5C79"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0.20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F2333" w14:textId="612139B7"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2.20</w:t>
            </w:r>
          </w:p>
        </w:tc>
      </w:tr>
      <w:tr w:rsidR="00426D0E" w:rsidRPr="00F40142" w14:paraId="3B4C0EE4"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34E85CAA" w14:textId="34E49930" w:rsidR="00426D0E" w:rsidRPr="00F40142" w:rsidRDefault="00480FB4" w:rsidP="00411B4A">
            <w:pPr>
              <w:pStyle w:val="ExhibitText"/>
              <w:spacing w:line="100" w:lineRule="atLeast"/>
              <w:jc w:val="left"/>
              <w:rPr>
                <w:rFonts w:eastAsia="Arial Unicode MS"/>
                <w:lang w:val="en-GB" w:eastAsia="hi-IN" w:bidi="hi-IN"/>
              </w:rPr>
            </w:pPr>
            <w:r>
              <w:rPr>
                <w:rFonts w:eastAsia="Arial Unicode MS"/>
                <w:lang w:val="en-GB" w:eastAsia="hi-IN" w:bidi="hi-IN"/>
              </w:rPr>
              <w:t>Long-</w:t>
            </w:r>
            <w:r w:rsidR="00D01BC1">
              <w:rPr>
                <w:rFonts w:eastAsia="Arial Unicode MS"/>
                <w:lang w:val="en-GB" w:eastAsia="hi-IN" w:bidi="hi-IN"/>
              </w:rPr>
              <w:t>t</w:t>
            </w:r>
            <w:r>
              <w:rPr>
                <w:rFonts w:eastAsia="Arial Unicode MS"/>
                <w:lang w:val="en-GB" w:eastAsia="hi-IN" w:bidi="hi-IN"/>
              </w:rPr>
              <w:t>erm</w:t>
            </w:r>
            <w:r w:rsidR="00426D0E" w:rsidRPr="00F40142">
              <w:rPr>
                <w:rFonts w:eastAsia="Arial Unicode MS"/>
                <w:lang w:val="en-GB" w:eastAsia="hi-IN" w:bidi="hi-IN"/>
              </w:rPr>
              <w:t xml:space="preserve"> </w:t>
            </w:r>
            <w:r w:rsidR="00D01BC1">
              <w:rPr>
                <w:rFonts w:eastAsia="Arial Unicode MS"/>
                <w:lang w:val="en-GB" w:eastAsia="hi-IN" w:bidi="hi-IN"/>
              </w:rPr>
              <w:t>d</w:t>
            </w:r>
            <w:r w:rsidR="00426D0E" w:rsidRPr="00F40142">
              <w:rPr>
                <w:rFonts w:eastAsia="Arial Unicode MS"/>
                <w:lang w:val="en-GB" w:eastAsia="hi-IN" w:bidi="hi-IN"/>
              </w:rPr>
              <w:t>ebt</w:t>
            </w:r>
          </w:p>
        </w:tc>
        <w:tc>
          <w:tcPr>
            <w:tcW w:w="1385" w:type="dxa"/>
            <w:tcBorders>
              <w:top w:val="single" w:sz="4" w:space="0" w:color="000000"/>
              <w:left w:val="single" w:sz="4" w:space="0" w:color="000000"/>
              <w:bottom w:val="single" w:sz="4" w:space="0" w:color="000000"/>
            </w:tcBorders>
            <w:shd w:val="clear" w:color="auto" w:fill="auto"/>
            <w:vAlign w:val="center"/>
          </w:tcPr>
          <w:p w14:paraId="5137BB66" w14:textId="44BC454A"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Non-linear</w:t>
            </w:r>
          </w:p>
        </w:tc>
        <w:tc>
          <w:tcPr>
            <w:tcW w:w="1425" w:type="dxa"/>
            <w:tcBorders>
              <w:top w:val="single" w:sz="4" w:space="0" w:color="000000"/>
              <w:left w:val="single" w:sz="4" w:space="0" w:color="000000"/>
              <w:bottom w:val="single" w:sz="4" w:space="0" w:color="000000"/>
            </w:tcBorders>
            <w:shd w:val="clear" w:color="auto" w:fill="auto"/>
            <w:vAlign w:val="center"/>
          </w:tcPr>
          <w:p w14:paraId="621D297F" w14:textId="05BAF5E3"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3.00</w:t>
            </w:r>
          </w:p>
        </w:tc>
        <w:tc>
          <w:tcPr>
            <w:tcW w:w="1179" w:type="dxa"/>
            <w:tcBorders>
              <w:top w:val="single" w:sz="4" w:space="0" w:color="000000"/>
              <w:left w:val="single" w:sz="4" w:space="0" w:color="000000"/>
              <w:bottom w:val="single" w:sz="4" w:space="0" w:color="000000"/>
            </w:tcBorders>
            <w:shd w:val="clear" w:color="auto" w:fill="auto"/>
            <w:vAlign w:val="center"/>
          </w:tcPr>
          <w:p w14:paraId="13CDC721" w14:textId="3C802167"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w:t>
            </w:r>
            <w:r w:rsidR="00426D0E" w:rsidRPr="00F40142">
              <w:rPr>
                <w:rFonts w:eastAsia="Arial Unicode MS"/>
                <w:lang w:val="en-GB" w:eastAsia="hi-IN" w:bidi="hi-IN"/>
              </w:rPr>
              <w:t>7.40</w:t>
            </w:r>
          </w:p>
        </w:tc>
        <w:tc>
          <w:tcPr>
            <w:tcW w:w="1259" w:type="dxa"/>
            <w:tcBorders>
              <w:top w:val="single" w:sz="4" w:space="0" w:color="000000"/>
              <w:left w:val="single" w:sz="4" w:space="0" w:color="000000"/>
              <w:bottom w:val="single" w:sz="4" w:space="0" w:color="000000"/>
            </w:tcBorders>
            <w:shd w:val="clear" w:color="auto" w:fill="auto"/>
            <w:vAlign w:val="center"/>
          </w:tcPr>
          <w:p w14:paraId="585CF63B" w14:textId="6010194D" w:rsidR="00426D0E" w:rsidRPr="00F40142" w:rsidRDefault="00947ED5" w:rsidP="00411B4A">
            <w:pPr>
              <w:pStyle w:val="ExhibitText"/>
              <w:spacing w:line="100" w:lineRule="atLeast"/>
              <w:jc w:val="right"/>
              <w:rPr>
                <w:rFonts w:eastAsia="Arial Unicode MS"/>
                <w:lang w:val="en-GB" w:eastAsia="hi-IN" w:bidi="hi-IN"/>
              </w:rPr>
            </w:pPr>
            <w:r>
              <w:rPr>
                <w:rFonts w:eastAsia="Arial Unicode MS"/>
                <w:lang w:val="en-GB" w:eastAsia="hi-IN" w:bidi="hi-IN"/>
              </w:rPr>
              <w:t>−</w:t>
            </w:r>
            <w:r w:rsidR="00426D0E" w:rsidRPr="00F40142">
              <w:rPr>
                <w:rFonts w:eastAsia="Arial Unicode MS"/>
                <w:lang w:val="en-GB" w:eastAsia="hi-IN" w:bidi="hi-IN"/>
              </w:rPr>
              <w:t>3.40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F2CF3" w14:textId="64A787F2"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27.70</w:t>
            </w:r>
          </w:p>
        </w:tc>
      </w:tr>
      <w:tr w:rsidR="00426D0E" w:rsidRPr="00F40142" w14:paraId="44819B50" w14:textId="77777777" w:rsidTr="00802190">
        <w:trPr>
          <w:gridAfter w:val="1"/>
          <w:wAfter w:w="25" w:type="dxa"/>
          <w:trHeight w:val="255"/>
          <w:jc w:val="center"/>
        </w:trPr>
        <w:tc>
          <w:tcPr>
            <w:tcW w:w="2119" w:type="dxa"/>
            <w:tcBorders>
              <w:top w:val="single" w:sz="4" w:space="0" w:color="000000"/>
              <w:left w:val="single" w:sz="4" w:space="0" w:color="000000"/>
              <w:bottom w:val="single" w:sz="4" w:space="0" w:color="000000"/>
            </w:tcBorders>
            <w:shd w:val="clear" w:color="auto" w:fill="auto"/>
            <w:vAlign w:val="center"/>
          </w:tcPr>
          <w:p w14:paraId="6FE40589" w14:textId="40D58D3F" w:rsidR="00426D0E" w:rsidRPr="00F40142" w:rsidRDefault="00480FB4" w:rsidP="00411B4A">
            <w:pPr>
              <w:pStyle w:val="ExhibitText"/>
              <w:spacing w:line="100" w:lineRule="atLeast"/>
              <w:jc w:val="left"/>
              <w:rPr>
                <w:rFonts w:eastAsia="Arial Unicode MS"/>
                <w:lang w:val="en-GB" w:eastAsia="hi-IN" w:bidi="hi-IN"/>
              </w:rPr>
            </w:pPr>
            <w:r>
              <w:rPr>
                <w:rFonts w:eastAsia="Arial Unicode MS"/>
                <w:lang w:val="en-GB" w:eastAsia="hi-IN" w:bidi="hi-IN"/>
              </w:rPr>
              <w:t>Shareholders’</w:t>
            </w:r>
            <w:r w:rsidRPr="00F40142">
              <w:rPr>
                <w:rFonts w:eastAsia="Arial Unicode MS"/>
                <w:lang w:val="en-GB" w:eastAsia="hi-IN" w:bidi="hi-IN"/>
              </w:rPr>
              <w:t xml:space="preserve"> </w:t>
            </w:r>
            <w:r w:rsidR="00D01BC1">
              <w:rPr>
                <w:rFonts w:eastAsia="Arial Unicode MS"/>
                <w:lang w:val="en-GB" w:eastAsia="hi-IN" w:bidi="hi-IN"/>
              </w:rPr>
              <w:t>e</w:t>
            </w:r>
            <w:r w:rsidR="00426D0E" w:rsidRPr="00F40142">
              <w:rPr>
                <w:rFonts w:eastAsia="Arial Unicode MS"/>
                <w:lang w:val="en-GB" w:eastAsia="hi-IN" w:bidi="hi-IN"/>
              </w:rPr>
              <w:t>quity</w:t>
            </w:r>
          </w:p>
        </w:tc>
        <w:tc>
          <w:tcPr>
            <w:tcW w:w="1385" w:type="dxa"/>
            <w:tcBorders>
              <w:top w:val="single" w:sz="4" w:space="0" w:color="000000"/>
              <w:left w:val="single" w:sz="4" w:space="0" w:color="000000"/>
              <w:bottom w:val="single" w:sz="4" w:space="0" w:color="000000"/>
            </w:tcBorders>
            <w:shd w:val="clear" w:color="auto" w:fill="auto"/>
            <w:vAlign w:val="center"/>
          </w:tcPr>
          <w:p w14:paraId="19B553BB" w14:textId="3843861A"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100.00</w:t>
            </w:r>
          </w:p>
        </w:tc>
        <w:tc>
          <w:tcPr>
            <w:tcW w:w="1425" w:type="dxa"/>
            <w:tcBorders>
              <w:top w:val="single" w:sz="4" w:space="0" w:color="000000"/>
              <w:left w:val="single" w:sz="4" w:space="0" w:color="000000"/>
              <w:bottom w:val="single" w:sz="4" w:space="0" w:color="000000"/>
            </w:tcBorders>
            <w:shd w:val="clear" w:color="auto" w:fill="auto"/>
            <w:vAlign w:val="center"/>
          </w:tcPr>
          <w:p w14:paraId="5C59E341" w14:textId="117C60A0"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8.20</w:t>
            </w:r>
          </w:p>
        </w:tc>
        <w:tc>
          <w:tcPr>
            <w:tcW w:w="1179" w:type="dxa"/>
            <w:tcBorders>
              <w:top w:val="single" w:sz="4" w:space="0" w:color="000000"/>
              <w:left w:val="single" w:sz="4" w:space="0" w:color="000000"/>
              <w:bottom w:val="single" w:sz="4" w:space="0" w:color="000000"/>
            </w:tcBorders>
            <w:shd w:val="clear" w:color="auto" w:fill="auto"/>
            <w:vAlign w:val="center"/>
          </w:tcPr>
          <w:p w14:paraId="7F7028E6" w14:textId="6B93910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6.30</w:t>
            </w:r>
          </w:p>
        </w:tc>
        <w:tc>
          <w:tcPr>
            <w:tcW w:w="1259" w:type="dxa"/>
            <w:tcBorders>
              <w:top w:val="single" w:sz="4" w:space="0" w:color="000000"/>
              <w:left w:val="single" w:sz="4" w:space="0" w:color="000000"/>
              <w:bottom w:val="single" w:sz="4" w:space="0" w:color="000000"/>
            </w:tcBorders>
            <w:shd w:val="clear" w:color="auto" w:fill="auto"/>
            <w:vAlign w:val="center"/>
          </w:tcPr>
          <w:p w14:paraId="0CDDFC2A" w14:textId="173058AC" w:rsidR="00426D0E" w:rsidRPr="00F40142" w:rsidRDefault="00426D0E" w:rsidP="00411B4A">
            <w:pPr>
              <w:pStyle w:val="ExhibitText"/>
              <w:spacing w:line="100" w:lineRule="atLeast"/>
              <w:jc w:val="right"/>
              <w:rPr>
                <w:rFonts w:eastAsia="Arial Unicode MS"/>
                <w:lang w:val="en-GB" w:eastAsia="hi-IN" w:bidi="hi-IN"/>
              </w:rPr>
            </w:pPr>
            <w:r w:rsidRPr="00F40142">
              <w:rPr>
                <w:rFonts w:eastAsia="Arial Unicode MS"/>
                <w:lang w:val="en-GB" w:eastAsia="hi-IN" w:bidi="hi-IN"/>
              </w:rPr>
              <w:t>8.60</w:t>
            </w:r>
          </w:p>
        </w:tc>
        <w:tc>
          <w:tcPr>
            <w:tcW w:w="1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F8D6E" w14:textId="34C673C2" w:rsidR="00426D0E" w:rsidRPr="00F40142" w:rsidRDefault="00426D0E" w:rsidP="00411B4A">
            <w:pPr>
              <w:pStyle w:val="ExhibitText"/>
              <w:spacing w:line="100" w:lineRule="atLeast"/>
              <w:jc w:val="right"/>
              <w:rPr>
                <w:lang w:val="en-GB"/>
              </w:rPr>
            </w:pPr>
            <w:r w:rsidRPr="00F40142">
              <w:rPr>
                <w:rFonts w:eastAsia="Arial Unicode MS"/>
                <w:lang w:val="en-GB" w:eastAsia="hi-IN" w:bidi="hi-IN"/>
              </w:rPr>
              <w:t>4.70</w:t>
            </w:r>
          </w:p>
        </w:tc>
      </w:tr>
    </w:tbl>
    <w:p w14:paraId="3B302A8C" w14:textId="77777777" w:rsidR="00426D0E" w:rsidRPr="00F40142" w:rsidRDefault="00426D0E" w:rsidP="00426D0E">
      <w:pPr>
        <w:pStyle w:val="FootnoteText"/>
        <w:rPr>
          <w:rFonts w:eastAsia="Arial Unicode MS"/>
          <w:lang w:val="en-GB"/>
        </w:rPr>
      </w:pPr>
    </w:p>
    <w:p w14:paraId="5E3120CB" w14:textId="734090D3" w:rsidR="00E00592" w:rsidRDefault="00E00592" w:rsidP="00A4363F">
      <w:pPr>
        <w:pStyle w:val="Footnote"/>
        <w:rPr>
          <w:rFonts w:eastAsia="Cambria"/>
          <w:lang w:val="en-GB"/>
        </w:rPr>
      </w:pPr>
      <w:r>
        <w:rPr>
          <w:rFonts w:eastAsia="Cambria"/>
          <w:lang w:val="en-GB"/>
        </w:rPr>
        <w:t>Note: *In millions of Canadian d</w:t>
      </w:r>
      <w:r w:rsidR="00E56C70">
        <w:rPr>
          <w:rFonts w:eastAsia="Cambria"/>
          <w:lang w:val="en-GB"/>
        </w:rPr>
        <w:t>ollars</w:t>
      </w:r>
      <w:r w:rsidR="00A979E0">
        <w:rPr>
          <w:rFonts w:eastAsia="Cambria"/>
          <w:lang w:val="en-GB"/>
        </w:rPr>
        <w:t xml:space="preserve">; **In billions of </w:t>
      </w:r>
      <w:r w:rsidR="00C062A4">
        <w:rPr>
          <w:rFonts w:eastAsia="Cambria"/>
          <w:lang w:val="en-GB"/>
        </w:rPr>
        <w:t>Chilean pesos</w:t>
      </w:r>
      <w:r w:rsidR="00C01E5C">
        <w:rPr>
          <w:rFonts w:eastAsia="Cambria"/>
          <w:lang w:val="en-GB"/>
        </w:rPr>
        <w:t xml:space="preserve"> (CLP); </w:t>
      </w:r>
      <w:r w:rsidR="00480FB4">
        <w:rPr>
          <w:rFonts w:eastAsia="Cambria"/>
          <w:lang w:val="en-GB"/>
        </w:rPr>
        <w:t xml:space="preserve">***In </w:t>
      </w:r>
      <w:r w:rsidR="004013CE">
        <w:rPr>
          <w:rFonts w:eastAsia="Cambria"/>
          <w:lang w:val="en-GB"/>
        </w:rPr>
        <w:t>millions</w:t>
      </w:r>
      <w:r w:rsidR="00480FB4">
        <w:rPr>
          <w:rFonts w:eastAsia="Cambria"/>
          <w:lang w:val="en-GB"/>
        </w:rPr>
        <w:t xml:space="preserve"> of US dollars; </w:t>
      </w:r>
      <w:r w:rsidR="00C01E5C">
        <w:rPr>
          <w:rFonts w:eastAsia="Cambria"/>
          <w:lang w:val="en-GB"/>
        </w:rPr>
        <w:t>***</w:t>
      </w:r>
      <w:r w:rsidR="00480FB4">
        <w:rPr>
          <w:rFonts w:eastAsia="Cambria"/>
          <w:lang w:val="en-GB"/>
        </w:rPr>
        <w:t>*</w:t>
      </w:r>
      <w:r w:rsidR="00C01E5C">
        <w:rPr>
          <w:rFonts w:eastAsia="Cambria"/>
          <w:lang w:val="en-GB"/>
        </w:rPr>
        <w:t>In billions of Australian dollars (AUD)</w:t>
      </w:r>
      <w:r w:rsidR="00480FB4">
        <w:rPr>
          <w:rFonts w:eastAsia="Cambria"/>
          <w:lang w:val="en-GB"/>
        </w:rPr>
        <w:t>; CAGR = compound annual growth rate</w:t>
      </w:r>
      <w:r w:rsidR="00C169BB">
        <w:rPr>
          <w:rFonts w:eastAsia="Cambria"/>
          <w:lang w:val="en-GB"/>
        </w:rPr>
        <w:t>.</w:t>
      </w:r>
    </w:p>
    <w:p w14:paraId="265ED541" w14:textId="37AC47DF" w:rsidR="00426D0E" w:rsidRPr="00F40142" w:rsidRDefault="00426D0E" w:rsidP="00A4363F">
      <w:pPr>
        <w:pStyle w:val="Footnote"/>
        <w:rPr>
          <w:b/>
          <w:caps/>
          <w:lang w:val="en-GB"/>
        </w:rPr>
      </w:pPr>
      <w:r w:rsidRPr="00F40142">
        <w:rPr>
          <w:rFonts w:eastAsia="Cambria"/>
          <w:lang w:val="en-GB"/>
        </w:rPr>
        <w:t xml:space="preserve">Source: </w:t>
      </w:r>
      <w:r w:rsidR="00C169BB">
        <w:rPr>
          <w:rFonts w:eastAsia="Cambria"/>
          <w:lang w:val="en-GB"/>
        </w:rPr>
        <w:t>Created</w:t>
      </w:r>
      <w:r w:rsidRPr="00F40142">
        <w:rPr>
          <w:rFonts w:eastAsia="Cambria"/>
          <w:lang w:val="en-GB"/>
        </w:rPr>
        <w:t xml:space="preserve"> by the authors using information from </w:t>
      </w:r>
      <w:r w:rsidR="001278AB">
        <w:rPr>
          <w:rFonts w:eastAsia="Cambria"/>
          <w:lang w:val="en-GB"/>
        </w:rPr>
        <w:t>company</w:t>
      </w:r>
      <w:r w:rsidR="001278AB" w:rsidRPr="00F40142">
        <w:rPr>
          <w:rFonts w:eastAsia="Cambria"/>
          <w:lang w:val="en-GB"/>
        </w:rPr>
        <w:t xml:space="preserve"> </w:t>
      </w:r>
      <w:r w:rsidRPr="00F40142">
        <w:rPr>
          <w:rFonts w:eastAsia="Cambria"/>
          <w:lang w:val="en-GB"/>
        </w:rPr>
        <w:t>reports</w:t>
      </w:r>
      <w:r w:rsidR="001278AB">
        <w:rPr>
          <w:rFonts w:eastAsia="Cambria"/>
          <w:lang w:val="en-GB"/>
        </w:rPr>
        <w:t xml:space="preserve"> for</w:t>
      </w:r>
      <w:r w:rsidRPr="00F40142">
        <w:rPr>
          <w:rFonts w:eastAsia="Cambria"/>
          <w:lang w:val="en-GB"/>
        </w:rPr>
        <w:t xml:space="preserve"> Diamond Estates Winery and Spirits</w:t>
      </w:r>
      <w:r w:rsidR="001278AB">
        <w:rPr>
          <w:rFonts w:eastAsia="Cambria"/>
          <w:lang w:val="en-GB"/>
        </w:rPr>
        <w:t>,</w:t>
      </w:r>
      <w:r w:rsidRPr="00F40142">
        <w:rPr>
          <w:rFonts w:eastAsia="Cambria"/>
          <w:lang w:val="en-GB"/>
        </w:rPr>
        <w:t xml:space="preserve"> accessed from either the company website</w:t>
      </w:r>
      <w:r w:rsidR="001278AB">
        <w:rPr>
          <w:rFonts w:eastAsia="Cambria"/>
          <w:lang w:val="en-GB"/>
        </w:rPr>
        <w:t>,</w:t>
      </w:r>
      <w:r w:rsidRPr="00F40142">
        <w:rPr>
          <w:rFonts w:eastAsia="Cambria"/>
          <w:lang w:val="en-GB"/>
        </w:rPr>
        <w:t xml:space="preserve"> </w:t>
      </w:r>
      <w:r w:rsidR="00A4363F" w:rsidRPr="00F40142">
        <w:rPr>
          <w:rFonts w:eastAsia="Cambria"/>
          <w:lang w:val="en-GB"/>
        </w:rPr>
        <w:t>www.</w:t>
      </w:r>
      <w:r w:rsidRPr="00F40142">
        <w:rPr>
          <w:rFonts w:eastAsia="Cambria"/>
          <w:lang w:val="en-GB"/>
        </w:rPr>
        <w:t>lakeviewwineco.com/site/diamond-estates-wines-spirits</w:t>
      </w:r>
      <w:r w:rsidR="001278AB">
        <w:rPr>
          <w:rFonts w:eastAsia="Cambria"/>
          <w:lang w:val="en-GB"/>
        </w:rPr>
        <w:t>,</w:t>
      </w:r>
      <w:r w:rsidRPr="00F40142">
        <w:rPr>
          <w:rFonts w:eastAsia="Cambria"/>
          <w:lang w:val="en-GB"/>
        </w:rPr>
        <w:t xml:space="preserve"> or its filings with SEDAR</w:t>
      </w:r>
      <w:r w:rsidR="001278AB">
        <w:rPr>
          <w:rFonts w:eastAsia="Cambria"/>
          <w:lang w:val="en-GB"/>
        </w:rPr>
        <w:t>,</w:t>
      </w:r>
      <w:r w:rsidRPr="00F40142">
        <w:rPr>
          <w:rFonts w:eastAsia="Cambria"/>
          <w:lang w:val="en-GB"/>
        </w:rPr>
        <w:t xml:space="preserve"> accessed from </w:t>
      </w:r>
      <w:r w:rsidR="00A4363F" w:rsidRPr="00F40142">
        <w:rPr>
          <w:rFonts w:eastAsia="Cambria"/>
          <w:lang w:val="en-GB"/>
        </w:rPr>
        <w:t>www.</w:t>
      </w:r>
      <w:r w:rsidRPr="00F40142">
        <w:rPr>
          <w:rFonts w:eastAsia="Cambria"/>
          <w:lang w:val="en-GB"/>
        </w:rPr>
        <w:t xml:space="preserve">sedar.com/DisplayCompanyDocuments.do?lang=EN&amp;issuerNo=00032682; </w:t>
      </w:r>
      <w:r w:rsidR="00C169BB" w:rsidRPr="00480FB4">
        <w:rPr>
          <w:rStyle w:val="Hyperlink3"/>
          <w:rFonts w:ascii="Arial" w:hAnsi="Arial" w:cs="Arial"/>
          <w:sz w:val="17"/>
          <w:szCs w:val="17"/>
          <w:lang w:val="en-GB"/>
        </w:rPr>
        <w:t>Andrew Peller Limited</w:t>
      </w:r>
      <w:r w:rsidR="00C169BB">
        <w:rPr>
          <w:rStyle w:val="Hyperlink3"/>
          <w:rFonts w:ascii="Arial" w:hAnsi="Arial" w:cs="Arial"/>
          <w:sz w:val="17"/>
          <w:szCs w:val="17"/>
          <w:lang w:val="en-GB"/>
        </w:rPr>
        <w:t>,</w:t>
      </w:r>
      <w:r w:rsidR="00802190">
        <w:rPr>
          <w:rStyle w:val="Hyperlink3"/>
          <w:rFonts w:ascii="Arial" w:hAnsi="Arial" w:cs="Arial"/>
          <w:i/>
          <w:sz w:val="17"/>
          <w:szCs w:val="17"/>
          <w:lang w:val="en-GB"/>
        </w:rPr>
        <w:t xml:space="preserve"> 2017 Annual </w:t>
      </w:r>
      <w:r w:rsidR="00C169BB" w:rsidRPr="002628C9">
        <w:rPr>
          <w:rStyle w:val="Hyperlink3"/>
          <w:rFonts w:ascii="Arial" w:hAnsi="Arial" w:cs="Arial"/>
          <w:i/>
          <w:sz w:val="17"/>
          <w:szCs w:val="17"/>
          <w:lang w:val="en-GB"/>
        </w:rPr>
        <w:t>Report</w:t>
      </w:r>
      <w:r w:rsidR="00C169BB">
        <w:rPr>
          <w:rStyle w:val="Hyperlink3"/>
          <w:rFonts w:ascii="Arial" w:hAnsi="Arial" w:cs="Arial"/>
          <w:sz w:val="17"/>
          <w:szCs w:val="17"/>
          <w:lang w:val="en-GB"/>
        </w:rPr>
        <w:t>,</w:t>
      </w:r>
      <w:r w:rsidR="00802190">
        <w:rPr>
          <w:rStyle w:val="Hyperlink3"/>
          <w:rFonts w:ascii="Arial" w:hAnsi="Arial" w:cs="Arial"/>
          <w:sz w:val="17"/>
          <w:szCs w:val="17"/>
          <w:lang w:val="en-GB"/>
        </w:rPr>
        <w:t> </w:t>
      </w:r>
      <w:r w:rsidR="00C169BB" w:rsidRPr="00F40142">
        <w:rPr>
          <w:rStyle w:val="Hyperlink3"/>
          <w:rFonts w:ascii="Arial" w:hAnsi="Arial" w:cs="Arial"/>
          <w:sz w:val="17"/>
          <w:szCs w:val="17"/>
          <w:lang w:val="en-GB"/>
        </w:rPr>
        <w:t>accessed</w:t>
      </w:r>
      <w:r w:rsidR="00802190">
        <w:rPr>
          <w:rStyle w:val="None"/>
          <w:lang w:val="en-GB"/>
        </w:rPr>
        <w:t> February 20, </w:t>
      </w:r>
      <w:r w:rsidR="00C169BB" w:rsidRPr="00F40142">
        <w:rPr>
          <w:rStyle w:val="None"/>
          <w:lang w:val="en-GB"/>
        </w:rPr>
        <w:t>2019,</w:t>
      </w:r>
      <w:r w:rsidR="00802190">
        <w:rPr>
          <w:rStyle w:val="None"/>
          <w:lang w:val="en-GB"/>
        </w:rPr>
        <w:t> </w:t>
      </w:r>
      <w:r w:rsidR="00802190" w:rsidRPr="00802190">
        <w:rPr>
          <w:rStyle w:val="Hyperlink3"/>
          <w:rFonts w:ascii="Arial" w:hAnsi="Arial" w:cs="Arial"/>
          <w:sz w:val="17"/>
          <w:szCs w:val="17"/>
          <w:lang w:val="en-GB"/>
        </w:rPr>
        <w:t>www.andrewpeller.com/UserFiles/File/Annual%20Report%202017%20(FINAL)%20v4.pdf</w:t>
      </w:r>
      <w:r w:rsidR="00C169BB">
        <w:rPr>
          <w:rStyle w:val="Hyperlink3"/>
          <w:rFonts w:ascii="Arial" w:hAnsi="Arial" w:cs="Arial"/>
          <w:sz w:val="17"/>
          <w:szCs w:val="17"/>
          <w:lang w:val="en-GB"/>
        </w:rPr>
        <w:t>;</w:t>
      </w:r>
      <w:r w:rsidR="00802190">
        <w:rPr>
          <w:rStyle w:val="Hyperlink3"/>
          <w:rFonts w:ascii="Arial" w:hAnsi="Arial" w:cs="Arial"/>
          <w:sz w:val="17"/>
          <w:szCs w:val="17"/>
          <w:lang w:val="en-GB"/>
        </w:rPr>
        <w:t> </w:t>
      </w:r>
      <w:r w:rsidR="00802190">
        <w:rPr>
          <w:lang w:val="en-GB"/>
        </w:rPr>
        <w:t>Viña Concha y Toro </w:t>
      </w:r>
      <w:r w:rsidR="00C169BB" w:rsidRPr="00CF7D78">
        <w:rPr>
          <w:lang w:val="en-GB"/>
        </w:rPr>
        <w:t>S.A.</w:t>
      </w:r>
      <w:r w:rsidR="00C169BB">
        <w:rPr>
          <w:lang w:val="en-GB"/>
        </w:rPr>
        <w:t>,</w:t>
      </w:r>
      <w:r w:rsidR="00802190">
        <w:rPr>
          <w:lang w:val="en-GB"/>
        </w:rPr>
        <w:t> </w:t>
      </w:r>
      <w:r w:rsidR="00802190">
        <w:rPr>
          <w:i/>
          <w:lang w:val="en-GB"/>
        </w:rPr>
        <w:t>Form </w:t>
      </w:r>
      <w:r w:rsidR="00C169BB" w:rsidRPr="002628C9">
        <w:rPr>
          <w:i/>
          <w:lang w:val="en-GB"/>
        </w:rPr>
        <w:t>6-K</w:t>
      </w:r>
      <w:r w:rsidR="00802190">
        <w:rPr>
          <w:lang w:val="en-GB"/>
        </w:rPr>
        <w:t>, May 22, 2018, accessed February 20, </w:t>
      </w:r>
      <w:r w:rsidR="00C169BB" w:rsidRPr="00F40142">
        <w:rPr>
          <w:lang w:val="en-GB"/>
        </w:rPr>
        <w:t>2019,</w:t>
      </w:r>
      <w:r w:rsidR="00802190">
        <w:rPr>
          <w:lang w:val="en-GB"/>
        </w:rPr>
        <w:t xml:space="preserve"> http://secfilings.nasdaq.com/fili </w:t>
      </w:r>
      <w:r w:rsidR="00C169BB" w:rsidRPr="00F40142">
        <w:rPr>
          <w:rStyle w:val="Hyperlink3"/>
          <w:rFonts w:ascii="Arial" w:hAnsi="Arial" w:cs="Arial"/>
          <w:sz w:val="17"/>
          <w:szCs w:val="17"/>
          <w:lang w:val="en-GB"/>
        </w:rPr>
        <w:t>ngFrameset.asp?FilingID=12772698&amp;RcvdDate=5/22/2018&amp;CoName=CONCHA%20Y%20TORO%20WINERY%20INC&amp;FormType=6-K&amp;View=orig</w:t>
      </w:r>
      <w:r w:rsidR="00C169BB">
        <w:rPr>
          <w:rStyle w:val="Hyperlink3"/>
          <w:rFonts w:ascii="Arial" w:hAnsi="Arial" w:cs="Arial"/>
          <w:sz w:val="17"/>
          <w:szCs w:val="17"/>
          <w:lang w:val="en-GB"/>
        </w:rPr>
        <w:t xml:space="preserve">; </w:t>
      </w:r>
      <w:r w:rsidRPr="00F40142">
        <w:rPr>
          <w:rStyle w:val="Hyperlink3"/>
          <w:rFonts w:ascii="Arial" w:hAnsi="Arial" w:cs="Arial"/>
          <w:sz w:val="17"/>
          <w:szCs w:val="17"/>
          <w:lang w:val="en-GB"/>
        </w:rPr>
        <w:t xml:space="preserve">Truett-Hurst Inc., SEC filings accessed February 20, 2019, </w:t>
      </w:r>
      <w:r w:rsidR="00A4363F" w:rsidRPr="00F40142">
        <w:rPr>
          <w:rStyle w:val="Hyperlink3"/>
          <w:rFonts w:ascii="Arial" w:hAnsi="Arial" w:cs="Arial"/>
          <w:sz w:val="17"/>
          <w:szCs w:val="17"/>
          <w:lang w:val="en-GB"/>
        </w:rPr>
        <w:t>www.</w:t>
      </w:r>
      <w:r w:rsidRPr="00F40142">
        <w:rPr>
          <w:rStyle w:val="Hyperlink3"/>
          <w:rFonts w:ascii="Arial" w:hAnsi="Arial" w:cs="Arial"/>
          <w:sz w:val="17"/>
          <w:szCs w:val="17"/>
          <w:lang w:val="en-GB"/>
        </w:rPr>
        <w:t>truetthurstinc.com/investors/#secfilings</w:t>
      </w:r>
      <w:r w:rsidR="00C169BB">
        <w:rPr>
          <w:rStyle w:val="Hyperlink3"/>
          <w:rFonts w:ascii="Arial" w:hAnsi="Arial" w:cs="Arial"/>
          <w:sz w:val="17"/>
          <w:szCs w:val="17"/>
          <w:lang w:val="en-GB"/>
        </w:rPr>
        <w:t xml:space="preserve">; </w:t>
      </w:r>
      <w:r w:rsidRPr="00F40142">
        <w:rPr>
          <w:rStyle w:val="Hyperlink3"/>
          <w:rFonts w:ascii="Arial" w:hAnsi="Arial" w:cs="Arial"/>
          <w:sz w:val="17"/>
          <w:szCs w:val="17"/>
          <w:lang w:val="en-GB"/>
        </w:rPr>
        <w:t xml:space="preserve">Treasury Wine Estates, Company Reports accessed February 20, 2019, </w:t>
      </w:r>
      <w:r w:rsidR="00A4363F" w:rsidRPr="00F40142">
        <w:rPr>
          <w:rStyle w:val="Hyperlink3"/>
          <w:rFonts w:ascii="Arial" w:hAnsi="Arial" w:cs="Arial"/>
          <w:sz w:val="17"/>
          <w:szCs w:val="17"/>
          <w:lang w:val="en-GB"/>
        </w:rPr>
        <w:t>www.</w:t>
      </w:r>
      <w:r w:rsidRPr="00F40142">
        <w:rPr>
          <w:rStyle w:val="Hyperlink3"/>
          <w:rFonts w:ascii="Arial" w:hAnsi="Arial" w:cs="Arial"/>
          <w:sz w:val="17"/>
          <w:szCs w:val="17"/>
          <w:lang w:val="en-GB"/>
        </w:rPr>
        <w:t>tweglobal.com/investors.</w:t>
      </w:r>
    </w:p>
    <w:p w14:paraId="22628063" w14:textId="4DADB717" w:rsidR="00426D0E" w:rsidRPr="00F40142" w:rsidRDefault="00426D0E">
      <w:pPr>
        <w:spacing w:after="200" w:line="276" w:lineRule="auto"/>
        <w:rPr>
          <w:lang w:val="en-GB"/>
        </w:rPr>
      </w:pPr>
      <w:r w:rsidRPr="00F40142">
        <w:rPr>
          <w:lang w:val="en-GB"/>
        </w:rPr>
        <w:br w:type="page"/>
      </w:r>
    </w:p>
    <w:p w14:paraId="4710AEC2" w14:textId="73A8C82B" w:rsidR="009B2532" w:rsidRPr="00F40142" w:rsidRDefault="009B2532" w:rsidP="009B2532">
      <w:pPr>
        <w:pStyle w:val="Casehead1"/>
        <w:rPr>
          <w:lang w:val="en-GB"/>
        </w:rPr>
      </w:pPr>
      <w:r w:rsidRPr="00F40142">
        <w:rPr>
          <w:lang w:val="en-GB"/>
        </w:rPr>
        <w:lastRenderedPageBreak/>
        <w:t>endnotes</w:t>
      </w:r>
    </w:p>
    <w:sectPr w:rsidR="009B2532" w:rsidRPr="00F40142" w:rsidSect="002108C7">
      <w:headerReference w:type="default" r:id="rId14"/>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234D2" w14:textId="77777777" w:rsidR="00487482" w:rsidRDefault="00487482" w:rsidP="00D75295">
      <w:r>
        <w:separator/>
      </w:r>
    </w:p>
  </w:endnote>
  <w:endnote w:type="continuationSeparator" w:id="0">
    <w:p w14:paraId="008F3D57" w14:textId="77777777" w:rsidR="00487482" w:rsidRDefault="00487482" w:rsidP="00D75295">
      <w:r>
        <w:continuationSeparator/>
      </w:r>
    </w:p>
  </w:endnote>
  <w:endnote w:type="continuationNotice" w:id="1">
    <w:p w14:paraId="78D506DA" w14:textId="77777777" w:rsidR="00487482" w:rsidRDefault="00487482"/>
  </w:endnote>
  <w:endnote w:id="2">
    <w:p w14:paraId="49D06F80" w14:textId="7A9DD302"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This case has been written on the basis of published sources only. Consequently, the interpretation and perspectives presented in this case are not necessarily those of Diamond Estate Wines &amp; Spirits, Inc. or any of its employees.</w:t>
      </w:r>
    </w:p>
  </w:endnote>
  <w:endnote w:id="3">
    <w:p w14:paraId="1BBD492E" w14:textId="3503650C"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World Health Organization, ‘Alcohol,’ Health Topics, n.d., accessed December 5, 2019, www.who.int/health-topics/alcohol#tab=tab_1.</w:t>
      </w:r>
    </w:p>
  </w:endnote>
  <w:endnote w:id="4">
    <w:p w14:paraId="164283F5" w14:textId="1CD89EFF" w:rsidR="00487482" w:rsidRDefault="00487482" w:rsidP="00576FEA">
      <w:pPr>
        <w:pStyle w:val="Footnote"/>
        <w:rPr>
          <w:rStyle w:val="Hyperlink0"/>
          <w:rFonts w:ascii="Arial" w:hAnsi="Arial" w:cs="Arial"/>
          <w:spacing w:val="-4"/>
          <w:sz w:val="17"/>
          <w:szCs w:val="17"/>
          <w:lang w:val="en-GB"/>
        </w:rPr>
      </w:pPr>
      <w:r w:rsidRPr="00576FEA">
        <w:rPr>
          <w:rStyle w:val="EndnoteReference"/>
          <w:spacing w:val="-4"/>
        </w:rPr>
        <w:endnoteRef/>
      </w:r>
      <w:r w:rsidRPr="00576FEA">
        <w:rPr>
          <w:spacing w:val="-4"/>
        </w:rPr>
        <w:t xml:space="preserve"> </w:t>
      </w:r>
      <w:r w:rsidRPr="00CB3AF5">
        <w:rPr>
          <w:lang w:val="en-GB"/>
        </w:rPr>
        <w:t xml:space="preserve">Liz Thach, “Overview of the US Wine Industry in 2018: Stable Growth Forecasted – Based on 2017 Stats,” </w:t>
      </w:r>
      <w:r w:rsidRPr="00CB3AF5">
        <w:rPr>
          <w:i/>
          <w:lang w:val="en-GB"/>
        </w:rPr>
        <w:t>Dr. Liz Thach, MW</w:t>
      </w:r>
      <w:r w:rsidRPr="00CB3AF5">
        <w:rPr>
          <w:lang w:val="en-GB"/>
        </w:rPr>
        <w:t xml:space="preserve"> (blog), January 31, 2018, accessed February 20, 2019,</w:t>
      </w:r>
      <w:r w:rsidRPr="00CB3AF5">
        <w:rPr>
          <w:rStyle w:val="None"/>
          <w:lang w:val="en-GB"/>
        </w:rPr>
        <w:t xml:space="preserve"> </w:t>
      </w:r>
      <w:r w:rsidRPr="00CB3AF5">
        <w:rPr>
          <w:rStyle w:val="Hyperlink4"/>
          <w:rFonts w:ascii="Arial" w:eastAsia="Calibri" w:hAnsi="Arial" w:cs="Arial"/>
          <w:color w:val="00000A"/>
          <w:sz w:val="17"/>
          <w:szCs w:val="17"/>
          <w:u w:val="none"/>
          <w:lang w:val="en-GB"/>
        </w:rPr>
        <w:t xml:space="preserve">https://lizthachmw.com/2018/01/31/overview-of-the-us-wine-industry-in-2018-stable-growth-forecasted-based-on-2017-stats/; </w:t>
      </w:r>
      <w:r w:rsidRPr="00CB3AF5">
        <w:rPr>
          <w:rStyle w:val="Hyperlink0"/>
          <w:rFonts w:ascii="Arial" w:hAnsi="Arial" w:cs="Arial"/>
          <w:sz w:val="17"/>
          <w:szCs w:val="17"/>
          <w:lang w:val="en-GB"/>
        </w:rPr>
        <w:t xml:space="preserve">“2018 Direct-To-Consumer Wine Shipping Report,” </w:t>
      </w:r>
      <w:proofErr w:type="spellStart"/>
      <w:r w:rsidRPr="00CB3AF5">
        <w:rPr>
          <w:rStyle w:val="Hyperlink0"/>
          <w:rFonts w:ascii="Arial" w:hAnsi="Arial" w:cs="Arial"/>
          <w:sz w:val="17"/>
          <w:szCs w:val="17"/>
          <w:lang w:val="en-GB"/>
        </w:rPr>
        <w:t>ShipCompliant</w:t>
      </w:r>
      <w:proofErr w:type="spellEnd"/>
      <w:r w:rsidRPr="00CB3AF5">
        <w:rPr>
          <w:rStyle w:val="Hyperlink0"/>
          <w:rFonts w:ascii="Arial" w:hAnsi="Arial" w:cs="Arial"/>
          <w:sz w:val="17"/>
          <w:szCs w:val="17"/>
          <w:lang w:val="en-GB"/>
        </w:rPr>
        <w:t xml:space="preserve">, accessed July 2018, </w:t>
      </w:r>
      <w:r w:rsidRPr="00CB3AF5">
        <w:rPr>
          <w:rStyle w:val="Hyperlink0"/>
          <w:rFonts w:ascii="Arial" w:hAnsi="Arial" w:cs="Arial"/>
          <w:spacing w:val="-4"/>
          <w:sz w:val="17"/>
          <w:szCs w:val="17"/>
          <w:lang w:val="en-GB"/>
        </w:rPr>
        <w:t>www.shipcompliant.com/dtcreport18/?utm_campaign=DtC-shipping-report&amp;utm_medium=</w:t>
      </w:r>
    </w:p>
    <w:p w14:paraId="4F3A6BE5" w14:textId="328E4038" w:rsidR="00487482" w:rsidRPr="00576FEA" w:rsidRDefault="00487482" w:rsidP="00576FEA">
      <w:pPr>
        <w:pStyle w:val="Footnote"/>
        <w:rPr>
          <w:spacing w:val="-4"/>
          <w:lang w:val="en-CA"/>
        </w:rPr>
      </w:pPr>
      <w:proofErr w:type="spellStart"/>
      <w:r w:rsidRPr="00CB3AF5">
        <w:rPr>
          <w:rStyle w:val="Hyperlink0"/>
          <w:rFonts w:ascii="Arial" w:hAnsi="Arial" w:cs="Arial"/>
          <w:spacing w:val="-4"/>
          <w:sz w:val="17"/>
          <w:szCs w:val="17"/>
          <w:lang w:val="en-GB"/>
        </w:rPr>
        <w:t>Referral&amp;utm_source</w:t>
      </w:r>
      <w:proofErr w:type="spellEnd"/>
      <w:r w:rsidRPr="00CB3AF5">
        <w:rPr>
          <w:rStyle w:val="Hyperlink0"/>
          <w:rFonts w:ascii="Arial" w:hAnsi="Arial" w:cs="Arial"/>
          <w:spacing w:val="-4"/>
          <w:sz w:val="17"/>
          <w:szCs w:val="17"/>
          <w:lang w:val="en-GB"/>
        </w:rPr>
        <w:t>=</w:t>
      </w:r>
      <w:proofErr w:type="spellStart"/>
      <w:r w:rsidRPr="00CB3AF5">
        <w:rPr>
          <w:rStyle w:val="Hyperlink0"/>
          <w:rFonts w:ascii="Arial" w:hAnsi="Arial" w:cs="Arial"/>
          <w:spacing w:val="-4"/>
          <w:sz w:val="17"/>
          <w:szCs w:val="17"/>
          <w:lang w:val="en-GB"/>
        </w:rPr>
        <w:t>Wines&amp;Vines&amp;utm_content</w:t>
      </w:r>
      <w:proofErr w:type="spellEnd"/>
      <w:r w:rsidRPr="00CB3AF5">
        <w:rPr>
          <w:rStyle w:val="Hyperlink0"/>
          <w:rFonts w:ascii="Arial" w:hAnsi="Arial" w:cs="Arial"/>
          <w:spacing w:val="-4"/>
          <w:sz w:val="17"/>
          <w:szCs w:val="17"/>
          <w:lang w:val="en-GB"/>
        </w:rPr>
        <w:t>=ad.</w:t>
      </w:r>
    </w:p>
  </w:endnote>
  <w:endnote w:id="5">
    <w:p w14:paraId="63F17D9F" w14:textId="4A779C0A"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rStyle w:val="Hyperlink3"/>
          <w:rFonts w:ascii="Arial" w:hAnsi="Arial" w:cs="Arial"/>
          <w:spacing w:val="-4"/>
          <w:sz w:val="17"/>
          <w:szCs w:val="17"/>
          <w:lang w:val="en-GB"/>
        </w:rPr>
        <w:t>“Canadian Wine and Grape Industry Contributes $9 Billion in Economic Impact to Canadian Economy,” Canadian Vintners Association, March 7, 2017, accessed</w:t>
      </w:r>
      <w:r w:rsidRPr="00576FEA">
        <w:rPr>
          <w:rStyle w:val="None"/>
          <w:spacing w:val="-4"/>
          <w:lang w:val="en-GB"/>
        </w:rPr>
        <w:t xml:space="preserve"> February 20, 2019, </w:t>
      </w:r>
      <w:r w:rsidRPr="00576FEA">
        <w:rPr>
          <w:rStyle w:val="Hyperlink4"/>
          <w:rFonts w:ascii="Arial" w:eastAsia="Calibri" w:hAnsi="Arial" w:cs="Arial"/>
          <w:color w:val="00000A"/>
          <w:spacing w:val="-4"/>
          <w:sz w:val="17"/>
          <w:szCs w:val="17"/>
          <w:u w:val="none"/>
          <w:lang w:val="en-GB"/>
        </w:rPr>
        <w:t>www.marketwired.com/press-release/canadian-wine-grape-industry-contributes-9-billion-economic-impact-canadian-economy-2201201.htm.</w:t>
      </w:r>
    </w:p>
  </w:endnote>
  <w:endnote w:id="6">
    <w:p w14:paraId="0B909F53" w14:textId="621A357C"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“Industry Statistics,” Canadian Vintners Association, accessed February 11, 2019, www.canadianvintners.com/industry-statistics/.</w:t>
      </w:r>
    </w:p>
  </w:endnote>
  <w:endnote w:id="7">
    <w:p w14:paraId="0ED8EA89" w14:textId="7AB2EF8B"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Ibid.</w:t>
      </w:r>
    </w:p>
  </w:endnote>
  <w:endnote w:id="8">
    <w:p w14:paraId="7C92CB99" w14:textId="5CA2E655" w:rsidR="00487482" w:rsidRDefault="00487482" w:rsidP="00576FEA">
      <w:pPr>
        <w:pStyle w:val="Footnote"/>
        <w:rPr>
          <w:rStyle w:val="Hyperlink4"/>
          <w:rFonts w:ascii="Arial" w:eastAsia="Calibri" w:hAnsi="Arial" w:cs="Arial"/>
          <w:color w:val="00000A"/>
          <w:spacing w:val="-4"/>
          <w:sz w:val="17"/>
          <w:szCs w:val="17"/>
          <w:u w:val="none"/>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Trade Data and Analysis, “World Wine Consumption,” table 4.1, accessed</w:t>
      </w:r>
      <w:r w:rsidRPr="00576FEA">
        <w:rPr>
          <w:rStyle w:val="None"/>
          <w:spacing w:val="-4"/>
          <w:lang w:val="en-GB"/>
        </w:rPr>
        <w:t xml:space="preserve"> February 20, 2019, </w:t>
      </w:r>
      <w:r w:rsidRPr="00CB3AF5">
        <w:rPr>
          <w:rStyle w:val="Hyperlink4"/>
          <w:rFonts w:ascii="Arial" w:eastAsia="Calibri" w:hAnsi="Arial" w:cs="Arial"/>
          <w:color w:val="00000A"/>
          <w:spacing w:val="-4"/>
          <w:sz w:val="17"/>
          <w:szCs w:val="17"/>
          <w:u w:val="none"/>
          <w:lang w:val="en-GB"/>
        </w:rPr>
        <w:t>www.wineinstitute.org/files/</w:t>
      </w:r>
    </w:p>
    <w:p w14:paraId="4AF90928" w14:textId="3907D568" w:rsidR="00487482" w:rsidRPr="00CB3AF5" w:rsidRDefault="00487482" w:rsidP="00576FEA">
      <w:pPr>
        <w:pStyle w:val="Footnote"/>
        <w:rPr>
          <w:rFonts w:eastAsia="Calibri"/>
          <w:color w:val="00000A"/>
          <w:spacing w:val="-4"/>
          <w:u w:color="000000"/>
          <w:lang w:val="en-GB"/>
        </w:rPr>
      </w:pPr>
      <w:r w:rsidRPr="00576FEA">
        <w:rPr>
          <w:rStyle w:val="Hyperlink4"/>
          <w:rFonts w:ascii="Arial" w:eastAsia="Calibri" w:hAnsi="Arial" w:cs="Arial"/>
          <w:color w:val="00000A"/>
          <w:spacing w:val="-4"/>
          <w:sz w:val="17"/>
          <w:szCs w:val="17"/>
          <w:u w:val="none"/>
          <w:lang w:val="en-GB"/>
        </w:rPr>
        <w:t>World_Wine_Consumption_by_Country_2015.pdf.</w:t>
      </w:r>
    </w:p>
  </w:endnote>
  <w:endnote w:id="9">
    <w:p w14:paraId="64921C3A" w14:textId="22708800"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10">
    <w:p w14:paraId="52C0D777" w14:textId="40C4ABDE"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“Industry Statistics,” op. cit.</w:t>
      </w:r>
    </w:p>
  </w:endnote>
  <w:endnote w:id="11">
    <w:p w14:paraId="24047172" w14:textId="1458D442"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Penny Hope-Ross, </w:t>
      </w:r>
      <w:r w:rsidRPr="00576FEA">
        <w:rPr>
          <w:rStyle w:val="Hyperlink3"/>
          <w:rFonts w:ascii="Arial" w:hAnsi="Arial" w:cs="Arial"/>
          <w:i/>
          <w:spacing w:val="-4"/>
          <w:sz w:val="17"/>
          <w:szCs w:val="17"/>
          <w:lang w:val="en-GB"/>
        </w:rPr>
        <w:t xml:space="preserve">From the Vine to the Glass: Canada’s Grape and Wine Industry </w:t>
      </w:r>
      <w:r w:rsidRPr="00576FEA">
        <w:rPr>
          <w:rStyle w:val="Hyperlink3"/>
          <w:rFonts w:ascii="Arial" w:hAnsi="Arial" w:cs="Arial"/>
          <w:spacing w:val="-4"/>
          <w:sz w:val="17"/>
          <w:szCs w:val="17"/>
          <w:lang w:val="en-GB"/>
        </w:rPr>
        <w:t>(Ottawa: Statistics Canada, 2006), accessed</w:t>
      </w:r>
      <w:r w:rsidRPr="00576FEA">
        <w:rPr>
          <w:rStyle w:val="None"/>
          <w:spacing w:val="-4"/>
          <w:lang w:val="en-GB"/>
        </w:rPr>
        <w:t xml:space="preserve"> February 20, 2019,</w:t>
      </w:r>
      <w:r w:rsidRPr="00576FEA">
        <w:rPr>
          <w:rStyle w:val="Hyperlink3"/>
          <w:rFonts w:ascii="Arial" w:hAnsi="Arial" w:cs="Arial"/>
          <w:spacing w:val="-4"/>
          <w:sz w:val="17"/>
          <w:szCs w:val="17"/>
          <w:lang w:val="en-GB"/>
        </w:rPr>
        <w:t xml:space="preserve"> </w:t>
      </w:r>
      <w:r w:rsidRPr="00576FEA">
        <w:rPr>
          <w:rStyle w:val="Hyperlink4"/>
          <w:rFonts w:ascii="Arial" w:eastAsia="Calibri" w:hAnsi="Arial" w:cs="Arial"/>
          <w:color w:val="00000A"/>
          <w:spacing w:val="-4"/>
          <w:sz w:val="17"/>
          <w:szCs w:val="17"/>
          <w:u w:val="none"/>
          <w:lang w:val="en-GB"/>
        </w:rPr>
        <w:t>https://www150.statcan.gc.ca/n1/en/pub/11-621-m/11-621-m2006049-eng.pdf?st=CMh9bj52.</w:t>
      </w:r>
    </w:p>
  </w:endnote>
  <w:endnote w:id="12">
    <w:p w14:paraId="17EFD515" w14:textId="5D3978D3" w:rsidR="00487482" w:rsidRPr="00576FEA" w:rsidRDefault="00487482" w:rsidP="00576FEA">
      <w:pPr>
        <w:pStyle w:val="Footnote"/>
        <w:rPr>
          <w:rStyle w:val="Hyperlink4"/>
          <w:rFonts w:ascii="Arial" w:eastAsia="Calibri" w:hAnsi="Arial" w:cs="Arial"/>
          <w:color w:val="00000A"/>
          <w:spacing w:val="-4"/>
          <w:sz w:val="17"/>
          <w:szCs w:val="17"/>
          <w:u w:val="none"/>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Agriculture and Agri-food Canada, “Canada’s Wine Industry,” Government of Canada, March 7, 2016, accessed</w:t>
      </w:r>
      <w:r w:rsidRPr="00576FEA">
        <w:rPr>
          <w:rStyle w:val="None"/>
          <w:spacing w:val="-4"/>
          <w:lang w:val="en-GB"/>
        </w:rPr>
        <w:t xml:space="preserve"> </w:t>
      </w:r>
      <w:r w:rsidRPr="00576FEA">
        <w:rPr>
          <w:rStyle w:val="Hyperlink3"/>
          <w:rFonts w:ascii="Arial" w:hAnsi="Arial" w:cs="Arial"/>
          <w:spacing w:val="-4"/>
          <w:sz w:val="17"/>
          <w:szCs w:val="17"/>
          <w:lang w:val="en-GB"/>
        </w:rPr>
        <w:t xml:space="preserve">February 20, 2019, </w:t>
      </w:r>
      <w:r w:rsidRPr="00576FEA">
        <w:rPr>
          <w:rStyle w:val="Hyperlink4"/>
          <w:rFonts w:ascii="Arial" w:eastAsia="Calibri" w:hAnsi="Arial" w:cs="Arial"/>
          <w:color w:val="00000A"/>
          <w:spacing w:val="-4"/>
          <w:sz w:val="17"/>
          <w:szCs w:val="17"/>
          <w:u w:val="none"/>
          <w:lang w:val="en-GB"/>
        </w:rPr>
        <w:t>www.agr.gc.ca/eng/industry-markets-and-trade/market-information-by-sector/processed-food-and-beverages/</w:t>
      </w:r>
    </w:p>
    <w:p w14:paraId="3F97521F" w14:textId="5E4854F3" w:rsidR="00487482" w:rsidRPr="00576FEA" w:rsidRDefault="00487482" w:rsidP="00576FEA">
      <w:pPr>
        <w:pStyle w:val="Footnote"/>
        <w:rPr>
          <w:spacing w:val="-4"/>
          <w:lang w:val="en-GB"/>
        </w:rPr>
      </w:pPr>
      <w:r w:rsidRPr="00576FEA">
        <w:rPr>
          <w:rStyle w:val="Hyperlink4"/>
          <w:rFonts w:ascii="Arial" w:eastAsia="Calibri" w:hAnsi="Arial" w:cs="Arial"/>
          <w:color w:val="00000A"/>
          <w:spacing w:val="-4"/>
          <w:sz w:val="17"/>
          <w:szCs w:val="17"/>
          <w:u w:val="none"/>
          <w:lang w:val="en-GB"/>
        </w:rPr>
        <w:t>profiles-of-processed-food-and-beverages-industries/canada-s-wine-industry/?id=1449859691976.</w:t>
      </w:r>
    </w:p>
  </w:endnote>
  <w:endnote w:id="13">
    <w:p w14:paraId="59F31AE5" w14:textId="06BFEC61"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Frank, Rimerman + Co., LLP, </w:t>
      </w:r>
      <w:r w:rsidRPr="00576FEA">
        <w:rPr>
          <w:rStyle w:val="Hyperlink0"/>
          <w:rFonts w:ascii="Arial" w:hAnsi="Arial" w:cs="Arial"/>
          <w:i/>
          <w:spacing w:val="-4"/>
          <w:sz w:val="17"/>
          <w:szCs w:val="17"/>
          <w:lang w:val="en-GB"/>
        </w:rPr>
        <w:t>The Economic Impact of the Wine and Grape Industry in Canada 2015</w:t>
      </w:r>
      <w:r w:rsidRPr="00576FEA">
        <w:rPr>
          <w:rStyle w:val="Hyperlink0"/>
          <w:rFonts w:ascii="Arial" w:hAnsi="Arial" w:cs="Arial"/>
          <w:spacing w:val="-4"/>
          <w:sz w:val="17"/>
          <w:szCs w:val="17"/>
          <w:lang w:val="en-GB"/>
        </w:rPr>
        <w:t xml:space="preserve">, March 2017, </w:t>
      </w:r>
      <w:r w:rsidRPr="00576FEA">
        <w:rPr>
          <w:spacing w:val="-4"/>
          <w:lang w:val="en-GB"/>
        </w:rPr>
        <w:t>accessed February 11, 2019, www.canadianvintners.com/wp-content/uploads/2017/06/Canada-Economic-Impact-Report-2015.pdf.</w:t>
      </w:r>
    </w:p>
  </w:endnote>
  <w:endnote w:id="14">
    <w:p w14:paraId="6D6F32CB" w14:textId="09EC537E"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All amounts are in Canadian dollars unless otherwise indicated.</w:t>
      </w:r>
    </w:p>
  </w:endnote>
  <w:endnote w:id="15">
    <w:p w14:paraId="7ED468D9" w14:textId="10835C42"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“Canadian Wine and Grape Industry Contributes $9 Billion in Economic Impact to Canadian Economy,” op. cit.</w:t>
      </w:r>
    </w:p>
  </w:endnote>
  <w:endnote w:id="16">
    <w:p w14:paraId="36E6866B" w14:textId="5B546B20"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Statistics Canada, “Sales of Alcoholic Beverages,” table 2, The Daily, May 2, 2017, accessed February 20, 2019,</w:t>
      </w:r>
      <w:r w:rsidRPr="00576FEA">
        <w:rPr>
          <w:rStyle w:val="None"/>
          <w:spacing w:val="-4"/>
          <w:lang w:val="en-GB"/>
        </w:rPr>
        <w:t xml:space="preserve"> </w:t>
      </w:r>
      <w:r w:rsidRPr="00576FEA">
        <w:rPr>
          <w:rStyle w:val="Hyperlink4"/>
          <w:rFonts w:ascii="Arial" w:hAnsi="Arial" w:cs="Arial"/>
          <w:color w:val="00000A"/>
          <w:spacing w:val="-4"/>
          <w:sz w:val="17"/>
          <w:szCs w:val="17"/>
          <w:u w:val="none"/>
          <w:lang w:val="en-GB"/>
        </w:rPr>
        <w:t>https://www150.statcan.gc.ca/n1/daily-quotidien/170502/t002a-eng.htm.</w:t>
      </w:r>
      <w:r w:rsidRPr="00576FEA">
        <w:rPr>
          <w:spacing w:val="-4"/>
          <w:lang w:val="en-GB"/>
        </w:rPr>
        <w:t xml:space="preserve"> The remaining 26 per cent were primarily spirits and a small component of other beverages, such as coolers, ciders, and premixed drinks.</w:t>
      </w:r>
    </w:p>
  </w:endnote>
  <w:endnote w:id="17">
    <w:p w14:paraId="1489B765" w14:textId="2E4C9C01"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Statistics Canada, "Control and Sale of Alcoholic Beverages, Year Ending March 31, 2016," May 2, 2016, accessed February 20, 2019, www.statcan.gc.ca/daily-quotidien/170502/dq170502a-eng.htm</w:t>
      </w:r>
      <w:r w:rsidRPr="00576FEA">
        <w:rPr>
          <w:spacing w:val="-4"/>
          <w:lang w:val="en-CA"/>
        </w:rPr>
        <w:t>.</w:t>
      </w:r>
    </w:p>
  </w:endnote>
  <w:endnote w:id="18">
    <w:p w14:paraId="74EE3498" w14:textId="6EB0DF5A"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Tony Aspler, “Wine Industry,” </w:t>
      </w:r>
      <w:r w:rsidRPr="00576FEA">
        <w:rPr>
          <w:rStyle w:val="Hyperlink0"/>
          <w:rFonts w:ascii="Arial" w:hAnsi="Arial" w:cs="Arial"/>
          <w:iCs/>
          <w:spacing w:val="-4"/>
          <w:sz w:val="17"/>
          <w:szCs w:val="17"/>
          <w:lang w:val="en-GB"/>
        </w:rPr>
        <w:t>The Canadian Encyclopedia</w:t>
      </w:r>
      <w:r w:rsidRPr="00576FEA">
        <w:rPr>
          <w:rStyle w:val="Hyperlink0"/>
          <w:rFonts w:ascii="Arial" w:hAnsi="Arial" w:cs="Arial"/>
          <w:spacing w:val="-4"/>
          <w:sz w:val="17"/>
          <w:szCs w:val="17"/>
          <w:lang w:val="en-GB"/>
        </w:rPr>
        <w:t xml:space="preserve">, March 4, 2015, accessed February 20, 2019, </w:t>
      </w:r>
      <w:r w:rsidRPr="00576FEA">
        <w:rPr>
          <w:rStyle w:val="Hyperlink5"/>
          <w:rFonts w:ascii="Arial" w:hAnsi="Arial" w:cs="Arial"/>
          <w:color w:val="00000A"/>
          <w:spacing w:val="-4"/>
          <w:sz w:val="17"/>
          <w:szCs w:val="17"/>
          <w:u w:val="none"/>
          <w:lang w:val="en-GB"/>
        </w:rPr>
        <w:t>www.thecanadianencyclopedia.ca/en/article/wine-industry.</w:t>
      </w:r>
    </w:p>
  </w:endnote>
  <w:endnote w:id="19">
    <w:p w14:paraId="74E11A94" w14:textId="1EC5FAD3"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Wine Folly, ‘Native Wine Grapes of America,’ Wine Folly, October 12, 2015, accessed December 5, 2019</w:t>
      </w:r>
      <w:r>
        <w:rPr>
          <w:spacing w:val="-4"/>
        </w:rPr>
        <w:t>,</w:t>
      </w:r>
      <w:r w:rsidRPr="00576FEA">
        <w:rPr>
          <w:spacing w:val="-4"/>
        </w:rPr>
        <w:t xml:space="preserve"> https://winefolly.com/review/native-wine-grapes-of-america/</w:t>
      </w:r>
    </w:p>
  </w:endnote>
  <w:endnote w:id="20">
    <w:p w14:paraId="1617316C" w14:textId="0DF03719"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w:t>
      </w:r>
      <w:r w:rsidRPr="00576FEA">
        <w:rPr>
          <w:spacing w:val="-4"/>
        </w:rPr>
        <w:t xml:space="preserve"> </w:t>
      </w:r>
      <w:r w:rsidRPr="00576FEA">
        <w:rPr>
          <w:rStyle w:val="Hyperlink0"/>
          <w:rFonts w:ascii="Arial" w:hAnsi="Arial" w:cs="Arial"/>
          <w:spacing w:val="-4"/>
          <w:sz w:val="17"/>
          <w:szCs w:val="17"/>
          <w:lang w:val="en-GB"/>
        </w:rPr>
        <w:t>Pinot Noir, Merlot, Cabernet Sauvignon, Shiraz, Syrah - Red Wine Guide,” YouTube video, 4:06, posted by “</w:t>
      </w:r>
      <w:proofErr w:type="spellStart"/>
      <w:r w:rsidRPr="00576FEA">
        <w:rPr>
          <w:rStyle w:val="Hyperlink0"/>
          <w:rFonts w:ascii="Arial" w:hAnsi="Arial" w:cs="Arial"/>
          <w:spacing w:val="-4"/>
          <w:sz w:val="17"/>
          <w:szCs w:val="17"/>
          <w:lang w:val="en-GB"/>
        </w:rPr>
        <w:t>betterbooktv</w:t>
      </w:r>
      <w:proofErr w:type="spellEnd"/>
      <w:r w:rsidRPr="00576FEA">
        <w:rPr>
          <w:rStyle w:val="Hyperlink0"/>
          <w:rFonts w:ascii="Arial" w:hAnsi="Arial" w:cs="Arial"/>
          <w:spacing w:val="-4"/>
          <w:sz w:val="17"/>
          <w:szCs w:val="17"/>
          <w:lang w:val="en-GB"/>
        </w:rPr>
        <w:t xml:space="preserve">,” December 4, 2012, accessed February 20, 2019, </w:t>
      </w:r>
      <w:r w:rsidRPr="00576FEA">
        <w:rPr>
          <w:rStyle w:val="Hyperlink5"/>
          <w:rFonts w:ascii="Arial" w:hAnsi="Arial" w:cs="Arial"/>
          <w:color w:val="00000A"/>
          <w:spacing w:val="-4"/>
          <w:sz w:val="17"/>
          <w:szCs w:val="17"/>
          <w:u w:val="none"/>
          <w:lang w:val="en-GB"/>
        </w:rPr>
        <w:t xml:space="preserve">www.youtube.com/watch?v=uvWL6_A7uQc; </w:t>
      </w:r>
      <w:r w:rsidRPr="00576FEA">
        <w:rPr>
          <w:rStyle w:val="Hyperlink0"/>
          <w:rFonts w:ascii="Arial" w:hAnsi="Arial" w:cs="Arial"/>
          <w:spacing w:val="-4"/>
          <w:sz w:val="17"/>
          <w:szCs w:val="17"/>
          <w:lang w:val="en-GB"/>
        </w:rPr>
        <w:t>“Riesling, Sauvignon Blanc, Chardonnay, Pinot Grigio, Pinot Gris - White Wine Guide,” YouTube video, 3:55, posted by “</w:t>
      </w:r>
      <w:proofErr w:type="spellStart"/>
      <w:r w:rsidRPr="00576FEA">
        <w:rPr>
          <w:rStyle w:val="Hyperlink0"/>
          <w:rFonts w:ascii="Arial" w:hAnsi="Arial" w:cs="Arial"/>
          <w:spacing w:val="-4"/>
          <w:sz w:val="17"/>
          <w:szCs w:val="17"/>
          <w:lang w:val="en-GB"/>
        </w:rPr>
        <w:t>betterbooktv</w:t>
      </w:r>
      <w:proofErr w:type="spellEnd"/>
      <w:r w:rsidRPr="00576FEA">
        <w:rPr>
          <w:rStyle w:val="Hyperlink0"/>
          <w:rFonts w:ascii="Arial" w:hAnsi="Arial" w:cs="Arial"/>
          <w:spacing w:val="-4"/>
          <w:sz w:val="17"/>
          <w:szCs w:val="17"/>
          <w:lang w:val="en-GB"/>
        </w:rPr>
        <w:t xml:space="preserve">,” December 4, 2012, accessed February 20, 2019, </w:t>
      </w:r>
      <w:r w:rsidRPr="00576FEA">
        <w:rPr>
          <w:rStyle w:val="Hyperlink5"/>
          <w:rFonts w:ascii="Arial" w:hAnsi="Arial" w:cs="Arial"/>
          <w:color w:val="00000A"/>
          <w:spacing w:val="-4"/>
          <w:sz w:val="17"/>
          <w:szCs w:val="17"/>
          <w:u w:val="none"/>
          <w:lang w:val="en-GB"/>
        </w:rPr>
        <w:t xml:space="preserve">www.youtube.com/watch?v=mEJAyNQQmUo; Paul </w:t>
      </w:r>
      <w:proofErr w:type="spellStart"/>
      <w:r w:rsidRPr="00576FEA">
        <w:rPr>
          <w:rStyle w:val="Hyperlink0"/>
          <w:rFonts w:ascii="Arial" w:hAnsi="Arial" w:cs="Arial"/>
          <w:spacing w:val="-4"/>
          <w:sz w:val="17"/>
          <w:szCs w:val="17"/>
          <w:lang w:val="en-GB"/>
        </w:rPr>
        <w:t>Gregutt</w:t>
      </w:r>
      <w:proofErr w:type="spellEnd"/>
      <w:r w:rsidRPr="00576FEA">
        <w:rPr>
          <w:rStyle w:val="Hyperlink0"/>
          <w:rFonts w:ascii="Arial" w:hAnsi="Arial" w:cs="Arial"/>
          <w:spacing w:val="-4"/>
          <w:sz w:val="17"/>
          <w:szCs w:val="17"/>
          <w:lang w:val="en-GB"/>
        </w:rPr>
        <w:t xml:space="preserve">, “Your Guide to Five of the World’s Most Popular Grapes,” March 28, 2017, accessed February 20, 2019, </w:t>
      </w:r>
      <w:r w:rsidRPr="00576FEA">
        <w:rPr>
          <w:rStyle w:val="Hyperlink0"/>
          <w:rFonts w:ascii="Arial" w:hAnsi="Arial" w:cs="Arial"/>
          <w:i/>
          <w:spacing w:val="-4"/>
          <w:sz w:val="17"/>
          <w:szCs w:val="17"/>
          <w:lang w:val="en-GB"/>
        </w:rPr>
        <w:t>Wine Enthusiast</w:t>
      </w:r>
      <w:r w:rsidRPr="00576FEA">
        <w:rPr>
          <w:rStyle w:val="Hyperlink0"/>
          <w:rFonts w:ascii="Arial" w:hAnsi="Arial" w:cs="Arial"/>
          <w:spacing w:val="-4"/>
          <w:sz w:val="17"/>
          <w:szCs w:val="17"/>
          <w:lang w:val="en-GB"/>
        </w:rPr>
        <w:t xml:space="preserve">, </w:t>
      </w:r>
      <w:r w:rsidRPr="00576FEA">
        <w:rPr>
          <w:rStyle w:val="Hyperlink5"/>
          <w:rFonts w:ascii="Arial" w:hAnsi="Arial" w:cs="Arial"/>
          <w:color w:val="00000A"/>
          <w:spacing w:val="-4"/>
          <w:sz w:val="17"/>
          <w:szCs w:val="17"/>
          <w:u w:val="none"/>
          <w:lang w:val="en-GB"/>
        </w:rPr>
        <w:t>www.winemag.com/2017/03/28/your-guide-to-five-of-the-worlds-most-popular-grapes/.</w:t>
      </w:r>
    </w:p>
  </w:endnote>
  <w:endnote w:id="21">
    <w:p w14:paraId="46FBDA9D" w14:textId="303B3BD7"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Kym Anderson and Nanda R. Aryal, </w:t>
      </w:r>
      <w:r w:rsidRPr="00576FEA">
        <w:rPr>
          <w:rStyle w:val="Hyperlink0"/>
          <w:rFonts w:ascii="Arial" w:hAnsi="Arial" w:cs="Arial"/>
          <w:i/>
          <w:spacing w:val="-4"/>
          <w:sz w:val="17"/>
          <w:szCs w:val="17"/>
          <w:lang w:val="en-GB"/>
        </w:rPr>
        <w:t>Australian Grape and Wine Industry Database, 1843 to 2013</w:t>
      </w:r>
      <w:r w:rsidRPr="00576FEA">
        <w:rPr>
          <w:rStyle w:val="Hyperlink0"/>
          <w:rFonts w:ascii="Arial" w:hAnsi="Arial" w:cs="Arial"/>
          <w:spacing w:val="-4"/>
          <w:sz w:val="17"/>
          <w:szCs w:val="17"/>
          <w:lang w:val="en-GB"/>
        </w:rPr>
        <w:t>, tables 13–26, Wine Economics Research Centre, University of Adelaide, February 2015, accessed February 20, 2019, www.adelaide.edu.au/wine-econ/databases</w:t>
      </w:r>
      <w:r w:rsidRPr="00576FEA">
        <w:rPr>
          <w:rStyle w:val="Hyperlink5"/>
          <w:rFonts w:ascii="Arial" w:hAnsi="Arial" w:cs="Arial"/>
          <w:color w:val="00000A"/>
          <w:spacing w:val="-4"/>
          <w:sz w:val="17"/>
          <w:szCs w:val="17"/>
          <w:u w:val="none"/>
          <w:lang w:val="en-GB"/>
        </w:rPr>
        <w:t>.</w:t>
      </w:r>
    </w:p>
  </w:endnote>
  <w:endnote w:id="22">
    <w:p w14:paraId="28FF519C" w14:textId="3A849D91"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rStyle w:val="Hyperlink0"/>
          <w:rFonts w:ascii="Arial" w:hAnsi="Arial" w:cs="Arial"/>
          <w:spacing w:val="-4"/>
          <w:sz w:val="17"/>
          <w:szCs w:val="17"/>
          <w:lang w:val="en-GB"/>
        </w:rPr>
        <w:t xml:space="preserve">Kim Myers, “5 Stages of the Wine Making Process,” Laurel </w:t>
      </w:r>
      <w:proofErr w:type="spellStart"/>
      <w:r w:rsidRPr="00576FEA">
        <w:rPr>
          <w:rStyle w:val="Hyperlink0"/>
          <w:rFonts w:ascii="Arial" w:hAnsi="Arial" w:cs="Arial"/>
          <w:spacing w:val="-4"/>
          <w:sz w:val="17"/>
          <w:szCs w:val="17"/>
          <w:lang w:val="en-GB"/>
        </w:rPr>
        <w:t>Gray</w:t>
      </w:r>
      <w:proofErr w:type="spellEnd"/>
      <w:r w:rsidRPr="00576FEA">
        <w:rPr>
          <w:rStyle w:val="Hyperlink0"/>
          <w:rFonts w:ascii="Arial" w:hAnsi="Arial" w:cs="Arial"/>
          <w:spacing w:val="-4"/>
          <w:sz w:val="17"/>
          <w:szCs w:val="17"/>
          <w:lang w:val="en-GB"/>
        </w:rPr>
        <w:t xml:space="preserve"> Vineyards, November 14, 2014, accessed February 20, 2019, </w:t>
      </w:r>
      <w:hyperlink r:id="rId1" w:history="1">
        <w:r w:rsidRPr="00576FEA">
          <w:rPr>
            <w:rStyle w:val="Hyperlink0"/>
            <w:rFonts w:ascii="Arial" w:hAnsi="Arial" w:cs="Arial"/>
            <w:spacing w:val="-4"/>
            <w:sz w:val="17"/>
            <w:szCs w:val="17"/>
            <w:lang w:val="en-GB"/>
          </w:rPr>
          <w:t>http://laurelgray.com/5-stages-wine-making-process/</w:t>
        </w:r>
      </w:hyperlink>
      <w:r w:rsidRPr="00576FEA">
        <w:rPr>
          <w:rStyle w:val="Hyperlink0"/>
          <w:rFonts w:ascii="Arial" w:hAnsi="Arial" w:cs="Arial"/>
          <w:spacing w:val="-4"/>
          <w:sz w:val="17"/>
          <w:szCs w:val="17"/>
          <w:lang w:val="en-GB"/>
        </w:rPr>
        <w:t>.</w:t>
      </w:r>
    </w:p>
  </w:endnote>
  <w:endnote w:id="23">
    <w:p w14:paraId="318763CD" w14:textId="08FEDCC1"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“Grapes for Processing Prices 2017,” Grape Growers of Ontario, September 6, 2017, accessed February 20, 2019, www.grapegrowersofontario.com/sites/default/files/2017%20Base%20Prices%20-%20FINAL.pdf.</w:t>
      </w:r>
    </w:p>
  </w:endnote>
  <w:endnote w:id="24">
    <w:p w14:paraId="6DFB8604" w14:textId="3F1B873F"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Kim Myers, op. cit.</w:t>
      </w:r>
    </w:p>
  </w:endnote>
  <w:endnote w:id="25">
    <w:p w14:paraId="266F8E90" w14:textId="76C7CD63"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“Diamond Estates Wines &amp; Spirits Ltd.,” </w:t>
      </w:r>
      <w:r w:rsidRPr="00576FEA">
        <w:rPr>
          <w:rStyle w:val="Hyperlink0"/>
          <w:rFonts w:ascii="Arial" w:hAnsi="Arial" w:cs="Arial"/>
          <w:i/>
          <w:spacing w:val="-4"/>
          <w:sz w:val="17"/>
          <w:szCs w:val="17"/>
          <w:lang w:val="en-GB"/>
        </w:rPr>
        <w:t>Canadian Business Journal</w:t>
      </w:r>
      <w:r w:rsidRPr="00576FEA">
        <w:rPr>
          <w:rStyle w:val="Hyperlink0"/>
          <w:rFonts w:ascii="Arial" w:hAnsi="Arial" w:cs="Arial"/>
          <w:spacing w:val="-4"/>
          <w:sz w:val="17"/>
          <w:szCs w:val="17"/>
          <w:lang w:val="en-GB"/>
        </w:rPr>
        <w:t xml:space="preserve">, accessed February 20, 2019, </w:t>
      </w:r>
      <w:hyperlink r:id="rId2" w:history="1">
        <w:r w:rsidRPr="00576FEA">
          <w:rPr>
            <w:rStyle w:val="Hyperlink0"/>
            <w:rFonts w:ascii="Arial" w:hAnsi="Arial" w:cs="Arial"/>
            <w:spacing w:val="-4"/>
            <w:sz w:val="17"/>
            <w:szCs w:val="17"/>
            <w:lang w:val="en-GB"/>
          </w:rPr>
          <w:t>www.cbj.ca/diamond_estates_wines_spirits_ltd/</w:t>
        </w:r>
      </w:hyperlink>
      <w:r w:rsidRPr="00576FEA">
        <w:rPr>
          <w:rStyle w:val="Hyperlink0"/>
          <w:rFonts w:ascii="Arial" w:hAnsi="Arial" w:cs="Arial"/>
          <w:spacing w:val="-4"/>
          <w:sz w:val="17"/>
          <w:szCs w:val="17"/>
          <w:lang w:val="en-GB"/>
        </w:rPr>
        <w:t>.</w:t>
      </w:r>
    </w:p>
  </w:endnote>
  <w:endnote w:id="26">
    <w:p w14:paraId="0C8EF247" w14:textId="53A77EB6"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None"/>
          <w:rFonts w:eastAsia="Cambria"/>
          <w:spacing w:val="-4"/>
          <w:lang w:val="en-GB"/>
        </w:rPr>
        <w:t xml:space="preserve"> “VQA Ontario Appellations of Origin,” VQA Ontario, accessed February 20, 2019, </w:t>
      </w:r>
      <w:r w:rsidRPr="00576FEA">
        <w:rPr>
          <w:rStyle w:val="Hyperlink6"/>
          <w:rFonts w:ascii="Arial" w:hAnsi="Arial" w:cs="Arial"/>
          <w:color w:val="00000A"/>
          <w:spacing w:val="-4"/>
          <w:sz w:val="17"/>
          <w:szCs w:val="17"/>
          <w:u w:val="none"/>
          <w:lang w:val="en-GB"/>
        </w:rPr>
        <w:t>www.vqaontario.ca/Appellations.</w:t>
      </w:r>
    </w:p>
  </w:endnote>
  <w:endnote w:id="27">
    <w:p w14:paraId="5C284853" w14:textId="5B2C7CC3"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Kim Myers, op. cit.</w:t>
      </w:r>
    </w:p>
  </w:endnote>
  <w:endnote w:id="28">
    <w:p w14:paraId="7F1CE677" w14:textId="5153290F"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rStyle w:val="Hyperlink1"/>
          <w:rFonts w:ascii="Arial" w:eastAsia="Calibri" w:hAnsi="Arial" w:cs="Arial"/>
          <w:color w:val="00000A"/>
          <w:spacing w:val="-4"/>
          <w:sz w:val="17"/>
          <w:szCs w:val="17"/>
          <w:lang w:val="en-GB"/>
        </w:rPr>
        <w:t>Ontario Ministry of Agriculture and Food and Ministry of Rural Affairs,</w:t>
      </w:r>
      <w:r w:rsidRPr="00576FEA" w:rsidDel="008F33DB">
        <w:rPr>
          <w:rStyle w:val="Hyperlink1"/>
          <w:rFonts w:ascii="Arial" w:eastAsia="Calibri" w:hAnsi="Arial" w:cs="Arial"/>
          <w:color w:val="00000A"/>
          <w:spacing w:val="-4"/>
          <w:sz w:val="17"/>
          <w:szCs w:val="17"/>
          <w:lang w:val="en-GB"/>
        </w:rPr>
        <w:t xml:space="preserve"> </w:t>
      </w:r>
      <w:proofErr w:type="gramStart"/>
      <w:r w:rsidRPr="00576FEA">
        <w:rPr>
          <w:rStyle w:val="Hyperlink1"/>
          <w:rFonts w:ascii="Arial" w:eastAsia="Calibri" w:hAnsi="Arial" w:cs="Arial"/>
          <w:i/>
          <w:color w:val="00000A"/>
          <w:spacing w:val="-4"/>
          <w:sz w:val="17"/>
          <w:szCs w:val="17"/>
          <w:lang w:val="en-GB"/>
        </w:rPr>
        <w:t>Starting</w:t>
      </w:r>
      <w:proofErr w:type="gramEnd"/>
      <w:r w:rsidRPr="00576FEA">
        <w:rPr>
          <w:rStyle w:val="Hyperlink1"/>
          <w:rFonts w:ascii="Arial" w:eastAsia="Calibri" w:hAnsi="Arial" w:cs="Arial"/>
          <w:i/>
          <w:color w:val="00000A"/>
          <w:spacing w:val="-4"/>
          <w:sz w:val="17"/>
          <w:szCs w:val="17"/>
          <w:lang w:val="en-GB"/>
        </w:rPr>
        <w:t xml:space="preserve"> a Winery in Ontario</w:t>
      </w:r>
      <w:r w:rsidRPr="00576FEA">
        <w:rPr>
          <w:rStyle w:val="Hyperlink1"/>
          <w:rFonts w:ascii="Arial" w:eastAsia="Calibri" w:hAnsi="Arial" w:cs="Arial"/>
          <w:color w:val="00000A"/>
          <w:spacing w:val="-4"/>
          <w:sz w:val="17"/>
          <w:szCs w:val="17"/>
          <w:lang w:val="en-GB"/>
        </w:rPr>
        <w:t xml:space="preserve"> (Toronto: Ontario Ministry of Agriculture and Food and Ministry of Rural Affairs, 2013),</w:t>
      </w:r>
      <w:r w:rsidRPr="00576FEA" w:rsidDel="008F33DB">
        <w:rPr>
          <w:rStyle w:val="Hyperlink1"/>
          <w:rFonts w:ascii="Arial" w:eastAsia="Calibri" w:hAnsi="Arial" w:cs="Arial"/>
          <w:color w:val="00000A"/>
          <w:spacing w:val="-4"/>
          <w:sz w:val="17"/>
          <w:szCs w:val="17"/>
          <w:lang w:val="en-GB"/>
        </w:rPr>
        <w:t xml:space="preserve"> </w:t>
      </w:r>
      <w:r w:rsidRPr="00576FEA">
        <w:rPr>
          <w:rStyle w:val="Hyperlink0"/>
          <w:rFonts w:ascii="Arial" w:hAnsi="Arial" w:cs="Arial"/>
          <w:spacing w:val="-4"/>
          <w:sz w:val="17"/>
          <w:szCs w:val="17"/>
          <w:lang w:val="en-GB"/>
        </w:rPr>
        <w:t xml:space="preserve">accessed February 20, 2019, </w:t>
      </w:r>
      <w:r w:rsidRPr="00576FEA">
        <w:rPr>
          <w:rStyle w:val="Hyperlink5"/>
          <w:rFonts w:ascii="Arial" w:hAnsi="Arial" w:cs="Arial"/>
          <w:color w:val="00000A"/>
          <w:spacing w:val="-4"/>
          <w:sz w:val="17"/>
          <w:szCs w:val="17"/>
          <w:u w:val="none"/>
          <w:lang w:val="en-GB"/>
        </w:rPr>
        <w:t>www.omafra.gov.on.ca/english/busdev/facts/startingawinery.pdf.</w:t>
      </w:r>
    </w:p>
  </w:endnote>
  <w:endnote w:id="29">
    <w:p w14:paraId="05CA25E5" w14:textId="0A8739F8"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1"/>
          <w:rFonts w:ascii="Arial" w:eastAsia="Calibri" w:hAnsi="Arial" w:cs="Arial"/>
          <w:color w:val="00000A"/>
          <w:spacing w:val="-4"/>
          <w:sz w:val="17"/>
          <w:szCs w:val="17"/>
          <w:lang w:val="en-GB"/>
        </w:rPr>
        <w:t xml:space="preserve"> Le Ann Fickle et al., </w:t>
      </w:r>
      <w:r w:rsidRPr="00576FEA">
        <w:rPr>
          <w:rStyle w:val="None"/>
          <w:rFonts w:eastAsia="Cambria"/>
          <w:i/>
          <w:spacing w:val="-4"/>
          <w:lang w:val="en-GB"/>
        </w:rPr>
        <w:t>Small Winery Investment and Operating Costs</w:t>
      </w:r>
      <w:r w:rsidRPr="00576FEA">
        <w:rPr>
          <w:rStyle w:val="None"/>
          <w:rFonts w:eastAsia="Cambria"/>
          <w:spacing w:val="-4"/>
          <w:lang w:val="en-GB"/>
        </w:rPr>
        <w:t>,</w:t>
      </w:r>
      <w:r w:rsidRPr="00576FEA">
        <w:rPr>
          <w:rStyle w:val="Hyperlink1"/>
          <w:rFonts w:ascii="Arial" w:eastAsia="Calibri" w:hAnsi="Arial" w:cs="Arial"/>
          <w:color w:val="00000A"/>
          <w:spacing w:val="-4"/>
          <w:sz w:val="17"/>
          <w:szCs w:val="17"/>
          <w:lang w:val="en-GB"/>
        </w:rPr>
        <w:t xml:space="preserve"> Washington State University Extension, 2015, accessed February 20, 2019, http://ses.wsu.edu/wp-content/uploads/2015/02/eb1996_05.pdf.</w:t>
      </w:r>
    </w:p>
  </w:endnote>
  <w:endnote w:id="30">
    <w:p w14:paraId="079A435D" w14:textId="52C0F170"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31">
    <w:p w14:paraId="5C8CD3C1" w14:textId="7F49363C"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1"/>
          <w:rFonts w:ascii="Arial" w:eastAsia="Calibri" w:hAnsi="Arial" w:cs="Arial"/>
          <w:color w:val="00000A"/>
          <w:spacing w:val="-4"/>
          <w:sz w:val="17"/>
          <w:szCs w:val="17"/>
          <w:lang w:val="en-GB"/>
        </w:rPr>
        <w:t xml:space="preserve"> Ontario Ministry of Agriculture and Food and Ministry of Rural Affairs,</w:t>
      </w:r>
      <w:r w:rsidRPr="00576FEA" w:rsidDel="008F33DB">
        <w:rPr>
          <w:rStyle w:val="Hyperlink1"/>
          <w:rFonts w:ascii="Arial" w:eastAsia="Calibri" w:hAnsi="Arial" w:cs="Arial"/>
          <w:color w:val="00000A"/>
          <w:spacing w:val="-4"/>
          <w:sz w:val="17"/>
          <w:szCs w:val="17"/>
          <w:lang w:val="en-GB"/>
        </w:rPr>
        <w:t xml:space="preserve"> </w:t>
      </w:r>
      <w:r w:rsidRPr="00576FEA">
        <w:rPr>
          <w:rStyle w:val="Hyperlink1"/>
          <w:rFonts w:ascii="Arial" w:eastAsia="Calibri" w:hAnsi="Arial" w:cs="Arial"/>
          <w:color w:val="00000A"/>
          <w:spacing w:val="-4"/>
          <w:sz w:val="17"/>
          <w:szCs w:val="17"/>
          <w:lang w:val="en-GB"/>
        </w:rPr>
        <w:t>op. cit.</w:t>
      </w:r>
    </w:p>
  </w:endnote>
  <w:endnote w:id="32">
    <w:p w14:paraId="3D25509B" w14:textId="38BECC5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Sean Fine, “Supreme Court Upholds Interprovincial Trade Law in Cross-Border Alcohol Case,” </w:t>
      </w:r>
      <w:r w:rsidRPr="00576FEA">
        <w:rPr>
          <w:rStyle w:val="Hyperlink0"/>
          <w:rFonts w:ascii="Arial" w:hAnsi="Arial" w:cs="Arial"/>
          <w:i/>
          <w:iCs/>
          <w:spacing w:val="-4"/>
          <w:sz w:val="17"/>
          <w:szCs w:val="17"/>
          <w:lang w:val="en-GB"/>
        </w:rPr>
        <w:t>Globe and Mail</w:t>
      </w:r>
      <w:r w:rsidRPr="00576FEA">
        <w:rPr>
          <w:rStyle w:val="Hyperlink0"/>
          <w:rFonts w:ascii="Arial" w:hAnsi="Arial" w:cs="Arial"/>
          <w:spacing w:val="-4"/>
          <w:sz w:val="17"/>
          <w:szCs w:val="17"/>
          <w:lang w:val="en-GB"/>
        </w:rPr>
        <w:t xml:space="preserve">, April 23, 2018, accessed February 20, 2019 </w:t>
      </w:r>
      <w:hyperlink r:id="rId3" w:history="1">
        <w:r w:rsidRPr="00576FEA">
          <w:rPr>
            <w:rStyle w:val="Hyperlink0"/>
            <w:rFonts w:ascii="Arial" w:hAnsi="Arial" w:cs="Arial"/>
            <w:spacing w:val="-4"/>
            <w:sz w:val="17"/>
            <w:szCs w:val="17"/>
            <w:lang w:val="en-GB"/>
          </w:rPr>
          <w:t>www.theglobeandmail.com/canada/article-supreme-court-upholds-law-in-cross-border-alcohol-case/</w:t>
        </w:r>
      </w:hyperlink>
      <w:r w:rsidRPr="00576FEA">
        <w:rPr>
          <w:rStyle w:val="Hyperlink0"/>
          <w:rFonts w:ascii="Arial" w:hAnsi="Arial" w:cs="Arial"/>
          <w:spacing w:val="-4"/>
          <w:sz w:val="17"/>
          <w:szCs w:val="17"/>
          <w:lang w:val="en-GB"/>
        </w:rPr>
        <w:t>.</w:t>
      </w:r>
    </w:p>
  </w:endnote>
  <w:endnote w:id="33">
    <w:p w14:paraId="1A4CD00F" w14:textId="5B5781F3"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“Trade &amp; International Agreements,” Canadian Vintners Association, accessed February 20, 2019, </w:t>
      </w:r>
      <w:hyperlink r:id="rId4" w:history="1">
        <w:r w:rsidRPr="00576FEA">
          <w:rPr>
            <w:rStyle w:val="Hyperlink0"/>
            <w:rFonts w:ascii="Arial" w:hAnsi="Arial" w:cs="Arial"/>
            <w:spacing w:val="-4"/>
            <w:sz w:val="17"/>
            <w:szCs w:val="17"/>
            <w:lang w:val="en-GB"/>
          </w:rPr>
          <w:t>www.canadianvintners.com/trade-agreements/</w:t>
        </w:r>
      </w:hyperlink>
      <w:r w:rsidRPr="00576FEA">
        <w:rPr>
          <w:rStyle w:val="Hyperlink0"/>
          <w:rFonts w:ascii="Arial" w:hAnsi="Arial" w:cs="Arial"/>
          <w:spacing w:val="-4"/>
          <w:sz w:val="17"/>
          <w:szCs w:val="17"/>
          <w:lang w:val="en-GB"/>
        </w:rPr>
        <w:t xml:space="preserve">; United States Department of Agriculture, Foreign Agricultural Service, </w:t>
      </w:r>
      <w:r w:rsidRPr="00576FEA">
        <w:rPr>
          <w:spacing w:val="-4"/>
        </w:rPr>
        <w:t>“</w:t>
      </w:r>
      <w:r w:rsidRPr="00576FEA">
        <w:rPr>
          <w:rStyle w:val="Hyperlink0"/>
          <w:rFonts w:ascii="Arial" w:hAnsi="Arial" w:cs="Arial"/>
          <w:spacing w:val="-4"/>
          <w:sz w:val="17"/>
          <w:szCs w:val="17"/>
          <w:lang w:val="en-GB"/>
        </w:rPr>
        <w:t>United States Takes Action against Canadian Trade Measures That Discriminate against U.S. Wine,” news release, March 25, 2018, accessed February 20, 2019, www.fas.usda.gov/newsroom/united-states-takes-action-against-canadian-trade-measures-discriminate-against-us-wine</w:t>
      </w:r>
      <w:r w:rsidRPr="00576FEA">
        <w:rPr>
          <w:rStyle w:val="Hyperlink5"/>
          <w:rFonts w:ascii="Arial" w:hAnsi="Arial" w:cs="Arial"/>
          <w:color w:val="00000A"/>
          <w:spacing w:val="-4"/>
          <w:sz w:val="17"/>
          <w:szCs w:val="17"/>
          <w:u w:val="none"/>
          <w:lang w:val="en-GB"/>
        </w:rPr>
        <w:t xml:space="preserve">; Ross </w:t>
      </w:r>
      <w:r w:rsidRPr="00576FEA">
        <w:rPr>
          <w:rStyle w:val="Hyperlink0"/>
          <w:rFonts w:ascii="Arial" w:hAnsi="Arial" w:cs="Arial"/>
          <w:spacing w:val="-4"/>
          <w:sz w:val="17"/>
          <w:szCs w:val="17"/>
          <w:lang w:val="en-GB"/>
        </w:rPr>
        <w:t xml:space="preserve">Marowits, “Canadian Producers Fear U.S. Will Flood Market after Chinese Tariffs,” </w:t>
      </w:r>
      <w:r w:rsidRPr="00576FEA">
        <w:rPr>
          <w:rStyle w:val="Hyperlink0"/>
          <w:rFonts w:ascii="Arial" w:hAnsi="Arial" w:cs="Arial"/>
          <w:iCs/>
          <w:spacing w:val="-4"/>
          <w:sz w:val="17"/>
          <w:szCs w:val="17"/>
          <w:lang w:val="en-GB"/>
        </w:rPr>
        <w:t>CTV News</w:t>
      </w:r>
      <w:r w:rsidRPr="00576FEA">
        <w:rPr>
          <w:rStyle w:val="Hyperlink0"/>
          <w:rFonts w:ascii="Arial" w:hAnsi="Arial" w:cs="Arial"/>
          <w:i/>
          <w:iCs/>
          <w:spacing w:val="-4"/>
          <w:sz w:val="17"/>
          <w:szCs w:val="17"/>
          <w:lang w:val="en-GB"/>
        </w:rPr>
        <w:t xml:space="preserve">, </w:t>
      </w:r>
      <w:r w:rsidRPr="00576FEA">
        <w:rPr>
          <w:rStyle w:val="Hyperlink0"/>
          <w:rFonts w:ascii="Arial" w:hAnsi="Arial" w:cs="Arial"/>
          <w:spacing w:val="-4"/>
          <w:sz w:val="17"/>
          <w:szCs w:val="17"/>
          <w:lang w:val="en-GB"/>
        </w:rPr>
        <w:t>April 3, 2018</w:t>
      </w:r>
      <w:r w:rsidRPr="00576FEA">
        <w:rPr>
          <w:rStyle w:val="Hyperlink0"/>
          <w:rFonts w:ascii="Arial" w:hAnsi="Arial" w:cs="Arial"/>
          <w:i/>
          <w:iCs/>
          <w:spacing w:val="-4"/>
          <w:sz w:val="17"/>
          <w:szCs w:val="17"/>
          <w:lang w:val="en-GB"/>
        </w:rPr>
        <w:t>,</w:t>
      </w:r>
      <w:r w:rsidRPr="00576FEA">
        <w:rPr>
          <w:rStyle w:val="Hyperlink0"/>
          <w:rFonts w:ascii="Arial" w:hAnsi="Arial" w:cs="Arial"/>
          <w:spacing w:val="-4"/>
          <w:sz w:val="17"/>
          <w:szCs w:val="17"/>
          <w:lang w:val="en-GB"/>
        </w:rPr>
        <w:t xml:space="preserve"> accessed February 20, 2019, </w:t>
      </w:r>
      <w:r w:rsidRPr="00576FEA">
        <w:rPr>
          <w:rStyle w:val="Hyperlink5"/>
          <w:rFonts w:ascii="Arial" w:hAnsi="Arial" w:cs="Arial"/>
          <w:color w:val="00000A"/>
          <w:spacing w:val="-4"/>
          <w:sz w:val="17"/>
          <w:szCs w:val="17"/>
          <w:u w:val="none"/>
          <w:lang w:val="en-GB"/>
        </w:rPr>
        <w:t xml:space="preserve">www.ctvnews.ca/business/canadian-producers-fear-u-s-will-flood-market-after-chinese-tariffs-1.3869776; </w:t>
      </w:r>
      <w:r w:rsidRPr="00576FEA">
        <w:rPr>
          <w:rStyle w:val="Hyperlink0"/>
          <w:rFonts w:ascii="Arial" w:hAnsi="Arial" w:cs="Arial"/>
          <w:spacing w:val="-4"/>
          <w:sz w:val="17"/>
          <w:szCs w:val="17"/>
          <w:lang w:val="en-GB"/>
        </w:rPr>
        <w:t>Darren Gray, “Australia Takes On Canada over ‘Problem’ Wine Exports,”</w:t>
      </w:r>
      <w:r w:rsidRPr="00576FEA">
        <w:rPr>
          <w:rStyle w:val="Hyperlink0"/>
          <w:rFonts w:ascii="Arial" w:hAnsi="Arial" w:cs="Arial"/>
          <w:i/>
          <w:iCs/>
          <w:spacing w:val="-4"/>
          <w:sz w:val="17"/>
          <w:szCs w:val="17"/>
          <w:lang w:val="en-GB"/>
        </w:rPr>
        <w:t xml:space="preserve"> Sydney Morning Herald</w:t>
      </w:r>
      <w:r w:rsidRPr="00576FEA">
        <w:rPr>
          <w:rStyle w:val="Hyperlink0"/>
          <w:rFonts w:ascii="Arial" w:hAnsi="Arial" w:cs="Arial"/>
          <w:spacing w:val="-4"/>
          <w:sz w:val="17"/>
          <w:szCs w:val="17"/>
          <w:lang w:val="en-GB"/>
        </w:rPr>
        <w:t xml:space="preserve">, March 12, 2018, accessed February 20, 2019, </w:t>
      </w:r>
      <w:r w:rsidRPr="00576FEA">
        <w:rPr>
          <w:rStyle w:val="Hyperlink5"/>
          <w:rFonts w:ascii="Arial" w:hAnsi="Arial" w:cs="Arial"/>
          <w:color w:val="00000A"/>
          <w:spacing w:val="-4"/>
          <w:sz w:val="17"/>
          <w:szCs w:val="17"/>
          <w:u w:val="none"/>
          <w:lang w:val="en-GB"/>
        </w:rPr>
        <w:t>www.smh.com.au/business/the-economy/australia-takes-on-canada-over-problem-wine-exports-20180312-p4z3yd.html.</w:t>
      </w:r>
    </w:p>
  </w:endnote>
  <w:endnote w:id="34">
    <w:p w14:paraId="4671A1C5" w14:textId="2639FF51" w:rsidR="00487482" w:rsidRDefault="00487482" w:rsidP="00576FEA">
      <w:pPr>
        <w:pStyle w:val="Footnote"/>
        <w:rPr>
          <w:rStyle w:val="Hyperlink5"/>
          <w:rFonts w:ascii="Arial" w:hAnsi="Arial" w:cs="Arial"/>
          <w:color w:val="00000A"/>
          <w:spacing w:val="-4"/>
          <w:sz w:val="17"/>
          <w:szCs w:val="17"/>
          <w:u w:val="none"/>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Canadian Press, “Ontario’s Relaxed Rules for Wine Sales at Grocery Stores Take Effect,” </w:t>
      </w:r>
      <w:r w:rsidRPr="00576FEA">
        <w:rPr>
          <w:rStyle w:val="Hyperlink0"/>
          <w:rFonts w:ascii="Arial" w:hAnsi="Arial" w:cs="Arial"/>
          <w:i/>
          <w:iCs/>
          <w:spacing w:val="-4"/>
          <w:sz w:val="17"/>
          <w:szCs w:val="17"/>
          <w:lang w:val="en-GB"/>
        </w:rPr>
        <w:t>Globe and Mail</w:t>
      </w:r>
      <w:r w:rsidRPr="00576FEA">
        <w:rPr>
          <w:rStyle w:val="Hyperlink0"/>
          <w:rFonts w:ascii="Arial" w:hAnsi="Arial" w:cs="Arial"/>
          <w:spacing w:val="-4"/>
          <w:sz w:val="17"/>
          <w:szCs w:val="17"/>
          <w:lang w:val="en-GB"/>
        </w:rPr>
        <w:t xml:space="preserve">, accessed February 20, 2019, </w:t>
      </w:r>
      <w:r w:rsidRPr="00CB3AF5">
        <w:rPr>
          <w:rStyle w:val="Hyperlink5"/>
          <w:rFonts w:ascii="Arial" w:hAnsi="Arial" w:cs="Arial"/>
          <w:color w:val="00000A"/>
          <w:spacing w:val="-4"/>
          <w:sz w:val="17"/>
          <w:szCs w:val="17"/>
          <w:u w:val="none"/>
          <w:lang w:val="en-GB"/>
        </w:rPr>
        <w:t>www.theglobeandmail.com/news/national/ontarios-relaxed-rules-for-wine-sales-at-grocery-stores-take-effect/</w:t>
      </w:r>
    </w:p>
    <w:p w14:paraId="55AC5072" w14:textId="280E44C9" w:rsidR="00487482" w:rsidRPr="00CB3AF5" w:rsidRDefault="00487482" w:rsidP="00576FEA">
      <w:pPr>
        <w:pStyle w:val="Footnote"/>
        <w:rPr>
          <w:rFonts w:eastAsia="Cambria"/>
          <w:color w:val="00000A"/>
          <w:spacing w:val="-4"/>
          <w:u w:color="000000"/>
          <w:lang w:val="en-GB"/>
        </w:rPr>
      </w:pPr>
      <w:r w:rsidRPr="00576FEA">
        <w:rPr>
          <w:rStyle w:val="Hyperlink5"/>
          <w:rFonts w:ascii="Arial" w:hAnsi="Arial" w:cs="Arial"/>
          <w:color w:val="00000A"/>
          <w:spacing w:val="-4"/>
          <w:sz w:val="17"/>
          <w:szCs w:val="17"/>
          <w:u w:val="none"/>
          <w:lang w:val="en-GB"/>
        </w:rPr>
        <w:t>article32563759/.</w:t>
      </w:r>
    </w:p>
  </w:endnote>
  <w:endnote w:id="35">
    <w:p w14:paraId="14A55170" w14:textId="521E2B0F"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Antonella Artuso, “Hello Beer in Corner Stores; Bye Discovery Math: Throne Speech,” </w:t>
      </w:r>
      <w:r w:rsidRPr="00576FEA">
        <w:rPr>
          <w:rStyle w:val="Hyperlink0"/>
          <w:rFonts w:ascii="Arial" w:hAnsi="Arial" w:cs="Arial"/>
          <w:i/>
          <w:iCs/>
          <w:spacing w:val="-4"/>
          <w:sz w:val="17"/>
          <w:szCs w:val="17"/>
          <w:lang w:val="en-GB"/>
        </w:rPr>
        <w:t>Toronto Sun</w:t>
      </w:r>
      <w:r w:rsidRPr="00576FEA">
        <w:rPr>
          <w:rStyle w:val="Hyperlink0"/>
          <w:rFonts w:ascii="Arial" w:hAnsi="Arial" w:cs="Arial"/>
          <w:spacing w:val="-4"/>
          <w:sz w:val="17"/>
          <w:szCs w:val="17"/>
          <w:lang w:val="en-GB"/>
        </w:rPr>
        <w:t xml:space="preserve">, July 12, 2018, </w:t>
      </w:r>
      <w:r w:rsidRPr="00576FEA">
        <w:rPr>
          <w:rStyle w:val="Hyperlink5"/>
          <w:rFonts w:ascii="Arial" w:hAnsi="Arial" w:cs="Arial"/>
          <w:color w:val="00000A"/>
          <w:spacing w:val="-4"/>
          <w:sz w:val="17"/>
          <w:szCs w:val="17"/>
          <w:u w:val="none"/>
          <w:lang w:val="en-GB"/>
        </w:rPr>
        <w:t>https://torontosun.com/news/provincial/hello-beer-in-corner-stores-bye-discovery-math-throne-speech.</w:t>
      </w:r>
    </w:p>
  </w:endnote>
  <w:endnote w:id="36">
    <w:p w14:paraId="3E83897D" w14:textId="37794634" w:rsidR="00487482" w:rsidRPr="00576FEA" w:rsidRDefault="00487482" w:rsidP="00576FEA">
      <w:pPr>
        <w:pStyle w:val="Footnote"/>
        <w:rPr>
          <w:rFonts w:eastAsia="Cambria"/>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Liz Thach, op. cit.; </w:t>
      </w:r>
      <w:r w:rsidRPr="00576FEA">
        <w:rPr>
          <w:rStyle w:val="Hyperlink0"/>
          <w:rFonts w:ascii="Arial" w:hAnsi="Arial" w:cs="Arial"/>
          <w:spacing w:val="-4"/>
          <w:sz w:val="17"/>
          <w:szCs w:val="17"/>
          <w:lang w:val="en-GB"/>
        </w:rPr>
        <w:t>“2018 Direct-To-Consumer Wine Shipping Report,” op. cit.</w:t>
      </w:r>
    </w:p>
  </w:endnote>
  <w:endnote w:id="37">
    <w:p w14:paraId="6825BF34" w14:textId="50F97FBE" w:rsidR="00487482" w:rsidRPr="00576FEA" w:rsidRDefault="00487482" w:rsidP="00576FEA">
      <w:pPr>
        <w:pStyle w:val="Footnote"/>
        <w:rPr>
          <w:rFonts w:eastAsia="Calibri"/>
          <w:color w:val="00000A"/>
          <w:spacing w:val="-4"/>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Shari Mogk-Edwards, “Wine Trends and Sales at LCBO,” PowerPoint presentation, March 1, 2016, accessed</w:t>
      </w:r>
      <w:r w:rsidRPr="00576FEA">
        <w:rPr>
          <w:rStyle w:val="None"/>
          <w:spacing w:val="-4"/>
          <w:lang w:val="en-GB"/>
        </w:rPr>
        <w:t xml:space="preserve"> February 20, 2019,</w:t>
      </w:r>
      <w:r w:rsidRPr="00576FEA">
        <w:rPr>
          <w:rStyle w:val="Hyperlink3"/>
          <w:rFonts w:ascii="Arial" w:hAnsi="Arial" w:cs="Arial"/>
          <w:spacing w:val="-4"/>
          <w:sz w:val="17"/>
          <w:szCs w:val="17"/>
          <w:lang w:val="en-GB"/>
        </w:rPr>
        <w:t xml:space="preserve"> </w:t>
      </w:r>
      <w:r w:rsidRPr="00576FEA">
        <w:rPr>
          <w:rStyle w:val="Hyperlink4"/>
          <w:rFonts w:ascii="Arial" w:eastAsia="Calibri" w:hAnsi="Arial" w:cs="Arial"/>
          <w:color w:val="00000A"/>
          <w:spacing w:val="-4"/>
          <w:sz w:val="17"/>
          <w:szCs w:val="17"/>
          <w:u w:val="none"/>
          <w:lang w:val="en-GB"/>
        </w:rPr>
        <w:t xml:space="preserve">https://wgao.ca/wp-content/uploads/2016/03/Shari_MogkEdwards_Presentation.pdf; Kyle </w:t>
      </w:r>
      <w:r w:rsidRPr="00576FEA">
        <w:rPr>
          <w:rStyle w:val="Hyperlink0"/>
          <w:rFonts w:ascii="Arial" w:hAnsi="Arial" w:cs="Arial"/>
          <w:spacing w:val="-4"/>
          <w:sz w:val="17"/>
          <w:szCs w:val="17"/>
          <w:lang w:val="en-GB"/>
        </w:rPr>
        <w:t xml:space="preserve">Swartz, “9 Trends Driving Wine Sales in 2016,” Beverage Dynamics, January 26, 2016, accessed February 20, 2019, </w:t>
      </w:r>
      <w:hyperlink r:id="rId5" w:history="1">
        <w:r w:rsidRPr="00576FEA">
          <w:rPr>
            <w:rStyle w:val="Hyperlink0"/>
            <w:rFonts w:ascii="Arial" w:hAnsi="Arial" w:cs="Arial"/>
            <w:spacing w:val="-4"/>
            <w:sz w:val="17"/>
            <w:szCs w:val="17"/>
            <w:lang w:val="en-GB"/>
          </w:rPr>
          <w:t>http://beveragedynamics.com/2016/01/26/9-trends-driving-wine-sales-in-2016/</w:t>
        </w:r>
      </w:hyperlink>
      <w:r w:rsidRPr="00576FEA">
        <w:rPr>
          <w:spacing w:val="-4"/>
          <w:lang w:val="en-GB"/>
        </w:rPr>
        <w:t>.</w:t>
      </w:r>
    </w:p>
  </w:endnote>
  <w:endnote w:id="38">
    <w:p w14:paraId="2B07702C" w14:textId="5393D912"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“Wine Tasting Tutorial: Cabernet Sauvignon vs. Merlot vs. Pinot Noir,”</w:t>
      </w:r>
      <w:r w:rsidRPr="00576FEA" w:rsidDel="009F5899">
        <w:rPr>
          <w:rStyle w:val="Hyperlink0"/>
          <w:rFonts w:ascii="Arial" w:hAnsi="Arial" w:cs="Arial"/>
          <w:spacing w:val="-4"/>
          <w:sz w:val="17"/>
          <w:szCs w:val="17"/>
          <w:lang w:val="en-GB"/>
        </w:rPr>
        <w:t xml:space="preserve"> </w:t>
      </w:r>
      <w:r w:rsidRPr="00576FEA">
        <w:rPr>
          <w:rStyle w:val="Hyperlink0"/>
          <w:rFonts w:ascii="Arial" w:hAnsi="Arial" w:cs="Arial"/>
          <w:spacing w:val="-4"/>
          <w:sz w:val="17"/>
          <w:szCs w:val="17"/>
          <w:lang w:val="en-GB"/>
        </w:rPr>
        <w:t xml:space="preserve">Better Tasting Wine, accessed February 20, 2019, </w:t>
      </w:r>
      <w:r w:rsidRPr="00576FEA">
        <w:rPr>
          <w:rStyle w:val="Hyperlink5"/>
          <w:rFonts w:ascii="Arial" w:hAnsi="Arial" w:cs="Arial"/>
          <w:color w:val="00000A"/>
          <w:spacing w:val="-4"/>
          <w:sz w:val="17"/>
          <w:szCs w:val="17"/>
          <w:u w:val="none"/>
          <w:lang w:val="en-GB"/>
        </w:rPr>
        <w:t>http://bettertastingwine.com/red_wine_types.html.</w:t>
      </w:r>
    </w:p>
  </w:endnote>
  <w:endnote w:id="39">
    <w:p w14:paraId="2553A955" w14:textId="6A66CE17"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1"/>
          <w:rFonts w:ascii="Arial" w:eastAsia="Calibri" w:hAnsi="Arial" w:cs="Arial"/>
          <w:color w:val="00000A"/>
          <w:spacing w:val="-4"/>
          <w:sz w:val="17"/>
          <w:szCs w:val="17"/>
          <w:lang w:val="en-GB"/>
        </w:rPr>
        <w:t xml:space="preserve"> Larry Lockshin and Armando Maria Corsi, “Consumer Behaviour for Wine 2.0: A Review since 2003 and Future Directions,” </w:t>
      </w:r>
      <w:r w:rsidRPr="00576FEA">
        <w:rPr>
          <w:rStyle w:val="None"/>
          <w:rFonts w:eastAsia="Cambria"/>
          <w:i/>
          <w:iCs/>
          <w:spacing w:val="-4"/>
          <w:lang w:val="en-GB"/>
        </w:rPr>
        <w:t>Wine Economics and Policy</w:t>
      </w:r>
      <w:r w:rsidRPr="00576FEA">
        <w:rPr>
          <w:rStyle w:val="Hyperlink1"/>
          <w:rFonts w:ascii="Arial" w:eastAsia="Calibri" w:hAnsi="Arial" w:cs="Arial"/>
          <w:color w:val="00000A"/>
          <w:spacing w:val="-4"/>
          <w:sz w:val="17"/>
          <w:szCs w:val="17"/>
          <w:lang w:val="en-GB"/>
        </w:rPr>
        <w:t xml:space="preserve"> 1, no. 1 (December 2012): 2–23, https://doi.org/10.1016/j.wep.2012.11.003.</w:t>
      </w:r>
    </w:p>
  </w:endnote>
  <w:endnote w:id="40">
    <w:p w14:paraId="68355EA3" w14:textId="72670188"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E. &amp; J. Gallo Winery, “Survey Reveals Only Seven per Cent of Canadians Feel Buying Wine Is Easy,” Cision, November 24, 2009, accessed February 20, 2019,</w:t>
      </w:r>
      <w:r w:rsidRPr="00576FEA">
        <w:rPr>
          <w:rStyle w:val="None"/>
          <w:rFonts w:eastAsia="Cambria"/>
          <w:spacing w:val="-4"/>
          <w:lang w:val="en-GB"/>
        </w:rPr>
        <w:t xml:space="preserve"> www.newswire.ca/news-releases/survey-reveals-only-seven-per-cent-of-canadians-feel-buying-wine-is-easy-539009071.html.</w:t>
      </w:r>
    </w:p>
  </w:endnote>
  <w:endnote w:id="41">
    <w:p w14:paraId="29A101AA" w14:textId="774CED21"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Ontario Public Health Association, ‘Seasonal trends in alcohol consumption,’ Ontario Public Health Association, July 25, 2016, assessed December 5, 2019</w:t>
      </w:r>
      <w:r w:rsidRPr="00576FEA">
        <w:rPr>
          <w:rStyle w:val="None"/>
          <w:spacing w:val="-4"/>
          <w:lang w:val="en-GB"/>
        </w:rPr>
        <w:t>,</w:t>
      </w:r>
      <w:r w:rsidRPr="00576FEA">
        <w:rPr>
          <w:rStyle w:val="Hyperlink3"/>
          <w:rFonts w:ascii="Arial" w:hAnsi="Arial" w:cs="Arial"/>
          <w:spacing w:val="-4"/>
          <w:sz w:val="17"/>
          <w:szCs w:val="17"/>
          <w:lang w:val="en-GB"/>
        </w:rPr>
        <w:t xml:space="preserve"> </w:t>
      </w:r>
      <w:r w:rsidRPr="00576FEA">
        <w:rPr>
          <w:spacing w:val="-4"/>
        </w:rPr>
        <w:t>https://opha.on.ca/Events-News-and-Media/News/Seasonal-Trends-in-Alcohol-Consumption.aspx</w:t>
      </w:r>
      <w:r w:rsidRPr="00576FEA">
        <w:rPr>
          <w:rStyle w:val="Hyperlink"/>
          <w:spacing w:val="-4"/>
          <w:lang w:val="en-CA"/>
        </w:rPr>
        <w:t>.</w:t>
      </w:r>
    </w:p>
  </w:endnote>
  <w:endnote w:id="42">
    <w:p w14:paraId="5BBDF4C1" w14:textId="6BF7F767"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1"/>
          <w:rFonts w:ascii="Arial" w:eastAsia="Calibri" w:hAnsi="Arial" w:cs="Arial"/>
          <w:color w:val="00000A"/>
          <w:spacing w:val="-4"/>
          <w:sz w:val="17"/>
          <w:szCs w:val="17"/>
          <w:lang w:val="en-GB"/>
        </w:rPr>
        <w:t xml:space="preserve"> Liz Thach and Janeen Olsen, “Profiling the High Frequency Wine Consumer by Price Segmentation in the US Market,” </w:t>
      </w:r>
      <w:r w:rsidRPr="00576FEA">
        <w:rPr>
          <w:rStyle w:val="None"/>
          <w:rFonts w:eastAsia="Cambria"/>
          <w:i/>
          <w:iCs/>
          <w:spacing w:val="-4"/>
          <w:lang w:val="en-GB"/>
        </w:rPr>
        <w:t>Wine Economics and Policy</w:t>
      </w:r>
      <w:r w:rsidRPr="00576FEA">
        <w:rPr>
          <w:rStyle w:val="Hyperlink1"/>
          <w:rFonts w:ascii="Arial" w:eastAsia="Calibri" w:hAnsi="Arial" w:cs="Arial"/>
          <w:color w:val="00000A"/>
          <w:spacing w:val="-4"/>
          <w:sz w:val="17"/>
          <w:szCs w:val="17"/>
          <w:lang w:val="en-GB"/>
        </w:rPr>
        <w:t xml:space="preserve"> </w:t>
      </w:r>
      <w:r w:rsidRPr="00576FEA">
        <w:rPr>
          <w:rStyle w:val="None"/>
          <w:rFonts w:eastAsia="Cambria"/>
          <w:spacing w:val="-4"/>
          <w:lang w:val="en-GB"/>
        </w:rPr>
        <w:t xml:space="preserve">4, no. </w:t>
      </w:r>
      <w:r w:rsidRPr="00576FEA">
        <w:rPr>
          <w:rStyle w:val="Hyperlink1"/>
          <w:rFonts w:ascii="Arial" w:eastAsia="Calibri" w:hAnsi="Arial" w:cs="Arial"/>
          <w:color w:val="00000A"/>
          <w:spacing w:val="-4"/>
          <w:sz w:val="17"/>
          <w:szCs w:val="17"/>
          <w:lang w:val="en-GB"/>
        </w:rPr>
        <w:t>1 (June 2015): 53–59, https://doi.org/10.1016/j.wep.2015.04.001.</w:t>
      </w:r>
    </w:p>
  </w:endnote>
  <w:endnote w:id="43">
    <w:p w14:paraId="00ECA466" w14:textId="68DC8E3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None"/>
          <w:rFonts w:eastAsia="Cambria"/>
          <w:spacing w:val="-4"/>
          <w:lang w:val="en-GB"/>
        </w:rPr>
        <w:t xml:space="preserve"> Ambrose O’Callaghan, “Should You Bet on Wine or Weed Stocks over the Next Decade?,” The </w:t>
      </w:r>
      <w:r w:rsidRPr="00576FEA">
        <w:rPr>
          <w:rStyle w:val="None"/>
          <w:rFonts w:eastAsia="Cambria"/>
          <w:iCs/>
          <w:spacing w:val="-4"/>
          <w:lang w:val="en-GB"/>
        </w:rPr>
        <w:t>Motley Fool</w:t>
      </w:r>
      <w:r w:rsidRPr="00576FEA">
        <w:rPr>
          <w:rStyle w:val="None"/>
          <w:rFonts w:eastAsia="Cambria"/>
          <w:spacing w:val="-4"/>
          <w:lang w:val="en-GB"/>
        </w:rPr>
        <w:t xml:space="preserve">, May 15, 2018, </w:t>
      </w:r>
      <w:r w:rsidRPr="00576FEA">
        <w:rPr>
          <w:rStyle w:val="Hyperlink0"/>
          <w:rFonts w:ascii="Arial" w:hAnsi="Arial" w:cs="Arial"/>
          <w:spacing w:val="-4"/>
          <w:sz w:val="17"/>
          <w:szCs w:val="17"/>
          <w:lang w:val="en-GB"/>
        </w:rPr>
        <w:t>accessed February 20, 2019,</w:t>
      </w:r>
      <w:r w:rsidRPr="00576FEA">
        <w:rPr>
          <w:rStyle w:val="None"/>
          <w:rFonts w:eastAsia="Cambria"/>
          <w:spacing w:val="-4"/>
          <w:lang w:val="en-GB"/>
        </w:rPr>
        <w:t xml:space="preserve"> </w:t>
      </w:r>
      <w:r w:rsidRPr="00576FEA">
        <w:rPr>
          <w:rStyle w:val="Hyperlink5"/>
          <w:rFonts w:ascii="Arial" w:hAnsi="Arial" w:cs="Arial"/>
          <w:color w:val="00000A"/>
          <w:spacing w:val="-4"/>
          <w:sz w:val="17"/>
          <w:szCs w:val="17"/>
          <w:u w:val="none"/>
          <w:lang w:val="en-GB"/>
        </w:rPr>
        <w:t>www.fool.ca/2018/05/15/should-you-bet-on-wine-or-weed-stocks-over-the-next-decade/.</w:t>
      </w:r>
    </w:p>
  </w:endnote>
  <w:endnote w:id="44">
    <w:p w14:paraId="667D841D" w14:textId="18339538"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1"/>
          <w:rFonts w:ascii="Arial" w:eastAsia="Calibri" w:hAnsi="Arial" w:cs="Arial"/>
          <w:color w:val="00000A"/>
          <w:spacing w:val="-4"/>
          <w:sz w:val="17"/>
          <w:szCs w:val="17"/>
          <w:lang w:val="en-GB"/>
        </w:rPr>
        <w:t xml:space="preserve"> Lockshin and Corsi, op. cit. </w:t>
      </w:r>
    </w:p>
  </w:endnote>
  <w:endnote w:id="45">
    <w:p w14:paraId="1DA008D3" w14:textId="0A9E6A6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hyperlink r:id="rId6" w:history="1">
        <w:r w:rsidRPr="00576FEA">
          <w:rPr>
            <w:rStyle w:val="Hyperlink0"/>
            <w:rFonts w:ascii="Arial" w:hAnsi="Arial" w:cs="Arial"/>
            <w:spacing w:val="-4"/>
            <w:sz w:val="17"/>
            <w:szCs w:val="17"/>
            <w:lang w:val="en-GB"/>
          </w:rPr>
          <w:t xml:space="preserve"> Kostuch Media Ltd</w:t>
        </w:r>
      </w:hyperlink>
      <w:r w:rsidRPr="00576FEA">
        <w:rPr>
          <w:rStyle w:val="Hyperlink0"/>
          <w:rFonts w:ascii="Arial" w:hAnsi="Arial" w:cs="Arial"/>
          <w:spacing w:val="-4"/>
          <w:sz w:val="17"/>
          <w:szCs w:val="17"/>
          <w:lang w:val="en-GB"/>
        </w:rPr>
        <w:t xml:space="preserve">., “The 2017 BAR Report,” </w:t>
      </w:r>
      <w:r w:rsidRPr="00576FEA">
        <w:rPr>
          <w:rStyle w:val="Hyperlink0"/>
          <w:rFonts w:ascii="Arial" w:hAnsi="Arial" w:cs="Arial"/>
          <w:i/>
          <w:iCs/>
          <w:spacing w:val="-4"/>
          <w:sz w:val="17"/>
          <w:szCs w:val="17"/>
          <w:lang w:val="en-GB"/>
        </w:rPr>
        <w:t>Food Service and Hospitality,</w:t>
      </w:r>
      <w:r w:rsidRPr="00576FEA">
        <w:rPr>
          <w:rStyle w:val="Hyperlink0"/>
          <w:rFonts w:ascii="Arial" w:hAnsi="Arial" w:cs="Arial"/>
          <w:spacing w:val="-4"/>
          <w:sz w:val="17"/>
          <w:szCs w:val="17"/>
          <w:lang w:val="en-GB"/>
        </w:rPr>
        <w:t xml:space="preserve"> June 30, 2017, accessed February 20, 2019, </w:t>
      </w:r>
      <w:r w:rsidRPr="00576FEA">
        <w:rPr>
          <w:rStyle w:val="Hyperlink5"/>
          <w:rFonts w:ascii="Arial" w:hAnsi="Arial" w:cs="Arial"/>
          <w:color w:val="00000A"/>
          <w:spacing w:val="-4"/>
          <w:sz w:val="17"/>
          <w:szCs w:val="17"/>
          <w:u w:val="none"/>
          <w:lang w:val="en-GB"/>
        </w:rPr>
        <w:t>www.foodserviceandhospitality.com/the-2017-bar-report/.</w:t>
      </w:r>
    </w:p>
  </w:endnote>
  <w:endnote w:id="46">
    <w:p w14:paraId="7D1EC414" w14:textId="6C1FCF65"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47">
    <w:p w14:paraId="6EB7D7BA" w14:textId="01CA3F2A"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Angelo A. Camillo, “A Strategic Investigation of the Determinants of Wine Consumption in China,” </w:t>
      </w:r>
      <w:r w:rsidRPr="00576FEA">
        <w:rPr>
          <w:rStyle w:val="Hyperlink0"/>
          <w:rFonts w:ascii="Arial" w:hAnsi="Arial" w:cs="Arial"/>
          <w:i/>
          <w:spacing w:val="-4"/>
          <w:sz w:val="17"/>
          <w:szCs w:val="17"/>
          <w:lang w:val="en-GB"/>
        </w:rPr>
        <w:t>I</w:t>
      </w:r>
      <w:r w:rsidRPr="00576FEA">
        <w:rPr>
          <w:rStyle w:val="Hyperlink0"/>
          <w:rFonts w:ascii="Arial" w:hAnsi="Arial" w:cs="Arial"/>
          <w:i/>
          <w:iCs/>
          <w:spacing w:val="-4"/>
          <w:sz w:val="17"/>
          <w:szCs w:val="17"/>
          <w:lang w:val="en-GB"/>
        </w:rPr>
        <w:t xml:space="preserve">nternational Journal of Wine Business Research </w:t>
      </w:r>
      <w:r w:rsidRPr="00576FEA">
        <w:rPr>
          <w:rStyle w:val="Hyperlink0"/>
          <w:rFonts w:ascii="Arial" w:hAnsi="Arial" w:cs="Arial"/>
          <w:spacing w:val="-4"/>
          <w:sz w:val="17"/>
          <w:szCs w:val="17"/>
          <w:lang w:val="en-GB"/>
        </w:rPr>
        <w:t>24, no. 1 (2012): 68–92, https://doi.org/10.1108/17511061211213792.</w:t>
      </w:r>
    </w:p>
  </w:endnote>
  <w:endnote w:id="48">
    <w:p w14:paraId="717418A1" w14:textId="0A079488"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49">
    <w:p w14:paraId="19812314" w14:textId="46E5D00D"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Emiliano C. Villanueva, J. Sebastián Castillo-Valero, and M. Carmen García-Cortijo, “Wine Consumer Profiles from Producing and Importing Countries in Europe Are Different,” </w:t>
      </w:r>
      <w:r w:rsidRPr="00576FEA">
        <w:rPr>
          <w:rStyle w:val="Hyperlink0"/>
          <w:rFonts w:ascii="Arial" w:hAnsi="Arial" w:cs="Arial"/>
          <w:i/>
          <w:spacing w:val="-4"/>
          <w:sz w:val="17"/>
          <w:szCs w:val="17"/>
          <w:lang w:val="en-GB"/>
        </w:rPr>
        <w:t>Ciência e Técnica Vitivinícola</w:t>
      </w:r>
      <w:r w:rsidRPr="00576FEA">
        <w:rPr>
          <w:rStyle w:val="Hyperlink0"/>
          <w:rFonts w:ascii="Arial" w:hAnsi="Arial" w:cs="Arial"/>
          <w:spacing w:val="-4"/>
          <w:sz w:val="17"/>
          <w:szCs w:val="17"/>
          <w:lang w:val="en-GB"/>
        </w:rPr>
        <w:t xml:space="preserve"> 32, no. 2 (2017): 115–125, https://doi.org/10.1051/ctv/20173202115.</w:t>
      </w:r>
    </w:p>
  </w:endnote>
  <w:endnote w:id="50">
    <w:p w14:paraId="0FEA8ADB" w14:textId="16D5C4B7"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Lockshin and Corsi, op. cit.</w:t>
      </w:r>
    </w:p>
  </w:endnote>
  <w:endnote w:id="51">
    <w:p w14:paraId="013E1189" w14:textId="2A864CAF" w:rsidR="00487482" w:rsidRPr="00576FEA" w:rsidRDefault="00487482" w:rsidP="00576FEA">
      <w:pPr>
        <w:pStyle w:val="Footnote"/>
        <w:rPr>
          <w:spacing w:val="-4"/>
        </w:rPr>
      </w:pPr>
      <w:r w:rsidRPr="00576FEA">
        <w:rPr>
          <w:rStyle w:val="EndnoteReference"/>
          <w:spacing w:val="-4"/>
        </w:rPr>
        <w:endnoteRef/>
      </w:r>
      <w:r w:rsidRPr="00576FEA">
        <w:rPr>
          <w:spacing w:val="-4"/>
        </w:rPr>
        <w:t xml:space="preserve"> Shipcompliant, "2018 Direct-To-Consumer Wine Shipping Report," n.d., accessed </w:t>
      </w:r>
      <w:r w:rsidRPr="00576FEA">
        <w:rPr>
          <w:spacing w:val="-4"/>
          <w:lang w:val="en-CA"/>
        </w:rPr>
        <w:t>February 20, 2019</w:t>
      </w:r>
      <w:r w:rsidRPr="00576FEA">
        <w:rPr>
          <w:spacing w:val="-4"/>
        </w:rPr>
        <w:t>, www.shipcompliant.com/dtcreport18/?utm_campaign=DtC-shipping-report&amp;utm_medium=Referral&amp;utm_source=Wines&amp;</w:t>
      </w:r>
    </w:p>
    <w:p w14:paraId="7A9EF9AE" w14:textId="554A2328" w:rsidR="00487482" w:rsidRPr="00576FEA" w:rsidRDefault="00487482" w:rsidP="00576FEA">
      <w:pPr>
        <w:pStyle w:val="Footnote"/>
        <w:rPr>
          <w:spacing w:val="-4"/>
          <w:lang w:val="en-CA"/>
        </w:rPr>
      </w:pPr>
      <w:r w:rsidRPr="00576FEA">
        <w:rPr>
          <w:spacing w:val="-4"/>
        </w:rPr>
        <w:t>Vines&amp;utm_content=ad</w:t>
      </w:r>
      <w:r w:rsidRPr="00576FEA">
        <w:rPr>
          <w:spacing w:val="-4"/>
          <w:lang w:val="en-CA"/>
        </w:rPr>
        <w:t>.</w:t>
      </w:r>
    </w:p>
  </w:endnote>
  <w:endnote w:id="52">
    <w:p w14:paraId="642AE2DD" w14:textId="1FBF7137"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proofErr w:type="spellStart"/>
      <w:r w:rsidRPr="00576FEA">
        <w:rPr>
          <w:rStyle w:val="Hyperlink0"/>
          <w:rFonts w:ascii="Arial" w:hAnsi="Arial" w:cs="Arial"/>
          <w:spacing w:val="-4"/>
          <w:sz w:val="17"/>
          <w:szCs w:val="17"/>
          <w:lang w:val="en-GB"/>
        </w:rPr>
        <w:t>Kostuch</w:t>
      </w:r>
      <w:proofErr w:type="spellEnd"/>
      <w:r w:rsidRPr="00576FEA">
        <w:rPr>
          <w:rStyle w:val="Hyperlink0"/>
          <w:rFonts w:ascii="Arial" w:hAnsi="Arial" w:cs="Arial"/>
          <w:spacing w:val="-4"/>
          <w:sz w:val="17"/>
          <w:szCs w:val="17"/>
          <w:lang w:val="en-GB"/>
        </w:rPr>
        <w:t xml:space="preserve"> Media Ltd., “The 2017 BAR Report,”, op. cit.; Johan Bruwer, Isabelle Lesschaeve, Ben Campbell, "Consumption dynamics and demographics of Canadian wine consumers: Retailing insights from the tasting room channel," Journal of Retailing and Consumer Services, 19, 1, (2012), 45-58.</w:t>
      </w:r>
    </w:p>
  </w:endnote>
  <w:endnote w:id="53">
    <w:p w14:paraId="48472735" w14:textId="34B2C033"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1"/>
          <w:rFonts w:ascii="Arial" w:eastAsia="Calibri" w:hAnsi="Arial" w:cs="Arial"/>
          <w:color w:val="00000A"/>
          <w:spacing w:val="-4"/>
          <w:sz w:val="17"/>
          <w:szCs w:val="17"/>
          <w:lang w:val="en-GB"/>
        </w:rPr>
        <w:t xml:space="preserve"> Ontario Ministry of Agriculture and Food and Ministry of Rural Affairs,</w:t>
      </w:r>
      <w:r w:rsidRPr="00576FEA" w:rsidDel="008F33DB">
        <w:rPr>
          <w:rStyle w:val="Hyperlink1"/>
          <w:rFonts w:ascii="Arial" w:eastAsia="Calibri" w:hAnsi="Arial" w:cs="Arial"/>
          <w:color w:val="00000A"/>
          <w:spacing w:val="-4"/>
          <w:sz w:val="17"/>
          <w:szCs w:val="17"/>
          <w:lang w:val="en-GB"/>
        </w:rPr>
        <w:t xml:space="preserve"> </w:t>
      </w:r>
      <w:r w:rsidRPr="00576FEA">
        <w:rPr>
          <w:rStyle w:val="Hyperlink1"/>
          <w:rFonts w:ascii="Arial" w:eastAsia="Calibri" w:hAnsi="Arial" w:cs="Arial"/>
          <w:color w:val="00000A"/>
          <w:spacing w:val="-4"/>
          <w:sz w:val="17"/>
          <w:szCs w:val="17"/>
          <w:lang w:val="en-GB"/>
        </w:rPr>
        <w:t>op. cit. [Ontario Ministry of Agriculture and Food and Ministry of Rural Affairs,</w:t>
      </w:r>
      <w:r w:rsidRPr="00576FEA" w:rsidDel="008F33DB">
        <w:rPr>
          <w:rStyle w:val="Hyperlink1"/>
          <w:rFonts w:ascii="Arial" w:eastAsia="Calibri" w:hAnsi="Arial" w:cs="Arial"/>
          <w:color w:val="00000A"/>
          <w:spacing w:val="-4"/>
          <w:sz w:val="17"/>
          <w:szCs w:val="17"/>
          <w:lang w:val="en-GB"/>
        </w:rPr>
        <w:t xml:space="preserve"> </w:t>
      </w:r>
      <w:r w:rsidRPr="00576FEA">
        <w:rPr>
          <w:rStyle w:val="Hyperlink1"/>
          <w:rFonts w:ascii="Arial" w:eastAsia="Calibri" w:hAnsi="Arial" w:cs="Arial"/>
          <w:i/>
          <w:color w:val="00000A"/>
          <w:spacing w:val="-4"/>
          <w:sz w:val="17"/>
          <w:szCs w:val="17"/>
          <w:lang w:val="en-GB"/>
        </w:rPr>
        <w:t>Starting a Winery in Ontario</w:t>
      </w:r>
      <w:r w:rsidRPr="00576FEA">
        <w:rPr>
          <w:rStyle w:val="Hyperlink1"/>
          <w:rFonts w:ascii="Arial" w:eastAsia="Calibri" w:hAnsi="Arial" w:cs="Arial"/>
          <w:color w:val="00000A"/>
          <w:spacing w:val="-4"/>
          <w:sz w:val="17"/>
          <w:szCs w:val="17"/>
          <w:lang w:val="en-GB"/>
        </w:rPr>
        <w:t xml:space="preserve"> (Toronto: Ontario Ministry of Agriculture and Food and Ministry of Rural Affairs, 2013),</w:t>
      </w:r>
      <w:r w:rsidRPr="00576FEA" w:rsidDel="008F33DB">
        <w:rPr>
          <w:rStyle w:val="Hyperlink1"/>
          <w:rFonts w:ascii="Arial" w:eastAsia="Calibri" w:hAnsi="Arial" w:cs="Arial"/>
          <w:color w:val="00000A"/>
          <w:spacing w:val="-4"/>
          <w:sz w:val="17"/>
          <w:szCs w:val="17"/>
          <w:lang w:val="en-GB"/>
        </w:rPr>
        <w:t xml:space="preserve"> </w:t>
      </w:r>
      <w:r w:rsidRPr="00576FEA">
        <w:rPr>
          <w:rStyle w:val="Hyperlink0"/>
          <w:rFonts w:ascii="Arial" w:hAnsi="Arial" w:cs="Arial"/>
          <w:spacing w:val="-4"/>
          <w:sz w:val="17"/>
          <w:szCs w:val="17"/>
          <w:lang w:val="en-GB"/>
        </w:rPr>
        <w:t xml:space="preserve">accessed February 20, 2019, </w:t>
      </w:r>
      <w:r w:rsidRPr="00576FEA">
        <w:rPr>
          <w:rStyle w:val="Hyperlink5"/>
          <w:rFonts w:ascii="Arial" w:hAnsi="Arial" w:cs="Arial"/>
          <w:color w:val="00000A"/>
          <w:spacing w:val="-4"/>
          <w:sz w:val="17"/>
          <w:szCs w:val="17"/>
          <w:u w:val="none"/>
          <w:lang w:val="en-GB"/>
        </w:rPr>
        <w:t>www.omafra.gov.on.ca/english/busdev/facts/startingawinery.pdf.]</w:t>
      </w:r>
    </w:p>
  </w:endnote>
  <w:endnote w:id="54">
    <w:p w14:paraId="694EBE0B" w14:textId="5DE0BE83"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James Wainscott,</w:t>
      </w:r>
      <w:r w:rsidRPr="00576FEA">
        <w:rPr>
          <w:rStyle w:val="Hyperlink1"/>
          <w:rFonts w:ascii="Arial" w:eastAsia="Calibri" w:hAnsi="Arial" w:cs="Arial"/>
          <w:color w:val="00000A"/>
          <w:spacing w:val="-4"/>
          <w:sz w:val="17"/>
          <w:szCs w:val="17"/>
          <w:lang w:val="en-GB"/>
        </w:rPr>
        <w:t xml:space="preserve"> “5 Predictions for 2018,” </w:t>
      </w:r>
      <w:r w:rsidRPr="00576FEA">
        <w:rPr>
          <w:rStyle w:val="Hyperlink1"/>
          <w:rFonts w:ascii="Arial" w:eastAsia="Calibri" w:hAnsi="Arial" w:cs="Arial"/>
          <w:iCs/>
          <w:color w:val="00000A"/>
          <w:spacing w:val="-4"/>
          <w:sz w:val="17"/>
          <w:szCs w:val="17"/>
          <w:lang w:val="en-GB"/>
        </w:rPr>
        <w:t>Wine Intelligence</w:t>
      </w:r>
      <w:r w:rsidRPr="00576FEA">
        <w:rPr>
          <w:rStyle w:val="Hyperlink1"/>
          <w:rFonts w:ascii="Arial" w:eastAsia="Calibri" w:hAnsi="Arial" w:cs="Arial"/>
          <w:color w:val="00000A"/>
          <w:spacing w:val="-4"/>
          <w:sz w:val="17"/>
          <w:szCs w:val="17"/>
          <w:lang w:val="en-GB"/>
        </w:rPr>
        <w:t xml:space="preserve">, December 12, 2017, </w:t>
      </w:r>
      <w:r w:rsidRPr="00576FEA">
        <w:rPr>
          <w:rStyle w:val="Hyperlink0"/>
          <w:rFonts w:ascii="Arial" w:hAnsi="Arial" w:cs="Arial"/>
          <w:spacing w:val="-4"/>
          <w:sz w:val="17"/>
          <w:szCs w:val="17"/>
          <w:lang w:val="en-GB"/>
        </w:rPr>
        <w:t>accessed February 20, 2019, www.wineintelligence.com/5-predictions-for-2018/.</w:t>
      </w:r>
    </w:p>
  </w:endnote>
  <w:endnote w:id="55">
    <w:p w14:paraId="1F41F226" w14:textId="3293DDC1"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Stephen Buranyi, “Has Wine Gone Bad?,” </w:t>
      </w:r>
      <w:r w:rsidRPr="00576FEA">
        <w:rPr>
          <w:rStyle w:val="Hyperlink0"/>
          <w:rFonts w:ascii="Arial" w:hAnsi="Arial" w:cs="Arial"/>
          <w:i/>
          <w:iCs/>
          <w:spacing w:val="-4"/>
          <w:sz w:val="17"/>
          <w:szCs w:val="17"/>
          <w:lang w:val="en-GB"/>
        </w:rPr>
        <w:t>Guardian</w:t>
      </w:r>
      <w:r w:rsidRPr="00576FEA">
        <w:rPr>
          <w:rStyle w:val="Hyperlink0"/>
          <w:rFonts w:ascii="Arial" w:hAnsi="Arial" w:cs="Arial"/>
          <w:spacing w:val="-4"/>
          <w:sz w:val="17"/>
          <w:szCs w:val="17"/>
          <w:lang w:val="en-GB"/>
        </w:rPr>
        <w:t xml:space="preserve">, May 15, 2018, accessed February 20, 2019, </w:t>
      </w:r>
      <w:r w:rsidRPr="00576FEA">
        <w:rPr>
          <w:rStyle w:val="Hyperlink5"/>
          <w:rFonts w:ascii="Arial" w:hAnsi="Arial" w:cs="Arial"/>
          <w:color w:val="00000A"/>
          <w:spacing w:val="-4"/>
          <w:sz w:val="17"/>
          <w:szCs w:val="17"/>
          <w:u w:val="none"/>
          <w:lang w:val="en-GB"/>
        </w:rPr>
        <w:t>www.theguardian.com/news/2018/may/15/has-wine-gone-bad-organic-biodynamic-natural-wine?CMP=share_btn_fb.</w:t>
      </w:r>
    </w:p>
  </w:endnote>
  <w:endnote w:id="56">
    <w:p w14:paraId="73AB5508" w14:textId="29C41CB4"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None"/>
          <w:rFonts w:eastAsia="Cambria"/>
          <w:spacing w:val="-4"/>
          <w:lang w:val="en-GB"/>
        </w:rPr>
        <w:t xml:space="preserve"> Lois Abraham, “Canadians Buying More Imported Wines and Tequila: Study,” CP24, February 17, 2015, accessed</w:t>
      </w:r>
      <w:r w:rsidRPr="00576FEA">
        <w:rPr>
          <w:rStyle w:val="None"/>
          <w:spacing w:val="-4"/>
          <w:lang w:val="en-GB"/>
        </w:rPr>
        <w:t xml:space="preserve"> February 20, 2019,</w:t>
      </w:r>
      <w:r w:rsidRPr="00576FEA">
        <w:rPr>
          <w:rStyle w:val="None"/>
          <w:rFonts w:eastAsia="Cambria"/>
          <w:spacing w:val="-4"/>
          <w:lang w:val="en-GB"/>
        </w:rPr>
        <w:t xml:space="preserve"> </w:t>
      </w:r>
      <w:r w:rsidRPr="00576FEA">
        <w:rPr>
          <w:rStyle w:val="Hyperlink3"/>
          <w:rFonts w:ascii="Arial" w:hAnsi="Arial" w:cs="Arial"/>
          <w:spacing w:val="-4"/>
          <w:sz w:val="17"/>
          <w:szCs w:val="17"/>
          <w:lang w:val="en-GB"/>
        </w:rPr>
        <w:t>www.cp24.com/lifestyle/human-interest/canadians-buying-more-imported-wines-and-tequila-study-1.2240607.</w:t>
      </w:r>
    </w:p>
  </w:endnote>
  <w:endnote w:id="57">
    <w:p w14:paraId="61923F93" w14:textId="1658F7B8"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rStyle w:val="Hyperlink3"/>
          <w:rFonts w:ascii="Arial" w:hAnsi="Arial" w:cs="Arial"/>
          <w:spacing w:val="-4"/>
          <w:sz w:val="17"/>
          <w:szCs w:val="17"/>
          <w:lang w:val="en-GB"/>
        </w:rPr>
        <w:t>“Canadian Wine and Grape Industry Contributes $9 Billion in Economic Impact to Canadian Economy,” Canadian Vintners Association, op. cit.</w:t>
      </w:r>
    </w:p>
  </w:endnote>
  <w:endnote w:id="58">
    <w:p w14:paraId="45E6FE59" w14:textId="430309F1"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4"/>
          <w:rFonts w:ascii="Arial" w:eastAsia="Calibri" w:hAnsi="Arial" w:cs="Arial"/>
          <w:color w:val="00000A"/>
          <w:spacing w:val="-4"/>
          <w:sz w:val="17"/>
          <w:szCs w:val="17"/>
          <w:u w:val="none"/>
          <w:lang w:val="en-GB"/>
        </w:rPr>
        <w:t xml:space="preserve"> Swartz, op. cit.</w:t>
      </w:r>
    </w:p>
  </w:endnote>
  <w:endnote w:id="59">
    <w:p w14:paraId="5B231E5F" w14:textId="163EA8BC"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James Wainscott, op. cit.</w:t>
      </w:r>
    </w:p>
  </w:endnote>
  <w:endnote w:id="60">
    <w:p w14:paraId="45DF190B" w14:textId="06F337C6"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Paul Franson,</w:t>
      </w:r>
      <w:r w:rsidRPr="00576FEA">
        <w:rPr>
          <w:spacing w:val="-4"/>
        </w:rPr>
        <w:t xml:space="preserve"> “</w:t>
      </w:r>
      <w:r w:rsidRPr="00576FEA">
        <w:rPr>
          <w:rStyle w:val="Hyperlink0"/>
          <w:rFonts w:ascii="Arial" w:hAnsi="Arial" w:cs="Arial"/>
          <w:spacing w:val="-4"/>
          <w:sz w:val="17"/>
          <w:szCs w:val="17"/>
          <w:lang w:val="en-GB"/>
        </w:rPr>
        <w:t xml:space="preserve">Number of Millennial Wine Drinkers Catches Boomers,” </w:t>
      </w:r>
      <w:r w:rsidRPr="00576FEA">
        <w:rPr>
          <w:rStyle w:val="Hyperlink0"/>
          <w:rFonts w:ascii="Arial" w:hAnsi="Arial" w:cs="Arial"/>
          <w:iCs/>
          <w:spacing w:val="-4"/>
          <w:sz w:val="17"/>
          <w:szCs w:val="17"/>
          <w:lang w:val="en-GB"/>
        </w:rPr>
        <w:t>Wines Vines Analytics</w:t>
      </w:r>
      <w:r w:rsidRPr="00576FEA">
        <w:rPr>
          <w:rStyle w:val="Hyperlink0"/>
          <w:rFonts w:ascii="Arial" w:hAnsi="Arial" w:cs="Arial"/>
          <w:i/>
          <w:iCs/>
          <w:spacing w:val="-4"/>
          <w:sz w:val="17"/>
          <w:szCs w:val="17"/>
          <w:lang w:val="en-GB"/>
        </w:rPr>
        <w:t>,</w:t>
      </w:r>
      <w:r w:rsidRPr="00576FEA">
        <w:rPr>
          <w:rStyle w:val="Hyperlink0"/>
          <w:rFonts w:ascii="Arial" w:hAnsi="Arial" w:cs="Arial"/>
          <w:spacing w:val="-4"/>
          <w:sz w:val="17"/>
          <w:szCs w:val="17"/>
          <w:lang w:val="en-GB"/>
        </w:rPr>
        <w:t xml:space="preserve"> March 17, 2016, accessed February 20, 2019, </w:t>
      </w:r>
      <w:r w:rsidRPr="00576FEA">
        <w:rPr>
          <w:rStyle w:val="Hyperlink5"/>
          <w:rFonts w:ascii="Arial" w:hAnsi="Arial" w:cs="Arial"/>
          <w:color w:val="00000A"/>
          <w:spacing w:val="-4"/>
          <w:sz w:val="17"/>
          <w:szCs w:val="17"/>
          <w:u w:val="none"/>
          <w:lang w:val="en-GB"/>
        </w:rPr>
        <w:t>www.winesandvines.com/news/article/166313/Number-of-Millennial-Wine-Drinkers-Catches-Boomers.</w:t>
      </w:r>
    </w:p>
  </w:endnote>
  <w:endnote w:id="61">
    <w:p w14:paraId="3BC25C04" w14:textId="23E06BD6"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62">
    <w:p w14:paraId="4B3FDFAA" w14:textId="1A102A03"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Ambrose O’Callaghan, op. cit.</w:t>
      </w:r>
    </w:p>
  </w:endnote>
  <w:endnote w:id="63">
    <w:p w14:paraId="06F5342C" w14:textId="65D85BFB"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“History of Ontario Wine,” Wine Country Ontario, accessed February 20, 2019, www.winecountryontario.ca/sites/default/files/attachments/wco_timeline_vertical_updated_mar.24.14.pdf.</w:t>
      </w:r>
    </w:p>
  </w:endnote>
  <w:endnote w:id="64">
    <w:p w14:paraId="1677A733" w14:textId="49DCB23C"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“Diamond Estates,” Wines of Canada, accessed February 20, 2019, </w:t>
      </w:r>
      <w:r w:rsidRPr="00576FEA">
        <w:rPr>
          <w:rStyle w:val="Hyperlink5"/>
          <w:rFonts w:ascii="Arial" w:hAnsi="Arial" w:cs="Arial"/>
          <w:color w:val="00000A"/>
          <w:spacing w:val="-4"/>
          <w:sz w:val="17"/>
          <w:szCs w:val="17"/>
          <w:u w:val="none"/>
          <w:lang w:val="en-GB"/>
        </w:rPr>
        <w:t>www.winesofcanada.com/diamondestate.html.</w:t>
      </w:r>
    </w:p>
  </w:endnote>
  <w:endnote w:id="65">
    <w:p w14:paraId="0B8FBA16" w14:textId="6A6E2A5E"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Diamond Estates, “Corporate Presentation,” February 2017, accessed February 20, 2019, www.lakeviewwineco.com/files/DiamondEstatesInvestorPresentationFeb2017.pdf.</w:t>
      </w:r>
    </w:p>
  </w:endnote>
  <w:endnote w:id="66">
    <w:p w14:paraId="4951D378" w14:textId="07C61617"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“Diamond Estates Wines &amp; Spirits Ltd.,” op. cit.</w:t>
      </w:r>
    </w:p>
  </w:endnote>
  <w:endnote w:id="67">
    <w:p w14:paraId="6E95CFC5" w14:textId="54567632"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Scott Rosts, “Diamond Estates Acquires B.C. Winery,” </w:t>
      </w:r>
      <w:r w:rsidRPr="00576FEA">
        <w:rPr>
          <w:rStyle w:val="Hyperlink0"/>
          <w:rFonts w:ascii="Arial" w:hAnsi="Arial" w:cs="Arial"/>
          <w:iCs/>
          <w:spacing w:val="-4"/>
          <w:sz w:val="17"/>
          <w:szCs w:val="17"/>
          <w:lang w:val="en-GB"/>
        </w:rPr>
        <w:t>Niagara This Week</w:t>
      </w:r>
      <w:r w:rsidRPr="00576FEA">
        <w:rPr>
          <w:rStyle w:val="Hyperlink0"/>
          <w:rFonts w:ascii="Arial" w:hAnsi="Arial" w:cs="Arial"/>
          <w:i/>
          <w:iCs/>
          <w:spacing w:val="-4"/>
          <w:sz w:val="17"/>
          <w:szCs w:val="17"/>
          <w:lang w:val="en-GB"/>
        </w:rPr>
        <w:t>,</w:t>
      </w:r>
      <w:r w:rsidRPr="00576FEA">
        <w:rPr>
          <w:rStyle w:val="Hyperlink0"/>
          <w:rFonts w:ascii="Arial" w:hAnsi="Arial" w:cs="Arial"/>
          <w:spacing w:val="-4"/>
          <w:sz w:val="17"/>
          <w:szCs w:val="17"/>
          <w:lang w:val="en-GB"/>
        </w:rPr>
        <w:t xml:space="preserve"> July 4, 2018, accessed February 20, 2019, </w:t>
      </w:r>
      <w:r w:rsidRPr="00576FEA">
        <w:rPr>
          <w:rStyle w:val="Hyperlink5"/>
          <w:rFonts w:ascii="Arial" w:hAnsi="Arial" w:cs="Arial"/>
          <w:color w:val="00000A"/>
          <w:spacing w:val="-4"/>
          <w:sz w:val="17"/>
          <w:szCs w:val="17"/>
          <w:u w:val="none"/>
          <w:lang w:val="en-GB"/>
        </w:rPr>
        <w:t>www.niagarathisweek.com/news-story/8722465-diamond-estates-acquires-b-c-winery/.</w:t>
      </w:r>
    </w:p>
  </w:endnote>
  <w:endnote w:id="68">
    <w:p w14:paraId="2857291B" w14:textId="5307574C"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Diamond Estates, “Corporate Presentation,” op. cit.</w:t>
      </w:r>
    </w:p>
  </w:endnote>
  <w:endnote w:id="69">
    <w:p w14:paraId="0F0F3313" w14:textId="774844CE"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Diamond Estates Wines &amp; Spirits, “Three Month Periods Ended June 30, 2014”, accessed May 7, 2019, www.lakeviewwineco.com/files/financials-diamond-estates-audited-annual-statement-08-21-2014.pdf.</w:t>
      </w:r>
    </w:p>
  </w:endnote>
  <w:endnote w:id="70">
    <w:p w14:paraId="587B1243" w14:textId="40658C4E"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None"/>
          <w:spacing w:val="-4"/>
          <w:lang w:val="en-GB"/>
        </w:rPr>
        <w:t>Diamond Estates Wines &amp; Spirits, “Management Discussion and Analysis. Three- and Nine-Month-Periods Ended December 31, 2018 and 2017,” released February 26, 2019, accessed February 2019</w:t>
      </w:r>
      <w:r>
        <w:rPr>
          <w:rStyle w:val="None"/>
          <w:spacing w:val="-4"/>
          <w:lang w:val="en-GB"/>
        </w:rPr>
        <w:t>,</w:t>
      </w:r>
      <w:r w:rsidRPr="00576FEA">
        <w:rPr>
          <w:rStyle w:val="None"/>
          <w:spacing w:val="-4"/>
          <w:lang w:val="en-GB"/>
        </w:rPr>
        <w:t xml:space="preserve"> </w:t>
      </w:r>
      <w:hyperlink r:id="rId7" w:history="1">
        <w:r w:rsidRPr="00576FEA">
          <w:rPr>
            <w:rStyle w:val="Hyperlink2"/>
            <w:rFonts w:ascii="Arial" w:eastAsia="Arial Unicode MS" w:hAnsi="Arial" w:cs="Arial"/>
            <w:color w:val="00000A"/>
            <w:spacing w:val="-4"/>
            <w:sz w:val="17"/>
            <w:szCs w:val="17"/>
            <w:u w:val="none"/>
            <w:lang w:val="en-GB"/>
          </w:rPr>
          <w:t>www.sedar.com/DisplayCompanyDocuments.do?lang=EN&amp;issuerNo=00032682</w:t>
        </w:r>
      </w:hyperlink>
      <w:r w:rsidRPr="00576FEA">
        <w:rPr>
          <w:spacing w:val="-4"/>
          <w:lang w:val="en-GB"/>
        </w:rPr>
        <w:t>.</w:t>
      </w:r>
      <w:r w:rsidRPr="00576FEA">
        <w:rPr>
          <w:rStyle w:val="None"/>
          <w:spacing w:val="-4"/>
          <w:lang w:val="en-GB"/>
        </w:rPr>
        <w:t xml:space="preserve"> </w:t>
      </w:r>
    </w:p>
  </w:endnote>
  <w:endnote w:id="71">
    <w:p w14:paraId="1B194D08" w14:textId="699A0248"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Ibid.</w:t>
      </w:r>
    </w:p>
  </w:endnote>
  <w:endnote w:id="72">
    <w:p w14:paraId="05C7645E" w14:textId="593C4E35"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rStyle w:val="None"/>
          <w:spacing w:val="-4"/>
          <w:lang w:val="en-GB"/>
        </w:rPr>
        <w:t>Diamond Estates Wines &amp; Spirits, “Management Discussion and Analysis. Three- and Nine-Month-Periods Ended December 31, 2018 and 2017,” op. cit.</w:t>
      </w:r>
    </w:p>
  </w:endnote>
  <w:endnote w:id="73">
    <w:p w14:paraId="6A07C17C" w14:textId="6FCCB3D6"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Hyperlink0"/>
          <w:rFonts w:ascii="Arial" w:hAnsi="Arial" w:cs="Arial"/>
          <w:spacing w:val="-4"/>
          <w:sz w:val="17"/>
          <w:szCs w:val="17"/>
          <w:lang w:val="en-GB"/>
        </w:rPr>
        <w:t>Diamond Estates, “Corporate Presentation,” op. cit</w:t>
      </w:r>
      <w:r w:rsidRPr="00576FEA">
        <w:rPr>
          <w:spacing w:val="-4"/>
          <w:lang w:val="en-GB"/>
        </w:rPr>
        <w:t>.</w:t>
      </w:r>
    </w:p>
  </w:endnote>
  <w:endnote w:id="74">
    <w:p w14:paraId="739969F6" w14:textId="5BACE569" w:rsidR="00487482" w:rsidRPr="00576FEA" w:rsidRDefault="00487482" w:rsidP="00576FEA">
      <w:pPr>
        <w:pStyle w:val="Footnote"/>
        <w:rPr>
          <w:rFonts w:eastAsia="Cambria"/>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“2018 Ontario Wine Awards Winners,” Ontario Wine Awards, accessed February 20, 2019, </w:t>
      </w:r>
      <w:r w:rsidRPr="00576FEA">
        <w:rPr>
          <w:rStyle w:val="Hyperlink5"/>
          <w:rFonts w:ascii="Arial" w:hAnsi="Arial" w:cs="Arial"/>
          <w:color w:val="00000A"/>
          <w:spacing w:val="-4"/>
          <w:sz w:val="17"/>
          <w:szCs w:val="17"/>
          <w:u w:val="none"/>
          <w:lang w:val="en-GB"/>
        </w:rPr>
        <w:t xml:space="preserve">www.ontariowineawards.ca/medals-history; </w:t>
      </w:r>
      <w:r w:rsidRPr="00576FEA">
        <w:rPr>
          <w:rStyle w:val="Hyperlink0"/>
          <w:rFonts w:ascii="Arial" w:hAnsi="Arial" w:cs="Arial"/>
          <w:spacing w:val="-4"/>
          <w:sz w:val="17"/>
          <w:szCs w:val="17"/>
          <w:lang w:val="en-GB"/>
        </w:rPr>
        <w:t xml:space="preserve">Lakeview Wine Co., “2 Double Golds at the All Canadian Wine Championships!,” June 19, 2017, accessed February 20, 2019, </w:t>
      </w:r>
      <w:r w:rsidRPr="00576FEA">
        <w:rPr>
          <w:rStyle w:val="Hyperlink5"/>
          <w:rFonts w:ascii="Arial" w:hAnsi="Arial" w:cs="Arial"/>
          <w:color w:val="00000A"/>
          <w:spacing w:val="-4"/>
          <w:sz w:val="17"/>
          <w:szCs w:val="17"/>
          <w:u w:val="none"/>
          <w:lang w:val="en-GB"/>
        </w:rPr>
        <w:t>www.lakeviewwineco.com/site/blog/2017/06/19/2-double-golds-at-the-all-canadian-wine-championships.</w:t>
      </w:r>
    </w:p>
  </w:endnote>
  <w:endnote w:id="75">
    <w:p w14:paraId="40EC6271" w14:textId="31AAEB73"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Hyperlink0"/>
          <w:rFonts w:ascii="Arial" w:hAnsi="Arial" w:cs="Arial"/>
          <w:spacing w:val="-4"/>
          <w:sz w:val="17"/>
          <w:szCs w:val="17"/>
          <w:lang w:val="en-GB"/>
        </w:rPr>
        <w:t>Diamond Estates, “Corporate Presentation,” op. cit</w:t>
      </w:r>
      <w:r w:rsidRPr="00576FEA">
        <w:rPr>
          <w:spacing w:val="-4"/>
          <w:lang w:val="en-GB"/>
        </w:rPr>
        <w:t>.</w:t>
      </w:r>
    </w:p>
  </w:endnote>
  <w:endnote w:id="76">
    <w:p w14:paraId="7A33D28F" w14:textId="1DC9BD70"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Information compiled from Trajectory Beverage Partners (website), accessed February 20, 2019, www.trajectorybeverages.com/site/home#top.</w:t>
      </w:r>
    </w:p>
  </w:endnote>
  <w:endnote w:id="77">
    <w:p w14:paraId="775A4E0D" w14:textId="74C05F0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None"/>
          <w:rFonts w:eastAsia="Cambria"/>
          <w:spacing w:val="-4"/>
          <w:lang w:val="en-GB"/>
        </w:rPr>
        <w:t>“VQA Ontario Appellations of Origin,” VQA Ontario, op. cit.</w:t>
      </w:r>
    </w:p>
  </w:endnote>
  <w:endnote w:id="78">
    <w:p w14:paraId="1039376C" w14:textId="75707567"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Lakeview Wine Co., Lakeview Wine Co. A division of Diamond Estates Wine &amp; Spirits, Diamond Estates Wine &amp; Spirits, n.d. assessed June 23, 2019</w:t>
      </w:r>
      <w:r w:rsidRPr="00576FEA">
        <w:rPr>
          <w:spacing w:val="-4"/>
          <w:lang w:val="en-CA"/>
        </w:rPr>
        <w:t>,</w:t>
      </w:r>
      <w:r w:rsidRPr="00576FEA">
        <w:rPr>
          <w:spacing w:val="-4"/>
        </w:rPr>
        <w:t xml:space="preserve"> www.lakeviewwineco.com/site/home</w:t>
      </w:r>
      <w:r w:rsidRPr="00576FEA">
        <w:rPr>
          <w:spacing w:val="-4"/>
          <w:lang w:val="en-CA"/>
        </w:rPr>
        <w:t>.</w:t>
      </w:r>
    </w:p>
  </w:endnote>
  <w:endnote w:id="79">
    <w:p w14:paraId="30B756EE" w14:textId="33711CFA"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80">
    <w:p w14:paraId="38753B89" w14:textId="5D75E49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None"/>
          <w:spacing w:val="-4"/>
          <w:lang w:val="en-GB"/>
        </w:rPr>
        <w:t>Diamond Estates Wines &amp; Spirits, “Management Discussion and Analysis. Years Ended March 31, 2017 and 2016,” released June 23, 2017, accessed August, 2018</w:t>
      </w:r>
      <w:r>
        <w:rPr>
          <w:rStyle w:val="None"/>
          <w:spacing w:val="-4"/>
          <w:lang w:val="en-GB"/>
        </w:rPr>
        <w:t>,</w:t>
      </w:r>
      <w:r w:rsidRPr="00576FEA">
        <w:rPr>
          <w:rStyle w:val="None"/>
          <w:spacing w:val="-4"/>
          <w:lang w:val="en-GB"/>
        </w:rPr>
        <w:t xml:space="preserve"> </w:t>
      </w:r>
      <w:r w:rsidRPr="00576FEA">
        <w:rPr>
          <w:rStyle w:val="Hyperlink2"/>
          <w:rFonts w:ascii="Arial" w:eastAsia="Arial Unicode MS" w:hAnsi="Arial" w:cs="Arial"/>
          <w:color w:val="00000A"/>
          <w:spacing w:val="-4"/>
          <w:sz w:val="17"/>
          <w:szCs w:val="17"/>
          <w:u w:val="none"/>
          <w:lang w:val="en-GB"/>
        </w:rPr>
        <w:t>www.sedar.com/DisplayCompanyDocuments.do?lang=EN&amp;issuerNo=00032682</w:t>
      </w:r>
      <w:r w:rsidRPr="00576FEA">
        <w:rPr>
          <w:spacing w:val="-4"/>
          <w:lang w:val="en-GB"/>
        </w:rPr>
        <w:t>.</w:t>
      </w:r>
      <w:r w:rsidRPr="00576FEA">
        <w:rPr>
          <w:rStyle w:val="None"/>
          <w:spacing w:val="-4"/>
          <w:lang w:val="en-GB"/>
        </w:rPr>
        <w:t xml:space="preserve"> </w:t>
      </w:r>
    </w:p>
  </w:endnote>
  <w:endnote w:id="81">
    <w:p w14:paraId="4FFCE594" w14:textId="3582F7C9"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Hyperlink0"/>
          <w:rFonts w:ascii="Arial" w:hAnsi="Arial" w:cs="Arial"/>
          <w:spacing w:val="-4"/>
          <w:sz w:val="17"/>
          <w:szCs w:val="17"/>
          <w:lang w:val="en-GB"/>
        </w:rPr>
        <w:t>Diamond Estates, “Corporate Presentation,” op. cit.</w:t>
      </w:r>
    </w:p>
  </w:endnote>
  <w:endnote w:id="82">
    <w:p w14:paraId="05A85995" w14:textId="00F08309"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Hyperlink0"/>
          <w:rFonts w:ascii="Arial" w:hAnsi="Arial" w:cs="Arial"/>
          <w:spacing w:val="-4"/>
          <w:sz w:val="17"/>
          <w:szCs w:val="17"/>
          <w:lang w:val="en-GB"/>
        </w:rPr>
        <w:t>Ibid.</w:t>
      </w:r>
    </w:p>
  </w:endnote>
  <w:endnote w:id="83">
    <w:p w14:paraId="3D4C96A1" w14:textId="6B229569"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t>
      </w:r>
      <w:r w:rsidRPr="00576FEA">
        <w:rPr>
          <w:spacing w:val="-4"/>
          <w:lang w:val="en-CA"/>
        </w:rPr>
        <w:t>Ibid.</w:t>
      </w:r>
    </w:p>
  </w:endnote>
  <w:endnote w:id="84">
    <w:p w14:paraId="4B601CC4" w14:textId="27BF2C4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None"/>
          <w:spacing w:val="-4"/>
          <w:lang w:val="en-GB"/>
        </w:rPr>
        <w:t>Diamond Estates Wines &amp; Spirits, “Management Discussion and Analysis. Three- and Nine-Month-Periods Ended December 31, 2018 and 2017,” op. cit</w:t>
      </w:r>
      <w:r w:rsidRPr="00576FEA">
        <w:rPr>
          <w:spacing w:val="-4"/>
          <w:lang w:val="en-GB"/>
        </w:rPr>
        <w:t>.</w:t>
      </w:r>
    </w:p>
  </w:endnote>
  <w:endnote w:id="85">
    <w:p w14:paraId="44C68B20" w14:textId="353E49C8"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rStyle w:val="Hyperlink0"/>
          <w:rFonts w:ascii="Arial" w:hAnsi="Arial" w:cs="Arial"/>
          <w:spacing w:val="-4"/>
          <w:sz w:val="17"/>
          <w:szCs w:val="17"/>
          <w:lang w:val="en-GB"/>
        </w:rPr>
        <w:t xml:space="preserve"> Agriculture and Agri-food Canada, </w:t>
      </w:r>
      <w:r w:rsidRPr="00576FEA">
        <w:rPr>
          <w:rStyle w:val="Hyperlink0"/>
          <w:rFonts w:ascii="Arial" w:hAnsi="Arial" w:cs="Arial"/>
          <w:i/>
          <w:spacing w:val="-4"/>
          <w:sz w:val="17"/>
          <w:szCs w:val="17"/>
          <w:lang w:val="en-GB"/>
        </w:rPr>
        <w:t>Consumer Trends: Wine, Beer and Spirits in Canada</w:t>
      </w:r>
      <w:r w:rsidRPr="00576FEA">
        <w:rPr>
          <w:rStyle w:val="Hyperlink0"/>
          <w:rFonts w:ascii="Arial" w:hAnsi="Arial" w:cs="Arial"/>
          <w:spacing w:val="-4"/>
          <w:sz w:val="17"/>
          <w:szCs w:val="17"/>
          <w:lang w:val="en-GB"/>
        </w:rPr>
        <w:t>, September 2013, accessed July 2018, www.agr.gc.ca/eng/industry-markets-and-trade/international-agri-food-market-intelligence/canada/consumer-trends-wine-beer-and-spirits-in-canada/?id=1422297046469.</w:t>
      </w:r>
    </w:p>
  </w:endnote>
  <w:endnote w:id="86">
    <w:p w14:paraId="58B2D8F6" w14:textId="1651640D"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Andrew Peller Limited, </w:t>
      </w:r>
      <w:r w:rsidRPr="00576FEA">
        <w:rPr>
          <w:i/>
          <w:spacing w:val="-4"/>
          <w:lang w:val="en-GB"/>
        </w:rPr>
        <w:t xml:space="preserve">Annual Information Form, </w:t>
      </w:r>
      <w:r w:rsidRPr="00576FEA">
        <w:rPr>
          <w:spacing w:val="-4"/>
          <w:lang w:val="en-GB"/>
        </w:rPr>
        <w:t>June 6, 2018, accessed February 20, 2019, www.andrewpeller.com/UserFiles/File/AIF%20(Final).pdf.</w:t>
      </w:r>
    </w:p>
  </w:endnote>
  <w:endnote w:id="87">
    <w:p w14:paraId="504F0970" w14:textId="5387368E" w:rsidR="00487482" w:rsidRPr="00576FEA" w:rsidRDefault="00487482" w:rsidP="00576FEA">
      <w:pPr>
        <w:pStyle w:val="Footnote"/>
        <w:rPr>
          <w:spacing w:val="-4"/>
          <w:lang w:val="en-CA"/>
        </w:rPr>
      </w:pPr>
      <w:r w:rsidRPr="00576FEA">
        <w:rPr>
          <w:rStyle w:val="EndnoteReference"/>
          <w:spacing w:val="-4"/>
        </w:rPr>
        <w:endnoteRef/>
      </w:r>
      <w:r w:rsidRPr="00576FEA">
        <w:rPr>
          <w:spacing w:val="-4"/>
        </w:rPr>
        <w:t xml:space="preserve"> Wine of Canada, "Diamond Estates," n.d., accessed February 20, 2019 www.winesofcanada.com/diamondestate.html</w:t>
      </w:r>
    </w:p>
  </w:endnote>
  <w:endnote w:id="88">
    <w:p w14:paraId="10B6C646" w14:textId="52C59271" w:rsidR="00487482" w:rsidRPr="00576FEA" w:rsidRDefault="00487482" w:rsidP="00576FEA">
      <w:pPr>
        <w:pStyle w:val="Footnote"/>
        <w:rPr>
          <w:spacing w:val="-4"/>
        </w:rPr>
      </w:pPr>
      <w:r w:rsidRPr="00576FEA">
        <w:rPr>
          <w:rStyle w:val="EndnoteReference"/>
          <w:spacing w:val="-4"/>
        </w:rPr>
        <w:endnoteRef/>
      </w:r>
      <w:r w:rsidRPr="00576FEA">
        <w:rPr>
          <w:spacing w:val="-4"/>
        </w:rPr>
        <w:t xml:space="preserve"> Andrew Peller Limited, </w:t>
      </w:r>
      <w:r w:rsidRPr="00576FEA">
        <w:rPr>
          <w:i/>
          <w:spacing w:val="-4"/>
        </w:rPr>
        <w:t>Annual Information Form</w:t>
      </w:r>
      <w:r w:rsidRPr="00576FEA">
        <w:rPr>
          <w:spacing w:val="-4"/>
        </w:rPr>
        <w:t>, June 6, 2018 access July 31, 2019</w:t>
      </w:r>
      <w:r>
        <w:rPr>
          <w:spacing w:val="-4"/>
        </w:rPr>
        <w:t xml:space="preserve">, </w:t>
      </w:r>
      <w:r w:rsidRPr="00576FEA">
        <w:rPr>
          <w:spacing w:val="-4"/>
        </w:rPr>
        <w:t>www.andrewpeller.com/UserFiles/</w:t>
      </w:r>
    </w:p>
    <w:p w14:paraId="21D1473B" w14:textId="41987469" w:rsidR="00487482" w:rsidRPr="00576FEA" w:rsidRDefault="00487482" w:rsidP="00576FEA">
      <w:pPr>
        <w:pStyle w:val="Footnote"/>
        <w:rPr>
          <w:spacing w:val="-4"/>
          <w:lang w:val="en-CA"/>
        </w:rPr>
      </w:pPr>
      <w:r w:rsidRPr="00576FEA">
        <w:rPr>
          <w:spacing w:val="-4"/>
        </w:rPr>
        <w:t>File/AIF%20(Final).pdf</w:t>
      </w:r>
    </w:p>
  </w:endnote>
  <w:endnote w:id="89">
    <w:p w14:paraId="5F2DA841" w14:textId="74ECF5A3" w:rsidR="00487482" w:rsidRPr="00576FEA" w:rsidRDefault="00487482" w:rsidP="00576FEA">
      <w:pPr>
        <w:pStyle w:val="Footnote"/>
        <w:rPr>
          <w:rStyle w:val="Hyperlink3"/>
          <w:rFonts w:ascii="Arial" w:hAnsi="Arial" w:cs="Arial"/>
          <w:spacing w:val="-4"/>
          <w:sz w:val="17"/>
          <w:szCs w:val="17"/>
          <w:lang w:val="en-GB"/>
        </w:rPr>
      </w:pPr>
      <w:r w:rsidRPr="00576FEA">
        <w:rPr>
          <w:rStyle w:val="EndnoteCharacters"/>
          <w:rFonts w:ascii="Arial" w:hAnsi="Arial" w:cs="Arial"/>
          <w:spacing w:val="-4"/>
          <w:sz w:val="17"/>
          <w:szCs w:val="17"/>
          <w:lang w:val="en-GB"/>
        </w:rPr>
        <w:endnoteRef/>
      </w:r>
      <w:r w:rsidRPr="00576FEA">
        <w:rPr>
          <w:rStyle w:val="Hyperlink3"/>
          <w:rFonts w:ascii="Arial" w:hAnsi="Arial" w:cs="Arial"/>
          <w:spacing w:val="-4"/>
          <w:sz w:val="17"/>
          <w:szCs w:val="17"/>
          <w:lang w:val="en-GB"/>
        </w:rPr>
        <w:t xml:space="preserve"> Andrew Peller Limited,</w:t>
      </w:r>
      <w:r w:rsidRPr="00576FEA">
        <w:rPr>
          <w:rStyle w:val="Hyperlink3"/>
          <w:rFonts w:ascii="Arial" w:hAnsi="Arial" w:cs="Arial"/>
          <w:i/>
          <w:spacing w:val="-4"/>
          <w:sz w:val="17"/>
          <w:szCs w:val="17"/>
          <w:lang w:val="en-GB"/>
        </w:rPr>
        <w:t xml:space="preserve"> 2017 Annual Report</w:t>
      </w:r>
      <w:r w:rsidRPr="00576FEA">
        <w:rPr>
          <w:rStyle w:val="Hyperlink3"/>
          <w:rFonts w:ascii="Arial" w:hAnsi="Arial" w:cs="Arial"/>
          <w:spacing w:val="-4"/>
          <w:sz w:val="17"/>
          <w:szCs w:val="17"/>
          <w:lang w:val="en-GB"/>
        </w:rPr>
        <w:t>, accessed</w:t>
      </w:r>
      <w:r w:rsidRPr="00576FEA">
        <w:rPr>
          <w:rStyle w:val="None"/>
          <w:spacing w:val="-4"/>
          <w:lang w:val="en-GB"/>
        </w:rPr>
        <w:t xml:space="preserve"> February 20, 2019, </w:t>
      </w:r>
      <w:r w:rsidRPr="00576FEA">
        <w:rPr>
          <w:rStyle w:val="Hyperlink3"/>
          <w:rFonts w:ascii="Arial" w:hAnsi="Arial" w:cs="Arial"/>
          <w:spacing w:val="-4"/>
          <w:sz w:val="17"/>
          <w:szCs w:val="17"/>
          <w:lang w:val="en-GB"/>
        </w:rPr>
        <w:t>www.andrewpeller.com/UserFiles/File/Annual%20</w:t>
      </w:r>
    </w:p>
    <w:p w14:paraId="5C26C559" w14:textId="396B29C1" w:rsidR="00487482" w:rsidRPr="00576FEA" w:rsidRDefault="00487482" w:rsidP="00576FEA">
      <w:pPr>
        <w:pStyle w:val="Footnote"/>
        <w:rPr>
          <w:rFonts w:eastAsia="Cambria"/>
          <w:spacing w:val="-4"/>
          <w:lang w:val="en-GB"/>
        </w:rPr>
      </w:pPr>
      <w:r w:rsidRPr="00576FEA">
        <w:rPr>
          <w:rStyle w:val="Hyperlink3"/>
          <w:rFonts w:ascii="Arial" w:hAnsi="Arial" w:cs="Arial"/>
          <w:spacing w:val="-4"/>
          <w:sz w:val="17"/>
          <w:szCs w:val="17"/>
          <w:lang w:val="en-GB"/>
        </w:rPr>
        <w:t>Report%202017%20(FINAL)%20v4.pdf.</w:t>
      </w:r>
    </w:p>
  </w:endnote>
  <w:endnote w:id="90">
    <w:p w14:paraId="494AAEB7" w14:textId="4B9AA676"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“2017 Annual Report,” Corby Spirit and Wine, accessed </w:t>
      </w:r>
      <w:r w:rsidRPr="00576FEA">
        <w:rPr>
          <w:rStyle w:val="None"/>
          <w:spacing w:val="-4"/>
          <w:lang w:val="en-GB"/>
        </w:rPr>
        <w:t>February 20, 2019,</w:t>
      </w:r>
      <w:r w:rsidRPr="00576FEA">
        <w:rPr>
          <w:rStyle w:val="Hyperlink3"/>
          <w:rFonts w:ascii="Arial" w:hAnsi="Arial" w:cs="Arial"/>
          <w:spacing w:val="-4"/>
          <w:sz w:val="17"/>
          <w:szCs w:val="17"/>
          <w:lang w:val="en-GB"/>
        </w:rPr>
        <w:t xml:space="preserve"> http://reports.corby.ca/2017/.</w:t>
      </w:r>
    </w:p>
  </w:endnote>
  <w:endnote w:id="91">
    <w:p w14:paraId="4DE11A21" w14:textId="76E11882"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Viña Concha y Toro S.A., Form 6-K, May 22, 2018, accessed February 20, 2019, http://secfilings.nasdaq.com/filingFrameset.asp?FilingID=12772698&amp;RcvdDate=5/22/2018&amp;CoName=CONCHA%20Y%20TORO%20WINERY%20INC&amp;FormType=6-K&amp;View=orig. </w:t>
      </w:r>
    </w:p>
  </w:endnote>
  <w:endnote w:id="92">
    <w:p w14:paraId="445C669D" w14:textId="3106D197"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Truett-Hurst Inc., Form 10-Q, March 31, 2018, accessed August 12, 2019, http://app.quotemedia.com/data/downloadFiling?</w:t>
      </w:r>
    </w:p>
    <w:p w14:paraId="52866ABC" w14:textId="77777777" w:rsidR="00487482" w:rsidRPr="00576FEA" w:rsidRDefault="00487482" w:rsidP="00576FEA">
      <w:pPr>
        <w:pStyle w:val="Footnote"/>
        <w:rPr>
          <w:spacing w:val="-4"/>
          <w:lang w:val="en-GB"/>
        </w:rPr>
      </w:pPr>
      <w:r w:rsidRPr="00576FEA">
        <w:rPr>
          <w:spacing w:val="-4"/>
          <w:lang w:val="en-GB"/>
        </w:rPr>
        <w:t>webmasterId=101533&amp;ref=12258693&amp;type=HTML&amp;symbol=THST&amp;companyName=Truett-Hurst+Inc.&amp;formType=10-Q&amp;</w:t>
      </w:r>
    </w:p>
    <w:p w14:paraId="28639A60" w14:textId="4FB449F7" w:rsidR="00487482" w:rsidRPr="00576FEA" w:rsidRDefault="00487482" w:rsidP="00576FEA">
      <w:pPr>
        <w:pStyle w:val="Footnote"/>
        <w:rPr>
          <w:spacing w:val="-4"/>
          <w:lang w:val="en-GB"/>
        </w:rPr>
      </w:pPr>
      <w:proofErr w:type="spellStart"/>
      <w:r w:rsidRPr="00576FEA">
        <w:rPr>
          <w:spacing w:val="-4"/>
          <w:lang w:val="en-GB"/>
        </w:rPr>
        <w:t>dateFiled</w:t>
      </w:r>
      <w:proofErr w:type="spellEnd"/>
      <w:r w:rsidRPr="00576FEA">
        <w:rPr>
          <w:spacing w:val="-4"/>
          <w:lang w:val="en-GB"/>
        </w:rPr>
        <w:t>=2018-05-15.</w:t>
      </w:r>
    </w:p>
  </w:endnote>
  <w:endnote w:id="93">
    <w:p w14:paraId="4DE1043C" w14:textId="313031BC"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Treasury Wine Estates, </w:t>
      </w:r>
      <w:r w:rsidRPr="00576FEA">
        <w:rPr>
          <w:i/>
          <w:spacing w:val="-4"/>
          <w:lang w:val="en-GB"/>
        </w:rPr>
        <w:t>Interim 2018 Results</w:t>
      </w:r>
      <w:r w:rsidRPr="00576FEA">
        <w:rPr>
          <w:spacing w:val="-4"/>
          <w:lang w:val="en-GB"/>
        </w:rPr>
        <w:t>, January 31, 2018. accessed February 20, 2019, www.tweglobal.com/-/media/Files/Global/ASX-Announcements/2018/2018-Interim-Results-Investor-and-Analyst-Presentation-31-January-2018.ashx.</w:t>
      </w:r>
    </w:p>
  </w:endnote>
  <w:endnote w:id="94">
    <w:p w14:paraId="01B1CB2D" w14:textId="77777777"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Arterra Wines Canada, Company Website, accessed Feb 12, 2019, www.arterracanada.com. </w:t>
      </w:r>
    </w:p>
  </w:endnote>
  <w:endnote w:id="95">
    <w:p w14:paraId="447B8C26" w14:textId="7C38C8D5"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Constellation Brands, </w:t>
      </w:r>
      <w:proofErr w:type="gramStart"/>
      <w:r w:rsidRPr="00576FEA">
        <w:rPr>
          <w:spacing w:val="-4"/>
          <w:lang w:val="en-GB"/>
        </w:rPr>
        <w:t>Form</w:t>
      </w:r>
      <w:proofErr w:type="gramEnd"/>
      <w:r w:rsidRPr="00576FEA">
        <w:rPr>
          <w:spacing w:val="-4"/>
          <w:lang w:val="en-GB"/>
        </w:rPr>
        <w:t xml:space="preserve"> 10_K. Feb. 28, 2018, Company Reports and SEC filings accessed Aug 12, 2019, www.cbrands.com/investors/reporting?group=Quarterly%20Filings.</w:t>
      </w:r>
    </w:p>
  </w:endnote>
  <w:endnote w:id="96">
    <w:p w14:paraId="101D52CB" w14:textId="66BFD9BE" w:rsidR="00487482" w:rsidRPr="00576FEA" w:rsidRDefault="00487482" w:rsidP="00576FEA">
      <w:pPr>
        <w:pStyle w:val="Footnote"/>
        <w:rPr>
          <w:spacing w:val="-4"/>
          <w:lang w:val="en-GB"/>
        </w:rPr>
      </w:pPr>
      <w:r w:rsidRPr="00576FEA">
        <w:rPr>
          <w:rStyle w:val="EndnoteCharacters"/>
          <w:rFonts w:ascii="Arial" w:hAnsi="Arial" w:cs="Arial"/>
          <w:spacing w:val="-4"/>
          <w:sz w:val="17"/>
          <w:szCs w:val="17"/>
          <w:lang w:val="en-GB"/>
        </w:rPr>
        <w:endnoteRef/>
      </w:r>
      <w:r w:rsidRPr="00576FEA">
        <w:rPr>
          <w:spacing w:val="-4"/>
          <w:lang w:val="en-GB"/>
        </w:rPr>
        <w:t xml:space="preserve"> </w:t>
      </w:r>
      <w:r w:rsidRPr="00576FEA">
        <w:rPr>
          <w:rStyle w:val="Hyperlink0"/>
          <w:rFonts w:ascii="Arial" w:hAnsi="Arial" w:cs="Arial"/>
          <w:spacing w:val="-4"/>
          <w:sz w:val="17"/>
          <w:szCs w:val="17"/>
          <w:lang w:val="en-GB"/>
        </w:rPr>
        <w:t>Diamond Estates, “Corporate Presentation,”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F266" w14:textId="77777777" w:rsidR="00487482" w:rsidRDefault="00487482" w:rsidP="00D75295">
      <w:r>
        <w:separator/>
      </w:r>
    </w:p>
  </w:footnote>
  <w:footnote w:type="continuationSeparator" w:id="0">
    <w:p w14:paraId="67672AD5" w14:textId="77777777" w:rsidR="00487482" w:rsidRDefault="00487482" w:rsidP="00D75295">
      <w:r>
        <w:continuationSeparator/>
      </w:r>
    </w:p>
  </w:footnote>
  <w:footnote w:type="continuationNotice" w:id="1">
    <w:p w14:paraId="5289DF22" w14:textId="77777777" w:rsidR="00487482" w:rsidRDefault="00487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38C99FD" w:rsidR="00487482" w:rsidRPr="00C92CC4" w:rsidRDefault="0048748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9B19M139</w:t>
    </w:r>
  </w:p>
  <w:p w14:paraId="2B53C0A0" w14:textId="77777777" w:rsidR="00487482" w:rsidRDefault="00487482" w:rsidP="00D13667">
    <w:pPr>
      <w:pStyle w:val="Header"/>
      <w:tabs>
        <w:tab w:val="clear" w:pos="4680"/>
      </w:tabs>
      <w:rPr>
        <w:sz w:val="18"/>
        <w:szCs w:val="18"/>
      </w:rPr>
    </w:pPr>
  </w:p>
  <w:p w14:paraId="47119730" w14:textId="77777777" w:rsidR="00487482" w:rsidRPr="00C92CC4" w:rsidRDefault="00487482"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C2C48" w14:textId="2E857D98" w:rsidR="00487482" w:rsidRPr="00C92CC4" w:rsidRDefault="00487482" w:rsidP="008C0EBA">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9B19M139</w:t>
    </w:r>
  </w:p>
  <w:p w14:paraId="6F3B7BF4" w14:textId="77777777" w:rsidR="00487482" w:rsidRDefault="00487482" w:rsidP="008C0EBA">
    <w:pPr>
      <w:pStyle w:val="Header"/>
      <w:tabs>
        <w:tab w:val="clear" w:pos="4680"/>
        <w:tab w:val="clear" w:pos="9360"/>
        <w:tab w:val="right" w:pos="12960"/>
      </w:tabs>
      <w:rPr>
        <w:sz w:val="18"/>
        <w:szCs w:val="18"/>
      </w:rPr>
    </w:pPr>
  </w:p>
  <w:p w14:paraId="580F2983" w14:textId="77777777" w:rsidR="00487482" w:rsidRPr="00C92CC4" w:rsidRDefault="00487482" w:rsidP="008C0EBA">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FE58F" w14:textId="37257556" w:rsidR="00487482" w:rsidRPr="00C92CC4" w:rsidRDefault="00487482" w:rsidP="008C0EBA">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t>9B19M139</w:t>
    </w:r>
  </w:p>
  <w:p w14:paraId="34867B1D" w14:textId="77777777" w:rsidR="00487482" w:rsidRDefault="00487482" w:rsidP="008C0EBA">
    <w:pPr>
      <w:pStyle w:val="Header"/>
      <w:tabs>
        <w:tab w:val="clear" w:pos="4680"/>
      </w:tabs>
      <w:rPr>
        <w:sz w:val="18"/>
        <w:szCs w:val="18"/>
      </w:rPr>
    </w:pPr>
  </w:p>
  <w:p w14:paraId="262DCB0C" w14:textId="77777777" w:rsidR="00487482" w:rsidRPr="00C92CC4" w:rsidRDefault="00487482" w:rsidP="008C0EBA">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ECD18" w14:textId="1AC86DC3" w:rsidR="00487482" w:rsidRPr="00C92CC4" w:rsidRDefault="00487482" w:rsidP="003978BF">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9B19M139</w:t>
    </w:r>
  </w:p>
  <w:p w14:paraId="427F1212" w14:textId="77777777" w:rsidR="00487482" w:rsidRDefault="00487482" w:rsidP="003978BF">
    <w:pPr>
      <w:pStyle w:val="Header"/>
      <w:tabs>
        <w:tab w:val="clear" w:pos="4680"/>
        <w:tab w:val="clear" w:pos="9360"/>
        <w:tab w:val="right" w:pos="12960"/>
      </w:tabs>
      <w:rPr>
        <w:sz w:val="18"/>
        <w:szCs w:val="18"/>
      </w:rPr>
    </w:pPr>
  </w:p>
  <w:p w14:paraId="1FE51C3A" w14:textId="77777777" w:rsidR="00487482" w:rsidRPr="00C92CC4" w:rsidRDefault="00487482" w:rsidP="003978BF">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18539" w14:textId="193C4C29" w:rsidR="00487482" w:rsidRPr="00C92CC4" w:rsidRDefault="00487482" w:rsidP="002108C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19</w:t>
    </w:r>
    <w:r>
      <w:rPr>
        <w:rFonts w:ascii="Arial" w:hAnsi="Arial"/>
        <w:b/>
      </w:rPr>
      <w:fldChar w:fldCharType="end"/>
    </w:r>
    <w:r>
      <w:rPr>
        <w:rFonts w:ascii="Arial" w:hAnsi="Arial"/>
        <w:b/>
      </w:rPr>
      <w:tab/>
      <w:t>9B19M139</w:t>
    </w:r>
  </w:p>
  <w:p w14:paraId="4400C5A8" w14:textId="77777777" w:rsidR="00487482" w:rsidRDefault="00487482" w:rsidP="002108C7">
    <w:pPr>
      <w:pStyle w:val="Header"/>
      <w:tabs>
        <w:tab w:val="clear" w:pos="4680"/>
      </w:tabs>
      <w:rPr>
        <w:sz w:val="18"/>
        <w:szCs w:val="18"/>
      </w:rPr>
    </w:pPr>
  </w:p>
  <w:p w14:paraId="6CAB91E0" w14:textId="77777777" w:rsidR="00487482" w:rsidRPr="00C92CC4" w:rsidRDefault="00487482" w:rsidP="002108C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78F"/>
    <w:rsid w:val="0000085A"/>
    <w:rsid w:val="000042BD"/>
    <w:rsid w:val="000079FA"/>
    <w:rsid w:val="00013360"/>
    <w:rsid w:val="00016759"/>
    <w:rsid w:val="000216CE"/>
    <w:rsid w:val="0002242E"/>
    <w:rsid w:val="00023400"/>
    <w:rsid w:val="00024ED4"/>
    <w:rsid w:val="00025DC7"/>
    <w:rsid w:val="00035F09"/>
    <w:rsid w:val="00040E49"/>
    <w:rsid w:val="000449B7"/>
    <w:rsid w:val="00044ECC"/>
    <w:rsid w:val="0004787B"/>
    <w:rsid w:val="00051589"/>
    <w:rsid w:val="000531D3"/>
    <w:rsid w:val="00054DAD"/>
    <w:rsid w:val="0005646B"/>
    <w:rsid w:val="000615D1"/>
    <w:rsid w:val="000649BC"/>
    <w:rsid w:val="000702E9"/>
    <w:rsid w:val="0008102D"/>
    <w:rsid w:val="00082F15"/>
    <w:rsid w:val="00086B26"/>
    <w:rsid w:val="00092B87"/>
    <w:rsid w:val="00093760"/>
    <w:rsid w:val="00094C0E"/>
    <w:rsid w:val="00095FE7"/>
    <w:rsid w:val="00096E9A"/>
    <w:rsid w:val="000A146D"/>
    <w:rsid w:val="000A3341"/>
    <w:rsid w:val="000A751D"/>
    <w:rsid w:val="000B0FCF"/>
    <w:rsid w:val="000B394E"/>
    <w:rsid w:val="000C5B1F"/>
    <w:rsid w:val="000D18FA"/>
    <w:rsid w:val="000D2A2F"/>
    <w:rsid w:val="000D4C91"/>
    <w:rsid w:val="000D7091"/>
    <w:rsid w:val="000E01DA"/>
    <w:rsid w:val="000E2574"/>
    <w:rsid w:val="000F0C22"/>
    <w:rsid w:val="000F29CC"/>
    <w:rsid w:val="000F3D73"/>
    <w:rsid w:val="000F6B09"/>
    <w:rsid w:val="000F6FDC"/>
    <w:rsid w:val="00100559"/>
    <w:rsid w:val="00104567"/>
    <w:rsid w:val="00104916"/>
    <w:rsid w:val="00104AA7"/>
    <w:rsid w:val="00111D83"/>
    <w:rsid w:val="0011430A"/>
    <w:rsid w:val="0011508D"/>
    <w:rsid w:val="00115D29"/>
    <w:rsid w:val="0012732D"/>
    <w:rsid w:val="001278AB"/>
    <w:rsid w:val="00127CB1"/>
    <w:rsid w:val="00135256"/>
    <w:rsid w:val="00143F25"/>
    <w:rsid w:val="00152682"/>
    <w:rsid w:val="00154FC9"/>
    <w:rsid w:val="00165EA7"/>
    <w:rsid w:val="00166679"/>
    <w:rsid w:val="001768FB"/>
    <w:rsid w:val="001802B6"/>
    <w:rsid w:val="001901C0"/>
    <w:rsid w:val="00190B43"/>
    <w:rsid w:val="0019241A"/>
    <w:rsid w:val="00192A18"/>
    <w:rsid w:val="00192F20"/>
    <w:rsid w:val="00197A9D"/>
    <w:rsid w:val="001A0C8A"/>
    <w:rsid w:val="001A22D1"/>
    <w:rsid w:val="001A2D91"/>
    <w:rsid w:val="001A6A90"/>
    <w:rsid w:val="001A6BBC"/>
    <w:rsid w:val="001A752D"/>
    <w:rsid w:val="001A757E"/>
    <w:rsid w:val="001B5032"/>
    <w:rsid w:val="001B5065"/>
    <w:rsid w:val="001C08BB"/>
    <w:rsid w:val="001C7000"/>
    <w:rsid w:val="001C7777"/>
    <w:rsid w:val="001D1A32"/>
    <w:rsid w:val="001D344B"/>
    <w:rsid w:val="001D36E6"/>
    <w:rsid w:val="001D53BE"/>
    <w:rsid w:val="001E2D9B"/>
    <w:rsid w:val="001E364F"/>
    <w:rsid w:val="001E4EFE"/>
    <w:rsid w:val="001F4222"/>
    <w:rsid w:val="002008A6"/>
    <w:rsid w:val="002037F5"/>
    <w:rsid w:val="00203985"/>
    <w:rsid w:val="00203AA1"/>
    <w:rsid w:val="002108C7"/>
    <w:rsid w:val="00211124"/>
    <w:rsid w:val="00213E98"/>
    <w:rsid w:val="00216336"/>
    <w:rsid w:val="002213D9"/>
    <w:rsid w:val="0022271D"/>
    <w:rsid w:val="002247F1"/>
    <w:rsid w:val="00230150"/>
    <w:rsid w:val="0023081A"/>
    <w:rsid w:val="00233111"/>
    <w:rsid w:val="00242D60"/>
    <w:rsid w:val="00260515"/>
    <w:rsid w:val="00263A15"/>
    <w:rsid w:val="00265FA8"/>
    <w:rsid w:val="00266814"/>
    <w:rsid w:val="00272100"/>
    <w:rsid w:val="00276CAA"/>
    <w:rsid w:val="00281226"/>
    <w:rsid w:val="00284FF9"/>
    <w:rsid w:val="00286AE2"/>
    <w:rsid w:val="002917DE"/>
    <w:rsid w:val="002A3684"/>
    <w:rsid w:val="002B40FF"/>
    <w:rsid w:val="002C4E29"/>
    <w:rsid w:val="002E49C2"/>
    <w:rsid w:val="002E4A09"/>
    <w:rsid w:val="002F0A22"/>
    <w:rsid w:val="002F3B67"/>
    <w:rsid w:val="002F460C"/>
    <w:rsid w:val="002F48D6"/>
    <w:rsid w:val="002F5DE7"/>
    <w:rsid w:val="00300AEA"/>
    <w:rsid w:val="00316393"/>
    <w:rsid w:val="00317351"/>
    <w:rsid w:val="00317391"/>
    <w:rsid w:val="0032134F"/>
    <w:rsid w:val="0032256C"/>
    <w:rsid w:val="00326216"/>
    <w:rsid w:val="00326586"/>
    <w:rsid w:val="00336580"/>
    <w:rsid w:val="00337A5C"/>
    <w:rsid w:val="00337C3F"/>
    <w:rsid w:val="003415A8"/>
    <w:rsid w:val="00345500"/>
    <w:rsid w:val="003473DA"/>
    <w:rsid w:val="00354899"/>
    <w:rsid w:val="00355FD6"/>
    <w:rsid w:val="0036047E"/>
    <w:rsid w:val="00361B7C"/>
    <w:rsid w:val="00362EAA"/>
    <w:rsid w:val="00364A5C"/>
    <w:rsid w:val="00373FB1"/>
    <w:rsid w:val="003763EB"/>
    <w:rsid w:val="0037704B"/>
    <w:rsid w:val="00396C76"/>
    <w:rsid w:val="003977F3"/>
    <w:rsid w:val="003978BF"/>
    <w:rsid w:val="003B30D8"/>
    <w:rsid w:val="003B75AA"/>
    <w:rsid w:val="003B7EF2"/>
    <w:rsid w:val="003C26AC"/>
    <w:rsid w:val="003C3FA4"/>
    <w:rsid w:val="003C628A"/>
    <w:rsid w:val="003C70C7"/>
    <w:rsid w:val="003D0BA1"/>
    <w:rsid w:val="003D3767"/>
    <w:rsid w:val="003D6507"/>
    <w:rsid w:val="003D6ACB"/>
    <w:rsid w:val="003D7174"/>
    <w:rsid w:val="003F2B0C"/>
    <w:rsid w:val="003F3E1A"/>
    <w:rsid w:val="003F6ED7"/>
    <w:rsid w:val="004013CE"/>
    <w:rsid w:val="004105B2"/>
    <w:rsid w:val="0041145A"/>
    <w:rsid w:val="00411B4A"/>
    <w:rsid w:val="00412900"/>
    <w:rsid w:val="004221E4"/>
    <w:rsid w:val="00426D0E"/>
    <w:rsid w:val="004273F8"/>
    <w:rsid w:val="004328F6"/>
    <w:rsid w:val="00434A6E"/>
    <w:rsid w:val="004355A3"/>
    <w:rsid w:val="00437360"/>
    <w:rsid w:val="0044054C"/>
    <w:rsid w:val="0044557C"/>
    <w:rsid w:val="00446546"/>
    <w:rsid w:val="00452769"/>
    <w:rsid w:val="00454FA7"/>
    <w:rsid w:val="00456A4B"/>
    <w:rsid w:val="004570FE"/>
    <w:rsid w:val="004606BC"/>
    <w:rsid w:val="00465348"/>
    <w:rsid w:val="004740D9"/>
    <w:rsid w:val="00480FB4"/>
    <w:rsid w:val="00484EBD"/>
    <w:rsid w:val="00487482"/>
    <w:rsid w:val="004979A5"/>
    <w:rsid w:val="004A25E0"/>
    <w:rsid w:val="004A2F75"/>
    <w:rsid w:val="004B1CCB"/>
    <w:rsid w:val="004B25CD"/>
    <w:rsid w:val="004B420A"/>
    <w:rsid w:val="004B632F"/>
    <w:rsid w:val="004B7512"/>
    <w:rsid w:val="004C10BD"/>
    <w:rsid w:val="004C4F1A"/>
    <w:rsid w:val="004C7380"/>
    <w:rsid w:val="004D030B"/>
    <w:rsid w:val="004D3FB1"/>
    <w:rsid w:val="004D5684"/>
    <w:rsid w:val="004D6F21"/>
    <w:rsid w:val="004D73A5"/>
    <w:rsid w:val="004E29FD"/>
    <w:rsid w:val="004F08EB"/>
    <w:rsid w:val="004F2C14"/>
    <w:rsid w:val="00500831"/>
    <w:rsid w:val="005009AC"/>
    <w:rsid w:val="00511E3F"/>
    <w:rsid w:val="0051467B"/>
    <w:rsid w:val="0051488E"/>
    <w:rsid w:val="00514FBC"/>
    <w:rsid w:val="005151BA"/>
    <w:rsid w:val="005160F1"/>
    <w:rsid w:val="005238F6"/>
    <w:rsid w:val="00524F2F"/>
    <w:rsid w:val="00525756"/>
    <w:rsid w:val="00525B43"/>
    <w:rsid w:val="00527E5C"/>
    <w:rsid w:val="005307CD"/>
    <w:rsid w:val="00532BF8"/>
    <w:rsid w:val="00532CF5"/>
    <w:rsid w:val="00536707"/>
    <w:rsid w:val="0054774B"/>
    <w:rsid w:val="005519D5"/>
    <w:rsid w:val="005528CB"/>
    <w:rsid w:val="00557EE8"/>
    <w:rsid w:val="005655BC"/>
    <w:rsid w:val="00566771"/>
    <w:rsid w:val="00566C5E"/>
    <w:rsid w:val="0057379F"/>
    <w:rsid w:val="0057513B"/>
    <w:rsid w:val="00575E8A"/>
    <w:rsid w:val="00576FEA"/>
    <w:rsid w:val="00577C01"/>
    <w:rsid w:val="0058020B"/>
    <w:rsid w:val="00581E2E"/>
    <w:rsid w:val="00582DF7"/>
    <w:rsid w:val="00584F15"/>
    <w:rsid w:val="00593B01"/>
    <w:rsid w:val="0059514B"/>
    <w:rsid w:val="005A1B0F"/>
    <w:rsid w:val="005B4CE6"/>
    <w:rsid w:val="005B5EFE"/>
    <w:rsid w:val="005C0578"/>
    <w:rsid w:val="005C6147"/>
    <w:rsid w:val="005D7067"/>
    <w:rsid w:val="005E2807"/>
    <w:rsid w:val="005E566B"/>
    <w:rsid w:val="005F09F0"/>
    <w:rsid w:val="005F50A3"/>
    <w:rsid w:val="005F66FE"/>
    <w:rsid w:val="006019DE"/>
    <w:rsid w:val="006163F7"/>
    <w:rsid w:val="00620E23"/>
    <w:rsid w:val="00622BA1"/>
    <w:rsid w:val="00626CCB"/>
    <w:rsid w:val="00627C63"/>
    <w:rsid w:val="0063350B"/>
    <w:rsid w:val="006355C8"/>
    <w:rsid w:val="006468D4"/>
    <w:rsid w:val="00652606"/>
    <w:rsid w:val="00665356"/>
    <w:rsid w:val="006772EF"/>
    <w:rsid w:val="006942CB"/>
    <w:rsid w:val="006946EE"/>
    <w:rsid w:val="006A0A80"/>
    <w:rsid w:val="006A58A9"/>
    <w:rsid w:val="006A606D"/>
    <w:rsid w:val="006B5087"/>
    <w:rsid w:val="006C0371"/>
    <w:rsid w:val="006C08B6"/>
    <w:rsid w:val="006C0B1A"/>
    <w:rsid w:val="006C6065"/>
    <w:rsid w:val="006C7F9F"/>
    <w:rsid w:val="006D1131"/>
    <w:rsid w:val="006E2AB1"/>
    <w:rsid w:val="006E2F6D"/>
    <w:rsid w:val="006E362E"/>
    <w:rsid w:val="006E58F6"/>
    <w:rsid w:val="006E6B18"/>
    <w:rsid w:val="006E77E1"/>
    <w:rsid w:val="006F131D"/>
    <w:rsid w:val="006F4917"/>
    <w:rsid w:val="006F5C9B"/>
    <w:rsid w:val="006F692F"/>
    <w:rsid w:val="006F7A5D"/>
    <w:rsid w:val="00702CC7"/>
    <w:rsid w:val="007050DD"/>
    <w:rsid w:val="007070C5"/>
    <w:rsid w:val="00711642"/>
    <w:rsid w:val="00711738"/>
    <w:rsid w:val="007158ED"/>
    <w:rsid w:val="00716D7B"/>
    <w:rsid w:val="007228A9"/>
    <w:rsid w:val="00722CE3"/>
    <w:rsid w:val="00723AFC"/>
    <w:rsid w:val="00725004"/>
    <w:rsid w:val="00731C4E"/>
    <w:rsid w:val="00743424"/>
    <w:rsid w:val="0074408B"/>
    <w:rsid w:val="00744200"/>
    <w:rsid w:val="007507C6"/>
    <w:rsid w:val="0075151B"/>
    <w:rsid w:val="00751E0B"/>
    <w:rsid w:val="00752BCD"/>
    <w:rsid w:val="00766DA1"/>
    <w:rsid w:val="00770712"/>
    <w:rsid w:val="007710A8"/>
    <w:rsid w:val="007755C5"/>
    <w:rsid w:val="007766A8"/>
    <w:rsid w:val="00780504"/>
    <w:rsid w:val="00780D94"/>
    <w:rsid w:val="00782226"/>
    <w:rsid w:val="00784AFF"/>
    <w:rsid w:val="007866A6"/>
    <w:rsid w:val="00793DEF"/>
    <w:rsid w:val="00794760"/>
    <w:rsid w:val="007A130D"/>
    <w:rsid w:val="007A35CA"/>
    <w:rsid w:val="007A5274"/>
    <w:rsid w:val="007A7638"/>
    <w:rsid w:val="007B342E"/>
    <w:rsid w:val="007B362D"/>
    <w:rsid w:val="007B3646"/>
    <w:rsid w:val="007C1C68"/>
    <w:rsid w:val="007C4B40"/>
    <w:rsid w:val="007C7DD1"/>
    <w:rsid w:val="007D0E5E"/>
    <w:rsid w:val="007D1A2D"/>
    <w:rsid w:val="007D32E6"/>
    <w:rsid w:val="007D4102"/>
    <w:rsid w:val="007D63DA"/>
    <w:rsid w:val="007E0A63"/>
    <w:rsid w:val="007E1B3A"/>
    <w:rsid w:val="007E4F23"/>
    <w:rsid w:val="007E4FFC"/>
    <w:rsid w:val="007E54A7"/>
    <w:rsid w:val="007E792B"/>
    <w:rsid w:val="007F2369"/>
    <w:rsid w:val="007F43B7"/>
    <w:rsid w:val="007F4DF7"/>
    <w:rsid w:val="00802190"/>
    <w:rsid w:val="00805944"/>
    <w:rsid w:val="00806B31"/>
    <w:rsid w:val="00813638"/>
    <w:rsid w:val="00821FFC"/>
    <w:rsid w:val="008271CA"/>
    <w:rsid w:val="0084165C"/>
    <w:rsid w:val="00841B7E"/>
    <w:rsid w:val="00842F2B"/>
    <w:rsid w:val="0084480E"/>
    <w:rsid w:val="008467D5"/>
    <w:rsid w:val="00847944"/>
    <w:rsid w:val="00847DB8"/>
    <w:rsid w:val="00853744"/>
    <w:rsid w:val="00855529"/>
    <w:rsid w:val="0085603F"/>
    <w:rsid w:val="00862BD1"/>
    <w:rsid w:val="00863E79"/>
    <w:rsid w:val="008650BE"/>
    <w:rsid w:val="00870E45"/>
    <w:rsid w:val="0087257A"/>
    <w:rsid w:val="00872ED6"/>
    <w:rsid w:val="008748F0"/>
    <w:rsid w:val="00882BF2"/>
    <w:rsid w:val="00887F58"/>
    <w:rsid w:val="008978C2"/>
    <w:rsid w:val="008A1F4E"/>
    <w:rsid w:val="008A31F5"/>
    <w:rsid w:val="008A4DC4"/>
    <w:rsid w:val="008A72BA"/>
    <w:rsid w:val="008B12F0"/>
    <w:rsid w:val="008B27FA"/>
    <w:rsid w:val="008B438C"/>
    <w:rsid w:val="008B678A"/>
    <w:rsid w:val="008C0EBA"/>
    <w:rsid w:val="008C2E80"/>
    <w:rsid w:val="008D06CA"/>
    <w:rsid w:val="008D3A46"/>
    <w:rsid w:val="008D64F6"/>
    <w:rsid w:val="008E2903"/>
    <w:rsid w:val="008F0500"/>
    <w:rsid w:val="008F2385"/>
    <w:rsid w:val="008F2FD6"/>
    <w:rsid w:val="008F33DB"/>
    <w:rsid w:val="009067A4"/>
    <w:rsid w:val="009201FF"/>
    <w:rsid w:val="00927244"/>
    <w:rsid w:val="00930885"/>
    <w:rsid w:val="00931477"/>
    <w:rsid w:val="00933D68"/>
    <w:rsid w:val="009340DB"/>
    <w:rsid w:val="0094618C"/>
    <w:rsid w:val="00947ED5"/>
    <w:rsid w:val="0095163E"/>
    <w:rsid w:val="009518C3"/>
    <w:rsid w:val="009536DE"/>
    <w:rsid w:val="0095684B"/>
    <w:rsid w:val="00956ADB"/>
    <w:rsid w:val="0097069C"/>
    <w:rsid w:val="00970D33"/>
    <w:rsid w:val="00972498"/>
    <w:rsid w:val="0097481F"/>
    <w:rsid w:val="00974CC6"/>
    <w:rsid w:val="0097552E"/>
    <w:rsid w:val="0097589D"/>
    <w:rsid w:val="00976AD4"/>
    <w:rsid w:val="00995547"/>
    <w:rsid w:val="00995F5B"/>
    <w:rsid w:val="009961CF"/>
    <w:rsid w:val="00996BE3"/>
    <w:rsid w:val="009A312F"/>
    <w:rsid w:val="009A5348"/>
    <w:rsid w:val="009B06BE"/>
    <w:rsid w:val="009B0AB7"/>
    <w:rsid w:val="009B2532"/>
    <w:rsid w:val="009C3EE5"/>
    <w:rsid w:val="009C6396"/>
    <w:rsid w:val="009C76D5"/>
    <w:rsid w:val="009D1E76"/>
    <w:rsid w:val="009D3B1B"/>
    <w:rsid w:val="009D5AE1"/>
    <w:rsid w:val="009F0F53"/>
    <w:rsid w:val="009F2B18"/>
    <w:rsid w:val="009F3939"/>
    <w:rsid w:val="009F4536"/>
    <w:rsid w:val="009F5899"/>
    <w:rsid w:val="009F7AA4"/>
    <w:rsid w:val="00A009DC"/>
    <w:rsid w:val="00A10AD7"/>
    <w:rsid w:val="00A14121"/>
    <w:rsid w:val="00A216AF"/>
    <w:rsid w:val="00A2182F"/>
    <w:rsid w:val="00A22827"/>
    <w:rsid w:val="00A22FE7"/>
    <w:rsid w:val="00A250D1"/>
    <w:rsid w:val="00A2516C"/>
    <w:rsid w:val="00A25446"/>
    <w:rsid w:val="00A323B0"/>
    <w:rsid w:val="00A4363F"/>
    <w:rsid w:val="00A45C55"/>
    <w:rsid w:val="00A4750B"/>
    <w:rsid w:val="00A559DB"/>
    <w:rsid w:val="00A5621D"/>
    <w:rsid w:val="00A569EA"/>
    <w:rsid w:val="00A66EAC"/>
    <w:rsid w:val="00A676A0"/>
    <w:rsid w:val="00A74D99"/>
    <w:rsid w:val="00A8483E"/>
    <w:rsid w:val="00A96AFE"/>
    <w:rsid w:val="00A979E0"/>
    <w:rsid w:val="00AC3A35"/>
    <w:rsid w:val="00AC42D3"/>
    <w:rsid w:val="00AC431E"/>
    <w:rsid w:val="00AC4C4D"/>
    <w:rsid w:val="00AE49C5"/>
    <w:rsid w:val="00AE7F91"/>
    <w:rsid w:val="00AF32F2"/>
    <w:rsid w:val="00AF35FC"/>
    <w:rsid w:val="00AF5556"/>
    <w:rsid w:val="00B03639"/>
    <w:rsid w:val="00B0652A"/>
    <w:rsid w:val="00B07131"/>
    <w:rsid w:val="00B13137"/>
    <w:rsid w:val="00B15622"/>
    <w:rsid w:val="00B2022E"/>
    <w:rsid w:val="00B25E41"/>
    <w:rsid w:val="00B37F52"/>
    <w:rsid w:val="00B40937"/>
    <w:rsid w:val="00B423EF"/>
    <w:rsid w:val="00B453DE"/>
    <w:rsid w:val="00B54F0B"/>
    <w:rsid w:val="00B62497"/>
    <w:rsid w:val="00B66FAF"/>
    <w:rsid w:val="00B72597"/>
    <w:rsid w:val="00B72BC6"/>
    <w:rsid w:val="00B732D4"/>
    <w:rsid w:val="00B75270"/>
    <w:rsid w:val="00B8306C"/>
    <w:rsid w:val="00B87DC0"/>
    <w:rsid w:val="00B901F9"/>
    <w:rsid w:val="00B90A9E"/>
    <w:rsid w:val="00BB3F83"/>
    <w:rsid w:val="00BB6D51"/>
    <w:rsid w:val="00BC1878"/>
    <w:rsid w:val="00BC4D98"/>
    <w:rsid w:val="00BC5394"/>
    <w:rsid w:val="00BC5660"/>
    <w:rsid w:val="00BD0E79"/>
    <w:rsid w:val="00BD45F3"/>
    <w:rsid w:val="00BD6EFB"/>
    <w:rsid w:val="00BE0DF4"/>
    <w:rsid w:val="00BE3DF5"/>
    <w:rsid w:val="00BF0208"/>
    <w:rsid w:val="00BF5EAB"/>
    <w:rsid w:val="00C01E5C"/>
    <w:rsid w:val="00C02410"/>
    <w:rsid w:val="00C062A4"/>
    <w:rsid w:val="00C127F1"/>
    <w:rsid w:val="00C1584D"/>
    <w:rsid w:val="00C15BE2"/>
    <w:rsid w:val="00C169B0"/>
    <w:rsid w:val="00C169BB"/>
    <w:rsid w:val="00C23D63"/>
    <w:rsid w:val="00C3447F"/>
    <w:rsid w:val="00C375C1"/>
    <w:rsid w:val="00C40499"/>
    <w:rsid w:val="00C44714"/>
    <w:rsid w:val="00C572F1"/>
    <w:rsid w:val="00C62D85"/>
    <w:rsid w:val="00C62F04"/>
    <w:rsid w:val="00C67102"/>
    <w:rsid w:val="00C70964"/>
    <w:rsid w:val="00C710B7"/>
    <w:rsid w:val="00C7491C"/>
    <w:rsid w:val="00C76470"/>
    <w:rsid w:val="00C76674"/>
    <w:rsid w:val="00C77CA4"/>
    <w:rsid w:val="00C81491"/>
    <w:rsid w:val="00C81676"/>
    <w:rsid w:val="00C82E35"/>
    <w:rsid w:val="00C85C5D"/>
    <w:rsid w:val="00C92CC4"/>
    <w:rsid w:val="00C94A4E"/>
    <w:rsid w:val="00C954F6"/>
    <w:rsid w:val="00C9666A"/>
    <w:rsid w:val="00C96EAF"/>
    <w:rsid w:val="00C97D37"/>
    <w:rsid w:val="00CA0AFB"/>
    <w:rsid w:val="00CA0D80"/>
    <w:rsid w:val="00CA2CE1"/>
    <w:rsid w:val="00CA3976"/>
    <w:rsid w:val="00CA50E3"/>
    <w:rsid w:val="00CA757B"/>
    <w:rsid w:val="00CB0770"/>
    <w:rsid w:val="00CB2CDB"/>
    <w:rsid w:val="00CB3A9D"/>
    <w:rsid w:val="00CB3AF5"/>
    <w:rsid w:val="00CB4BB5"/>
    <w:rsid w:val="00CC0A22"/>
    <w:rsid w:val="00CC0E44"/>
    <w:rsid w:val="00CC0E6B"/>
    <w:rsid w:val="00CC1787"/>
    <w:rsid w:val="00CC182C"/>
    <w:rsid w:val="00CD0824"/>
    <w:rsid w:val="00CD2908"/>
    <w:rsid w:val="00CD5F8F"/>
    <w:rsid w:val="00CD6439"/>
    <w:rsid w:val="00CD683F"/>
    <w:rsid w:val="00CD6AEA"/>
    <w:rsid w:val="00CD74A2"/>
    <w:rsid w:val="00CE2480"/>
    <w:rsid w:val="00CE3331"/>
    <w:rsid w:val="00CF18A2"/>
    <w:rsid w:val="00CF7D78"/>
    <w:rsid w:val="00D007BF"/>
    <w:rsid w:val="00D01BC1"/>
    <w:rsid w:val="00D03A82"/>
    <w:rsid w:val="00D04943"/>
    <w:rsid w:val="00D056D5"/>
    <w:rsid w:val="00D06CFD"/>
    <w:rsid w:val="00D13667"/>
    <w:rsid w:val="00D13CD1"/>
    <w:rsid w:val="00D15344"/>
    <w:rsid w:val="00D162EE"/>
    <w:rsid w:val="00D20ABA"/>
    <w:rsid w:val="00D233EB"/>
    <w:rsid w:val="00D23F57"/>
    <w:rsid w:val="00D31389"/>
    <w:rsid w:val="00D31BEC"/>
    <w:rsid w:val="00D4043B"/>
    <w:rsid w:val="00D52F54"/>
    <w:rsid w:val="00D53CA7"/>
    <w:rsid w:val="00D54797"/>
    <w:rsid w:val="00D55A62"/>
    <w:rsid w:val="00D6196F"/>
    <w:rsid w:val="00D63150"/>
    <w:rsid w:val="00D636BA"/>
    <w:rsid w:val="00D64A32"/>
    <w:rsid w:val="00D64C7D"/>
    <w:rsid w:val="00D64EFC"/>
    <w:rsid w:val="00D6653E"/>
    <w:rsid w:val="00D66620"/>
    <w:rsid w:val="00D75295"/>
    <w:rsid w:val="00D76CE9"/>
    <w:rsid w:val="00D90CA1"/>
    <w:rsid w:val="00D95ED2"/>
    <w:rsid w:val="00D97F12"/>
    <w:rsid w:val="00DA5610"/>
    <w:rsid w:val="00DA6095"/>
    <w:rsid w:val="00DB0BAD"/>
    <w:rsid w:val="00DB42E7"/>
    <w:rsid w:val="00DB66E8"/>
    <w:rsid w:val="00DB78B7"/>
    <w:rsid w:val="00DC09D8"/>
    <w:rsid w:val="00DD0640"/>
    <w:rsid w:val="00DD091F"/>
    <w:rsid w:val="00DD457E"/>
    <w:rsid w:val="00DD5A9D"/>
    <w:rsid w:val="00DE01A6"/>
    <w:rsid w:val="00DE0E80"/>
    <w:rsid w:val="00DE7A98"/>
    <w:rsid w:val="00DF32C2"/>
    <w:rsid w:val="00E00592"/>
    <w:rsid w:val="00E07007"/>
    <w:rsid w:val="00E132AD"/>
    <w:rsid w:val="00E25FAF"/>
    <w:rsid w:val="00E471A7"/>
    <w:rsid w:val="00E517C9"/>
    <w:rsid w:val="00E53D90"/>
    <w:rsid w:val="00E56C70"/>
    <w:rsid w:val="00E615D3"/>
    <w:rsid w:val="00E61B8F"/>
    <w:rsid w:val="00E635CF"/>
    <w:rsid w:val="00E82046"/>
    <w:rsid w:val="00E82CA3"/>
    <w:rsid w:val="00E846BE"/>
    <w:rsid w:val="00E941E0"/>
    <w:rsid w:val="00E94D7D"/>
    <w:rsid w:val="00E96913"/>
    <w:rsid w:val="00EA18EB"/>
    <w:rsid w:val="00EB1E3B"/>
    <w:rsid w:val="00EB6F3E"/>
    <w:rsid w:val="00EB74D7"/>
    <w:rsid w:val="00EC6E0A"/>
    <w:rsid w:val="00ED05E8"/>
    <w:rsid w:val="00ED4E18"/>
    <w:rsid w:val="00ED7922"/>
    <w:rsid w:val="00EE02C4"/>
    <w:rsid w:val="00EE0620"/>
    <w:rsid w:val="00EE0C5B"/>
    <w:rsid w:val="00EE1F37"/>
    <w:rsid w:val="00EE5E4B"/>
    <w:rsid w:val="00EF3F81"/>
    <w:rsid w:val="00EF4574"/>
    <w:rsid w:val="00F006E7"/>
    <w:rsid w:val="00F0159C"/>
    <w:rsid w:val="00F02883"/>
    <w:rsid w:val="00F07C57"/>
    <w:rsid w:val="00F105B7"/>
    <w:rsid w:val="00F13220"/>
    <w:rsid w:val="00F16E80"/>
    <w:rsid w:val="00F17A21"/>
    <w:rsid w:val="00F24014"/>
    <w:rsid w:val="00F36374"/>
    <w:rsid w:val="00F36FC2"/>
    <w:rsid w:val="00F37B27"/>
    <w:rsid w:val="00F40142"/>
    <w:rsid w:val="00F4239A"/>
    <w:rsid w:val="00F46556"/>
    <w:rsid w:val="00F50E91"/>
    <w:rsid w:val="00F53B23"/>
    <w:rsid w:val="00F54B7D"/>
    <w:rsid w:val="00F56799"/>
    <w:rsid w:val="00F57D29"/>
    <w:rsid w:val="00F60786"/>
    <w:rsid w:val="00F62A9E"/>
    <w:rsid w:val="00F636C3"/>
    <w:rsid w:val="00F665A6"/>
    <w:rsid w:val="00F76800"/>
    <w:rsid w:val="00F76957"/>
    <w:rsid w:val="00F86D1B"/>
    <w:rsid w:val="00F87558"/>
    <w:rsid w:val="00F906D9"/>
    <w:rsid w:val="00F91BC7"/>
    <w:rsid w:val="00F96201"/>
    <w:rsid w:val="00F977A1"/>
    <w:rsid w:val="00FA1BBC"/>
    <w:rsid w:val="00FA1C11"/>
    <w:rsid w:val="00FA4277"/>
    <w:rsid w:val="00FA6559"/>
    <w:rsid w:val="00FA6FAD"/>
    <w:rsid w:val="00FC54BE"/>
    <w:rsid w:val="00FD0B18"/>
    <w:rsid w:val="00FD1A2B"/>
    <w:rsid w:val="00FD2FAD"/>
    <w:rsid w:val="00FE714F"/>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5F89CBB-AB97-430D-B1E3-27F8C51A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WW8Num2z2">
    <w:name w:val="WW8Num2z2"/>
    <w:rsid w:val="009B2532"/>
    <w:rPr>
      <w:rFonts w:ascii="Wingdings" w:hAnsi="Wingdings" w:cs="Wingdings"/>
    </w:rPr>
  </w:style>
  <w:style w:type="character" w:customStyle="1" w:styleId="None">
    <w:name w:val="None"/>
    <w:rsid w:val="009B2532"/>
  </w:style>
  <w:style w:type="character" w:customStyle="1" w:styleId="Hyperlink0">
    <w:name w:val="Hyperlink.0"/>
    <w:rsid w:val="009B2532"/>
    <w:rPr>
      <w:rFonts w:ascii="Cambria" w:eastAsia="Cambria" w:hAnsi="Cambria" w:cs="Cambria"/>
      <w:sz w:val="22"/>
      <w:szCs w:val="22"/>
    </w:rPr>
  </w:style>
  <w:style w:type="character" w:customStyle="1" w:styleId="Hyperlink1">
    <w:name w:val="Hyperlink.1"/>
    <w:rsid w:val="009B2532"/>
    <w:rPr>
      <w:rFonts w:ascii="Cambria" w:eastAsia="Cambria" w:hAnsi="Cambria" w:cs="Cambria"/>
      <w:color w:val="222222"/>
      <w:sz w:val="22"/>
      <w:szCs w:val="22"/>
      <w:u w:val="none"/>
    </w:rPr>
  </w:style>
  <w:style w:type="character" w:customStyle="1" w:styleId="Hyperlink2">
    <w:name w:val="Hyperlink.2"/>
    <w:rsid w:val="009B2532"/>
    <w:rPr>
      <w:rFonts w:ascii="Times New Roman" w:eastAsia="Times New Roman" w:hAnsi="Times New Roman" w:cs="Times New Roman"/>
      <w:color w:val="000080"/>
      <w:sz w:val="22"/>
      <w:szCs w:val="22"/>
      <w:u w:val="single" w:color="000000"/>
    </w:rPr>
  </w:style>
  <w:style w:type="character" w:customStyle="1" w:styleId="Hyperlink3">
    <w:name w:val="Hyperlink.3"/>
    <w:rsid w:val="009B2532"/>
    <w:rPr>
      <w:rFonts w:ascii="Cambria" w:eastAsia="Cambria" w:hAnsi="Cambria" w:cs="Cambria"/>
      <w:sz w:val="22"/>
      <w:szCs w:val="22"/>
      <w:lang w:val="en-US"/>
    </w:rPr>
  </w:style>
  <w:style w:type="character" w:customStyle="1" w:styleId="Hyperlink4">
    <w:name w:val="Hyperlink.4"/>
    <w:rsid w:val="009B2532"/>
    <w:rPr>
      <w:rFonts w:ascii="Cambria" w:eastAsia="Cambria" w:hAnsi="Cambria" w:cs="Cambria"/>
      <w:color w:val="000080"/>
      <w:sz w:val="22"/>
      <w:szCs w:val="22"/>
      <w:u w:val="single" w:color="000000"/>
      <w:lang w:val="en-US"/>
    </w:rPr>
  </w:style>
  <w:style w:type="character" w:customStyle="1" w:styleId="Hyperlink5">
    <w:name w:val="Hyperlink.5"/>
    <w:rsid w:val="009B2532"/>
    <w:rPr>
      <w:rFonts w:ascii="Cambria" w:eastAsia="Cambria" w:hAnsi="Cambria" w:cs="Cambria"/>
      <w:color w:val="000080"/>
      <w:sz w:val="22"/>
      <w:szCs w:val="22"/>
      <w:u w:val="single" w:color="000000"/>
    </w:rPr>
  </w:style>
  <w:style w:type="character" w:customStyle="1" w:styleId="Hyperlink6">
    <w:name w:val="Hyperlink.6"/>
    <w:rsid w:val="009B2532"/>
    <w:rPr>
      <w:rFonts w:ascii="Cambria" w:eastAsia="Cambria" w:hAnsi="Cambria" w:cs="Cambria"/>
      <w:color w:val="000080"/>
      <w:sz w:val="22"/>
      <w:szCs w:val="22"/>
      <w:u w:val="single" w:color="000000"/>
    </w:rPr>
  </w:style>
  <w:style w:type="character" w:customStyle="1" w:styleId="EndnoteCharacters">
    <w:name w:val="Endnote Characters"/>
    <w:basedOn w:val="BodyTextChar"/>
    <w:rsid w:val="009B2532"/>
    <w:rPr>
      <w:rFonts w:ascii="Times New Roman" w:eastAsia="Times New Roman" w:hAnsi="Times New Roman" w:cs="Times New Roman"/>
      <w:sz w:val="22"/>
      <w:szCs w:val="20"/>
      <w:vertAlign w:val="superscript"/>
    </w:rPr>
  </w:style>
  <w:style w:type="character" w:customStyle="1" w:styleId="EndnoteReference1">
    <w:name w:val="Endnote Reference1"/>
    <w:rsid w:val="00426D0E"/>
    <w:rPr>
      <w:vertAlign w:val="superscript"/>
    </w:rPr>
  </w:style>
  <w:style w:type="character" w:customStyle="1" w:styleId="UnresolvedMention1">
    <w:name w:val="Unresolved Mention1"/>
    <w:basedOn w:val="DefaultParagraphFont"/>
    <w:uiPriority w:val="99"/>
    <w:semiHidden/>
    <w:unhideWhenUsed/>
    <w:rsid w:val="00426D0E"/>
    <w:rPr>
      <w:color w:val="605E5C"/>
      <w:shd w:val="clear" w:color="auto" w:fill="E1DFDD"/>
    </w:rPr>
  </w:style>
  <w:style w:type="character" w:styleId="UnresolvedMention">
    <w:name w:val="Unresolved Mention"/>
    <w:basedOn w:val="DefaultParagraphFont"/>
    <w:uiPriority w:val="99"/>
    <w:semiHidden/>
    <w:unhideWhenUsed/>
    <w:rsid w:val="00576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30186">
      <w:bodyDiv w:val="1"/>
      <w:marLeft w:val="0"/>
      <w:marRight w:val="0"/>
      <w:marTop w:val="0"/>
      <w:marBottom w:val="0"/>
      <w:divBdr>
        <w:top w:val="none" w:sz="0" w:space="0" w:color="auto"/>
        <w:left w:val="none" w:sz="0" w:space="0" w:color="auto"/>
        <w:bottom w:val="none" w:sz="0" w:space="0" w:color="auto"/>
        <w:right w:val="none" w:sz="0" w:space="0" w:color="auto"/>
      </w:divBdr>
    </w:div>
    <w:div w:id="441808867">
      <w:bodyDiv w:val="1"/>
      <w:marLeft w:val="0"/>
      <w:marRight w:val="0"/>
      <w:marTop w:val="0"/>
      <w:marBottom w:val="0"/>
      <w:divBdr>
        <w:top w:val="none" w:sz="0" w:space="0" w:color="auto"/>
        <w:left w:val="none" w:sz="0" w:space="0" w:color="auto"/>
        <w:bottom w:val="none" w:sz="0" w:space="0" w:color="auto"/>
        <w:right w:val="none" w:sz="0" w:space="0" w:color="auto"/>
      </w:divBdr>
    </w:div>
    <w:div w:id="966744540">
      <w:bodyDiv w:val="1"/>
      <w:marLeft w:val="0"/>
      <w:marRight w:val="0"/>
      <w:marTop w:val="0"/>
      <w:marBottom w:val="0"/>
      <w:divBdr>
        <w:top w:val="none" w:sz="0" w:space="0" w:color="auto"/>
        <w:left w:val="none" w:sz="0" w:space="0" w:color="auto"/>
        <w:bottom w:val="none" w:sz="0" w:space="0" w:color="auto"/>
        <w:right w:val="none" w:sz="0" w:space="0" w:color="auto"/>
      </w:divBdr>
      <w:divsChild>
        <w:div w:id="596137808">
          <w:marLeft w:val="0"/>
          <w:marRight w:val="0"/>
          <w:marTop w:val="0"/>
          <w:marBottom w:val="0"/>
          <w:divBdr>
            <w:top w:val="none" w:sz="0" w:space="0" w:color="auto"/>
            <w:left w:val="none" w:sz="0" w:space="0" w:color="auto"/>
            <w:bottom w:val="none" w:sz="0" w:space="0" w:color="auto"/>
            <w:right w:val="none" w:sz="0" w:space="0" w:color="auto"/>
          </w:divBdr>
          <w:divsChild>
            <w:div w:id="1728869879">
              <w:marLeft w:val="0"/>
              <w:marRight w:val="0"/>
              <w:marTop w:val="0"/>
              <w:marBottom w:val="0"/>
              <w:divBdr>
                <w:top w:val="none" w:sz="0" w:space="0" w:color="auto"/>
                <w:left w:val="none" w:sz="0" w:space="0" w:color="auto"/>
                <w:bottom w:val="none" w:sz="0" w:space="0" w:color="auto"/>
                <w:right w:val="none" w:sz="0" w:space="0" w:color="auto"/>
              </w:divBdr>
              <w:divsChild>
                <w:div w:id="2767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dar.com/DisplayCompanyDocuments.do?lang=EN&amp;issuerNo=000326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endnotes.xml.rels><?xml version="1.0" encoding="UTF-8" standalone="yes"?>
<Relationships xmlns="http://schemas.openxmlformats.org/package/2006/relationships"><Relationship Id="rId3" Type="http://schemas.openxmlformats.org/officeDocument/2006/relationships/hyperlink" Target="https://www.theglobeandmail.com/canada/article-supreme-court-upholds-law-in-cross-border-alcohol-case/" TargetMode="External"/><Relationship Id="rId7" Type="http://schemas.openxmlformats.org/officeDocument/2006/relationships/hyperlink" Target="https://www.sedar.com/DisplayCompanyDocuments.do?lang=EN&amp;issuerNo=00032682" TargetMode="External"/><Relationship Id="rId2" Type="http://schemas.openxmlformats.org/officeDocument/2006/relationships/hyperlink" Target="http://www.cbj.ca/diamond_estates_wines_spirits_ltd/" TargetMode="External"/><Relationship Id="rId1" Type="http://schemas.openxmlformats.org/officeDocument/2006/relationships/hyperlink" Target="http://laurelgray.com/5-stages-wine-making-process/" TargetMode="External"/><Relationship Id="rId6" Type="http://schemas.openxmlformats.org/officeDocument/2006/relationships/hyperlink" Target="https://www.foodserviceandhospitality.com/author/kostuch/" TargetMode="External"/><Relationship Id="rId5" Type="http://schemas.openxmlformats.org/officeDocument/2006/relationships/hyperlink" Target="http://beveragedynamics.com/2016/01/26/9-trends-driving-wine-sales-in-2016/" TargetMode="External"/><Relationship Id="rId4" Type="http://schemas.openxmlformats.org/officeDocument/2006/relationships/hyperlink" Target="http://www.canadianvintners.com/trade-agre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E2DC1-DA09-43BA-B049-8D1AACF0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6923</Words>
  <Characters>39466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Bojmelgrin</dc:creator>
  <cp:keywords/>
  <dc:description/>
  <cp:lastModifiedBy>Alex Bojmelgrin</cp:lastModifiedBy>
  <cp:revision>3</cp:revision>
  <cp:lastPrinted>2019-12-06T15:39:00Z</cp:lastPrinted>
  <dcterms:created xsi:type="dcterms:W3CDTF">2020-10-23T15:48:00Z</dcterms:created>
  <dcterms:modified xsi:type="dcterms:W3CDTF">2020-10-23T15:53:00Z</dcterms:modified>
</cp:coreProperties>
</file>