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90"/>
      </w:tblGrid>
      <w:tr w:rsidR="0099552A" w:rsidRPr="001F4770" w14:paraId="4F9FB060" w14:textId="77777777" w:rsidTr="002956FD">
        <w:tc>
          <w:tcPr>
            <w:tcW w:w="4680" w:type="dxa"/>
          </w:tcPr>
          <w:p w14:paraId="1692A3F0" w14:textId="77777777" w:rsidR="0099552A" w:rsidRPr="001F4770" w:rsidRDefault="0099552A" w:rsidP="002956FD">
            <w:pPr>
              <w:tabs>
                <w:tab w:val="left" w:pos="-1440"/>
                <w:tab w:val="left" w:pos="-720"/>
                <w:tab w:val="left" w:pos="1"/>
              </w:tabs>
              <w:jc w:val="both"/>
              <w:rPr>
                <w:rFonts w:ascii="Arial" w:hAnsi="Arial"/>
                <w:b/>
                <w:sz w:val="24"/>
              </w:rPr>
            </w:pPr>
            <w:r w:rsidRPr="001F4770">
              <w:rPr>
                <w:rFonts w:ascii="Arial" w:hAnsi="Arial"/>
                <w:b/>
                <w:noProof/>
                <w:sz w:val="24"/>
                <w:lang w:val="en-US"/>
              </w:rPr>
              <w:drawing>
                <wp:inline distT="0" distB="0" distL="0" distR="0" wp14:anchorId="324B6B1F" wp14:editId="125953FD">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12A7EF9A" w14:textId="77777777" w:rsidR="0099552A" w:rsidRPr="001F4770" w:rsidRDefault="0099552A" w:rsidP="002956FD">
            <w:pPr>
              <w:tabs>
                <w:tab w:val="left" w:pos="-1440"/>
                <w:tab w:val="left" w:pos="-720"/>
                <w:tab w:val="left" w:pos="1"/>
              </w:tabs>
              <w:jc w:val="right"/>
              <w:rPr>
                <w:rFonts w:ascii="Arial" w:hAnsi="Arial"/>
                <w:b/>
                <w:sz w:val="24"/>
              </w:rPr>
            </w:pPr>
            <w:r w:rsidRPr="001F4770">
              <w:rPr>
                <w:noProof/>
                <w:lang w:val="en-US"/>
              </w:rPr>
              <w:drawing>
                <wp:inline distT="0" distB="0" distL="0" distR="0" wp14:anchorId="07F7CE94" wp14:editId="48BCCA0C">
                  <wp:extent cx="525011" cy="640080"/>
                  <wp:effectExtent l="0" t="0" r="8890" b="7620"/>
                  <wp:docPr id="2" name="Picture 2" descr="VLERI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ERICK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011" cy="640080"/>
                          </a:xfrm>
                          <a:prstGeom prst="rect">
                            <a:avLst/>
                          </a:prstGeom>
                          <a:noFill/>
                          <a:ln>
                            <a:noFill/>
                          </a:ln>
                        </pic:spPr>
                      </pic:pic>
                    </a:graphicData>
                  </a:graphic>
                </wp:inline>
              </w:drawing>
            </w:r>
          </w:p>
        </w:tc>
      </w:tr>
    </w:tbl>
    <w:p w14:paraId="3C3E2D04" w14:textId="77777777" w:rsidR="0099552A" w:rsidRPr="001F4770" w:rsidRDefault="0099552A" w:rsidP="0099552A">
      <w:pPr>
        <w:pBdr>
          <w:bottom w:val="single" w:sz="18" w:space="1" w:color="auto"/>
        </w:pBdr>
        <w:tabs>
          <w:tab w:val="left" w:pos="-1440"/>
          <w:tab w:val="left" w:pos="-720"/>
          <w:tab w:val="left" w:pos="1"/>
        </w:tabs>
        <w:jc w:val="both"/>
        <w:rPr>
          <w:rFonts w:ascii="Arial" w:hAnsi="Arial"/>
          <w:b/>
          <w:sz w:val="2"/>
          <w:szCs w:val="2"/>
        </w:rPr>
      </w:pPr>
    </w:p>
    <w:p w14:paraId="3851B9A3" w14:textId="1863650D" w:rsidR="0099552A" w:rsidRPr="001F4770" w:rsidRDefault="00282434" w:rsidP="0099552A">
      <w:pPr>
        <w:pStyle w:val="ProductNumber"/>
      </w:pPr>
      <w:r>
        <w:t>9B19N002</w:t>
      </w:r>
    </w:p>
    <w:p w14:paraId="5002E7F1" w14:textId="77777777" w:rsidR="00D75295" w:rsidRPr="001F4770" w:rsidRDefault="00D75295" w:rsidP="00D75295">
      <w:pPr>
        <w:jc w:val="right"/>
        <w:rPr>
          <w:rFonts w:ascii="Arial" w:hAnsi="Arial"/>
          <w:b/>
          <w:sz w:val="28"/>
          <w:szCs w:val="28"/>
        </w:rPr>
      </w:pPr>
    </w:p>
    <w:p w14:paraId="1A88F98C" w14:textId="77777777" w:rsidR="00013360" w:rsidRPr="001F4770" w:rsidRDefault="00013360" w:rsidP="00D75295">
      <w:pPr>
        <w:jc w:val="right"/>
        <w:rPr>
          <w:rFonts w:ascii="Arial" w:hAnsi="Arial"/>
          <w:b/>
          <w:sz w:val="28"/>
          <w:szCs w:val="28"/>
        </w:rPr>
      </w:pPr>
    </w:p>
    <w:p w14:paraId="13DA200B" w14:textId="26B08AFA" w:rsidR="00013360" w:rsidRPr="001F4770" w:rsidRDefault="002F623D" w:rsidP="00013360">
      <w:pPr>
        <w:pStyle w:val="CaseTitle"/>
        <w:spacing w:after="0" w:line="240" w:lineRule="auto"/>
        <w:rPr>
          <w:sz w:val="20"/>
          <w:szCs w:val="20"/>
        </w:rPr>
      </w:pPr>
      <w:r w:rsidRPr="001F4770">
        <w:rPr>
          <w:rFonts w:eastAsia="Arial"/>
        </w:rPr>
        <w:t>RTE: FINANCING ELECTRICITY</w:t>
      </w:r>
      <w:r w:rsidR="006C705D" w:rsidRPr="001F4770">
        <w:rPr>
          <w:rFonts w:eastAsia="Arial"/>
        </w:rPr>
        <w:t xml:space="preserve"> transmission</w:t>
      </w:r>
      <w:r w:rsidRPr="001F4770">
        <w:rPr>
          <w:rFonts w:eastAsia="Arial"/>
        </w:rPr>
        <w:t xml:space="preserve"> INVESTMENTS IN A REGULATED ENVIRONMENT</w:t>
      </w:r>
    </w:p>
    <w:p w14:paraId="320BF19B" w14:textId="77777777" w:rsidR="00CA3976" w:rsidRPr="001F4770" w:rsidRDefault="00CA3976" w:rsidP="00013360">
      <w:pPr>
        <w:pStyle w:val="CaseTitle"/>
        <w:spacing w:after="0" w:line="240" w:lineRule="auto"/>
        <w:rPr>
          <w:sz w:val="20"/>
          <w:szCs w:val="20"/>
        </w:rPr>
      </w:pPr>
    </w:p>
    <w:p w14:paraId="0F409636" w14:textId="77777777" w:rsidR="00013360" w:rsidRPr="001F4770" w:rsidRDefault="00013360" w:rsidP="00013360">
      <w:pPr>
        <w:pStyle w:val="CaseTitle"/>
        <w:spacing w:after="0" w:line="240" w:lineRule="auto"/>
        <w:rPr>
          <w:sz w:val="20"/>
          <w:szCs w:val="20"/>
        </w:rPr>
      </w:pPr>
    </w:p>
    <w:p w14:paraId="3BCF535C" w14:textId="77777777" w:rsidR="00627C63" w:rsidRPr="001F4770" w:rsidRDefault="002F623D" w:rsidP="00627C63">
      <w:pPr>
        <w:pStyle w:val="StyleCopyrightStatementAfter0ptBottomSinglesolidline1"/>
      </w:pPr>
      <w:r w:rsidRPr="001F4770">
        <w:t>Filip Roodhooft, Samson Yemane Hadush, Leonardo Meeus, and Ilan Momber</w:t>
      </w:r>
      <w:r w:rsidR="001C7777" w:rsidRPr="001F4770">
        <w:t xml:space="preserve"> </w:t>
      </w:r>
      <w:r w:rsidR="004B632F" w:rsidRPr="001F4770">
        <w:t xml:space="preserve">wrote this </w:t>
      </w:r>
      <w:r w:rsidR="00152682" w:rsidRPr="001F4770">
        <w:t>case</w:t>
      </w:r>
      <w:r w:rsidR="004B632F" w:rsidRPr="001F4770">
        <w:t xml:space="preserve"> </w:t>
      </w:r>
      <w:r w:rsidR="00152682" w:rsidRPr="001F4770">
        <w:t>solely to provide material for class discussion. The</w:t>
      </w:r>
      <w:r w:rsidR="001C7777" w:rsidRPr="001F4770">
        <w:t xml:space="preserve"> author</w:t>
      </w:r>
      <w:r w:rsidR="004979A5" w:rsidRPr="001F4770">
        <w:t>s</w:t>
      </w:r>
      <w:r w:rsidR="00152682" w:rsidRPr="001F4770">
        <w:t xml:space="preserve"> do not intend to illustrate either effective or ineffective handling of a managerial situation. The author</w:t>
      </w:r>
      <w:r w:rsidR="00F91BC7" w:rsidRPr="001F4770">
        <w:t>s</w:t>
      </w:r>
      <w:r w:rsidR="00152682" w:rsidRPr="001F4770">
        <w:t xml:space="preserve"> may have disguised certain names and other identifying information to protect confidentiality.</w:t>
      </w:r>
    </w:p>
    <w:p w14:paraId="1BBDBDAD" w14:textId="77777777" w:rsidR="00751E0B" w:rsidRPr="001F4770" w:rsidRDefault="00751E0B" w:rsidP="00751E0B">
      <w:pPr>
        <w:pStyle w:val="StyleCopyrightStatementAfter0ptBottomSinglesolidline1"/>
      </w:pPr>
    </w:p>
    <w:p w14:paraId="3355E331" w14:textId="2D654360" w:rsidR="0099552A" w:rsidRPr="001F4770" w:rsidRDefault="00626FDD" w:rsidP="0099552A">
      <w:pPr>
        <w:jc w:val="both"/>
        <w:rPr>
          <w:rFonts w:ascii="Arial" w:hAnsi="Arial" w:cs="Arial"/>
          <w:i/>
          <w:iCs/>
          <w:sz w:val="16"/>
          <w:szCs w:val="16"/>
        </w:rPr>
      </w:pPr>
      <w:r w:rsidRPr="00626FDD">
        <w:rPr>
          <w:rFonts w:ascii="Arial" w:hAnsi="Arial" w:cs="Arial"/>
          <w:i/>
          <w:iCs/>
          <w:sz w:val="16"/>
          <w:szCs w:val="16"/>
          <w:lang w:val="en-US"/>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p>
    <w:p w14:paraId="00F9A1AD" w14:textId="77777777" w:rsidR="0099552A" w:rsidRPr="001F4770" w:rsidRDefault="0099552A" w:rsidP="0099552A">
      <w:pPr>
        <w:pStyle w:val="StyleCopyrightStatementAfter0ptBottomSinglesolidline1"/>
        <w:pBdr>
          <w:top w:val="none" w:sz="0" w:space="0" w:color="auto"/>
        </w:pBdr>
      </w:pPr>
    </w:p>
    <w:p w14:paraId="660780BF" w14:textId="231DA132" w:rsidR="00751E0B" w:rsidRPr="001F4770" w:rsidRDefault="0099552A" w:rsidP="0099552A">
      <w:pPr>
        <w:pStyle w:val="StyleStyleCopyrightStatementAfter0ptBottomSinglesolid"/>
      </w:pPr>
      <w:r w:rsidRPr="001F4770">
        <w:t>Copyright © 201</w:t>
      </w:r>
      <w:r w:rsidR="00B912ED">
        <w:t>9</w:t>
      </w:r>
      <w:r w:rsidRPr="001F4770">
        <w:t>, Vlerick Business School</w:t>
      </w:r>
      <w:r w:rsidRPr="001F4770">
        <w:tab/>
        <w:t xml:space="preserve">Version: </w:t>
      </w:r>
      <w:r w:rsidR="00B912ED">
        <w:t>2019-01-</w:t>
      </w:r>
      <w:r w:rsidR="0023053B">
        <w:t>15</w:t>
      </w:r>
    </w:p>
    <w:p w14:paraId="48E31EFD" w14:textId="77777777" w:rsidR="00751E0B" w:rsidRPr="001F4770" w:rsidRDefault="00751E0B" w:rsidP="00751E0B">
      <w:pPr>
        <w:pStyle w:val="StyleCopyrightStatementAfter0ptBottomSinglesolidline1"/>
        <w:rPr>
          <w:rFonts w:ascii="Times New Roman" w:hAnsi="Times New Roman"/>
          <w:sz w:val="20"/>
        </w:rPr>
      </w:pPr>
    </w:p>
    <w:p w14:paraId="4C28B690" w14:textId="77777777" w:rsidR="004B632F" w:rsidRPr="001F4770" w:rsidRDefault="004B632F" w:rsidP="004B632F">
      <w:pPr>
        <w:pStyle w:val="StyleCopyrightStatementAfter0ptBottomSinglesolidline1"/>
        <w:rPr>
          <w:rFonts w:ascii="Times New Roman" w:hAnsi="Times New Roman"/>
          <w:sz w:val="20"/>
        </w:rPr>
      </w:pPr>
    </w:p>
    <w:p w14:paraId="50F0864E" w14:textId="0AEBFCFF" w:rsidR="002F623D" w:rsidRPr="001F4770" w:rsidRDefault="002F623D" w:rsidP="002F623D">
      <w:pPr>
        <w:pStyle w:val="BodyTextMain"/>
      </w:pPr>
      <w:r w:rsidRPr="001F4770">
        <w:t xml:space="preserve">It was </w:t>
      </w:r>
      <w:r w:rsidR="00BF7C5D" w:rsidRPr="001F4770">
        <w:t xml:space="preserve">the </w:t>
      </w:r>
      <w:r w:rsidR="00F60413" w:rsidRPr="001F4770">
        <w:t xml:space="preserve">end of </w:t>
      </w:r>
      <w:r w:rsidRPr="001F4770">
        <w:t xml:space="preserve">2013, a year after his appointment as the </w:t>
      </w:r>
      <w:r w:rsidR="0035777D" w:rsidRPr="001F4770">
        <w:t>f</w:t>
      </w:r>
      <w:r w:rsidRPr="001F4770">
        <w:t xml:space="preserve">inance director of Réseau de Transport </w:t>
      </w:r>
      <w:bookmarkStart w:id="0" w:name="_Hlk533324882"/>
      <w:r w:rsidRPr="001F4770">
        <w:t>d</w:t>
      </w:r>
      <w:r w:rsidR="00B66DD5">
        <w:t>’</w:t>
      </w:r>
      <w:r w:rsidRPr="001F4770">
        <w:t>Électricité</w:t>
      </w:r>
      <w:bookmarkEnd w:id="0"/>
      <w:r w:rsidRPr="001F4770">
        <w:t xml:space="preserve"> (RTE), </w:t>
      </w:r>
      <w:r w:rsidR="0035777D" w:rsidRPr="001F4770">
        <w:t xml:space="preserve">and </w:t>
      </w:r>
      <w:r w:rsidR="00324BDB" w:rsidRPr="001F4770">
        <w:t>Olivier</w:t>
      </w:r>
      <w:r w:rsidRPr="001F4770">
        <w:t xml:space="preserve"> Lavoine was reviewing </w:t>
      </w:r>
      <w:r w:rsidR="0035777D" w:rsidRPr="001F4770">
        <w:t xml:space="preserve">his company’s </w:t>
      </w:r>
      <w:r w:rsidRPr="001F4770">
        <w:t>investment program. Compared to previous years, the plan was more ambitious</w:t>
      </w:r>
      <w:r w:rsidR="0035777D" w:rsidRPr="001F4770">
        <w:t>,</w:t>
      </w:r>
      <w:r w:rsidRPr="001F4770">
        <w:t xml:space="preserve"> which </w:t>
      </w:r>
      <w:r w:rsidR="0035777D" w:rsidRPr="001F4770">
        <w:t xml:space="preserve">Lavoine </w:t>
      </w:r>
      <w:r w:rsidRPr="001F4770">
        <w:t xml:space="preserve">saw as an opportunity for growth. At the same </w:t>
      </w:r>
      <w:r w:rsidR="00596658" w:rsidRPr="001F4770">
        <w:t>time,</w:t>
      </w:r>
      <w:r w:rsidRPr="001F4770">
        <w:t xml:space="preserve"> he was </w:t>
      </w:r>
      <w:r w:rsidR="0035777D" w:rsidRPr="001F4770">
        <w:t>aware of</w:t>
      </w:r>
      <w:r w:rsidRPr="001F4770">
        <w:t xml:space="preserve"> the regulatory risks that c</w:t>
      </w:r>
      <w:r w:rsidR="00ED3FDE" w:rsidRPr="001F4770">
        <w:t>a</w:t>
      </w:r>
      <w:r w:rsidRPr="001F4770">
        <w:t>me with these large investments.</w:t>
      </w:r>
    </w:p>
    <w:p w14:paraId="365D4FEE" w14:textId="77777777" w:rsidR="002F623D" w:rsidRPr="001F4770" w:rsidRDefault="002F623D" w:rsidP="002F623D">
      <w:pPr>
        <w:pStyle w:val="BodyTextMain"/>
        <w:rPr>
          <w:i/>
        </w:rPr>
      </w:pPr>
      <w:bookmarkStart w:id="1" w:name="_GoBack"/>
      <w:bookmarkEnd w:id="1"/>
    </w:p>
    <w:p w14:paraId="2B9ECB5D" w14:textId="1A5581CE" w:rsidR="0010731E" w:rsidRPr="001F4770" w:rsidRDefault="0010731E" w:rsidP="002F623D">
      <w:pPr>
        <w:pStyle w:val="BodyTextMain"/>
      </w:pPr>
      <w:r w:rsidRPr="001F4770">
        <w:t xml:space="preserve">Lavoine described </w:t>
      </w:r>
      <w:r w:rsidR="002F623D" w:rsidRPr="001F4770">
        <w:t xml:space="preserve">the specificities of financial planning in his business: “In our industry, the investment risk is essentially regulatory risk because we depend on </w:t>
      </w:r>
      <w:r w:rsidR="00B51B06">
        <w:t xml:space="preserve">[the] </w:t>
      </w:r>
      <w:r w:rsidR="002F623D" w:rsidRPr="001F4770">
        <w:t>CRE [</w:t>
      </w:r>
      <w:r w:rsidR="003477D7" w:rsidRPr="001F4770">
        <w:t xml:space="preserve">Commission de </w:t>
      </w:r>
      <w:proofErr w:type="spellStart"/>
      <w:r w:rsidR="003477D7" w:rsidRPr="001F4770">
        <w:t>Régulation</w:t>
      </w:r>
      <w:proofErr w:type="spellEnd"/>
      <w:r w:rsidR="003477D7" w:rsidRPr="001F4770">
        <w:t xml:space="preserve"> de </w:t>
      </w:r>
      <w:proofErr w:type="spellStart"/>
      <w:r w:rsidR="003477D7" w:rsidRPr="001F4770">
        <w:t>l’Energie</w:t>
      </w:r>
      <w:proofErr w:type="spellEnd"/>
      <w:r w:rsidR="003477D7" w:rsidRPr="001F4770">
        <w:t xml:space="preserve">, </w:t>
      </w:r>
      <w:r w:rsidR="002F623D" w:rsidRPr="001F4770">
        <w:t xml:space="preserve">the </w:t>
      </w:r>
      <w:r w:rsidR="00ED3FDE" w:rsidRPr="001F4770">
        <w:t>n</w:t>
      </w:r>
      <w:r w:rsidR="002F623D" w:rsidRPr="001F4770">
        <w:t xml:space="preserve">ational </w:t>
      </w:r>
      <w:r w:rsidR="00ED3FDE" w:rsidRPr="001F4770">
        <w:t>r</w:t>
      </w:r>
      <w:r w:rsidR="002F623D" w:rsidRPr="001F4770">
        <w:t xml:space="preserve">egulatory </w:t>
      </w:r>
      <w:r w:rsidR="00ED3FDE" w:rsidRPr="001F4770">
        <w:t>a</w:t>
      </w:r>
      <w:r w:rsidR="002F623D" w:rsidRPr="001F4770">
        <w:t xml:space="preserve">uthority in France] for the approval of our investments, and for the review of the prices we charge our grid users for the transport services we provide.” </w:t>
      </w:r>
    </w:p>
    <w:p w14:paraId="59F82533" w14:textId="77777777" w:rsidR="0010731E" w:rsidRPr="001F4770" w:rsidRDefault="0010731E" w:rsidP="002F623D">
      <w:pPr>
        <w:pStyle w:val="BodyTextMain"/>
      </w:pPr>
    </w:p>
    <w:p w14:paraId="34D01F06" w14:textId="50546516" w:rsidR="002F623D" w:rsidRPr="001F4770" w:rsidRDefault="00ED3FDE" w:rsidP="002F623D">
      <w:pPr>
        <w:pStyle w:val="BodyTextMain"/>
      </w:pPr>
      <w:r w:rsidRPr="001F4770">
        <w:t xml:space="preserve">In that context, </w:t>
      </w:r>
      <w:r w:rsidR="0010731E" w:rsidRPr="001F4770">
        <w:t xml:space="preserve">Lavoine </w:t>
      </w:r>
      <w:r w:rsidRPr="001F4770">
        <w:t>needed</w:t>
      </w:r>
      <w:r w:rsidR="002F623D" w:rsidRPr="001F4770">
        <w:t xml:space="preserve"> to develop a financial planning model </w:t>
      </w:r>
      <w:r w:rsidRPr="001F4770">
        <w:t xml:space="preserve">that would help RTE </w:t>
      </w:r>
      <w:r w:rsidR="00596658" w:rsidRPr="001F4770">
        <w:t>decid</w:t>
      </w:r>
      <w:r w:rsidRPr="001F4770">
        <w:t xml:space="preserve">e whether </w:t>
      </w:r>
      <w:r w:rsidR="007C3B6C" w:rsidRPr="001F4770">
        <w:t>to make</w:t>
      </w:r>
      <w:r w:rsidRPr="001F4770">
        <w:t xml:space="preserve"> the</w:t>
      </w:r>
      <w:r w:rsidR="003477D7" w:rsidRPr="001F4770">
        <w:t xml:space="preserve"> planned</w:t>
      </w:r>
      <w:r w:rsidRPr="001F4770">
        <w:t xml:space="preserve"> investment and how </w:t>
      </w:r>
      <w:r w:rsidR="007C3B6C" w:rsidRPr="001F4770">
        <w:t>to prepare for</w:t>
      </w:r>
      <w:r w:rsidR="002F623D" w:rsidRPr="001F4770">
        <w:t xml:space="preserve"> possible regulatory uncertainties.</w:t>
      </w:r>
    </w:p>
    <w:p w14:paraId="2F43008C" w14:textId="77777777" w:rsidR="002F623D" w:rsidRPr="001F4770" w:rsidRDefault="002F623D" w:rsidP="002F623D">
      <w:pPr>
        <w:pStyle w:val="BodyTextMain"/>
      </w:pPr>
    </w:p>
    <w:p w14:paraId="3878CCC2" w14:textId="77777777" w:rsidR="002F623D" w:rsidRPr="001F4770" w:rsidRDefault="002F623D" w:rsidP="002F623D">
      <w:pPr>
        <w:pStyle w:val="BodyTextMain"/>
      </w:pPr>
    </w:p>
    <w:p w14:paraId="0D53F669" w14:textId="77777777" w:rsidR="002F623D" w:rsidRPr="001F4770" w:rsidRDefault="002F623D" w:rsidP="002F623D">
      <w:pPr>
        <w:pStyle w:val="Casehead1"/>
        <w:rPr>
          <w:rFonts w:eastAsiaTheme="majorEastAsia"/>
        </w:rPr>
      </w:pPr>
      <w:r w:rsidRPr="001F4770">
        <w:rPr>
          <w:rFonts w:eastAsiaTheme="majorEastAsia"/>
        </w:rPr>
        <w:t>RTE: THE FRENCH POWER GRID OPERATOR</w:t>
      </w:r>
    </w:p>
    <w:p w14:paraId="6920DC01" w14:textId="77777777" w:rsidR="002F623D" w:rsidRPr="001F4770" w:rsidRDefault="002F623D" w:rsidP="002F623D">
      <w:pPr>
        <w:pStyle w:val="BodyTextMain"/>
      </w:pPr>
    </w:p>
    <w:p w14:paraId="69DA462E" w14:textId="74628000" w:rsidR="007C3B6C" w:rsidRPr="001F4770" w:rsidRDefault="007C3B6C" w:rsidP="00EF6F46">
      <w:pPr>
        <w:pStyle w:val="BodyTextMain"/>
      </w:pPr>
      <w:r w:rsidRPr="001F4770">
        <w:t xml:space="preserve">The European electricity network was </w:t>
      </w:r>
      <w:r w:rsidR="008B5DBC" w:rsidRPr="001F4770">
        <w:t xml:space="preserve">then </w:t>
      </w:r>
      <w:r w:rsidRPr="001F4770">
        <w:t xml:space="preserve">managed by 41 transmission system operators (TSOs) and more than 2,300 distribution system operators (DSO). </w:t>
      </w:r>
      <w:r w:rsidR="00E45879" w:rsidRPr="001F4770">
        <w:t xml:space="preserve">The TSOs managed the electricity network from generation </w:t>
      </w:r>
      <w:r w:rsidR="00C04547" w:rsidRPr="001F4770">
        <w:t xml:space="preserve">plants </w:t>
      </w:r>
      <w:r w:rsidR="00E45879" w:rsidRPr="001F4770">
        <w:t xml:space="preserve">to </w:t>
      </w:r>
      <w:r w:rsidR="00C04547" w:rsidRPr="001F4770">
        <w:t>regional or local DSOs</w:t>
      </w:r>
      <w:r w:rsidR="00E45879" w:rsidRPr="001F4770">
        <w:t xml:space="preserve">; the DSOs </w:t>
      </w:r>
      <w:r w:rsidR="00C04547" w:rsidRPr="001F4770">
        <w:t>delivered the electricity to the connected customers</w:t>
      </w:r>
      <w:r w:rsidR="00E45879" w:rsidRPr="001F4770">
        <w:t xml:space="preserve">. </w:t>
      </w:r>
      <w:r w:rsidRPr="001F4770">
        <w:t xml:space="preserve">The voltages at which these </w:t>
      </w:r>
      <w:r w:rsidR="00E45879" w:rsidRPr="001F4770">
        <w:t xml:space="preserve">electricity </w:t>
      </w:r>
      <w:r w:rsidRPr="001F4770">
        <w:t xml:space="preserve">networks operated were standardized in Europe, ranging from 400,000 volts for the international electricity highways to 230 volts in domestic houses. The border between transmission and distribution existed </w:t>
      </w:r>
      <w:r w:rsidR="00E45879" w:rsidRPr="001F4770">
        <w:t xml:space="preserve">somewhere </w:t>
      </w:r>
      <w:r w:rsidRPr="001F4770">
        <w:t xml:space="preserve">in the range of voltages, but it was not standardized, determined by regulation rather than physics. </w:t>
      </w:r>
    </w:p>
    <w:p w14:paraId="61172F44" w14:textId="77777777" w:rsidR="007C3B6C" w:rsidRPr="001F4770" w:rsidRDefault="007C3B6C" w:rsidP="00EF6F46">
      <w:pPr>
        <w:pStyle w:val="BodyTextMain"/>
      </w:pPr>
    </w:p>
    <w:p w14:paraId="2CA5059B" w14:textId="00DAE2C1" w:rsidR="002F623D" w:rsidRDefault="007C3B6C">
      <w:pPr>
        <w:pStyle w:val="BodyTextMain"/>
      </w:pPr>
      <w:r w:rsidRPr="001F4770">
        <w:t xml:space="preserve">RTE played the role of a TSO in the French energy value chain, established as a </w:t>
      </w:r>
      <w:r w:rsidR="002F623D" w:rsidRPr="001F4770">
        <w:t xml:space="preserve">result of </w:t>
      </w:r>
      <w:r w:rsidR="0010731E" w:rsidRPr="001F4770">
        <w:t xml:space="preserve">restructuring </w:t>
      </w:r>
      <w:r w:rsidR="002F623D" w:rsidRPr="001F4770">
        <w:t xml:space="preserve">the electricity sector in Europe. </w:t>
      </w:r>
      <w:r w:rsidR="0010731E" w:rsidRPr="001F4770">
        <w:t xml:space="preserve">The company </w:t>
      </w:r>
      <w:r w:rsidR="002F623D" w:rsidRPr="001F4770">
        <w:t xml:space="preserve">was founded in 2000 as an independent function attached to the former vertically integrated </w:t>
      </w:r>
      <w:proofErr w:type="spellStart"/>
      <w:r w:rsidR="00E45879" w:rsidRPr="001F4770">
        <w:t>Électricité</w:t>
      </w:r>
      <w:proofErr w:type="spellEnd"/>
      <w:r w:rsidRPr="001F4770">
        <w:t xml:space="preserve"> de France</w:t>
      </w:r>
      <w:r w:rsidR="00E45879" w:rsidRPr="001F4770">
        <w:t xml:space="preserve"> (EDF</w:t>
      </w:r>
      <w:r w:rsidRPr="001F4770">
        <w:t>)</w:t>
      </w:r>
      <w:r w:rsidR="008B5DBC" w:rsidRPr="001F4770">
        <w:t>.</w:t>
      </w:r>
      <w:r w:rsidR="00B62858" w:rsidRPr="001F4770">
        <w:t xml:space="preserve"> </w:t>
      </w:r>
      <w:r w:rsidR="008B5DBC" w:rsidRPr="001F4770">
        <w:t>W</w:t>
      </w:r>
      <w:r w:rsidR="009022B2" w:rsidRPr="001F4770">
        <w:t>ith the formation of RTE, EDF was</w:t>
      </w:r>
      <w:r w:rsidR="002F623D" w:rsidRPr="001F4770">
        <w:t xml:space="preserve"> </w:t>
      </w:r>
      <w:r w:rsidR="00E45879" w:rsidRPr="001F4770">
        <w:t>then limited to activity</w:t>
      </w:r>
      <w:r w:rsidR="002F623D" w:rsidRPr="001F4770">
        <w:t xml:space="preserve"> </w:t>
      </w:r>
      <w:r w:rsidR="0010731E" w:rsidRPr="001F4770">
        <w:t xml:space="preserve">only </w:t>
      </w:r>
      <w:r w:rsidR="002F623D" w:rsidRPr="001F4770">
        <w:t>in power generation and supply segments of the value chain. RTE’s main role was to maintain, operate</w:t>
      </w:r>
      <w:r w:rsidR="0010731E" w:rsidRPr="001F4770">
        <w:t>,</w:t>
      </w:r>
      <w:r w:rsidR="002F623D" w:rsidRPr="001F4770">
        <w:t xml:space="preserve"> and expand the transmission network in a spirit of fairness and equality for all </w:t>
      </w:r>
      <w:r w:rsidR="002F623D" w:rsidRPr="001F4770">
        <w:lastRenderedPageBreak/>
        <w:t xml:space="preserve">transmission system stakeholders. </w:t>
      </w:r>
      <w:r w:rsidR="0010731E" w:rsidRPr="001F4770">
        <w:t>I</w:t>
      </w:r>
      <w:r w:rsidR="002F623D" w:rsidRPr="001F4770">
        <w:t>n 2006</w:t>
      </w:r>
      <w:r w:rsidR="0010731E" w:rsidRPr="001F4770">
        <w:t>,</w:t>
      </w:r>
      <w:r w:rsidR="002F623D" w:rsidRPr="001F4770">
        <w:t xml:space="preserve"> RTE became a limited company as a subsidiary of </w:t>
      </w:r>
      <w:r w:rsidR="00E45879" w:rsidRPr="001F4770">
        <w:t xml:space="preserve">what had become the </w:t>
      </w:r>
      <w:r w:rsidR="002F623D" w:rsidRPr="001F4770">
        <w:t>EDF Group. This further reinforced the independen</w:t>
      </w:r>
      <w:r w:rsidR="004D6917" w:rsidRPr="001F4770">
        <w:t>ce of RTE from EDF</w:t>
      </w:r>
      <w:r w:rsidR="002F623D" w:rsidRPr="001F4770">
        <w:t xml:space="preserve">. </w:t>
      </w:r>
    </w:p>
    <w:p w14:paraId="6839B2B2" w14:textId="77777777" w:rsidR="00E80C5F" w:rsidRPr="001F4770" w:rsidRDefault="00E80C5F">
      <w:pPr>
        <w:pStyle w:val="BodyTextMain"/>
      </w:pPr>
    </w:p>
    <w:p w14:paraId="0E960E25" w14:textId="5D617408" w:rsidR="00233C65" w:rsidRPr="001F4770" w:rsidRDefault="002F623D" w:rsidP="00EF6F46">
      <w:pPr>
        <w:pStyle w:val="BodyTextMain"/>
      </w:pPr>
      <w:r w:rsidRPr="001F4770">
        <w:t xml:space="preserve">RTE was the </w:t>
      </w:r>
      <w:r w:rsidR="00233C65" w:rsidRPr="001F4770">
        <w:t xml:space="preserve">largest </w:t>
      </w:r>
      <w:r w:rsidRPr="001F4770">
        <w:t>TSO in Europe</w:t>
      </w:r>
      <w:r w:rsidR="001A68A6">
        <w:t>,</w:t>
      </w:r>
      <w:r w:rsidRPr="001F4770">
        <w:t xml:space="preserve"> with 100</w:t>
      </w:r>
      <w:r w:rsidR="00233C65" w:rsidRPr="001F4770">
        <w:t>,</w:t>
      </w:r>
      <w:r w:rsidRPr="001F4770">
        <w:t xml:space="preserve">000 </w:t>
      </w:r>
      <w:r w:rsidR="00233C65" w:rsidRPr="001F4770">
        <w:t xml:space="preserve">kilometres </w:t>
      </w:r>
      <w:r w:rsidRPr="001F4770">
        <w:t xml:space="preserve">of lines </w:t>
      </w:r>
      <w:r w:rsidR="00233C65" w:rsidRPr="001F4770">
        <w:t xml:space="preserve">carrying </w:t>
      </w:r>
      <w:r w:rsidRPr="001F4770">
        <w:t>between 63</w:t>
      </w:r>
      <w:r w:rsidR="00233C65" w:rsidRPr="001F4770">
        <w:t>,</w:t>
      </w:r>
      <w:r w:rsidRPr="001F4770">
        <w:t>000 and 400</w:t>
      </w:r>
      <w:r w:rsidR="00233C65" w:rsidRPr="001F4770">
        <w:t>,</w:t>
      </w:r>
      <w:r w:rsidRPr="001F4770">
        <w:t>000 volts</w:t>
      </w:r>
      <w:r w:rsidR="00233C65" w:rsidRPr="001F4770">
        <w:t>;</w:t>
      </w:r>
      <w:r w:rsidRPr="001F4770">
        <w:t xml:space="preserve"> 250</w:t>
      </w:r>
      <w:r w:rsidR="00233C65" w:rsidRPr="001F4770">
        <w:t>,</w:t>
      </w:r>
      <w:r w:rsidRPr="001F4770">
        <w:t>000 towers</w:t>
      </w:r>
      <w:r w:rsidR="00233C65" w:rsidRPr="001F4770">
        <w:t>;</w:t>
      </w:r>
      <w:r w:rsidRPr="001F4770">
        <w:t xml:space="preserve"> 2</w:t>
      </w:r>
      <w:r w:rsidR="00233C65" w:rsidRPr="001F4770">
        <w:t>,</w:t>
      </w:r>
      <w:r w:rsidRPr="001F4770">
        <w:t>518 power stations</w:t>
      </w:r>
      <w:r w:rsidR="00233C65" w:rsidRPr="001F4770">
        <w:t>;</w:t>
      </w:r>
      <w:r w:rsidRPr="001F4770">
        <w:t xml:space="preserve"> and 46 cross-border lines. </w:t>
      </w:r>
      <w:r w:rsidR="00233C65" w:rsidRPr="001F4770">
        <w:t>RTE</w:t>
      </w:r>
      <w:r w:rsidRPr="001F4770">
        <w:t xml:space="preserve"> had a turnover of </w:t>
      </w:r>
      <w:r w:rsidR="00233C65" w:rsidRPr="001F4770">
        <w:t>€</w:t>
      </w:r>
      <w:r w:rsidRPr="001F4770">
        <w:t>4</w:t>
      </w:r>
      <w:r w:rsidR="00233C65" w:rsidRPr="001F4770">
        <w:t>,</w:t>
      </w:r>
      <w:r w:rsidRPr="001F4770">
        <w:t>529 million</w:t>
      </w:r>
      <w:r w:rsidR="00233C65" w:rsidRPr="001F4770">
        <w:rPr>
          <w:rStyle w:val="FootnoteReference"/>
        </w:rPr>
        <w:footnoteReference w:id="1"/>
      </w:r>
      <w:r w:rsidRPr="001F4770">
        <w:t xml:space="preserve"> in 2012 and a workforce of 8</w:t>
      </w:r>
      <w:r w:rsidR="00233C65" w:rsidRPr="001F4770">
        <w:t>,</w:t>
      </w:r>
      <w:r w:rsidRPr="001F4770">
        <w:t xml:space="preserve">400. </w:t>
      </w:r>
    </w:p>
    <w:p w14:paraId="579E0557" w14:textId="77777777" w:rsidR="00233C65" w:rsidRPr="001F4770" w:rsidRDefault="00233C65" w:rsidP="00EF6F46">
      <w:pPr>
        <w:pStyle w:val="BodyTextMain"/>
      </w:pPr>
    </w:p>
    <w:p w14:paraId="357F4351" w14:textId="3A8FC66A" w:rsidR="002F623D" w:rsidRPr="001F4770" w:rsidRDefault="00233C65" w:rsidP="00E45879">
      <w:pPr>
        <w:pStyle w:val="BodyTextMain"/>
      </w:pPr>
      <w:r w:rsidRPr="001F4770">
        <w:t>The company was essentially an asset manager and provided services to facilitate the wholesale electricity market. It</w:t>
      </w:r>
      <w:r w:rsidR="002F623D" w:rsidRPr="001F4770">
        <w:t xml:space="preserve"> was the only electricity </w:t>
      </w:r>
      <w:r w:rsidRPr="001F4770">
        <w:t>TSO</w:t>
      </w:r>
      <w:r w:rsidR="002F623D" w:rsidRPr="001F4770">
        <w:t xml:space="preserve"> in France</w:t>
      </w:r>
      <w:r w:rsidR="008B5DBC" w:rsidRPr="001F4770">
        <w:t xml:space="preserve"> and</w:t>
      </w:r>
      <w:r w:rsidR="002F623D" w:rsidRPr="001F4770">
        <w:t xml:space="preserve"> the only company that managed international exchanges of electricity between France and </w:t>
      </w:r>
      <w:r w:rsidR="000B2CE9" w:rsidRPr="001F4770">
        <w:t>neighbouring</w:t>
      </w:r>
      <w:r w:rsidR="002F623D" w:rsidRPr="001F4770">
        <w:t xml:space="preserve"> countries. The French electricity network was interconnected with Great Britain, Belgium, Germany, Italy, Switzerland</w:t>
      </w:r>
      <w:r w:rsidR="000B2CE9" w:rsidRPr="001F4770">
        <w:t>,</w:t>
      </w:r>
      <w:r w:rsidR="002F623D" w:rsidRPr="001F4770">
        <w:t xml:space="preserve"> and Spain (</w:t>
      </w:r>
      <w:r w:rsidR="000B2CE9" w:rsidRPr="001F4770">
        <w:t xml:space="preserve">see </w:t>
      </w:r>
      <w:r w:rsidR="00F409D2" w:rsidRPr="001F4770">
        <w:t>Exhibit 1</w:t>
      </w:r>
      <w:r w:rsidR="002F623D" w:rsidRPr="001F4770">
        <w:t>).</w:t>
      </w:r>
    </w:p>
    <w:p w14:paraId="6E464A4C" w14:textId="77777777" w:rsidR="002F623D" w:rsidRPr="001F4770" w:rsidRDefault="002F623D">
      <w:pPr>
        <w:pStyle w:val="BodyTextMain"/>
      </w:pPr>
    </w:p>
    <w:p w14:paraId="199D3794" w14:textId="77777777" w:rsidR="002F623D" w:rsidRPr="001F4770" w:rsidRDefault="002F623D" w:rsidP="002F623D">
      <w:pPr>
        <w:pStyle w:val="BodyTextMain"/>
      </w:pPr>
    </w:p>
    <w:p w14:paraId="3F69E6E2" w14:textId="625C4062" w:rsidR="002F623D" w:rsidRPr="001F4770" w:rsidRDefault="002F623D" w:rsidP="002F623D">
      <w:pPr>
        <w:pStyle w:val="Casehead1"/>
        <w:rPr>
          <w:rFonts w:eastAsiaTheme="majorEastAsia"/>
        </w:rPr>
      </w:pPr>
      <w:r w:rsidRPr="001F4770">
        <w:rPr>
          <w:rFonts w:eastAsiaTheme="majorEastAsia"/>
        </w:rPr>
        <w:t xml:space="preserve">THE INDUSTRY IN </w:t>
      </w:r>
      <w:r w:rsidR="00C04547" w:rsidRPr="001F4770">
        <w:rPr>
          <w:rFonts w:eastAsiaTheme="majorEastAsia"/>
        </w:rPr>
        <w:t>Flux</w:t>
      </w:r>
    </w:p>
    <w:p w14:paraId="5CCB35D4" w14:textId="77777777" w:rsidR="002F623D" w:rsidRPr="001F4770" w:rsidRDefault="002F623D" w:rsidP="002F623D">
      <w:pPr>
        <w:pStyle w:val="BodyTextMain"/>
      </w:pPr>
    </w:p>
    <w:p w14:paraId="6E5D4889" w14:textId="4DEDC55C" w:rsidR="000B2CE9" w:rsidRPr="001F4770" w:rsidRDefault="002F623D" w:rsidP="002F623D">
      <w:pPr>
        <w:pStyle w:val="BodyTextMain"/>
        <w:rPr>
          <w:spacing w:val="-4"/>
        </w:rPr>
      </w:pPr>
      <w:r w:rsidRPr="001F4770">
        <w:rPr>
          <w:spacing w:val="-4"/>
        </w:rPr>
        <w:t>Before the 1990s, the European electricity sector was characterized as a top</w:t>
      </w:r>
      <w:r w:rsidR="000B2CE9" w:rsidRPr="001F4770">
        <w:rPr>
          <w:spacing w:val="-4"/>
        </w:rPr>
        <w:t>-</w:t>
      </w:r>
      <w:r w:rsidRPr="001F4770">
        <w:rPr>
          <w:spacing w:val="-4"/>
        </w:rPr>
        <w:t>down system: large power generators (hydroelectric, nuclear, coal</w:t>
      </w:r>
      <w:r w:rsidR="000B2CE9" w:rsidRPr="001F4770">
        <w:rPr>
          <w:spacing w:val="-4"/>
        </w:rPr>
        <w:t>,</w:t>
      </w:r>
      <w:r w:rsidRPr="001F4770">
        <w:rPr>
          <w:spacing w:val="-4"/>
        </w:rPr>
        <w:t xml:space="preserve"> and natural gas) produced electricity, and transmission lines then took that power to load </w:t>
      </w:r>
      <w:r w:rsidR="000B2CE9" w:rsidRPr="001F4770">
        <w:rPr>
          <w:spacing w:val="-4"/>
        </w:rPr>
        <w:t>centres</w:t>
      </w:r>
      <w:r w:rsidRPr="001F4770">
        <w:rPr>
          <w:spacing w:val="-4"/>
        </w:rPr>
        <w:t xml:space="preserve">, </w:t>
      </w:r>
      <w:r w:rsidR="000B2CE9" w:rsidRPr="001F4770">
        <w:rPr>
          <w:spacing w:val="-4"/>
        </w:rPr>
        <w:t xml:space="preserve">from </w:t>
      </w:r>
      <w:r w:rsidRPr="001F4770">
        <w:rPr>
          <w:spacing w:val="-4"/>
        </w:rPr>
        <w:t xml:space="preserve">where it was </w:t>
      </w:r>
      <w:r w:rsidR="000B2CE9" w:rsidRPr="001F4770">
        <w:rPr>
          <w:spacing w:val="-4"/>
        </w:rPr>
        <w:t xml:space="preserve">distributed </w:t>
      </w:r>
      <w:r w:rsidRPr="001F4770">
        <w:rPr>
          <w:spacing w:val="-4"/>
        </w:rPr>
        <w:t xml:space="preserve">to consumers </w:t>
      </w:r>
      <w:r w:rsidR="000B2CE9" w:rsidRPr="001F4770">
        <w:rPr>
          <w:spacing w:val="-4"/>
        </w:rPr>
        <w:t>over</w:t>
      </w:r>
      <w:r w:rsidRPr="001F4770">
        <w:rPr>
          <w:spacing w:val="-4"/>
        </w:rPr>
        <w:t xml:space="preserve"> grids. </w:t>
      </w:r>
      <w:r w:rsidR="000B2CE9" w:rsidRPr="001F4770">
        <w:rPr>
          <w:spacing w:val="-4"/>
        </w:rPr>
        <w:t xml:space="preserve">The system </w:t>
      </w:r>
      <w:r w:rsidRPr="001F4770">
        <w:rPr>
          <w:spacing w:val="-4"/>
        </w:rPr>
        <w:t xml:space="preserve">was like a waterfall, with electricity flowing in just one direction, from high to low voltages. </w:t>
      </w:r>
    </w:p>
    <w:p w14:paraId="2E84CD22" w14:textId="77777777" w:rsidR="000B2CE9" w:rsidRPr="001F4770" w:rsidRDefault="000B2CE9" w:rsidP="002F623D">
      <w:pPr>
        <w:pStyle w:val="BodyTextMain"/>
        <w:rPr>
          <w:spacing w:val="-4"/>
        </w:rPr>
      </w:pPr>
    </w:p>
    <w:p w14:paraId="7ADCFC06" w14:textId="35B9457F" w:rsidR="002F623D" w:rsidRPr="001F4770" w:rsidRDefault="000B2CE9" w:rsidP="002F623D">
      <w:pPr>
        <w:pStyle w:val="BodyTextMain"/>
        <w:rPr>
          <w:spacing w:val="-4"/>
        </w:rPr>
      </w:pPr>
      <w:r w:rsidRPr="001F4770">
        <w:rPr>
          <w:spacing w:val="-4"/>
        </w:rPr>
        <w:t xml:space="preserve">The </w:t>
      </w:r>
      <w:r w:rsidR="002F623D" w:rsidRPr="001F4770">
        <w:rPr>
          <w:spacing w:val="-4"/>
        </w:rPr>
        <w:t>whole value chain was managed by vertically integrated utilities. Later, the electricity transport services (transmission and distribution) were unbundled from the electricity production and supply activities, and wholesale and retail markets were introduced all over Europe. As a result, competition was introduced in the production and supply of electricity</w:t>
      </w:r>
      <w:r w:rsidRPr="001F4770">
        <w:rPr>
          <w:spacing w:val="-4"/>
        </w:rPr>
        <w:t>;</w:t>
      </w:r>
      <w:r w:rsidR="002F623D" w:rsidRPr="001F4770">
        <w:rPr>
          <w:spacing w:val="-4"/>
        </w:rPr>
        <w:t xml:space="preserve"> however</w:t>
      </w:r>
      <w:r w:rsidRPr="001F4770">
        <w:rPr>
          <w:spacing w:val="-4"/>
        </w:rPr>
        <w:t>,</w:t>
      </w:r>
      <w:r w:rsidR="002F623D" w:rsidRPr="001F4770">
        <w:rPr>
          <w:spacing w:val="-4"/>
        </w:rPr>
        <w:t xml:space="preserve"> electricity networks were considered natural monopolies that needed regulating.</w:t>
      </w:r>
    </w:p>
    <w:p w14:paraId="0ABD759C" w14:textId="77777777" w:rsidR="002F623D" w:rsidRPr="001F4770" w:rsidRDefault="002F623D" w:rsidP="002F623D">
      <w:pPr>
        <w:pStyle w:val="BodyTextMain"/>
      </w:pPr>
    </w:p>
    <w:p w14:paraId="215585DD" w14:textId="6E4EB3FC" w:rsidR="002F623D" w:rsidRPr="001F4770" w:rsidRDefault="002F623D" w:rsidP="002F623D">
      <w:pPr>
        <w:pStyle w:val="BodyTextMain"/>
      </w:pPr>
      <w:r w:rsidRPr="001F4770">
        <w:t>Prior to changing the regulatory regime to revenue cap, most European TSOs</w:t>
      </w:r>
      <w:r w:rsidR="000B2CE9" w:rsidRPr="001F4770">
        <w:t>,</w:t>
      </w:r>
      <w:r w:rsidRPr="001F4770">
        <w:t xml:space="preserve"> including RTE</w:t>
      </w:r>
      <w:r w:rsidR="000B2CE9" w:rsidRPr="001F4770">
        <w:t>,</w:t>
      </w:r>
      <w:r w:rsidRPr="001F4770">
        <w:t xml:space="preserve"> </w:t>
      </w:r>
      <w:r w:rsidR="000B2CE9" w:rsidRPr="001F4770">
        <w:t>were</w:t>
      </w:r>
      <w:r w:rsidRPr="001F4770">
        <w:t xml:space="preserve"> regulated with a cost-plus </w:t>
      </w:r>
      <w:r w:rsidR="00B16E35" w:rsidRPr="001F4770">
        <w:t xml:space="preserve">(cost+) </w:t>
      </w:r>
      <w:r w:rsidRPr="001F4770">
        <w:t>regime</w:t>
      </w:r>
      <w:r w:rsidR="00B16E35" w:rsidRPr="001F4770">
        <w:t>. Under cost+,</w:t>
      </w:r>
      <w:r w:rsidRPr="001F4770">
        <w:t xml:space="preserve"> the regulator checked the company’s cost accounting and approved the recovery of </w:t>
      </w:r>
      <w:r w:rsidR="00B16E35" w:rsidRPr="001F4770">
        <w:t xml:space="preserve">the company’s </w:t>
      </w:r>
      <w:r w:rsidRPr="001F4770">
        <w:t xml:space="preserve">costs to the extent that they were reasonable. In </w:t>
      </w:r>
      <w:r w:rsidR="00B16E35" w:rsidRPr="001F4770">
        <w:t>the</w:t>
      </w:r>
      <w:r w:rsidRPr="001F4770">
        <w:t xml:space="preserve"> revenue cap regime, the cap was periodically revised by the </w:t>
      </w:r>
      <w:r w:rsidR="00B16E35" w:rsidRPr="001F4770">
        <w:t>n</w:t>
      </w:r>
      <w:r w:rsidRPr="001F4770">
        <w:t xml:space="preserve">ational </w:t>
      </w:r>
      <w:r w:rsidR="00B16E35" w:rsidRPr="001F4770">
        <w:t>r</w:t>
      </w:r>
      <w:r w:rsidRPr="001F4770">
        <w:t xml:space="preserve">egulatory </w:t>
      </w:r>
      <w:r w:rsidR="00B16E35" w:rsidRPr="001F4770">
        <w:t>a</w:t>
      </w:r>
      <w:r w:rsidRPr="001F4770">
        <w:t>uthority</w:t>
      </w:r>
      <w:r w:rsidR="00B16E35" w:rsidRPr="001F4770">
        <w:t>, fixing t</w:t>
      </w:r>
      <w:r w:rsidRPr="001F4770">
        <w:t>he revenue stream for a number of years</w:t>
      </w:r>
      <w:r w:rsidR="00B16E35" w:rsidRPr="001F4770">
        <w:t>. To increase profits in that period,</w:t>
      </w:r>
      <w:r w:rsidRPr="001F4770">
        <w:t xml:space="preserve"> the company </w:t>
      </w:r>
      <w:r w:rsidR="00B16E35" w:rsidRPr="001F4770">
        <w:t>needed to</w:t>
      </w:r>
      <w:r w:rsidRPr="001F4770">
        <w:t xml:space="preserve"> cut costs</w:t>
      </w:r>
      <w:r w:rsidR="0023053B">
        <w:t>;</w:t>
      </w:r>
      <w:r w:rsidR="00B16E35" w:rsidRPr="001F4770">
        <w:t xml:space="preserve"> thus</w:t>
      </w:r>
      <w:r w:rsidR="0023053B">
        <w:t>,</w:t>
      </w:r>
      <w:r w:rsidR="00B16E35" w:rsidRPr="001F4770">
        <w:t xml:space="preserve"> </w:t>
      </w:r>
      <w:r w:rsidR="00C263A6" w:rsidRPr="001F4770">
        <w:t>revenue cap was one</w:t>
      </w:r>
      <w:r w:rsidR="00B16E35" w:rsidRPr="001F4770">
        <w:t xml:space="preserve"> of the regimes known as </w:t>
      </w:r>
      <w:r w:rsidRPr="001F4770">
        <w:t>incentive regulation.</w:t>
      </w:r>
      <w:r w:rsidRPr="001F4770">
        <w:rPr>
          <w:rStyle w:val="FootnoteReference"/>
        </w:rPr>
        <w:footnoteReference w:id="2"/>
      </w:r>
      <w:r w:rsidRPr="001F4770">
        <w:t xml:space="preserve"> </w:t>
      </w:r>
      <w:r w:rsidR="00B16E35" w:rsidRPr="001F4770">
        <w:t>P</w:t>
      </w:r>
      <w:r w:rsidRPr="001F4770">
        <w:t xml:space="preserve">eriodic review allowed the regulator to transfer </w:t>
      </w:r>
      <w:r w:rsidR="00C55758" w:rsidRPr="001F4770">
        <w:t>a portion of</w:t>
      </w:r>
      <w:r w:rsidRPr="001F4770">
        <w:t xml:space="preserve"> the efficiency gains back to </w:t>
      </w:r>
      <w:r w:rsidR="00596658" w:rsidRPr="001F4770">
        <w:t>consumers and</w:t>
      </w:r>
      <w:r w:rsidRPr="001F4770">
        <w:t xml:space="preserve"> </w:t>
      </w:r>
      <w:r w:rsidR="00C55758" w:rsidRPr="001F4770">
        <w:t xml:space="preserve">set </w:t>
      </w:r>
      <w:r w:rsidRPr="001F4770">
        <w:t xml:space="preserve">an updated revenue </w:t>
      </w:r>
      <w:r w:rsidR="00C55758" w:rsidRPr="001F4770">
        <w:t xml:space="preserve">cap </w:t>
      </w:r>
      <w:r w:rsidRPr="001F4770">
        <w:t xml:space="preserve">for </w:t>
      </w:r>
      <w:r w:rsidR="00C55758" w:rsidRPr="001F4770">
        <w:t xml:space="preserve">the </w:t>
      </w:r>
      <w:r w:rsidRPr="001F4770">
        <w:t>next regulatory period.</w:t>
      </w:r>
    </w:p>
    <w:p w14:paraId="68FD3EDB" w14:textId="77777777" w:rsidR="002F623D" w:rsidRPr="001F4770" w:rsidRDefault="002F623D" w:rsidP="002F623D">
      <w:pPr>
        <w:pStyle w:val="BodyTextMain"/>
      </w:pPr>
    </w:p>
    <w:p w14:paraId="13CACAD1" w14:textId="568711CC" w:rsidR="00BF7894" w:rsidRPr="001F4770" w:rsidRDefault="00C04547" w:rsidP="002F623D">
      <w:pPr>
        <w:pStyle w:val="BodyTextMain"/>
      </w:pPr>
      <w:r w:rsidRPr="001F4770">
        <w:t>R</w:t>
      </w:r>
      <w:r w:rsidR="002F623D" w:rsidRPr="001F4770">
        <w:t>evenue cap</w:t>
      </w:r>
      <w:r w:rsidRPr="001F4770">
        <w:t>s</w:t>
      </w:r>
      <w:r w:rsidR="002F623D" w:rsidRPr="001F4770">
        <w:t xml:space="preserve"> </w:t>
      </w:r>
      <w:r w:rsidRPr="001F4770">
        <w:t xml:space="preserve">were </w:t>
      </w:r>
      <w:r w:rsidR="002F623D" w:rsidRPr="001F4770">
        <w:t>typically restricted</w:t>
      </w:r>
      <w:r w:rsidR="00C56F36" w:rsidRPr="001F4770">
        <w:t xml:space="preserve">, applying </w:t>
      </w:r>
      <w:r w:rsidR="002F623D" w:rsidRPr="001F4770">
        <w:t xml:space="preserve">to </w:t>
      </w:r>
      <w:r w:rsidR="00C55758" w:rsidRPr="001F4770">
        <w:t xml:space="preserve">operating expenditures </w:t>
      </w:r>
      <w:r w:rsidR="002F623D" w:rsidRPr="001F4770">
        <w:t>that the companies at least partly control</w:t>
      </w:r>
      <w:r w:rsidR="00C55758" w:rsidRPr="001F4770">
        <w:t>led</w:t>
      </w:r>
      <w:r w:rsidR="00C56F36" w:rsidRPr="001F4770">
        <w:t>. T</w:t>
      </w:r>
      <w:r w:rsidR="002F623D" w:rsidRPr="001F4770">
        <w:t>here were also “</w:t>
      </w:r>
      <w:r w:rsidR="00C55758" w:rsidRPr="001F4770">
        <w:t>o</w:t>
      </w:r>
      <w:r w:rsidR="002F623D" w:rsidRPr="001F4770">
        <w:t xml:space="preserve">ther </w:t>
      </w:r>
      <w:r w:rsidR="00C55758" w:rsidRPr="001F4770">
        <w:t>c</w:t>
      </w:r>
      <w:r w:rsidR="002F623D" w:rsidRPr="001F4770">
        <w:t xml:space="preserve">osts” that the companies </w:t>
      </w:r>
      <w:r w:rsidR="00C55758" w:rsidRPr="001F4770">
        <w:t xml:space="preserve">could </w:t>
      </w:r>
      <w:r w:rsidR="00192E57" w:rsidRPr="001F4770">
        <w:t>charge as pass-through fees,</w:t>
      </w:r>
      <w:r w:rsidR="00192E57" w:rsidRPr="001F4770">
        <w:rPr>
          <w:rStyle w:val="FootnoteReference"/>
        </w:rPr>
        <w:footnoteReference w:id="3"/>
      </w:r>
      <w:r w:rsidR="00192E57" w:rsidRPr="001F4770">
        <w:t xml:space="preserve"> </w:t>
      </w:r>
      <w:r w:rsidR="002F623D" w:rsidRPr="001F4770">
        <w:t xml:space="preserve">such as costs related to public </w:t>
      </w:r>
      <w:r w:rsidR="00AD56CA">
        <w:t>service</w:t>
      </w:r>
      <w:r w:rsidR="00AD56CA" w:rsidRPr="001F4770">
        <w:t xml:space="preserve"> </w:t>
      </w:r>
      <w:r w:rsidR="002F623D" w:rsidRPr="001F4770">
        <w:t xml:space="preserve">obligations. </w:t>
      </w:r>
    </w:p>
    <w:p w14:paraId="7CD06DF4" w14:textId="77777777" w:rsidR="00BF7894" w:rsidRPr="001F4770" w:rsidRDefault="00BF7894" w:rsidP="002F623D">
      <w:pPr>
        <w:pStyle w:val="BodyTextMain"/>
      </w:pPr>
    </w:p>
    <w:p w14:paraId="5E2E8D70" w14:textId="1C4EFAF8" w:rsidR="005954A0" w:rsidRPr="001F4770" w:rsidRDefault="00BF7894" w:rsidP="002F623D">
      <w:pPr>
        <w:pStyle w:val="BodyTextMain"/>
      </w:pPr>
      <w:r w:rsidRPr="001F4770">
        <w:t>C</w:t>
      </w:r>
      <w:r w:rsidR="002F623D" w:rsidRPr="001F4770">
        <w:t xml:space="preserve">apital expenditures were </w:t>
      </w:r>
      <w:r w:rsidRPr="001F4770">
        <w:t>treated differently</w:t>
      </w:r>
      <w:r w:rsidR="002F623D" w:rsidRPr="001F4770">
        <w:t xml:space="preserve"> among E</w:t>
      </w:r>
      <w:r w:rsidRPr="001F4770">
        <w:t xml:space="preserve">uropean </w:t>
      </w:r>
      <w:r w:rsidR="002F623D" w:rsidRPr="001F4770">
        <w:t>U</w:t>
      </w:r>
      <w:r w:rsidRPr="001F4770">
        <w:t>nion</w:t>
      </w:r>
      <w:r w:rsidR="002F623D" w:rsidRPr="001F4770">
        <w:t xml:space="preserve"> </w:t>
      </w:r>
      <w:r w:rsidR="00C56F36" w:rsidRPr="001F4770">
        <w:t>m</w:t>
      </w:r>
      <w:r w:rsidR="002F623D" w:rsidRPr="001F4770">
        <w:t xml:space="preserve">ember </w:t>
      </w:r>
      <w:r w:rsidR="00C56F36" w:rsidRPr="001F4770">
        <w:t>s</w:t>
      </w:r>
      <w:r w:rsidR="002F623D" w:rsidRPr="001F4770">
        <w:t xml:space="preserve">tates. Belgium and France, for instance, excluded investment costs from </w:t>
      </w:r>
      <w:r w:rsidRPr="001F4770">
        <w:t xml:space="preserve">a </w:t>
      </w:r>
      <w:r w:rsidR="002F623D" w:rsidRPr="001F4770">
        <w:t>TSO</w:t>
      </w:r>
      <w:r w:rsidRPr="001F4770">
        <w:t>’s</w:t>
      </w:r>
      <w:r w:rsidR="002F623D" w:rsidRPr="001F4770">
        <w:t xml:space="preserve"> revenue cap and </w:t>
      </w:r>
      <w:r w:rsidRPr="001F4770">
        <w:t xml:space="preserve">instead </w:t>
      </w:r>
      <w:r w:rsidR="002F623D" w:rsidRPr="001F4770">
        <w:t xml:space="preserve">remunerated </w:t>
      </w:r>
      <w:r w:rsidRPr="001F4770">
        <w:t xml:space="preserve">the investment costs </w:t>
      </w:r>
      <w:r w:rsidR="002F623D" w:rsidRPr="001F4770">
        <w:t>with a cost</w:t>
      </w:r>
      <w:r w:rsidRPr="001F4770">
        <w:t>+</w:t>
      </w:r>
      <w:r w:rsidR="002F623D" w:rsidRPr="001F4770">
        <w:t xml:space="preserve"> or cost pass-through mechanism. This meant that the</w:t>
      </w:r>
      <w:r w:rsidR="005954A0" w:rsidRPr="001F4770">
        <w:t xml:space="preserve"> process to approve investments was separate from the process to set the revenue cap. </w:t>
      </w:r>
    </w:p>
    <w:p w14:paraId="61AD1826" w14:textId="77777777" w:rsidR="005954A0" w:rsidRPr="001F4770" w:rsidRDefault="005954A0" w:rsidP="002F623D">
      <w:pPr>
        <w:pStyle w:val="BodyTextMain"/>
      </w:pPr>
    </w:p>
    <w:p w14:paraId="56615403" w14:textId="443E5F42" w:rsidR="002F623D" w:rsidRPr="001F4770" w:rsidRDefault="002F623D" w:rsidP="002F623D">
      <w:pPr>
        <w:pStyle w:val="BodyTextMain"/>
      </w:pPr>
      <w:r w:rsidRPr="001F4770">
        <w:lastRenderedPageBreak/>
        <w:t xml:space="preserve">Once </w:t>
      </w:r>
      <w:r w:rsidR="005954A0" w:rsidRPr="001F4770">
        <w:t xml:space="preserve">investments were </w:t>
      </w:r>
      <w:r w:rsidRPr="001F4770">
        <w:t xml:space="preserve">approved by the regulator, the investment entered the </w:t>
      </w:r>
      <w:r w:rsidR="00CA198F" w:rsidRPr="001F4770">
        <w:t xml:space="preserve">company’s </w:t>
      </w:r>
      <w:r w:rsidR="005954A0" w:rsidRPr="001F4770">
        <w:t>regulated asset base (</w:t>
      </w:r>
      <w:r w:rsidRPr="001F4770">
        <w:t xml:space="preserve">RAB). The RAB was then remunerated with a regulated </w:t>
      </w:r>
      <w:r w:rsidR="00CA198F" w:rsidRPr="001F4770">
        <w:t>w</w:t>
      </w:r>
      <w:r w:rsidRPr="001F4770">
        <w:t xml:space="preserve">eighted </w:t>
      </w:r>
      <w:r w:rsidR="00CA198F" w:rsidRPr="001F4770">
        <w:t>a</w:t>
      </w:r>
      <w:r w:rsidRPr="001F4770">
        <w:t xml:space="preserve">verage </w:t>
      </w:r>
      <w:r w:rsidR="00CA198F" w:rsidRPr="001F4770">
        <w:t>c</w:t>
      </w:r>
      <w:r w:rsidRPr="001F4770">
        <w:t xml:space="preserve">ost of </w:t>
      </w:r>
      <w:r w:rsidR="00CA198F" w:rsidRPr="001F4770">
        <w:t>c</w:t>
      </w:r>
      <w:r w:rsidRPr="001F4770">
        <w:t>apital</w:t>
      </w:r>
      <w:r w:rsidR="00CA198F" w:rsidRPr="001F4770">
        <w:t xml:space="preserve"> (WACC</w:t>
      </w:r>
      <w:r w:rsidRPr="001F4770">
        <w:t>) that allow</w:t>
      </w:r>
      <w:r w:rsidR="00CA198F" w:rsidRPr="001F4770">
        <w:t>ed</w:t>
      </w:r>
      <w:r w:rsidRPr="001F4770">
        <w:t xml:space="preserve"> the TSOs to pay back </w:t>
      </w:r>
      <w:r w:rsidR="00CA198F" w:rsidRPr="001F4770">
        <w:t xml:space="preserve">the </w:t>
      </w:r>
      <w:r w:rsidRPr="001F4770">
        <w:t xml:space="preserve">interest on outstanding debt and provide a return on equity to its shareholders. </w:t>
      </w:r>
      <w:r w:rsidR="00CA198F" w:rsidRPr="001F4770">
        <w:t xml:space="preserve">In </w:t>
      </w:r>
      <w:r w:rsidRPr="001F4770">
        <w:t xml:space="preserve">Germany and the Netherlands, </w:t>
      </w:r>
      <w:r w:rsidR="00CA198F" w:rsidRPr="001F4770">
        <w:t>however</w:t>
      </w:r>
      <w:r w:rsidRPr="001F4770">
        <w:t xml:space="preserve">, both </w:t>
      </w:r>
      <w:r w:rsidR="00CA198F" w:rsidRPr="001F4770">
        <w:t xml:space="preserve">the operating expenses and the capital expenditures were included </w:t>
      </w:r>
      <w:r w:rsidRPr="001F4770">
        <w:t>in the revenue cap</w:t>
      </w:r>
      <w:r w:rsidR="00CA198F" w:rsidRPr="001F4770">
        <w:t>;</w:t>
      </w:r>
      <w:r w:rsidRPr="001F4770">
        <w:t xml:space="preserve"> </w:t>
      </w:r>
      <w:r w:rsidR="007036B8" w:rsidRPr="001F4770">
        <w:t xml:space="preserve">the value of </w:t>
      </w:r>
      <w:r w:rsidRPr="001F4770">
        <w:t xml:space="preserve">old assets could be </w:t>
      </w:r>
      <w:r w:rsidR="007036B8" w:rsidRPr="001F4770">
        <w:t xml:space="preserve">revised </w:t>
      </w:r>
      <w:r w:rsidRPr="001F4770">
        <w:t>in the periodic review of the revenue cap. This approach was called the total expenditures approach</w:t>
      </w:r>
      <w:r w:rsidR="002B2DAA">
        <w:t>,</w:t>
      </w:r>
      <w:r w:rsidRPr="001F4770">
        <w:t xml:space="preserve"> and it provided stronger incentives for the TSO to keep costs under control, but</w:t>
      </w:r>
      <w:r w:rsidR="00BE300E" w:rsidRPr="001F4770">
        <w:t>,</w:t>
      </w:r>
      <w:r w:rsidRPr="001F4770">
        <w:t xml:space="preserve"> at the same time</w:t>
      </w:r>
      <w:r w:rsidR="00BE300E" w:rsidRPr="001F4770">
        <w:t>,</w:t>
      </w:r>
      <w:r w:rsidRPr="001F4770">
        <w:t xml:space="preserve"> </w:t>
      </w:r>
      <w:r w:rsidR="00BE300E" w:rsidRPr="001F4770">
        <w:t xml:space="preserve">the approach </w:t>
      </w:r>
      <w:r w:rsidRPr="001F4770">
        <w:t xml:space="preserve">also increased </w:t>
      </w:r>
      <w:r w:rsidR="00BE300E" w:rsidRPr="001F4770">
        <w:t xml:space="preserve">the TSO’s </w:t>
      </w:r>
      <w:r w:rsidRPr="001F4770">
        <w:t>investment risk</w:t>
      </w:r>
      <w:r w:rsidR="00BE300E" w:rsidRPr="001F4770">
        <w:t xml:space="preserve"> (see </w:t>
      </w:r>
      <w:r w:rsidR="00700D53" w:rsidRPr="001F4770">
        <w:t>Exhibit 2</w:t>
      </w:r>
      <w:r w:rsidR="00BE300E" w:rsidRPr="001F4770">
        <w:t>)</w:t>
      </w:r>
      <w:r w:rsidR="00467A55" w:rsidRPr="001F4770">
        <w:t>.</w:t>
      </w:r>
      <w:r w:rsidR="00F67EB8" w:rsidRPr="001F4770">
        <w:t xml:space="preserve"> </w:t>
      </w:r>
    </w:p>
    <w:p w14:paraId="6EE0EBFA" w14:textId="77777777" w:rsidR="002F623D" w:rsidRPr="001F4770" w:rsidRDefault="002F623D" w:rsidP="002F623D">
      <w:pPr>
        <w:pStyle w:val="BodyTextMain"/>
      </w:pPr>
    </w:p>
    <w:p w14:paraId="45C9BD72" w14:textId="05238D21" w:rsidR="002F623D" w:rsidRPr="001F4770" w:rsidRDefault="00BE300E" w:rsidP="002F623D">
      <w:pPr>
        <w:pStyle w:val="BodyTextMain"/>
      </w:pPr>
      <w:r w:rsidRPr="001F4770">
        <w:t xml:space="preserve">In addition to </w:t>
      </w:r>
      <w:r w:rsidR="002F623D" w:rsidRPr="001F4770">
        <w:t xml:space="preserve">the changes in the </w:t>
      </w:r>
      <w:r w:rsidRPr="001F4770">
        <w:t xml:space="preserve">sector’s </w:t>
      </w:r>
      <w:r w:rsidR="002F623D" w:rsidRPr="001F4770">
        <w:t>structur</w:t>
      </w:r>
      <w:r w:rsidRPr="001F4770">
        <w:t>e</w:t>
      </w:r>
      <w:r w:rsidR="002F623D" w:rsidRPr="001F4770">
        <w:t xml:space="preserve"> and </w:t>
      </w:r>
      <w:r w:rsidRPr="001F4770">
        <w:t xml:space="preserve">in </w:t>
      </w:r>
      <w:r w:rsidR="002F623D" w:rsidRPr="001F4770">
        <w:t>the regulatory environment, there was a growing need for cross-border investments</w:t>
      </w:r>
      <w:r w:rsidRPr="001F4770">
        <w:t>. M</w:t>
      </w:r>
      <w:r w:rsidR="002F623D" w:rsidRPr="001F4770">
        <w:t>ore market integration was required</w:t>
      </w:r>
      <w:r w:rsidRPr="001F4770">
        <w:t>,</w:t>
      </w:r>
      <w:r w:rsidR="002F623D" w:rsidRPr="001F4770">
        <w:t xml:space="preserve"> and renewable energy sources came on stream in </w:t>
      </w:r>
      <w:r w:rsidRPr="001F4770">
        <w:t xml:space="preserve">locations </w:t>
      </w:r>
      <w:r w:rsidR="002F623D" w:rsidRPr="001F4770">
        <w:t xml:space="preserve">where electricity </w:t>
      </w:r>
      <w:r w:rsidRPr="001F4770">
        <w:t>wa</w:t>
      </w:r>
      <w:r w:rsidR="002F623D" w:rsidRPr="001F4770">
        <w:t>s easier and cheaper to produce</w:t>
      </w:r>
      <w:r w:rsidRPr="001F4770">
        <w:t>.</w:t>
      </w:r>
      <w:r w:rsidR="00575695" w:rsidRPr="001F4770">
        <w:t xml:space="preserve"> It was difficult to predict whether these changes would increase the global or local production of electricity, or both.</w:t>
      </w:r>
      <w:r w:rsidR="002F623D" w:rsidRPr="001F4770">
        <w:t xml:space="preserve"> Households and businesses </w:t>
      </w:r>
      <w:r w:rsidRPr="001F4770">
        <w:t xml:space="preserve">were beginning </w:t>
      </w:r>
      <w:r w:rsidR="002F623D" w:rsidRPr="001F4770">
        <w:t xml:space="preserve">to produce their own electricity </w:t>
      </w:r>
      <w:r w:rsidRPr="001F4770">
        <w:t xml:space="preserve">with </w:t>
      </w:r>
      <w:r w:rsidR="002F623D" w:rsidRPr="001F4770">
        <w:t>windmills and solar panels</w:t>
      </w:r>
      <w:r w:rsidRPr="001F4770">
        <w:t xml:space="preserve">, but it was unknown </w:t>
      </w:r>
      <w:r w:rsidR="002F623D" w:rsidRPr="001F4770">
        <w:t xml:space="preserve">how far decentralization of energy production </w:t>
      </w:r>
      <w:r w:rsidRPr="001F4770">
        <w:t xml:space="preserve">would progress. It was possible that the system would become, in fact, </w:t>
      </w:r>
      <w:r w:rsidR="002F623D" w:rsidRPr="001F4770">
        <w:t>more centralized with large solar installations in North Africa and more wind farms on the North Sea coast</w:t>
      </w:r>
      <w:r w:rsidR="008A184D" w:rsidRPr="001F4770">
        <w:t>.</w:t>
      </w:r>
      <w:r w:rsidR="002F623D" w:rsidRPr="001F4770">
        <w:t xml:space="preserve"> Experience and history indicated that</w:t>
      </w:r>
      <w:r w:rsidR="0001074A">
        <w:t xml:space="preserve"> </w:t>
      </w:r>
      <w:r w:rsidR="008A184D" w:rsidRPr="001F4770">
        <w:t>evolution would</w:t>
      </w:r>
      <w:r w:rsidR="002F623D" w:rsidRPr="001F4770">
        <w:t xml:space="preserve"> </w:t>
      </w:r>
      <w:r w:rsidR="0001074A">
        <w:t xml:space="preserve">likely </w:t>
      </w:r>
      <w:r w:rsidR="002F623D" w:rsidRPr="001F4770">
        <w:t xml:space="preserve">be a mixture of the two trends, but </w:t>
      </w:r>
      <w:r w:rsidR="008A184D" w:rsidRPr="001F4770">
        <w:t xml:space="preserve">how the trends would balance, when it would happen, and what the outcome would be were unknown. </w:t>
      </w:r>
      <w:r w:rsidR="002F623D" w:rsidRPr="001F4770">
        <w:t xml:space="preserve">This led to debate and uncertainties about where investments </w:t>
      </w:r>
      <w:r w:rsidR="008A184D" w:rsidRPr="001F4770">
        <w:t xml:space="preserve">were needed most </w:t>
      </w:r>
      <w:r w:rsidR="002F623D" w:rsidRPr="001F4770">
        <w:t>in electricity networks</w:t>
      </w:r>
      <w:r w:rsidR="009E309B" w:rsidRPr="001F4770">
        <w:t xml:space="preserve">—in </w:t>
      </w:r>
      <w:r w:rsidR="002F623D" w:rsidRPr="001F4770">
        <w:t>high-voltage transmission networks (the motorways of electricity transport)</w:t>
      </w:r>
      <w:r w:rsidR="009E309B" w:rsidRPr="001F4770">
        <w:t>,</w:t>
      </w:r>
      <w:r w:rsidR="002F623D" w:rsidRPr="001F4770">
        <w:t xml:space="preserve"> local (and lower voltage) distribution networks, or both?</w:t>
      </w:r>
    </w:p>
    <w:p w14:paraId="6775A058" w14:textId="77777777" w:rsidR="002F623D" w:rsidRPr="001F4770" w:rsidRDefault="002F623D" w:rsidP="002F623D">
      <w:pPr>
        <w:pStyle w:val="BodyTextMain"/>
      </w:pPr>
    </w:p>
    <w:p w14:paraId="26953952" w14:textId="77777777" w:rsidR="002F623D" w:rsidRPr="001F4770" w:rsidRDefault="002F623D" w:rsidP="002F623D">
      <w:pPr>
        <w:pStyle w:val="BodyTextMain"/>
      </w:pPr>
    </w:p>
    <w:p w14:paraId="45C4C11A" w14:textId="77777777" w:rsidR="002F623D" w:rsidRPr="001F4770" w:rsidRDefault="002F623D" w:rsidP="002F623D">
      <w:pPr>
        <w:pStyle w:val="Casehead2"/>
        <w:rPr>
          <w:rFonts w:eastAsiaTheme="majorEastAsia"/>
        </w:rPr>
      </w:pPr>
      <w:r w:rsidRPr="001F4770">
        <w:rPr>
          <w:rFonts w:eastAsiaTheme="majorEastAsia"/>
        </w:rPr>
        <w:t xml:space="preserve">INVESTMENT PLAN UNDER REGULATORY RISK </w:t>
      </w:r>
    </w:p>
    <w:p w14:paraId="2830D2C5" w14:textId="77777777" w:rsidR="002F623D" w:rsidRPr="001F4770" w:rsidRDefault="002F623D" w:rsidP="002F623D">
      <w:pPr>
        <w:pStyle w:val="BodyTextMain"/>
      </w:pPr>
    </w:p>
    <w:p w14:paraId="74129E9D" w14:textId="23041765" w:rsidR="002F623D" w:rsidRPr="001F4770" w:rsidRDefault="002F623D" w:rsidP="002F623D">
      <w:pPr>
        <w:pStyle w:val="BodyTextMain"/>
      </w:pPr>
      <w:r w:rsidRPr="001F4770">
        <w:t xml:space="preserve">The European Commission had estimated that approximately </w:t>
      </w:r>
      <w:r w:rsidR="009E309B" w:rsidRPr="001F4770">
        <w:t>€</w:t>
      </w:r>
      <w:r w:rsidRPr="001F4770">
        <w:t xml:space="preserve">200 billion needed to be invested in electricity and gas infrastructure </w:t>
      </w:r>
      <w:r w:rsidR="00052B26" w:rsidRPr="001F4770">
        <w:t>to</w:t>
      </w:r>
      <w:r w:rsidRPr="001F4770">
        <w:t xml:space="preserve"> achieve its 2020 energy and climate objectives. </w:t>
      </w:r>
      <w:r w:rsidR="009E309B" w:rsidRPr="001F4770">
        <w:t xml:space="preserve">Because </w:t>
      </w:r>
      <w:r w:rsidRPr="001F4770">
        <w:t xml:space="preserve">investments in electricity networks (lines, cables, and energy storage) </w:t>
      </w:r>
      <w:r w:rsidR="009E309B" w:rsidRPr="001F4770">
        <w:t xml:space="preserve">had been inadequate, </w:t>
      </w:r>
      <w:r w:rsidRPr="001F4770">
        <w:t xml:space="preserve">renewable energy </w:t>
      </w:r>
      <w:r w:rsidR="00596658" w:rsidRPr="001F4770">
        <w:t>was</w:t>
      </w:r>
      <w:r w:rsidRPr="001F4770">
        <w:t xml:space="preserve"> </w:t>
      </w:r>
      <w:r w:rsidR="009E309B" w:rsidRPr="001F4770">
        <w:t xml:space="preserve">likely </w:t>
      </w:r>
      <w:r w:rsidRPr="001F4770">
        <w:t xml:space="preserve">to be lost </w:t>
      </w:r>
      <w:r w:rsidR="009E309B" w:rsidRPr="001F4770">
        <w:t xml:space="preserve">in some places </w:t>
      </w:r>
      <w:r w:rsidRPr="001F4770">
        <w:t>and</w:t>
      </w:r>
      <w:r w:rsidR="009E309B" w:rsidRPr="001F4770">
        <w:t>,</w:t>
      </w:r>
      <w:r w:rsidRPr="001F4770">
        <w:t xml:space="preserve"> therefore</w:t>
      </w:r>
      <w:r w:rsidR="009E309B" w:rsidRPr="001F4770">
        <w:t>,</w:t>
      </w:r>
      <w:r w:rsidRPr="001F4770">
        <w:t xml:space="preserve"> wasted because production would exceed consumption</w:t>
      </w:r>
      <w:r w:rsidR="00052B26">
        <w:t>,</w:t>
      </w:r>
      <w:r w:rsidR="008B0084" w:rsidRPr="001F4770">
        <w:t xml:space="preserve"> and the excess could not be stored. I</w:t>
      </w:r>
      <w:r w:rsidRPr="001F4770">
        <w:t>n other places</w:t>
      </w:r>
      <w:r w:rsidR="008B0084" w:rsidRPr="001F4770">
        <w:t>, production was insufficient</w:t>
      </w:r>
      <w:r w:rsidR="00052B26">
        <w:t>,</w:t>
      </w:r>
      <w:r w:rsidR="008B0084" w:rsidRPr="001F4770">
        <w:t xml:space="preserve"> and </w:t>
      </w:r>
      <w:r w:rsidRPr="001F4770">
        <w:t xml:space="preserve">expensive </w:t>
      </w:r>
      <w:r w:rsidR="00052B26">
        <w:t>backup</w:t>
      </w:r>
      <w:r w:rsidRPr="001F4770">
        <w:t xml:space="preserve"> production</w:t>
      </w:r>
      <w:r w:rsidR="008B0084" w:rsidRPr="001F4770">
        <w:t xml:space="preserve"> would be needed</w:t>
      </w:r>
      <w:r w:rsidRPr="001F4770">
        <w:t xml:space="preserve">. To </w:t>
      </w:r>
      <w:r w:rsidR="008B0084" w:rsidRPr="001F4770">
        <w:t>address these needs</w:t>
      </w:r>
      <w:r w:rsidRPr="001F4770">
        <w:t xml:space="preserve">, </w:t>
      </w:r>
      <w:r w:rsidR="00AD3A73" w:rsidRPr="001F4770">
        <w:t>the European Network of Transmission System Operators (</w:t>
      </w:r>
      <w:r w:rsidRPr="001F4770">
        <w:t>ENTSO-</w:t>
      </w:r>
      <w:r w:rsidR="00A03C08" w:rsidRPr="001F4770">
        <w:t>E</w:t>
      </w:r>
      <w:r w:rsidR="00AD3A73" w:rsidRPr="001F4770">
        <w:t>), an</w:t>
      </w:r>
      <w:r w:rsidRPr="001F4770">
        <w:t xml:space="preserve"> association of </w:t>
      </w:r>
      <w:r w:rsidR="00AD3A73" w:rsidRPr="001F4770">
        <w:t xml:space="preserve">the TSOs in </w:t>
      </w:r>
      <w:r w:rsidRPr="001F4770">
        <w:t>Europe</w:t>
      </w:r>
      <w:r w:rsidR="00AD3A73" w:rsidRPr="001F4770">
        <w:t>,</w:t>
      </w:r>
      <w:r w:rsidRPr="001F4770">
        <w:t xml:space="preserve"> published </w:t>
      </w:r>
      <w:r w:rsidR="00A03C08" w:rsidRPr="001F4770">
        <w:t>its</w:t>
      </w:r>
      <w:r w:rsidR="008B0084" w:rsidRPr="001F4770">
        <w:t xml:space="preserve"> </w:t>
      </w:r>
      <w:r w:rsidR="00052B26">
        <w:rPr>
          <w:i/>
        </w:rPr>
        <w:t>10</w:t>
      </w:r>
      <w:r w:rsidR="00052B26" w:rsidRPr="001F4770">
        <w:rPr>
          <w:i/>
        </w:rPr>
        <w:t>-Year</w:t>
      </w:r>
      <w:r w:rsidRPr="001F4770">
        <w:rPr>
          <w:i/>
        </w:rPr>
        <w:t xml:space="preserve"> Network Development Plan</w:t>
      </w:r>
      <w:r w:rsidRPr="001F4770">
        <w:t xml:space="preserve"> (</w:t>
      </w:r>
      <w:r w:rsidRPr="00B912ED">
        <w:rPr>
          <w:i/>
        </w:rPr>
        <w:t>TYNDP</w:t>
      </w:r>
      <w:r w:rsidRPr="001F4770">
        <w:t>) to promote investment in the European power transmission network.</w:t>
      </w:r>
      <w:r w:rsidR="0048430A" w:rsidRPr="001F4770">
        <w:rPr>
          <w:rStyle w:val="FootnoteReference"/>
        </w:rPr>
        <w:footnoteReference w:id="4"/>
      </w:r>
    </w:p>
    <w:p w14:paraId="095BDF14" w14:textId="77777777" w:rsidR="002F623D" w:rsidRPr="001F4770" w:rsidRDefault="002F623D" w:rsidP="002F623D">
      <w:pPr>
        <w:pStyle w:val="BodyTextMain"/>
      </w:pPr>
    </w:p>
    <w:p w14:paraId="2489C76D" w14:textId="3D22338A" w:rsidR="002F623D" w:rsidRPr="001F4770" w:rsidRDefault="008B0084" w:rsidP="002F623D">
      <w:pPr>
        <w:pStyle w:val="BodyTextMain"/>
      </w:pPr>
      <w:r w:rsidRPr="001F4770">
        <w:t>In 2013, t</w:t>
      </w:r>
      <w:r w:rsidR="002F623D" w:rsidRPr="001F4770">
        <w:t xml:space="preserve">he </w:t>
      </w:r>
      <w:r w:rsidR="003E2C86" w:rsidRPr="001F4770">
        <w:t>European Union adopted an e</w:t>
      </w:r>
      <w:r w:rsidR="002F623D" w:rsidRPr="001F4770">
        <w:t xml:space="preserve">nergy </w:t>
      </w:r>
      <w:r w:rsidR="003E2C86" w:rsidRPr="001F4770">
        <w:t>i</w:t>
      </w:r>
      <w:r w:rsidR="002F623D" w:rsidRPr="001F4770">
        <w:t xml:space="preserve">nfrastructure </w:t>
      </w:r>
      <w:r w:rsidR="003E2C86" w:rsidRPr="001F4770">
        <w:t>p</w:t>
      </w:r>
      <w:r w:rsidR="002F623D" w:rsidRPr="001F4770">
        <w:t>ackage</w:t>
      </w:r>
      <w:r w:rsidRPr="001F4770">
        <w:t>, which</w:t>
      </w:r>
      <w:r w:rsidR="002F623D" w:rsidRPr="001F4770">
        <w:t xml:space="preserve"> included regulatory measures to support investments in electricity networks.</w:t>
      </w:r>
      <w:r w:rsidR="003E2C86" w:rsidRPr="001F4770">
        <w:rPr>
          <w:rStyle w:val="FootnoteReference"/>
        </w:rPr>
        <w:footnoteReference w:id="5"/>
      </w:r>
      <w:r w:rsidR="002F623D" w:rsidRPr="001F4770">
        <w:t xml:space="preserve"> Under this package, projects with a significant cross-border impact were label</w:t>
      </w:r>
      <w:r w:rsidRPr="001F4770">
        <w:t>l</w:t>
      </w:r>
      <w:r w:rsidR="002F623D" w:rsidRPr="001F4770">
        <w:t xml:space="preserve">ed as </w:t>
      </w:r>
      <w:r w:rsidRPr="001F4770">
        <w:t>“p</w:t>
      </w:r>
      <w:r w:rsidR="002F623D" w:rsidRPr="001F4770">
        <w:t xml:space="preserve">rojects of </w:t>
      </w:r>
      <w:r w:rsidRPr="001F4770">
        <w:t>c</w:t>
      </w:r>
      <w:r w:rsidR="002F623D" w:rsidRPr="001F4770">
        <w:t xml:space="preserve">ommon </w:t>
      </w:r>
      <w:r w:rsidRPr="001F4770">
        <w:t>i</w:t>
      </w:r>
      <w:r w:rsidR="002F623D" w:rsidRPr="001F4770">
        <w:t>nterest</w:t>
      </w:r>
      <w:r w:rsidRPr="001F4770">
        <w:t>”</w:t>
      </w:r>
      <w:r w:rsidR="002F623D" w:rsidRPr="001F4770">
        <w:t xml:space="preserve"> and </w:t>
      </w:r>
      <w:r w:rsidRPr="001F4770">
        <w:t>granted</w:t>
      </w:r>
      <w:r w:rsidR="002F623D" w:rsidRPr="001F4770">
        <w:t xml:space="preserve"> preferential regulatory treatment </w:t>
      </w:r>
      <w:r w:rsidRPr="001F4770">
        <w:t xml:space="preserve">when granting </w:t>
      </w:r>
      <w:r w:rsidR="002F623D" w:rsidRPr="001F4770">
        <w:t>permit</w:t>
      </w:r>
      <w:r w:rsidRPr="001F4770">
        <w:t>s</w:t>
      </w:r>
      <w:r w:rsidR="002F623D" w:rsidRPr="001F4770">
        <w:t xml:space="preserve">, </w:t>
      </w:r>
      <w:r w:rsidRPr="001F4770">
        <w:t xml:space="preserve">allocating </w:t>
      </w:r>
      <w:r w:rsidR="002F623D" w:rsidRPr="001F4770">
        <w:t>cost</w:t>
      </w:r>
      <w:r w:rsidRPr="001F4770">
        <w:t>s</w:t>
      </w:r>
      <w:r w:rsidR="002F623D" w:rsidRPr="001F4770">
        <w:t xml:space="preserve">, and </w:t>
      </w:r>
      <w:r w:rsidR="00C55D10" w:rsidRPr="001F4770">
        <w:t xml:space="preserve">providing </w:t>
      </w:r>
      <w:r w:rsidR="002F623D" w:rsidRPr="001F4770">
        <w:t>TSO</w:t>
      </w:r>
      <w:r w:rsidR="00C55D10" w:rsidRPr="001F4770">
        <w:t>s</w:t>
      </w:r>
      <w:r w:rsidR="002F623D" w:rsidRPr="001F4770">
        <w:t xml:space="preserve"> </w:t>
      </w:r>
      <w:r w:rsidR="00C55D10" w:rsidRPr="001F4770">
        <w:t xml:space="preserve">with </w:t>
      </w:r>
      <w:r w:rsidR="002F623D" w:rsidRPr="001F4770">
        <w:t xml:space="preserve">incentives. The first list of </w:t>
      </w:r>
      <w:r w:rsidR="00C55D10" w:rsidRPr="001F4770">
        <w:t xml:space="preserve">projects of common interest </w:t>
      </w:r>
      <w:r w:rsidR="002F623D" w:rsidRPr="001F4770">
        <w:t>was adopted in 2013</w:t>
      </w:r>
      <w:r w:rsidR="00C55D10" w:rsidRPr="001F4770">
        <w:t>.</w:t>
      </w:r>
      <w:r w:rsidR="002F623D" w:rsidRPr="001F4770">
        <w:t xml:space="preserve"> </w:t>
      </w:r>
      <w:r w:rsidR="00C55D10" w:rsidRPr="001F4770">
        <w:t>I</w:t>
      </w:r>
      <w:r w:rsidR="002F623D" w:rsidRPr="001F4770">
        <w:t xml:space="preserve">t included several </w:t>
      </w:r>
      <w:r w:rsidR="00C55D10" w:rsidRPr="001F4770">
        <w:t xml:space="preserve">of </w:t>
      </w:r>
      <w:r w:rsidR="002F623D" w:rsidRPr="001F4770">
        <w:t>RTE</w:t>
      </w:r>
      <w:r w:rsidR="00C55D10" w:rsidRPr="001F4770">
        <w:t>’s</w:t>
      </w:r>
      <w:r w:rsidR="002F623D" w:rsidRPr="001F4770">
        <w:t xml:space="preserve"> projects, which</w:t>
      </w:r>
      <w:r w:rsidR="00C55D10" w:rsidRPr="001F4770">
        <w:t>,</w:t>
      </w:r>
      <w:r w:rsidR="002F623D" w:rsidRPr="001F4770">
        <w:t xml:space="preserve"> together</w:t>
      </w:r>
      <w:r w:rsidR="00C55D10" w:rsidRPr="001F4770">
        <w:t>,</w:t>
      </w:r>
      <w:r w:rsidR="002F623D" w:rsidRPr="001F4770">
        <w:t xml:space="preserve"> would increase </w:t>
      </w:r>
      <w:r w:rsidR="00C55D10" w:rsidRPr="001F4770">
        <w:t xml:space="preserve">France’s </w:t>
      </w:r>
      <w:r w:rsidR="002F623D" w:rsidRPr="001F4770">
        <w:t>import capacity from 5</w:t>
      </w:r>
      <w:r w:rsidR="00C55D10" w:rsidRPr="001F4770">
        <w:t>–</w:t>
      </w:r>
      <w:r w:rsidR="002F623D" w:rsidRPr="001F4770">
        <w:t>10</w:t>
      </w:r>
      <w:r w:rsidR="00C55D10" w:rsidRPr="001F4770">
        <w:t xml:space="preserve"> per cent</w:t>
      </w:r>
      <w:r w:rsidR="002F623D" w:rsidRPr="001F4770">
        <w:t xml:space="preserve"> to 15</w:t>
      </w:r>
      <w:r w:rsidR="00C55D10" w:rsidRPr="001F4770">
        <w:t>–</w:t>
      </w:r>
      <w:r w:rsidR="002F623D" w:rsidRPr="001F4770">
        <w:t>30</w:t>
      </w:r>
      <w:r w:rsidR="00C55D10" w:rsidRPr="001F4770">
        <w:t xml:space="preserve"> per cent</w:t>
      </w:r>
      <w:r w:rsidR="002F623D" w:rsidRPr="001F4770">
        <w:t xml:space="preserve"> of the installed generation capacity. Each of these projects represented several hundred million euro</w:t>
      </w:r>
      <w:r w:rsidR="00705C8C">
        <w:t>s</w:t>
      </w:r>
      <w:r w:rsidR="002F623D" w:rsidRPr="001F4770">
        <w:t xml:space="preserve">, </w:t>
      </w:r>
      <w:r w:rsidR="00C55D10" w:rsidRPr="001F4770">
        <w:t>such as a</w:t>
      </w:r>
      <w:r w:rsidR="002F623D" w:rsidRPr="001F4770">
        <w:t xml:space="preserve"> </w:t>
      </w:r>
      <w:r w:rsidR="00FE0268">
        <w:t>64.5-kilometre</w:t>
      </w:r>
      <w:r w:rsidR="002F623D" w:rsidRPr="001F4770">
        <w:t xml:space="preserve"> </w:t>
      </w:r>
      <w:r w:rsidR="00FE0268">
        <w:t>high-voltage</w:t>
      </w:r>
      <w:r w:rsidR="00C55D10" w:rsidRPr="001F4770">
        <w:t xml:space="preserve"> </w:t>
      </w:r>
      <w:r w:rsidR="002F623D" w:rsidRPr="001F4770">
        <w:t xml:space="preserve">underground </w:t>
      </w:r>
      <w:r w:rsidR="00C55D10" w:rsidRPr="001F4770">
        <w:t xml:space="preserve">connection between France and Spain with </w:t>
      </w:r>
      <w:r w:rsidR="002F623D" w:rsidRPr="001F4770">
        <w:t xml:space="preserve">an estimated cost of </w:t>
      </w:r>
      <w:r w:rsidR="00C55D10" w:rsidRPr="001F4770">
        <w:t>€</w:t>
      </w:r>
      <w:r w:rsidR="002F623D" w:rsidRPr="001F4770">
        <w:t>700 million.</w:t>
      </w:r>
    </w:p>
    <w:p w14:paraId="54B46D2C" w14:textId="77777777" w:rsidR="002F623D" w:rsidRPr="001F4770" w:rsidRDefault="002F623D" w:rsidP="002F623D">
      <w:pPr>
        <w:pStyle w:val="BodyTextMain"/>
      </w:pPr>
    </w:p>
    <w:p w14:paraId="28CD2340" w14:textId="12358603" w:rsidR="002F623D" w:rsidRPr="001F4770" w:rsidRDefault="00381CFF" w:rsidP="002F623D">
      <w:pPr>
        <w:pStyle w:val="BodyTextMain"/>
      </w:pPr>
      <w:r w:rsidRPr="001F4770">
        <w:t>Also</w:t>
      </w:r>
      <w:r w:rsidR="00996C8B">
        <w:t>,</w:t>
      </w:r>
      <w:r w:rsidRPr="001F4770">
        <w:t xml:space="preserve"> in 2013</w:t>
      </w:r>
      <w:r w:rsidR="002F623D" w:rsidRPr="001F4770">
        <w:t xml:space="preserve">, </w:t>
      </w:r>
      <w:r w:rsidR="00324BDB" w:rsidRPr="001F4770">
        <w:t>Lavoine</w:t>
      </w:r>
      <w:r w:rsidR="002F623D" w:rsidRPr="001F4770">
        <w:t xml:space="preserve"> finished </w:t>
      </w:r>
      <w:r w:rsidRPr="001F4770">
        <w:t xml:space="preserve">negotiating </w:t>
      </w:r>
      <w:r w:rsidR="002F623D" w:rsidRPr="001F4770">
        <w:t xml:space="preserve">the revenue cap </w:t>
      </w:r>
      <w:r w:rsidR="00B92B5E" w:rsidRPr="001F4770">
        <w:t xml:space="preserve">(the </w:t>
      </w:r>
      <w:proofErr w:type="spellStart"/>
      <w:r w:rsidR="00B92B5E" w:rsidRPr="001F4770">
        <w:t>Tarif</w:t>
      </w:r>
      <w:proofErr w:type="spellEnd"/>
      <w:r w:rsidR="00B92B5E" w:rsidRPr="001F4770">
        <w:t xml:space="preserve"> </w:t>
      </w:r>
      <w:proofErr w:type="spellStart"/>
      <w:r w:rsidR="00B92B5E" w:rsidRPr="001F4770">
        <w:t>d’Utilisation</w:t>
      </w:r>
      <w:proofErr w:type="spellEnd"/>
      <w:r w:rsidR="00B92B5E" w:rsidRPr="001F4770">
        <w:t xml:space="preserve"> des </w:t>
      </w:r>
      <w:proofErr w:type="spellStart"/>
      <w:r w:rsidR="00B92B5E" w:rsidRPr="001F4770">
        <w:t>Réseaux</w:t>
      </w:r>
      <w:proofErr w:type="spellEnd"/>
      <w:r w:rsidR="00B92B5E" w:rsidRPr="001F4770">
        <w:t xml:space="preserve"> Publics d’Électricité</w:t>
      </w:r>
      <w:r w:rsidR="00996C8B">
        <w:t>,</w:t>
      </w:r>
      <w:r w:rsidR="00B92B5E" w:rsidRPr="001F4770">
        <w:t xml:space="preserve"> or TURPE charge) </w:t>
      </w:r>
      <w:r w:rsidR="002F623D" w:rsidRPr="001F4770">
        <w:t xml:space="preserve">with the regulator for the next </w:t>
      </w:r>
      <w:r w:rsidR="00996C8B">
        <w:t>three-year</w:t>
      </w:r>
      <w:r w:rsidR="002F623D" w:rsidRPr="001F4770">
        <w:t xml:space="preserve"> regulatory period. </w:t>
      </w:r>
      <w:r w:rsidR="00352644" w:rsidRPr="001F4770">
        <w:t xml:space="preserve">There was a </w:t>
      </w:r>
      <w:r w:rsidR="00352644" w:rsidRPr="001F4770">
        <w:lastRenderedPageBreak/>
        <w:t>risk</w:t>
      </w:r>
      <w:r w:rsidRPr="001F4770">
        <w:t>, however,</w:t>
      </w:r>
      <w:r w:rsidR="002F623D" w:rsidRPr="001F4770">
        <w:t xml:space="preserve"> that the </w:t>
      </w:r>
      <w:r w:rsidRPr="001F4770">
        <w:t xml:space="preserve">regulator </w:t>
      </w:r>
      <w:r w:rsidR="00352644" w:rsidRPr="001F4770">
        <w:t xml:space="preserve">might follow Germany and the Netherlands and </w:t>
      </w:r>
      <w:r w:rsidRPr="001F4770">
        <w:t xml:space="preserve">implement the total expenditures approach </w:t>
      </w:r>
      <w:r w:rsidR="002F623D" w:rsidRPr="001F4770">
        <w:t xml:space="preserve">in France in the next regulatory period. </w:t>
      </w:r>
      <w:r w:rsidR="00324BDB" w:rsidRPr="001F4770">
        <w:t>Lavoine</w:t>
      </w:r>
      <w:r w:rsidR="00352644" w:rsidRPr="001F4770">
        <w:t xml:space="preserve"> was also concerned </w:t>
      </w:r>
      <w:r w:rsidR="002F623D" w:rsidRPr="001F4770">
        <w:t xml:space="preserve">that if </w:t>
      </w:r>
      <w:r w:rsidR="00352644" w:rsidRPr="001F4770">
        <w:t xml:space="preserve">the investment program he proposed to the regulator increased </w:t>
      </w:r>
      <w:r w:rsidR="002F623D" w:rsidRPr="001F4770">
        <w:t xml:space="preserve">prices more than </w:t>
      </w:r>
      <w:r w:rsidR="00352644" w:rsidRPr="001F4770">
        <w:t xml:space="preserve">an average of </w:t>
      </w:r>
      <w:r w:rsidR="002F623D" w:rsidRPr="001F4770">
        <w:t>2</w:t>
      </w:r>
      <w:r w:rsidR="00352644" w:rsidRPr="001F4770">
        <w:t xml:space="preserve"> per cent</w:t>
      </w:r>
      <w:r w:rsidR="002F623D" w:rsidRPr="001F4770">
        <w:t xml:space="preserve"> per year</w:t>
      </w:r>
      <w:r w:rsidR="00352644" w:rsidRPr="001F4770">
        <w:t>, the regulator</w:t>
      </w:r>
      <w:r w:rsidR="002F623D" w:rsidRPr="001F4770">
        <w:t xml:space="preserve"> </w:t>
      </w:r>
      <w:r w:rsidR="00352644" w:rsidRPr="001F4770">
        <w:t xml:space="preserve">might </w:t>
      </w:r>
      <w:r w:rsidR="002F623D" w:rsidRPr="001F4770">
        <w:t xml:space="preserve">change the regulatory regime from the current </w:t>
      </w:r>
      <w:r w:rsidR="00427E8B" w:rsidRPr="001F4770">
        <w:t xml:space="preserve">revenue cap </w:t>
      </w:r>
      <w:r w:rsidR="002F623D" w:rsidRPr="001F4770">
        <w:t xml:space="preserve">regime to a price cap. </w:t>
      </w:r>
    </w:p>
    <w:p w14:paraId="60CE282A" w14:textId="77777777" w:rsidR="002F623D" w:rsidRPr="001F4770" w:rsidRDefault="002F623D" w:rsidP="002F623D">
      <w:pPr>
        <w:pStyle w:val="BodyTextMain"/>
      </w:pPr>
    </w:p>
    <w:p w14:paraId="5FE7ABE5" w14:textId="2A62D4CB" w:rsidR="002F623D" w:rsidRPr="001F4770" w:rsidRDefault="00427E8B" w:rsidP="002F623D">
      <w:pPr>
        <w:pStyle w:val="BodyTextMain"/>
        <w:rPr>
          <w:rFonts w:eastAsia="MS Mincho"/>
          <w:bCs/>
          <w:noProof/>
        </w:rPr>
      </w:pPr>
      <w:r w:rsidRPr="001F4770">
        <w:t xml:space="preserve">Given the risks, </w:t>
      </w:r>
      <w:r w:rsidR="00324BDB" w:rsidRPr="001F4770">
        <w:t>Lavoine</w:t>
      </w:r>
      <w:r w:rsidRPr="001F4770">
        <w:t xml:space="preserve"> </w:t>
      </w:r>
      <w:r w:rsidR="002F623D" w:rsidRPr="001F4770">
        <w:t>decided to evaluate two regulatory scenarios</w:t>
      </w:r>
      <w:r w:rsidRPr="001F4770">
        <w:t>:</w:t>
      </w:r>
      <w:r w:rsidR="002F623D" w:rsidRPr="001F4770">
        <w:t xml:space="preserve"> (a) the current </w:t>
      </w:r>
      <w:r w:rsidRPr="001F4770">
        <w:t xml:space="preserve">revenue cap </w:t>
      </w:r>
      <w:r w:rsidR="002F623D" w:rsidRPr="001F4770">
        <w:t>regime</w:t>
      </w:r>
      <w:r w:rsidRPr="001F4770">
        <w:t xml:space="preserve"> </w:t>
      </w:r>
      <w:r w:rsidR="002F623D" w:rsidRPr="001F4770">
        <w:t>and (b) the risk</w:t>
      </w:r>
      <w:r w:rsidRPr="001F4770">
        <w:t>s associated with</w:t>
      </w:r>
      <w:r w:rsidR="002F623D" w:rsidRPr="001F4770">
        <w:t xml:space="preserve"> </w:t>
      </w:r>
      <w:r w:rsidRPr="001F4770">
        <w:t>a</w:t>
      </w:r>
      <w:r w:rsidR="002F623D" w:rsidRPr="001F4770">
        <w:t xml:space="preserve"> price cap </w:t>
      </w:r>
      <w:r w:rsidRPr="001F4770">
        <w:t xml:space="preserve">regime, if it were </w:t>
      </w:r>
      <w:r w:rsidR="002F623D" w:rsidRPr="001F4770">
        <w:t>introduced</w:t>
      </w:r>
      <w:r w:rsidR="00575695" w:rsidRPr="001F4770">
        <w:t>, and compare them to the old regulatory regime (i.e., cost-</w:t>
      </w:r>
      <w:r w:rsidR="00505594" w:rsidRPr="001F4770">
        <w:t>plus) (</w:t>
      </w:r>
      <w:r w:rsidRPr="001F4770">
        <w:t xml:space="preserve">see </w:t>
      </w:r>
      <w:r w:rsidR="002F623D" w:rsidRPr="001F4770">
        <w:t xml:space="preserve">Exhibit </w:t>
      </w:r>
      <w:r w:rsidR="00700D53" w:rsidRPr="001F4770">
        <w:t>3</w:t>
      </w:r>
      <w:r w:rsidRPr="001F4770">
        <w:t>)</w:t>
      </w:r>
      <w:r w:rsidR="002F623D" w:rsidRPr="001F4770">
        <w:t xml:space="preserve">. </w:t>
      </w:r>
    </w:p>
    <w:p w14:paraId="68DC15EF" w14:textId="77777777" w:rsidR="006117FD" w:rsidRPr="001F4770" w:rsidRDefault="006117FD" w:rsidP="002F623D">
      <w:pPr>
        <w:pStyle w:val="BodyTextMain"/>
      </w:pPr>
    </w:p>
    <w:p w14:paraId="55BA6BD2" w14:textId="2C8A2FF6" w:rsidR="002F623D" w:rsidRPr="001F4770" w:rsidRDefault="00324BDB" w:rsidP="002F623D">
      <w:pPr>
        <w:pStyle w:val="BodyTextMain"/>
        <w:rPr>
          <w:spacing w:val="-2"/>
        </w:rPr>
      </w:pPr>
      <w:r w:rsidRPr="001F4770">
        <w:rPr>
          <w:spacing w:val="-2"/>
        </w:rPr>
        <w:t>Lavoine</w:t>
      </w:r>
      <w:r w:rsidR="00427E8B" w:rsidRPr="001F4770">
        <w:rPr>
          <w:spacing w:val="-2"/>
        </w:rPr>
        <w:t xml:space="preserve"> began with</w:t>
      </w:r>
      <w:r w:rsidR="002F623D" w:rsidRPr="001F4770">
        <w:rPr>
          <w:spacing w:val="-2"/>
        </w:rPr>
        <w:t xml:space="preserve"> the </w:t>
      </w:r>
      <w:r w:rsidR="00427E8B" w:rsidRPr="001F4770">
        <w:rPr>
          <w:spacing w:val="-2"/>
        </w:rPr>
        <w:t xml:space="preserve">company’s </w:t>
      </w:r>
      <w:r w:rsidR="002F623D" w:rsidRPr="001F4770">
        <w:rPr>
          <w:spacing w:val="-2"/>
        </w:rPr>
        <w:t>financial</w:t>
      </w:r>
      <w:r w:rsidR="00427E8B" w:rsidRPr="001F4770">
        <w:rPr>
          <w:spacing w:val="-2"/>
        </w:rPr>
        <w:t>s</w:t>
      </w:r>
      <w:r w:rsidR="002F623D" w:rsidRPr="001F4770">
        <w:rPr>
          <w:spacing w:val="-2"/>
        </w:rPr>
        <w:t xml:space="preserve"> </w:t>
      </w:r>
      <w:r w:rsidR="00427E8B" w:rsidRPr="001F4770">
        <w:rPr>
          <w:spacing w:val="-2"/>
        </w:rPr>
        <w:t>from</w:t>
      </w:r>
      <w:r w:rsidR="002F623D" w:rsidRPr="001F4770">
        <w:rPr>
          <w:spacing w:val="-2"/>
        </w:rPr>
        <w:t xml:space="preserve"> 2013</w:t>
      </w:r>
      <w:r w:rsidR="00427E8B" w:rsidRPr="001F4770">
        <w:rPr>
          <w:spacing w:val="-2"/>
        </w:rPr>
        <w:t>, when</w:t>
      </w:r>
      <w:r w:rsidR="002F623D" w:rsidRPr="001F4770">
        <w:rPr>
          <w:spacing w:val="-2"/>
        </w:rPr>
        <w:t xml:space="preserve"> the company </w:t>
      </w:r>
      <w:r w:rsidR="00427E8B" w:rsidRPr="001F4770">
        <w:rPr>
          <w:spacing w:val="-2"/>
        </w:rPr>
        <w:t>was</w:t>
      </w:r>
      <w:r w:rsidR="002F623D" w:rsidRPr="001F4770">
        <w:rPr>
          <w:spacing w:val="-2"/>
        </w:rPr>
        <w:t xml:space="preserve"> still regulated by a cost</w:t>
      </w:r>
      <w:r w:rsidR="00427E8B" w:rsidRPr="001F4770">
        <w:rPr>
          <w:spacing w:val="-2"/>
        </w:rPr>
        <w:t xml:space="preserve">+ </w:t>
      </w:r>
      <w:r w:rsidR="002F623D" w:rsidRPr="001F4770">
        <w:rPr>
          <w:spacing w:val="-2"/>
        </w:rPr>
        <w:t>regime and achiev</w:t>
      </w:r>
      <w:r w:rsidR="00427E8B" w:rsidRPr="001F4770">
        <w:rPr>
          <w:spacing w:val="-2"/>
        </w:rPr>
        <w:t>ing</w:t>
      </w:r>
      <w:r w:rsidR="002F623D" w:rsidRPr="001F4770">
        <w:rPr>
          <w:spacing w:val="-2"/>
        </w:rPr>
        <w:t xml:space="preserve"> a </w:t>
      </w:r>
      <w:r w:rsidR="00427E8B" w:rsidRPr="001F4770">
        <w:rPr>
          <w:spacing w:val="-2"/>
        </w:rPr>
        <w:t xml:space="preserve">7 per cent </w:t>
      </w:r>
      <w:r w:rsidR="002F623D" w:rsidRPr="001F4770">
        <w:rPr>
          <w:spacing w:val="-2"/>
        </w:rPr>
        <w:t>return on equity</w:t>
      </w:r>
      <w:r w:rsidR="00A76103" w:rsidRPr="001F4770">
        <w:rPr>
          <w:spacing w:val="-2"/>
        </w:rPr>
        <w:t xml:space="preserve"> </w:t>
      </w:r>
      <w:r w:rsidR="00AC710C">
        <w:rPr>
          <w:spacing w:val="-2"/>
        </w:rPr>
        <w:t>(</w:t>
      </w:r>
      <w:r w:rsidR="00A76103" w:rsidRPr="001F4770">
        <w:rPr>
          <w:spacing w:val="-2"/>
        </w:rPr>
        <w:t>€4,800 million in equity was costing the company €336 million</w:t>
      </w:r>
      <w:r w:rsidR="00AC710C">
        <w:rPr>
          <w:spacing w:val="-2"/>
        </w:rPr>
        <w:t>)</w:t>
      </w:r>
      <w:r w:rsidR="00A76103" w:rsidRPr="001F4770">
        <w:rPr>
          <w:spacing w:val="-2"/>
        </w:rPr>
        <w:t xml:space="preserve"> </w:t>
      </w:r>
      <w:r w:rsidR="002F623D" w:rsidRPr="001F4770">
        <w:rPr>
          <w:spacing w:val="-2"/>
        </w:rPr>
        <w:t xml:space="preserve">(see </w:t>
      </w:r>
      <w:r w:rsidR="00700D53" w:rsidRPr="001F4770">
        <w:rPr>
          <w:rFonts w:eastAsia="MS Mincho"/>
          <w:spacing w:val="-2"/>
        </w:rPr>
        <w:t xml:space="preserve">Exhibit </w:t>
      </w:r>
      <w:r w:rsidR="00700D53" w:rsidRPr="001F4770">
        <w:rPr>
          <w:rFonts w:eastAsia="MS Mincho"/>
          <w:noProof/>
          <w:spacing w:val="-2"/>
        </w:rPr>
        <w:t>4</w:t>
      </w:r>
      <w:r w:rsidR="002F623D" w:rsidRPr="001F4770">
        <w:rPr>
          <w:spacing w:val="-2"/>
        </w:rPr>
        <w:t xml:space="preserve">). </w:t>
      </w:r>
      <w:r w:rsidRPr="001F4770">
        <w:rPr>
          <w:spacing w:val="-2"/>
        </w:rPr>
        <w:t>Lavoine</w:t>
      </w:r>
      <w:r w:rsidR="00A76103" w:rsidRPr="001F4770">
        <w:rPr>
          <w:spacing w:val="-2"/>
        </w:rPr>
        <w:t xml:space="preserve"> also worked</w:t>
      </w:r>
      <w:r w:rsidR="002F623D" w:rsidRPr="001F4770">
        <w:rPr>
          <w:spacing w:val="-2"/>
        </w:rPr>
        <w:t xml:space="preserve"> </w:t>
      </w:r>
      <w:r w:rsidR="00A76103" w:rsidRPr="001F4770">
        <w:rPr>
          <w:spacing w:val="-2"/>
        </w:rPr>
        <w:t>with</w:t>
      </w:r>
      <w:r w:rsidR="002F623D" w:rsidRPr="001F4770">
        <w:rPr>
          <w:spacing w:val="-2"/>
        </w:rPr>
        <w:t xml:space="preserve"> a linear asset depreciation</w:t>
      </w:r>
      <w:r w:rsidR="00A76103" w:rsidRPr="001F4770">
        <w:rPr>
          <w:spacing w:val="-2"/>
        </w:rPr>
        <w:t xml:space="preserve"> that assumed</w:t>
      </w:r>
      <w:r w:rsidR="002F623D" w:rsidRPr="001F4770">
        <w:rPr>
          <w:spacing w:val="-2"/>
        </w:rPr>
        <w:t xml:space="preserve"> the depreciation cost</w:t>
      </w:r>
      <w:r w:rsidR="00A76103" w:rsidRPr="001F4770">
        <w:rPr>
          <w:spacing w:val="-2"/>
        </w:rPr>
        <w:t>s</w:t>
      </w:r>
      <w:r w:rsidR="002F623D" w:rsidRPr="001F4770">
        <w:rPr>
          <w:spacing w:val="-2"/>
        </w:rPr>
        <w:t xml:space="preserve"> in 2013 correspond</w:t>
      </w:r>
      <w:r w:rsidR="00A76103" w:rsidRPr="001F4770">
        <w:rPr>
          <w:spacing w:val="-2"/>
        </w:rPr>
        <w:t>ed</w:t>
      </w:r>
      <w:r w:rsidR="002F623D" w:rsidRPr="001F4770">
        <w:rPr>
          <w:spacing w:val="-2"/>
        </w:rPr>
        <w:t xml:space="preserve"> to an average asset lifetime of 26</w:t>
      </w:r>
      <w:r w:rsidR="00A76103" w:rsidRPr="001F4770">
        <w:rPr>
          <w:spacing w:val="-2"/>
        </w:rPr>
        <w:t>.</w:t>
      </w:r>
      <w:r w:rsidR="002F623D" w:rsidRPr="001F4770">
        <w:rPr>
          <w:spacing w:val="-2"/>
        </w:rPr>
        <w:t xml:space="preserve">7 years. </w:t>
      </w:r>
      <w:r w:rsidR="00347346" w:rsidRPr="001F4770">
        <w:rPr>
          <w:spacing w:val="-2"/>
        </w:rPr>
        <w:t xml:space="preserve">The averaged lifetime adjusted for the typical situation with </w:t>
      </w:r>
      <w:r w:rsidR="002F623D" w:rsidRPr="001F4770">
        <w:rPr>
          <w:spacing w:val="-2"/>
        </w:rPr>
        <w:t>TSOs</w:t>
      </w:r>
      <w:r w:rsidR="00347346" w:rsidRPr="001F4770">
        <w:rPr>
          <w:spacing w:val="-2"/>
        </w:rPr>
        <w:t xml:space="preserve"> with </w:t>
      </w:r>
      <w:r w:rsidR="002F623D" w:rsidRPr="001F4770">
        <w:rPr>
          <w:spacing w:val="-2"/>
        </w:rPr>
        <w:t>assets</w:t>
      </w:r>
      <w:r w:rsidR="00347346" w:rsidRPr="001F4770">
        <w:rPr>
          <w:spacing w:val="-2"/>
        </w:rPr>
        <w:t>, such as</w:t>
      </w:r>
      <w:r w:rsidR="002F623D" w:rsidRPr="001F4770">
        <w:rPr>
          <w:spacing w:val="-2"/>
        </w:rPr>
        <w:t xml:space="preserve"> cables and overhead lines</w:t>
      </w:r>
      <w:r w:rsidR="00347346" w:rsidRPr="001F4770">
        <w:rPr>
          <w:spacing w:val="-2"/>
        </w:rPr>
        <w:t>,</w:t>
      </w:r>
      <w:r w:rsidR="002F623D" w:rsidRPr="001F4770">
        <w:rPr>
          <w:spacing w:val="-2"/>
        </w:rPr>
        <w:t xml:space="preserve"> with a lifetime of up to 40 years, </w:t>
      </w:r>
      <w:r w:rsidR="00347346" w:rsidRPr="001F4770">
        <w:rPr>
          <w:spacing w:val="-2"/>
        </w:rPr>
        <w:t>and</w:t>
      </w:r>
      <w:r w:rsidR="002F623D" w:rsidRPr="001F4770">
        <w:rPr>
          <w:spacing w:val="-2"/>
        </w:rPr>
        <w:t xml:space="preserve"> assets that had a much shorter lifetime</w:t>
      </w:r>
      <w:r w:rsidR="00347346" w:rsidRPr="001F4770">
        <w:rPr>
          <w:spacing w:val="-2"/>
        </w:rPr>
        <w:t>, such as information technology (IT)</w:t>
      </w:r>
      <w:r w:rsidR="002F623D" w:rsidRPr="001F4770">
        <w:rPr>
          <w:spacing w:val="-2"/>
        </w:rPr>
        <w:t xml:space="preserve"> equipment.</w:t>
      </w:r>
    </w:p>
    <w:p w14:paraId="6BC74C40" w14:textId="77777777" w:rsidR="002F623D" w:rsidRPr="001F4770" w:rsidRDefault="002F623D" w:rsidP="002F623D">
      <w:pPr>
        <w:pStyle w:val="BodyTextMain"/>
      </w:pPr>
    </w:p>
    <w:p w14:paraId="202CBD41" w14:textId="08C2DADF" w:rsidR="00CC59FB" w:rsidRPr="001F4770" w:rsidRDefault="002F623D" w:rsidP="002F623D">
      <w:pPr>
        <w:pStyle w:val="BodyTextMain"/>
      </w:pPr>
      <w:r w:rsidRPr="001F4770">
        <w:t xml:space="preserve">For each regulatory regime, </w:t>
      </w:r>
      <w:r w:rsidR="00324BDB" w:rsidRPr="001F4770">
        <w:t>Lavoine</w:t>
      </w:r>
      <w:r w:rsidR="00347346" w:rsidRPr="001F4770">
        <w:t xml:space="preserve"> </w:t>
      </w:r>
      <w:r w:rsidRPr="001F4770">
        <w:t xml:space="preserve">evaluated the outcome with and without RTE’s </w:t>
      </w:r>
      <w:r w:rsidR="00347346" w:rsidRPr="001F4770">
        <w:t>10</w:t>
      </w:r>
      <w:r w:rsidR="007E095C" w:rsidRPr="001F4770">
        <w:t>-year</w:t>
      </w:r>
      <w:r w:rsidRPr="001F4770">
        <w:t xml:space="preserve"> investment plan</w:t>
      </w:r>
      <w:r w:rsidR="00347346" w:rsidRPr="001F4770">
        <w:t>,</w:t>
      </w:r>
      <w:r w:rsidRPr="001F4770">
        <w:t xml:space="preserve"> which </w:t>
      </w:r>
      <w:r w:rsidR="00347346" w:rsidRPr="001F4770">
        <w:t>was</w:t>
      </w:r>
      <w:r w:rsidRPr="001F4770">
        <w:t xml:space="preserve"> included in the </w:t>
      </w:r>
      <w:r w:rsidRPr="00B912ED">
        <w:rPr>
          <w:i/>
        </w:rPr>
        <w:t>TYNDP</w:t>
      </w:r>
      <w:r w:rsidRPr="001F4770">
        <w:t xml:space="preserve">. </w:t>
      </w:r>
      <w:r w:rsidR="00347346" w:rsidRPr="001F4770">
        <w:t>For the situation without the investment plan (</w:t>
      </w:r>
      <w:r w:rsidR="00CC59FB" w:rsidRPr="001F4770">
        <w:t xml:space="preserve">i.e., business as usual), </w:t>
      </w:r>
      <w:r w:rsidR="00324BDB" w:rsidRPr="001F4770">
        <w:t>Lavoine</w:t>
      </w:r>
      <w:r w:rsidR="00CC59FB" w:rsidRPr="001F4770">
        <w:t xml:space="preserve"> assumed </w:t>
      </w:r>
      <w:r w:rsidRPr="001F4770">
        <w:t>that the expected evolution of the RAB was the net effect of new investments (i.e.</w:t>
      </w:r>
      <w:r w:rsidR="00CC59FB" w:rsidRPr="001F4770">
        <w:t>,</w:t>
      </w:r>
      <w:r w:rsidRPr="001F4770">
        <w:t xml:space="preserve"> RAB growth), corrected for the depreciation of new assets </w:t>
      </w:r>
      <w:r w:rsidR="00CC59FB" w:rsidRPr="001F4770">
        <w:t>plus</w:t>
      </w:r>
      <w:r w:rsidRPr="001F4770">
        <w:t xml:space="preserve"> the ongoing depreciation of existing assets (</w:t>
      </w:r>
      <w:r w:rsidR="00B912ED" w:rsidRPr="001F4770">
        <w:rPr>
          <w:rStyle w:val="FootnoteReference"/>
          <w:vertAlign w:val="baseline"/>
        </w:rPr>
        <w:t>€</w:t>
      </w:r>
      <w:r w:rsidRPr="001F4770">
        <w:t xml:space="preserve">450 million </w:t>
      </w:r>
      <w:r w:rsidR="00CC59FB" w:rsidRPr="001F4770">
        <w:t xml:space="preserve">per </w:t>
      </w:r>
      <w:r w:rsidRPr="001F4770">
        <w:t xml:space="preserve">year). For new investments, </w:t>
      </w:r>
      <w:r w:rsidR="00324BDB" w:rsidRPr="001F4770">
        <w:t>Lavoine</w:t>
      </w:r>
      <w:r w:rsidR="00CC59FB" w:rsidRPr="001F4770">
        <w:t xml:space="preserve"> </w:t>
      </w:r>
      <w:r w:rsidRPr="001F4770">
        <w:t>assumed a depreciation rate of 2</w:t>
      </w:r>
      <w:r w:rsidR="00CC59FB" w:rsidRPr="001F4770">
        <w:t>.</w:t>
      </w:r>
      <w:r w:rsidRPr="001F4770">
        <w:t>5</w:t>
      </w:r>
      <w:r w:rsidR="00CC59FB" w:rsidRPr="001F4770">
        <w:t xml:space="preserve"> per cent</w:t>
      </w:r>
      <w:r w:rsidRPr="001F4770">
        <w:t xml:space="preserve">, </w:t>
      </w:r>
      <w:r w:rsidR="00CC59FB" w:rsidRPr="001F4770">
        <w:t>indicating that the</w:t>
      </w:r>
      <w:r w:rsidRPr="001F4770">
        <w:t xml:space="preserve"> assets </w:t>
      </w:r>
      <w:r w:rsidR="00CC59FB" w:rsidRPr="001F4770">
        <w:t xml:space="preserve">had </w:t>
      </w:r>
      <w:r w:rsidRPr="001F4770">
        <w:t xml:space="preserve">a lifetime of about 40 years. If there was an additional need for financing, it was </w:t>
      </w:r>
      <w:r w:rsidR="00CC59FB" w:rsidRPr="001F4770">
        <w:t xml:space="preserve">to be </w:t>
      </w:r>
      <w:r w:rsidRPr="001F4770">
        <w:t>shared between debt (60</w:t>
      </w:r>
      <w:r w:rsidR="00CC59FB" w:rsidRPr="001F4770">
        <w:t xml:space="preserve"> per cent</w:t>
      </w:r>
      <w:r w:rsidRPr="001F4770">
        <w:t>) and equity (40</w:t>
      </w:r>
      <w:r w:rsidR="00CC59FB" w:rsidRPr="001F4770">
        <w:t xml:space="preserve"> per cent</w:t>
      </w:r>
      <w:r w:rsidRPr="001F4770">
        <w:t xml:space="preserve">). In addition, all equity </w:t>
      </w:r>
      <w:r w:rsidR="00CC59FB" w:rsidRPr="001F4770">
        <w:t xml:space="preserve">in 2013 </w:t>
      </w:r>
      <w:r w:rsidRPr="001F4770">
        <w:t>was shared capital, meaning that there were no reserves</w:t>
      </w:r>
      <w:r w:rsidR="00CC59FB" w:rsidRPr="001F4770">
        <w:t xml:space="preserve"> (see Exhibit 5)</w:t>
      </w:r>
      <w:r w:rsidRPr="001F4770">
        <w:t>.</w:t>
      </w:r>
    </w:p>
    <w:p w14:paraId="57C521D8" w14:textId="7046EB21" w:rsidR="002F623D" w:rsidRPr="001F4770" w:rsidRDefault="002F623D" w:rsidP="002F623D">
      <w:pPr>
        <w:pStyle w:val="BodyTextMain"/>
      </w:pPr>
    </w:p>
    <w:p w14:paraId="438F62A5" w14:textId="36536312" w:rsidR="002F623D" w:rsidRPr="001F4770" w:rsidRDefault="00CC59FB">
      <w:pPr>
        <w:pStyle w:val="BodyTextMain"/>
      </w:pPr>
      <w:r w:rsidRPr="001F4770">
        <w:t xml:space="preserve">For the situation with the investment plan, </w:t>
      </w:r>
      <w:r w:rsidR="00324BDB" w:rsidRPr="001F4770">
        <w:t>Lavoine</w:t>
      </w:r>
      <w:r w:rsidRPr="001F4770">
        <w:t xml:space="preserve"> </w:t>
      </w:r>
      <w:r w:rsidR="002F623D" w:rsidRPr="001F4770">
        <w:t xml:space="preserve">included </w:t>
      </w:r>
      <w:r w:rsidRPr="001F4770">
        <w:t xml:space="preserve">capital expenditures </w:t>
      </w:r>
      <w:r w:rsidR="002F623D" w:rsidRPr="001F4770">
        <w:t xml:space="preserve">as well as </w:t>
      </w:r>
      <w:r w:rsidRPr="001F4770">
        <w:t xml:space="preserve">operating expenditures </w:t>
      </w:r>
      <w:r w:rsidR="002F623D" w:rsidRPr="001F4770">
        <w:t xml:space="preserve">because additional </w:t>
      </w:r>
      <w:r w:rsidRPr="001F4770">
        <w:t xml:space="preserve">transmission </w:t>
      </w:r>
      <w:r w:rsidR="002F623D" w:rsidRPr="001F4770">
        <w:t>lines impl</w:t>
      </w:r>
      <w:r w:rsidR="00324BDB" w:rsidRPr="001F4770">
        <w:t>ied</w:t>
      </w:r>
      <w:r w:rsidR="002F623D" w:rsidRPr="001F4770">
        <w:t xml:space="preserve"> additional maintenance and </w:t>
      </w:r>
      <w:r w:rsidR="00255143" w:rsidRPr="001F4770">
        <w:t xml:space="preserve">the electricity lost during transmission that </w:t>
      </w:r>
      <w:r w:rsidR="002F623D" w:rsidRPr="001F4770">
        <w:t>needed to be compensated by the TSO in France</w:t>
      </w:r>
      <w:r w:rsidR="00324BDB" w:rsidRPr="001F4770">
        <w:t>,</w:t>
      </w:r>
      <w:r w:rsidR="002F623D" w:rsidRPr="001F4770">
        <w:t xml:space="preserve"> as in most European countries</w:t>
      </w:r>
      <w:r w:rsidR="00324BDB" w:rsidRPr="001F4770">
        <w:t xml:space="preserve"> (see </w:t>
      </w:r>
      <w:r w:rsidRPr="001F4770">
        <w:rPr>
          <w:rFonts w:eastAsia="MS Mincho"/>
        </w:rPr>
        <w:t xml:space="preserve">Exhibit </w:t>
      </w:r>
      <w:r w:rsidRPr="001F4770">
        <w:rPr>
          <w:rFonts w:eastAsia="MS Mincho"/>
          <w:noProof/>
        </w:rPr>
        <w:t>6</w:t>
      </w:r>
      <w:r w:rsidR="00324BDB" w:rsidRPr="001F4770">
        <w:rPr>
          <w:rFonts w:eastAsia="MS Mincho"/>
          <w:noProof/>
        </w:rPr>
        <w:t>)</w:t>
      </w:r>
      <w:r w:rsidRPr="001F4770">
        <w:t>.</w:t>
      </w:r>
    </w:p>
    <w:p w14:paraId="6EC83D37" w14:textId="77777777" w:rsidR="002F623D" w:rsidRPr="001F4770" w:rsidRDefault="002F623D" w:rsidP="002F623D">
      <w:pPr>
        <w:pStyle w:val="BodyTextMain"/>
      </w:pPr>
    </w:p>
    <w:p w14:paraId="12E148B1" w14:textId="77777777" w:rsidR="002F623D" w:rsidRPr="001F4770" w:rsidRDefault="002F623D" w:rsidP="002F623D">
      <w:pPr>
        <w:pStyle w:val="BodyTextMain"/>
      </w:pPr>
    </w:p>
    <w:p w14:paraId="67AE5C61" w14:textId="77777777" w:rsidR="002F623D" w:rsidRPr="001F4770" w:rsidRDefault="002F623D" w:rsidP="002F623D">
      <w:pPr>
        <w:pStyle w:val="Casehead1"/>
        <w:rPr>
          <w:rFonts w:eastAsiaTheme="majorEastAsia"/>
        </w:rPr>
      </w:pPr>
      <w:r w:rsidRPr="001F4770">
        <w:rPr>
          <w:rFonts w:eastAsiaTheme="majorEastAsia"/>
        </w:rPr>
        <w:t xml:space="preserve">THE CHALLENGE </w:t>
      </w:r>
    </w:p>
    <w:p w14:paraId="271AEA47" w14:textId="77777777" w:rsidR="002F623D" w:rsidRPr="001F4770" w:rsidRDefault="002F623D" w:rsidP="002F623D">
      <w:pPr>
        <w:pStyle w:val="BodyTextMain"/>
      </w:pPr>
    </w:p>
    <w:p w14:paraId="1A4DB89E" w14:textId="77950EEC" w:rsidR="002F623D" w:rsidRPr="001F4770" w:rsidRDefault="00324BDB" w:rsidP="00700D53">
      <w:pPr>
        <w:pStyle w:val="BodyTextMain"/>
        <w:rPr>
          <w:spacing w:val="-4"/>
        </w:rPr>
      </w:pPr>
      <w:r w:rsidRPr="001F4770">
        <w:rPr>
          <w:spacing w:val="-4"/>
        </w:rPr>
        <w:t xml:space="preserve">With the information he had gathered, the company’s </w:t>
      </w:r>
      <w:r w:rsidR="002F623D" w:rsidRPr="001F4770">
        <w:rPr>
          <w:spacing w:val="-4"/>
        </w:rPr>
        <w:t>financial figures</w:t>
      </w:r>
      <w:r w:rsidRPr="001F4770">
        <w:rPr>
          <w:spacing w:val="-4"/>
        </w:rPr>
        <w:t>,</w:t>
      </w:r>
      <w:r w:rsidR="002F623D" w:rsidRPr="001F4770">
        <w:rPr>
          <w:spacing w:val="-4"/>
        </w:rPr>
        <w:t xml:space="preserve"> and </w:t>
      </w:r>
      <w:r w:rsidRPr="001F4770">
        <w:rPr>
          <w:spacing w:val="-4"/>
        </w:rPr>
        <w:t xml:space="preserve">the </w:t>
      </w:r>
      <w:r w:rsidR="002F623D" w:rsidRPr="001F4770">
        <w:rPr>
          <w:spacing w:val="-4"/>
        </w:rPr>
        <w:t>assumptions</w:t>
      </w:r>
      <w:r w:rsidRPr="001F4770">
        <w:rPr>
          <w:spacing w:val="-4"/>
        </w:rPr>
        <w:t xml:space="preserve"> he had made</w:t>
      </w:r>
      <w:r w:rsidR="002F623D" w:rsidRPr="001F4770">
        <w:rPr>
          <w:spacing w:val="-4"/>
        </w:rPr>
        <w:t xml:space="preserve">, Lavoine </w:t>
      </w:r>
      <w:r w:rsidRPr="001F4770">
        <w:rPr>
          <w:spacing w:val="-4"/>
        </w:rPr>
        <w:t xml:space="preserve">needed to </w:t>
      </w:r>
      <w:r w:rsidR="002F623D" w:rsidRPr="001F4770">
        <w:rPr>
          <w:spacing w:val="-4"/>
        </w:rPr>
        <w:t xml:space="preserve">develop a financial planning model that </w:t>
      </w:r>
      <w:r w:rsidRPr="001F4770">
        <w:rPr>
          <w:spacing w:val="-4"/>
        </w:rPr>
        <w:t xml:space="preserve">could </w:t>
      </w:r>
      <w:r w:rsidR="00DF189C" w:rsidRPr="001F4770">
        <w:rPr>
          <w:spacing w:val="-4"/>
        </w:rPr>
        <w:t xml:space="preserve">analyze </w:t>
      </w:r>
      <w:r w:rsidR="0034290B" w:rsidRPr="001F4770">
        <w:rPr>
          <w:spacing w:val="-4"/>
        </w:rPr>
        <w:t xml:space="preserve">the impact of the </w:t>
      </w:r>
      <w:r w:rsidRPr="001F4770">
        <w:rPr>
          <w:spacing w:val="-4"/>
        </w:rPr>
        <w:t xml:space="preserve">proposed </w:t>
      </w:r>
      <w:r w:rsidR="00DF189C" w:rsidRPr="001F4770">
        <w:rPr>
          <w:spacing w:val="-4"/>
        </w:rPr>
        <w:t xml:space="preserve">investment </w:t>
      </w:r>
      <w:r w:rsidR="0034290B" w:rsidRPr="001F4770">
        <w:rPr>
          <w:spacing w:val="-4"/>
        </w:rPr>
        <w:t xml:space="preserve">program </w:t>
      </w:r>
      <w:r w:rsidR="00DF189C" w:rsidRPr="001F4770">
        <w:rPr>
          <w:spacing w:val="-4"/>
        </w:rPr>
        <w:t xml:space="preserve">under different regulatory regimes and assumptions. Should RTE invest in the </w:t>
      </w:r>
      <w:r w:rsidR="00DF189C" w:rsidRPr="00B912ED">
        <w:rPr>
          <w:i/>
          <w:spacing w:val="-4"/>
        </w:rPr>
        <w:t>TYNDP</w:t>
      </w:r>
      <w:r w:rsidR="00DF189C" w:rsidRPr="001F4770">
        <w:rPr>
          <w:spacing w:val="-4"/>
        </w:rPr>
        <w:t xml:space="preserve"> investment </w:t>
      </w:r>
      <w:r w:rsidR="0034290B" w:rsidRPr="001F4770">
        <w:rPr>
          <w:spacing w:val="-4"/>
        </w:rPr>
        <w:t>program</w:t>
      </w:r>
      <w:r w:rsidRPr="001F4770">
        <w:rPr>
          <w:spacing w:val="-4"/>
        </w:rPr>
        <w:t>, and</w:t>
      </w:r>
      <w:r w:rsidR="00A94921">
        <w:rPr>
          <w:spacing w:val="-4"/>
        </w:rPr>
        <w:t>,</w:t>
      </w:r>
      <w:r w:rsidRPr="001F4770">
        <w:rPr>
          <w:spacing w:val="-4"/>
        </w:rPr>
        <w:t xml:space="preserve"> if so, u</w:t>
      </w:r>
      <w:r w:rsidR="00DF189C" w:rsidRPr="001F4770">
        <w:rPr>
          <w:spacing w:val="-4"/>
        </w:rPr>
        <w:t xml:space="preserve">nder what conditions </w:t>
      </w:r>
      <w:r w:rsidRPr="001F4770">
        <w:rPr>
          <w:spacing w:val="-4"/>
        </w:rPr>
        <w:t xml:space="preserve">would </w:t>
      </w:r>
      <w:r w:rsidR="00DF189C" w:rsidRPr="001F4770">
        <w:rPr>
          <w:spacing w:val="-4"/>
        </w:rPr>
        <w:t xml:space="preserve">the investment be attractive to RTE’s equity investors? </w:t>
      </w:r>
      <w:r w:rsidR="00117F99" w:rsidRPr="001F4770">
        <w:rPr>
          <w:spacing w:val="-4"/>
        </w:rPr>
        <w:t xml:space="preserve">Please use the </w:t>
      </w:r>
      <w:r w:rsidR="00BB269C">
        <w:rPr>
          <w:spacing w:val="-4"/>
        </w:rPr>
        <w:t>Student Spreadsheet</w:t>
      </w:r>
      <w:r w:rsidR="00117F99" w:rsidRPr="001F4770">
        <w:rPr>
          <w:spacing w:val="-4"/>
        </w:rPr>
        <w:t xml:space="preserve"> that accompan</w:t>
      </w:r>
      <w:r w:rsidR="0099552A" w:rsidRPr="001F4770">
        <w:rPr>
          <w:spacing w:val="-4"/>
        </w:rPr>
        <w:t>ies</w:t>
      </w:r>
      <w:r w:rsidR="00117F99" w:rsidRPr="001F4770">
        <w:rPr>
          <w:spacing w:val="-4"/>
        </w:rPr>
        <w:t xml:space="preserve"> this case (Ivey product </w:t>
      </w:r>
      <w:r w:rsidR="00A94921">
        <w:rPr>
          <w:spacing w:val="-4"/>
        </w:rPr>
        <w:t>no.</w:t>
      </w:r>
      <w:r w:rsidR="00A94921" w:rsidRPr="001F4770">
        <w:rPr>
          <w:spacing w:val="-4"/>
        </w:rPr>
        <w:t xml:space="preserve"> </w:t>
      </w:r>
      <w:r w:rsidR="00EC0355">
        <w:rPr>
          <w:spacing w:val="-4"/>
        </w:rPr>
        <w:t>7B19N002</w:t>
      </w:r>
      <w:r w:rsidR="00117F99" w:rsidRPr="001F4770">
        <w:rPr>
          <w:spacing w:val="-4"/>
        </w:rPr>
        <w:t>).</w:t>
      </w:r>
    </w:p>
    <w:p w14:paraId="32B04205" w14:textId="77777777" w:rsidR="00F60786" w:rsidRPr="001F4770" w:rsidRDefault="00F60786" w:rsidP="002F623D">
      <w:pPr>
        <w:pStyle w:val="BodyTextMain"/>
      </w:pPr>
    </w:p>
    <w:p w14:paraId="0768FA8D" w14:textId="77777777" w:rsidR="00242D61" w:rsidRPr="001F4770" w:rsidRDefault="00242D61">
      <w:pPr>
        <w:spacing w:after="200" w:line="276" w:lineRule="auto"/>
      </w:pPr>
      <w:r w:rsidRPr="001F4770">
        <w:br w:type="page"/>
      </w:r>
    </w:p>
    <w:p w14:paraId="1C4F83B6" w14:textId="652FBE3E" w:rsidR="002F623D" w:rsidRPr="001F4770" w:rsidRDefault="002F623D" w:rsidP="002F623D">
      <w:pPr>
        <w:pStyle w:val="ExhibitHeading"/>
        <w:rPr>
          <w:rFonts w:eastAsia="MS Mincho"/>
        </w:rPr>
      </w:pPr>
      <w:bookmarkStart w:id="2" w:name="_Ref417465091"/>
      <w:r w:rsidRPr="001F4770">
        <w:rPr>
          <w:rFonts w:eastAsia="MS Mincho"/>
        </w:rPr>
        <w:lastRenderedPageBreak/>
        <w:t xml:space="preserve">Exhibit </w:t>
      </w:r>
      <w:r w:rsidR="00F409D2" w:rsidRPr="001F4770">
        <w:rPr>
          <w:rFonts w:eastAsia="MS Mincho"/>
          <w:noProof/>
        </w:rPr>
        <w:t>1</w:t>
      </w:r>
      <w:bookmarkEnd w:id="2"/>
      <w:r w:rsidRPr="001F4770">
        <w:rPr>
          <w:rFonts w:eastAsia="MS Mincho"/>
        </w:rPr>
        <w:t xml:space="preserve">: connections </w:t>
      </w:r>
      <w:r w:rsidR="00324BDB" w:rsidRPr="001F4770">
        <w:rPr>
          <w:rFonts w:eastAsia="MS Mincho"/>
        </w:rPr>
        <w:t xml:space="preserve">between </w:t>
      </w:r>
      <w:r w:rsidRPr="001F4770">
        <w:rPr>
          <w:rFonts w:eastAsia="MS Mincho"/>
        </w:rPr>
        <w:t>RTE</w:t>
      </w:r>
      <w:r w:rsidR="00324BDB" w:rsidRPr="001F4770">
        <w:rPr>
          <w:rFonts w:eastAsia="MS Mincho"/>
        </w:rPr>
        <w:t>’s</w:t>
      </w:r>
      <w:r w:rsidRPr="001F4770">
        <w:rPr>
          <w:rFonts w:eastAsia="MS Mincho"/>
        </w:rPr>
        <w:t xml:space="preserve"> network </w:t>
      </w:r>
      <w:r w:rsidR="00324BDB" w:rsidRPr="001F4770">
        <w:rPr>
          <w:rFonts w:eastAsia="MS Mincho"/>
        </w:rPr>
        <w:t xml:space="preserve">and </w:t>
      </w:r>
      <w:r w:rsidRPr="001F4770">
        <w:rPr>
          <w:rFonts w:eastAsia="MS Mincho"/>
        </w:rPr>
        <w:t>neighbo</w:t>
      </w:r>
      <w:r w:rsidR="00324BDB" w:rsidRPr="001F4770">
        <w:rPr>
          <w:rFonts w:eastAsia="MS Mincho"/>
        </w:rPr>
        <w:t>u</w:t>
      </w:r>
      <w:r w:rsidRPr="001F4770">
        <w:rPr>
          <w:rFonts w:eastAsia="MS Mincho"/>
        </w:rPr>
        <w:t>ring countries</w:t>
      </w:r>
    </w:p>
    <w:p w14:paraId="317C8D26" w14:textId="77777777" w:rsidR="002F623D" w:rsidRPr="001F4770" w:rsidRDefault="002F623D" w:rsidP="00E559F0">
      <w:pPr>
        <w:pStyle w:val="ExhibitText"/>
        <w:rPr>
          <w:rFonts w:eastAsia="MS Mincho"/>
        </w:rPr>
      </w:pPr>
    </w:p>
    <w:p w14:paraId="123FAED8" w14:textId="77777777" w:rsidR="002F623D" w:rsidRPr="001F4770" w:rsidRDefault="002F623D" w:rsidP="00EF6F46">
      <w:pPr>
        <w:pStyle w:val="ExhibitText"/>
        <w:jc w:val="center"/>
        <w:rPr>
          <w:rFonts w:eastAsia="MS Mincho"/>
        </w:rPr>
      </w:pPr>
      <w:r w:rsidRPr="001F4770">
        <w:rPr>
          <w:rFonts w:eastAsia="MS Mincho"/>
          <w:noProof/>
          <w:lang w:val="en-US"/>
        </w:rPr>
        <w:drawing>
          <wp:inline distT="0" distB="0" distL="0" distR="0" wp14:anchorId="345FD726" wp14:editId="3FC4C8DB">
            <wp:extent cx="4572000" cy="393465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934653"/>
                    </a:xfrm>
                    <a:prstGeom prst="rect">
                      <a:avLst/>
                    </a:prstGeom>
                    <a:noFill/>
                  </pic:spPr>
                </pic:pic>
              </a:graphicData>
            </a:graphic>
          </wp:inline>
        </w:drawing>
      </w:r>
    </w:p>
    <w:p w14:paraId="30234540" w14:textId="77777777" w:rsidR="002F623D" w:rsidRPr="001F4770" w:rsidRDefault="002F623D" w:rsidP="00E559F0">
      <w:pPr>
        <w:pStyle w:val="ExhibitText"/>
        <w:rPr>
          <w:rFonts w:eastAsia="MS Mincho"/>
        </w:rPr>
      </w:pPr>
    </w:p>
    <w:p w14:paraId="5424653E" w14:textId="77777777" w:rsidR="002F623D" w:rsidRPr="001F4770" w:rsidRDefault="002F623D" w:rsidP="002F623D">
      <w:pPr>
        <w:pStyle w:val="Footnote"/>
        <w:rPr>
          <w:rFonts w:eastAsia="MS Mincho"/>
        </w:rPr>
      </w:pPr>
      <w:r w:rsidRPr="001F4770">
        <w:rPr>
          <w:rFonts w:eastAsia="MS Mincho"/>
        </w:rPr>
        <w:t>Source: Company files.</w:t>
      </w:r>
    </w:p>
    <w:p w14:paraId="134CCFD2" w14:textId="22571AB7" w:rsidR="00CD787D" w:rsidRPr="001F4770" w:rsidRDefault="00CD787D">
      <w:pPr>
        <w:spacing w:after="200" w:line="276" w:lineRule="auto"/>
        <w:rPr>
          <w:rFonts w:ascii="Arial" w:eastAsia="MS Mincho" w:hAnsi="Arial" w:cs="Arial"/>
        </w:rPr>
      </w:pPr>
      <w:r w:rsidRPr="001F4770">
        <w:rPr>
          <w:rFonts w:eastAsia="MS Mincho"/>
        </w:rPr>
        <w:br w:type="page"/>
      </w:r>
    </w:p>
    <w:p w14:paraId="0E817B66" w14:textId="2B191DD7" w:rsidR="00700D53" w:rsidRPr="001F4770" w:rsidRDefault="00700D53" w:rsidP="00700D53">
      <w:pPr>
        <w:pStyle w:val="ExhibitHeading"/>
      </w:pPr>
      <w:r w:rsidRPr="001F4770">
        <w:lastRenderedPageBreak/>
        <w:t>Exhibit 2: TYPES OF REGULATORY REGIMES</w:t>
      </w:r>
    </w:p>
    <w:p w14:paraId="1867AC5B" w14:textId="77777777" w:rsidR="00700D53" w:rsidRPr="001F4770" w:rsidRDefault="00700D53" w:rsidP="00E45879">
      <w:pPr>
        <w:pStyle w:val="ExhibitText"/>
      </w:pPr>
    </w:p>
    <w:p w14:paraId="5C4BF0A7" w14:textId="06C725BD" w:rsidR="00700D53" w:rsidRPr="001F4770" w:rsidRDefault="00700D53" w:rsidP="00700D53">
      <w:pPr>
        <w:pStyle w:val="ExhibitText"/>
      </w:pPr>
      <w:r w:rsidRPr="001F4770">
        <w:t xml:space="preserve">Except for the very first decades of electric power systems, </w:t>
      </w:r>
      <w:r w:rsidR="00D97741" w:rsidRPr="001F4770">
        <w:t xml:space="preserve">the </w:t>
      </w:r>
      <w:r w:rsidRPr="001F4770">
        <w:t>network operation</w:t>
      </w:r>
      <w:r w:rsidR="00D97741" w:rsidRPr="001F4770">
        <w:t>—</w:t>
      </w:r>
      <w:r w:rsidRPr="001F4770">
        <w:t>and for a long time</w:t>
      </w:r>
      <w:r w:rsidR="00D97741" w:rsidRPr="001F4770">
        <w:t>,</w:t>
      </w:r>
      <w:r w:rsidRPr="001F4770">
        <w:t xml:space="preserve"> the entire vertically integrated utility company</w:t>
      </w:r>
      <w:r w:rsidR="00D97741" w:rsidRPr="001F4770">
        <w:t>—</w:t>
      </w:r>
      <w:r w:rsidRPr="001F4770">
        <w:t>ha</w:t>
      </w:r>
      <w:r w:rsidR="00D97741" w:rsidRPr="001F4770">
        <w:t>d</w:t>
      </w:r>
      <w:r w:rsidRPr="001F4770">
        <w:t xml:space="preserve"> been subject to regulation on the grounds of its inherent features of a natural monopoly. </w:t>
      </w:r>
      <w:r w:rsidR="00D97741" w:rsidRPr="001F4770">
        <w:t>T</w:t>
      </w:r>
      <w:r w:rsidRPr="001F4770">
        <w:t xml:space="preserve">he main tools </w:t>
      </w:r>
      <w:r w:rsidR="00D97741" w:rsidRPr="001F4770">
        <w:t xml:space="preserve">for </w:t>
      </w:r>
      <w:r w:rsidRPr="001F4770">
        <w:t>regulat</w:t>
      </w:r>
      <w:r w:rsidR="00D97741" w:rsidRPr="001F4770">
        <w:t>ing</w:t>
      </w:r>
      <w:r w:rsidRPr="001F4770">
        <w:t xml:space="preserve"> the activities and remuneration of power grid companies </w:t>
      </w:r>
      <w:r w:rsidR="00D97741" w:rsidRPr="001F4770">
        <w:t>were as follows:</w:t>
      </w:r>
      <w:r w:rsidR="00F67EB8" w:rsidRPr="001F4770">
        <w:t xml:space="preserve"> </w:t>
      </w:r>
    </w:p>
    <w:p w14:paraId="685C2F73" w14:textId="77777777" w:rsidR="00700D53" w:rsidRPr="001F4770" w:rsidRDefault="00700D53" w:rsidP="00700D53">
      <w:pPr>
        <w:pStyle w:val="ExhibitText"/>
      </w:pPr>
    </w:p>
    <w:p w14:paraId="3395477D" w14:textId="77777777" w:rsidR="00700D53" w:rsidRPr="001F4770" w:rsidRDefault="00700D53" w:rsidP="00700D53">
      <w:pPr>
        <w:pStyle w:val="ExhibitText"/>
      </w:pPr>
    </w:p>
    <w:p w14:paraId="00E451CB" w14:textId="20FF6F58" w:rsidR="00700D53" w:rsidRPr="001F4770" w:rsidRDefault="00700D53" w:rsidP="00700D53">
      <w:pPr>
        <w:pStyle w:val="ExhibitText"/>
        <w:rPr>
          <w:b/>
        </w:rPr>
      </w:pPr>
      <w:r w:rsidRPr="001F4770">
        <w:rPr>
          <w:b/>
        </w:rPr>
        <w:t>Cost-</w:t>
      </w:r>
      <w:r w:rsidR="00D97741" w:rsidRPr="001F4770">
        <w:rPr>
          <w:b/>
        </w:rPr>
        <w:t>P</w:t>
      </w:r>
      <w:r w:rsidRPr="001F4770">
        <w:rPr>
          <w:b/>
        </w:rPr>
        <w:t xml:space="preserve">lus </w:t>
      </w:r>
      <w:r w:rsidR="00D97741" w:rsidRPr="001F4770">
        <w:rPr>
          <w:b/>
        </w:rPr>
        <w:t>R</w:t>
      </w:r>
      <w:r w:rsidRPr="001F4770">
        <w:rPr>
          <w:b/>
        </w:rPr>
        <w:t>egulation</w:t>
      </w:r>
    </w:p>
    <w:p w14:paraId="522281E2" w14:textId="77777777" w:rsidR="00700D53" w:rsidRPr="001F4770" w:rsidRDefault="00700D53" w:rsidP="00700D53">
      <w:pPr>
        <w:pStyle w:val="ExhibitText"/>
      </w:pPr>
    </w:p>
    <w:p w14:paraId="10DD8A3B" w14:textId="074EAE87" w:rsidR="00700D53" w:rsidRPr="001F4770" w:rsidRDefault="00700D53" w:rsidP="00700D53">
      <w:pPr>
        <w:pStyle w:val="ExhibitText"/>
      </w:pPr>
      <w:r w:rsidRPr="001F4770">
        <w:t xml:space="preserve">With cost-of-service or rate-of-return regulation, also widely called cost-plus regulation, the network operator </w:t>
      </w:r>
      <w:r w:rsidR="00D97741" w:rsidRPr="001F4770">
        <w:t>wa</w:t>
      </w:r>
      <w:r w:rsidRPr="001F4770">
        <w:t>s allowed a certain level of remuneration that recover</w:t>
      </w:r>
      <w:r w:rsidR="00D97741" w:rsidRPr="001F4770">
        <w:t>ed</w:t>
      </w:r>
      <w:r w:rsidRPr="001F4770">
        <w:t xml:space="preserve"> the main expenses</w:t>
      </w:r>
      <w:r w:rsidR="00D97741" w:rsidRPr="001F4770">
        <w:t>—primarily capital expenditures and operating expenditures—and paid an</w:t>
      </w:r>
      <w:r w:rsidRPr="001F4770">
        <w:t xml:space="preserve"> excess return. The regulator thereby incentivize</w:t>
      </w:r>
      <w:r w:rsidR="00D97741" w:rsidRPr="001F4770">
        <w:t>d</w:t>
      </w:r>
      <w:r w:rsidRPr="001F4770">
        <w:t xml:space="preserve"> the network operator to declare its costs</w:t>
      </w:r>
      <w:r w:rsidR="00D97741" w:rsidRPr="001F4770">
        <w:t>,</w:t>
      </w:r>
      <w:r w:rsidRPr="001F4770">
        <w:t xml:space="preserve"> but the grid company </w:t>
      </w:r>
      <w:r w:rsidR="00D97741" w:rsidRPr="001F4770">
        <w:t xml:space="preserve">was not </w:t>
      </w:r>
      <w:r w:rsidRPr="001F4770">
        <w:t xml:space="preserve">rewarded for optimizing its internal processes to achieve </w:t>
      </w:r>
      <w:r w:rsidR="00603969" w:rsidRPr="001F4770">
        <w:t xml:space="preserve">the </w:t>
      </w:r>
      <w:r w:rsidRPr="001F4770">
        <w:t xml:space="preserve">prescribed level of service. This </w:t>
      </w:r>
      <w:r w:rsidR="00D97741" w:rsidRPr="001F4770">
        <w:t xml:space="preserve">situation </w:t>
      </w:r>
      <w:r w:rsidRPr="001F4770">
        <w:t xml:space="preserve">motivated </w:t>
      </w:r>
      <w:r w:rsidR="00D97741" w:rsidRPr="001F4770">
        <w:t xml:space="preserve">the development of </w:t>
      </w:r>
      <w:r w:rsidRPr="001F4770">
        <w:t>incentive- or performance-based regulation schemes.</w:t>
      </w:r>
    </w:p>
    <w:p w14:paraId="1E0CB12F" w14:textId="77777777" w:rsidR="00700D53" w:rsidRPr="001F4770" w:rsidRDefault="00700D53" w:rsidP="00700D53">
      <w:pPr>
        <w:pStyle w:val="ExhibitText"/>
      </w:pPr>
    </w:p>
    <w:p w14:paraId="67F610F1" w14:textId="77777777" w:rsidR="00700D53" w:rsidRPr="001F4770" w:rsidRDefault="00700D53" w:rsidP="00700D53">
      <w:pPr>
        <w:pStyle w:val="ExhibitText"/>
      </w:pPr>
    </w:p>
    <w:p w14:paraId="65F4E895" w14:textId="3FD645DD" w:rsidR="00700D53" w:rsidRPr="001F4770" w:rsidRDefault="00700D53" w:rsidP="00700D53">
      <w:pPr>
        <w:pStyle w:val="ExhibitText"/>
        <w:rPr>
          <w:b/>
        </w:rPr>
      </w:pPr>
      <w:r w:rsidRPr="001F4770">
        <w:rPr>
          <w:b/>
        </w:rPr>
        <w:t xml:space="preserve">Price </w:t>
      </w:r>
      <w:r w:rsidR="00D97741" w:rsidRPr="001F4770">
        <w:rPr>
          <w:b/>
        </w:rPr>
        <w:t>C</w:t>
      </w:r>
      <w:r w:rsidRPr="001F4770">
        <w:rPr>
          <w:b/>
        </w:rPr>
        <w:t xml:space="preserve">ap </w:t>
      </w:r>
      <w:r w:rsidR="00D97741" w:rsidRPr="001F4770">
        <w:rPr>
          <w:b/>
        </w:rPr>
        <w:t>R</w:t>
      </w:r>
      <w:r w:rsidRPr="001F4770">
        <w:rPr>
          <w:b/>
        </w:rPr>
        <w:t>egulation</w:t>
      </w:r>
    </w:p>
    <w:p w14:paraId="7F8B7FB4" w14:textId="77777777" w:rsidR="00700D53" w:rsidRPr="001F4770" w:rsidRDefault="00700D53" w:rsidP="00700D53">
      <w:pPr>
        <w:pStyle w:val="ExhibitText"/>
      </w:pPr>
    </w:p>
    <w:p w14:paraId="25AF2BF5" w14:textId="61A42853" w:rsidR="00700D53" w:rsidRPr="001F4770" w:rsidRDefault="00F87533" w:rsidP="00700D53">
      <w:pPr>
        <w:pStyle w:val="ExhibitText"/>
      </w:pPr>
      <w:r w:rsidRPr="001F4770">
        <w:t>P</w:t>
      </w:r>
      <w:r w:rsidR="00700D53" w:rsidRPr="001F4770">
        <w:t xml:space="preserve">rice cap regulation </w:t>
      </w:r>
      <w:r w:rsidRPr="001F4770">
        <w:t xml:space="preserve">fixed the prescribed level of service and </w:t>
      </w:r>
      <w:r w:rsidR="00700D53" w:rsidRPr="001F4770">
        <w:t>ensure</w:t>
      </w:r>
      <w:r w:rsidR="006976AE" w:rsidRPr="001F4770">
        <w:t>d</w:t>
      </w:r>
      <w:r w:rsidR="00700D53" w:rsidRPr="001F4770">
        <w:t xml:space="preserve"> a degree of incentive by setting fixed upper boundaries </w:t>
      </w:r>
      <w:r w:rsidR="006976AE" w:rsidRPr="001F4770">
        <w:t xml:space="preserve">on </w:t>
      </w:r>
      <w:r w:rsidR="00700D53" w:rsidRPr="001F4770">
        <w:t xml:space="preserve">the prices to be charged for the service. </w:t>
      </w:r>
      <w:r w:rsidRPr="001F4770">
        <w:t xml:space="preserve">Price caps </w:t>
      </w:r>
      <w:r w:rsidR="00700D53" w:rsidRPr="001F4770">
        <w:t xml:space="preserve">set the desired output and </w:t>
      </w:r>
      <w:r w:rsidR="006976AE" w:rsidRPr="001F4770">
        <w:t xml:space="preserve">gave </w:t>
      </w:r>
      <w:r w:rsidRPr="001F4770">
        <w:t xml:space="preserve">the network operator the </w:t>
      </w:r>
      <w:r w:rsidR="00700D53" w:rsidRPr="001F4770">
        <w:t xml:space="preserve">freedom </w:t>
      </w:r>
      <w:r w:rsidR="00E82A52" w:rsidRPr="001F4770">
        <w:t>to determine what</w:t>
      </w:r>
      <w:r w:rsidR="00700D53" w:rsidRPr="001F4770">
        <w:t xml:space="preserve"> input </w:t>
      </w:r>
      <w:r w:rsidR="006976AE" w:rsidRPr="001F4770">
        <w:t>wa</w:t>
      </w:r>
      <w:r w:rsidR="00700D53" w:rsidRPr="001F4770">
        <w:t xml:space="preserve">s needed to achieve the desired targets. </w:t>
      </w:r>
      <w:r w:rsidR="00E82A52" w:rsidRPr="001F4770">
        <w:t xml:space="preserve">Thus, </w:t>
      </w:r>
      <w:r w:rsidR="00700D53" w:rsidRPr="001F4770">
        <w:t xml:space="preserve">the network operator </w:t>
      </w:r>
      <w:r w:rsidR="00E82A52" w:rsidRPr="001F4770">
        <w:t xml:space="preserve">could benefit by </w:t>
      </w:r>
      <w:r w:rsidR="00700D53" w:rsidRPr="001F4770">
        <w:t xml:space="preserve">optimizing its internal processes. The </w:t>
      </w:r>
      <w:r w:rsidR="00E82A52" w:rsidRPr="001F4770">
        <w:t>disadvantage to</w:t>
      </w:r>
      <w:r w:rsidR="00700D53" w:rsidRPr="001F4770">
        <w:t xml:space="preserve"> this type of regulation </w:t>
      </w:r>
      <w:r w:rsidR="00E82A52" w:rsidRPr="001F4770">
        <w:t xml:space="preserve">was </w:t>
      </w:r>
      <w:r w:rsidR="00700D53" w:rsidRPr="001F4770">
        <w:t xml:space="preserve">that </w:t>
      </w:r>
      <w:r w:rsidR="00E82A52" w:rsidRPr="001F4770">
        <w:t xml:space="preserve">an </w:t>
      </w:r>
      <w:r w:rsidR="00700D53" w:rsidRPr="001F4770">
        <w:t>information asymmetr</w:t>
      </w:r>
      <w:r w:rsidR="00E82A52" w:rsidRPr="001F4770">
        <w:t xml:space="preserve">y persisted between the regulator and network operator; </w:t>
      </w:r>
      <w:r w:rsidR="00700D53" w:rsidRPr="001F4770">
        <w:t xml:space="preserve">the regulator </w:t>
      </w:r>
      <w:r w:rsidR="00E82A52" w:rsidRPr="001F4770">
        <w:t>was not provided with any</w:t>
      </w:r>
      <w:r w:rsidR="00700D53" w:rsidRPr="001F4770">
        <w:t xml:space="preserve"> information about the network operator’s cost function. </w:t>
      </w:r>
    </w:p>
    <w:p w14:paraId="4C360A61" w14:textId="4CAF336D" w:rsidR="00700D53" w:rsidRPr="001F4770" w:rsidRDefault="00700D53" w:rsidP="00E559F0">
      <w:pPr>
        <w:pStyle w:val="ExhibitText"/>
      </w:pPr>
    </w:p>
    <w:p w14:paraId="503903CE" w14:textId="77777777" w:rsidR="00700D53" w:rsidRPr="001F4770" w:rsidRDefault="00700D53" w:rsidP="00700D53">
      <w:pPr>
        <w:pStyle w:val="ExhibitText"/>
      </w:pPr>
    </w:p>
    <w:p w14:paraId="3653C423" w14:textId="7854C32C" w:rsidR="00700D53" w:rsidRPr="001F4770" w:rsidRDefault="00700D53" w:rsidP="00700D53">
      <w:pPr>
        <w:pStyle w:val="ExhibitText"/>
        <w:rPr>
          <w:b/>
        </w:rPr>
      </w:pPr>
      <w:r w:rsidRPr="001F4770">
        <w:rPr>
          <w:b/>
        </w:rPr>
        <w:t xml:space="preserve">Revenue </w:t>
      </w:r>
      <w:r w:rsidR="00E82A52" w:rsidRPr="001F4770">
        <w:rPr>
          <w:b/>
        </w:rPr>
        <w:t>C</w:t>
      </w:r>
      <w:r w:rsidRPr="001F4770">
        <w:rPr>
          <w:b/>
        </w:rPr>
        <w:t xml:space="preserve">ap </w:t>
      </w:r>
      <w:r w:rsidR="00E82A52" w:rsidRPr="001F4770">
        <w:rPr>
          <w:b/>
        </w:rPr>
        <w:t>R</w:t>
      </w:r>
      <w:r w:rsidRPr="001F4770">
        <w:rPr>
          <w:b/>
        </w:rPr>
        <w:t>egulation</w:t>
      </w:r>
    </w:p>
    <w:p w14:paraId="46984570" w14:textId="77777777" w:rsidR="00700D53" w:rsidRPr="001F4770" w:rsidRDefault="00700D53" w:rsidP="00700D53">
      <w:pPr>
        <w:pStyle w:val="ExhibitText"/>
      </w:pPr>
    </w:p>
    <w:p w14:paraId="6A15DFB2" w14:textId="7DCB88C9" w:rsidR="00E82A52" w:rsidRPr="001F4770" w:rsidRDefault="00700D53" w:rsidP="00700D53">
      <w:pPr>
        <w:pStyle w:val="ExhibitText"/>
      </w:pPr>
      <w:r w:rsidRPr="001F4770">
        <w:t xml:space="preserve">Revenue cap regulation </w:t>
      </w:r>
      <w:r w:rsidR="00E82A52" w:rsidRPr="001F4770">
        <w:t>also prescribed the level of service and incentivized the network operator to control costs, but by setting an upper limit to the revenue that the network operator could earn, rather than the price the network operator could charge.</w:t>
      </w:r>
    </w:p>
    <w:p w14:paraId="2BD80160" w14:textId="77777777" w:rsidR="00E82A52" w:rsidRPr="001F4770" w:rsidRDefault="00E82A52" w:rsidP="00700D53">
      <w:pPr>
        <w:pStyle w:val="ExhibitText"/>
      </w:pPr>
    </w:p>
    <w:p w14:paraId="5AACA18B" w14:textId="399176B0" w:rsidR="00700D53" w:rsidRPr="001F4770" w:rsidRDefault="00700D53" w:rsidP="00700D53">
      <w:pPr>
        <w:pStyle w:val="ExhibitText"/>
      </w:pPr>
    </w:p>
    <w:p w14:paraId="2BBE32C1" w14:textId="044B7372" w:rsidR="00700D53" w:rsidRPr="001F4770" w:rsidRDefault="00700D53" w:rsidP="00E559F0">
      <w:pPr>
        <w:pStyle w:val="Casehead2"/>
      </w:pPr>
      <w:r w:rsidRPr="001F4770">
        <w:t xml:space="preserve">Output </w:t>
      </w:r>
      <w:r w:rsidR="00E82A52" w:rsidRPr="001F4770">
        <w:t>R</w:t>
      </w:r>
      <w:r w:rsidRPr="001F4770">
        <w:t>egulation</w:t>
      </w:r>
    </w:p>
    <w:p w14:paraId="3AADE71D" w14:textId="77777777" w:rsidR="00700D53" w:rsidRPr="001F4770" w:rsidRDefault="00700D53" w:rsidP="00700D53">
      <w:pPr>
        <w:pStyle w:val="ExhibitText"/>
      </w:pPr>
    </w:p>
    <w:p w14:paraId="3C880493" w14:textId="71ABF342" w:rsidR="00700D53" w:rsidRPr="001F4770" w:rsidRDefault="00700D53" w:rsidP="00700D53">
      <w:pPr>
        <w:pStyle w:val="ExhibitText"/>
      </w:pPr>
      <w:r w:rsidRPr="001F4770">
        <w:t xml:space="preserve">Instead of merely focusing on incentivizing transmission system operators to improve the efficiency of using inputs, performance-based regulation </w:t>
      </w:r>
      <w:r w:rsidR="009760FE" w:rsidRPr="001F4770">
        <w:t xml:space="preserve">could </w:t>
      </w:r>
      <w:r w:rsidRPr="001F4770">
        <w:t xml:space="preserve">also </w:t>
      </w:r>
      <w:r w:rsidR="009760FE" w:rsidRPr="001F4770">
        <w:t xml:space="preserve">be </w:t>
      </w:r>
      <w:r w:rsidRPr="001F4770">
        <w:t>design</w:t>
      </w:r>
      <w:r w:rsidR="009760FE" w:rsidRPr="001F4770">
        <w:t>ed with</w:t>
      </w:r>
      <w:r w:rsidRPr="001F4770">
        <w:t xml:space="preserve"> certain incentives that focused on the </w:t>
      </w:r>
      <w:r w:rsidR="009760FE" w:rsidRPr="001F4770">
        <w:t xml:space="preserve">operator’s </w:t>
      </w:r>
      <w:r w:rsidRPr="001F4770">
        <w:t xml:space="preserve">output in terms of quantity and </w:t>
      </w:r>
      <w:r w:rsidR="004F2F19">
        <w:t>quality of service</w:t>
      </w:r>
      <w:r w:rsidRPr="001F4770">
        <w:t xml:space="preserve"> delivered.</w:t>
      </w:r>
    </w:p>
    <w:p w14:paraId="4924485A" w14:textId="77777777" w:rsidR="00700D53" w:rsidRPr="001F4770" w:rsidRDefault="00700D53" w:rsidP="00700D53">
      <w:pPr>
        <w:pStyle w:val="ExhibitText"/>
      </w:pPr>
    </w:p>
    <w:p w14:paraId="0FF89371" w14:textId="77777777" w:rsidR="00700D53" w:rsidRPr="001F4770" w:rsidRDefault="00700D53" w:rsidP="00700D53">
      <w:pPr>
        <w:pStyle w:val="ExhibitText"/>
      </w:pPr>
    </w:p>
    <w:p w14:paraId="4E3D1B5C" w14:textId="0D7FD8D9" w:rsidR="00700D53" w:rsidRPr="001F4770" w:rsidRDefault="00700D53" w:rsidP="00E559F0">
      <w:pPr>
        <w:pStyle w:val="Casehead2"/>
      </w:pPr>
      <w:r w:rsidRPr="001F4770">
        <w:t xml:space="preserve">Yardstick </w:t>
      </w:r>
      <w:r w:rsidR="009760FE" w:rsidRPr="001F4770">
        <w:t>C</w:t>
      </w:r>
      <w:r w:rsidRPr="001F4770">
        <w:t>ompetition</w:t>
      </w:r>
    </w:p>
    <w:p w14:paraId="194F72F0" w14:textId="77777777" w:rsidR="00700D53" w:rsidRPr="001F4770" w:rsidRDefault="00700D53" w:rsidP="00700D53">
      <w:pPr>
        <w:pStyle w:val="ExhibitText"/>
      </w:pPr>
    </w:p>
    <w:p w14:paraId="17F924DA" w14:textId="229ED70B" w:rsidR="00700D53" w:rsidRPr="00705C8C" w:rsidRDefault="00700D53" w:rsidP="00700D53">
      <w:pPr>
        <w:pStyle w:val="ExhibitText"/>
        <w:rPr>
          <w:spacing w:val="-2"/>
        </w:rPr>
      </w:pPr>
      <w:r w:rsidRPr="00705C8C">
        <w:rPr>
          <w:spacing w:val="-2"/>
        </w:rPr>
        <w:t xml:space="preserve">Finally, the regulator </w:t>
      </w:r>
      <w:r w:rsidR="009760FE" w:rsidRPr="00705C8C">
        <w:rPr>
          <w:spacing w:val="-2"/>
        </w:rPr>
        <w:t xml:space="preserve">could </w:t>
      </w:r>
      <w:r w:rsidRPr="00705C8C">
        <w:rPr>
          <w:spacing w:val="-2"/>
        </w:rPr>
        <w:t xml:space="preserve">choose to base remuneration of the distribution company </w:t>
      </w:r>
      <w:r w:rsidR="009760FE" w:rsidRPr="00705C8C">
        <w:rPr>
          <w:spacing w:val="-2"/>
        </w:rPr>
        <w:t xml:space="preserve">on </w:t>
      </w:r>
      <w:r w:rsidRPr="00705C8C">
        <w:rPr>
          <w:spacing w:val="-2"/>
        </w:rPr>
        <w:t>the costs declared by other companies with similar activit</w:t>
      </w:r>
      <w:r w:rsidR="009760FE" w:rsidRPr="00705C8C">
        <w:rPr>
          <w:spacing w:val="-2"/>
        </w:rPr>
        <w:t xml:space="preserve">ies. The company’s performance would be </w:t>
      </w:r>
      <w:r w:rsidRPr="00705C8C">
        <w:rPr>
          <w:spacing w:val="-2"/>
        </w:rPr>
        <w:t>benchmark</w:t>
      </w:r>
      <w:r w:rsidR="009760FE" w:rsidRPr="00705C8C">
        <w:rPr>
          <w:spacing w:val="-2"/>
        </w:rPr>
        <w:t>ed</w:t>
      </w:r>
      <w:r w:rsidRPr="00705C8C">
        <w:rPr>
          <w:spacing w:val="-2"/>
        </w:rPr>
        <w:t xml:space="preserve"> against an average cost-of-service in the sector. With this incentive for cost efficiency in place, the yardstick value should</w:t>
      </w:r>
      <w:r w:rsidR="009760FE" w:rsidRPr="00705C8C">
        <w:rPr>
          <w:spacing w:val="-2"/>
        </w:rPr>
        <w:t>,</w:t>
      </w:r>
      <w:r w:rsidRPr="00705C8C">
        <w:rPr>
          <w:spacing w:val="-2"/>
        </w:rPr>
        <w:t xml:space="preserve"> </w:t>
      </w:r>
      <w:r w:rsidR="009760FE" w:rsidRPr="00705C8C">
        <w:rPr>
          <w:spacing w:val="-2"/>
        </w:rPr>
        <w:t xml:space="preserve">in theory, </w:t>
      </w:r>
      <w:r w:rsidRPr="00705C8C">
        <w:rPr>
          <w:spacing w:val="-2"/>
        </w:rPr>
        <w:t>decrease over time</w:t>
      </w:r>
      <w:r w:rsidR="009760FE" w:rsidRPr="00705C8C">
        <w:rPr>
          <w:spacing w:val="-2"/>
        </w:rPr>
        <w:t>,</w:t>
      </w:r>
      <w:r w:rsidRPr="00705C8C">
        <w:rPr>
          <w:spacing w:val="-2"/>
        </w:rPr>
        <w:t xml:space="preserve"> ensur</w:t>
      </w:r>
      <w:r w:rsidR="009760FE" w:rsidRPr="00705C8C">
        <w:rPr>
          <w:spacing w:val="-2"/>
        </w:rPr>
        <w:t>ing</w:t>
      </w:r>
      <w:r w:rsidRPr="00705C8C">
        <w:rPr>
          <w:spacing w:val="-2"/>
        </w:rPr>
        <w:t xml:space="preserve"> a dynamic convergence of costs closer to the efficiency optimum.</w:t>
      </w:r>
    </w:p>
    <w:p w14:paraId="4B633805" w14:textId="77777777" w:rsidR="009760FE" w:rsidRPr="001F4770" w:rsidRDefault="009760FE" w:rsidP="00E559F0">
      <w:pPr>
        <w:pStyle w:val="ExhibitText"/>
      </w:pPr>
    </w:p>
    <w:p w14:paraId="54E6A0BC" w14:textId="7B1B96E0" w:rsidR="00700D53" w:rsidRPr="001F4770" w:rsidRDefault="00700D53" w:rsidP="00700D53">
      <w:pPr>
        <w:pStyle w:val="Footnote"/>
      </w:pPr>
      <w:r w:rsidRPr="001F4770">
        <w:t xml:space="preserve">Source: </w:t>
      </w:r>
      <w:r w:rsidR="00EE032E" w:rsidRPr="001F4770">
        <w:t xml:space="preserve">Ignacio J. </w:t>
      </w:r>
      <w:r w:rsidRPr="001F4770">
        <w:t xml:space="preserve">Pérez-Arriaga, </w:t>
      </w:r>
      <w:r w:rsidR="00EE032E" w:rsidRPr="001F4770">
        <w:t xml:space="preserve">chap. 4 in </w:t>
      </w:r>
      <w:r w:rsidRPr="001F4770">
        <w:rPr>
          <w:i/>
        </w:rPr>
        <w:t>Regulation of the Power Sector</w:t>
      </w:r>
      <w:r w:rsidRPr="001F4770">
        <w:t xml:space="preserve"> (</w:t>
      </w:r>
      <w:r w:rsidR="00D2301C" w:rsidRPr="001F4770">
        <w:t>London, UK:</w:t>
      </w:r>
      <w:r w:rsidRPr="001F4770">
        <w:t xml:space="preserve"> Springer, 2013)</w:t>
      </w:r>
      <w:r w:rsidR="00EE032E" w:rsidRPr="001F4770">
        <w:t>.</w:t>
      </w:r>
    </w:p>
    <w:p w14:paraId="2E550445" w14:textId="68FA40FE" w:rsidR="00CD787D" w:rsidRPr="001F4770" w:rsidRDefault="00CD787D">
      <w:pPr>
        <w:spacing w:after="200" w:line="276" w:lineRule="auto"/>
        <w:rPr>
          <w:rFonts w:eastAsia="MS Mincho"/>
          <w:sz w:val="22"/>
          <w:szCs w:val="22"/>
        </w:rPr>
      </w:pPr>
      <w:r w:rsidRPr="001F4770">
        <w:rPr>
          <w:rFonts w:eastAsia="MS Mincho"/>
        </w:rPr>
        <w:br w:type="page"/>
      </w:r>
    </w:p>
    <w:p w14:paraId="3D6FDF22" w14:textId="6C780349" w:rsidR="002F623D" w:rsidRPr="001F4770" w:rsidRDefault="002F623D" w:rsidP="00E559F0">
      <w:pPr>
        <w:pStyle w:val="ExhibitHeading"/>
        <w:keepNext/>
        <w:rPr>
          <w:rFonts w:eastAsia="MS Mincho"/>
          <w:noProof/>
        </w:rPr>
      </w:pPr>
      <w:bookmarkStart w:id="3" w:name="_Ref417465963"/>
      <w:bookmarkStart w:id="4" w:name="_Ref418699294"/>
      <w:r w:rsidRPr="001F4770">
        <w:rPr>
          <w:rFonts w:eastAsia="MS Mincho"/>
        </w:rPr>
        <w:lastRenderedPageBreak/>
        <w:t xml:space="preserve">Exhibit </w:t>
      </w:r>
      <w:r w:rsidR="00700D53" w:rsidRPr="001F4770">
        <w:rPr>
          <w:rFonts w:eastAsia="MS Mincho"/>
        </w:rPr>
        <w:t>3</w:t>
      </w:r>
      <w:bookmarkEnd w:id="3"/>
      <w:bookmarkEnd w:id="4"/>
      <w:r w:rsidRPr="001F4770">
        <w:rPr>
          <w:rFonts w:eastAsia="MS Mincho"/>
        </w:rPr>
        <w:t>: Assumptions for the current regulatory regime</w:t>
      </w:r>
      <w:r w:rsidR="00EE032E" w:rsidRPr="001F4770">
        <w:rPr>
          <w:rFonts w:eastAsia="MS Mincho"/>
        </w:rPr>
        <w:t xml:space="preserve"> (</w:t>
      </w:r>
      <w:r w:rsidRPr="001F4770">
        <w:rPr>
          <w:rFonts w:eastAsia="MS Mincho"/>
        </w:rPr>
        <w:t>price cap</w:t>
      </w:r>
      <w:r w:rsidR="00EE032E" w:rsidRPr="001F4770">
        <w:rPr>
          <w:rFonts w:eastAsia="MS Mincho"/>
        </w:rPr>
        <w:t>)</w:t>
      </w:r>
      <w:r w:rsidRPr="001F4770">
        <w:rPr>
          <w:rFonts w:eastAsia="MS Mincho"/>
          <w:noProof/>
        </w:rPr>
        <w:t xml:space="preserve"> and risk </w:t>
      </w:r>
    </w:p>
    <w:p w14:paraId="07CFE95B" w14:textId="77777777" w:rsidR="00C36C19" w:rsidRPr="001F4770" w:rsidRDefault="00C36C19" w:rsidP="00E559F0">
      <w:pPr>
        <w:pStyle w:val="ExhibitText"/>
        <w:keepNext/>
        <w:rPr>
          <w:rFonts w:eastAsia="MS Mincho"/>
        </w:rPr>
      </w:pPr>
    </w:p>
    <w:tbl>
      <w:tblPr>
        <w:tblStyle w:val="TableGrid3"/>
        <w:tblW w:w="3750" w:type="pct"/>
        <w:jc w:val="center"/>
        <w:tblCellMar>
          <w:top w:w="58" w:type="dxa"/>
          <w:left w:w="115" w:type="dxa"/>
          <w:bottom w:w="58" w:type="dxa"/>
          <w:right w:w="115" w:type="dxa"/>
        </w:tblCellMar>
        <w:tblLook w:val="04A0" w:firstRow="1" w:lastRow="0" w:firstColumn="1" w:lastColumn="0" w:noHBand="0" w:noVBand="1"/>
      </w:tblPr>
      <w:tblGrid>
        <w:gridCol w:w="1715"/>
        <w:gridCol w:w="5298"/>
      </w:tblGrid>
      <w:tr w:rsidR="002F623D" w:rsidRPr="001F4770" w14:paraId="4F14CD85" w14:textId="77777777" w:rsidTr="00EF6F46">
        <w:trPr>
          <w:trHeight w:val="288"/>
          <w:jc w:val="center"/>
        </w:trPr>
        <w:tc>
          <w:tcPr>
            <w:tcW w:w="1223" w:type="pct"/>
          </w:tcPr>
          <w:p w14:paraId="4E37FEE8" w14:textId="77777777" w:rsidR="002F623D" w:rsidRPr="001F4770" w:rsidRDefault="002F623D" w:rsidP="00EF6F46">
            <w:pPr>
              <w:pStyle w:val="ExhibitText"/>
              <w:keepNext/>
              <w:jc w:val="left"/>
              <w:rPr>
                <w:rFonts w:eastAsia="MS Mincho"/>
              </w:rPr>
            </w:pPr>
            <w:r w:rsidRPr="001F4770">
              <w:rPr>
                <w:rFonts w:eastAsia="MS Mincho"/>
              </w:rPr>
              <w:t>Cost-plus</w:t>
            </w:r>
          </w:p>
        </w:tc>
        <w:tc>
          <w:tcPr>
            <w:tcW w:w="3777" w:type="pct"/>
          </w:tcPr>
          <w:p w14:paraId="553AE29F" w14:textId="7C9D983C" w:rsidR="002F623D" w:rsidRPr="001F4770" w:rsidRDefault="002F623D" w:rsidP="00EF6F46">
            <w:pPr>
              <w:pStyle w:val="ExhibitText"/>
              <w:keepNext/>
              <w:jc w:val="left"/>
              <w:rPr>
                <w:rFonts w:eastAsia="MS Mincho"/>
              </w:rPr>
            </w:pPr>
            <w:r w:rsidRPr="001F4770">
              <w:rPr>
                <w:rFonts w:eastAsia="MS Mincho"/>
              </w:rPr>
              <w:t xml:space="preserve">7% </w:t>
            </w:r>
            <w:r w:rsidR="00EE032E" w:rsidRPr="001F4770">
              <w:rPr>
                <w:rFonts w:eastAsia="MS Mincho"/>
              </w:rPr>
              <w:t>r</w:t>
            </w:r>
            <w:r w:rsidRPr="001F4770">
              <w:rPr>
                <w:rFonts w:eastAsia="MS Mincho"/>
              </w:rPr>
              <w:t>eturn on equity</w:t>
            </w:r>
          </w:p>
        </w:tc>
      </w:tr>
      <w:tr w:rsidR="002F623D" w:rsidRPr="001F4770" w14:paraId="72687C2E" w14:textId="77777777" w:rsidTr="00EF6F46">
        <w:trPr>
          <w:trHeight w:val="288"/>
          <w:jc w:val="center"/>
        </w:trPr>
        <w:tc>
          <w:tcPr>
            <w:tcW w:w="1223" w:type="pct"/>
          </w:tcPr>
          <w:p w14:paraId="6C1D4666" w14:textId="44E62E5B" w:rsidR="002F623D" w:rsidRPr="001F4770" w:rsidRDefault="00EE032E" w:rsidP="00EF6F46">
            <w:pPr>
              <w:pStyle w:val="ExhibitText"/>
              <w:keepNext/>
              <w:jc w:val="left"/>
              <w:rPr>
                <w:rFonts w:eastAsia="MS Mincho"/>
              </w:rPr>
            </w:pPr>
            <w:r w:rsidRPr="001F4770">
              <w:rPr>
                <w:rFonts w:eastAsia="MS Mincho"/>
              </w:rPr>
              <w:t>Price cap (c</w:t>
            </w:r>
            <w:r w:rsidR="002F623D" w:rsidRPr="001F4770">
              <w:rPr>
                <w:rFonts w:eastAsia="MS Mincho"/>
              </w:rPr>
              <w:t>urrent regime</w:t>
            </w:r>
            <w:r w:rsidRPr="001F4770">
              <w:rPr>
                <w:rFonts w:eastAsia="MS Mincho"/>
              </w:rPr>
              <w:t>)</w:t>
            </w:r>
          </w:p>
        </w:tc>
        <w:tc>
          <w:tcPr>
            <w:tcW w:w="3777" w:type="pct"/>
          </w:tcPr>
          <w:p w14:paraId="3A22A427" w14:textId="7F519F67" w:rsidR="002F623D" w:rsidRPr="001F4770" w:rsidRDefault="002F623D" w:rsidP="00EF6F46">
            <w:pPr>
              <w:pStyle w:val="ExhibitText"/>
              <w:keepNext/>
              <w:rPr>
                <w:rFonts w:eastAsia="MS Mincho"/>
              </w:rPr>
            </w:pPr>
            <w:r w:rsidRPr="001F4770">
              <w:rPr>
                <w:rFonts w:eastAsia="MS Mincho"/>
              </w:rPr>
              <w:t xml:space="preserve">5% </w:t>
            </w:r>
            <w:r w:rsidR="00EE032E" w:rsidRPr="001F4770">
              <w:rPr>
                <w:rFonts w:eastAsia="MS Mincho"/>
              </w:rPr>
              <w:t>weighted average cost of capital</w:t>
            </w:r>
          </w:p>
          <w:p w14:paraId="5E0031A0" w14:textId="2A2620A8" w:rsidR="002F623D" w:rsidRPr="001F4770" w:rsidRDefault="00334C4A" w:rsidP="00EF6F46">
            <w:pPr>
              <w:pStyle w:val="ExhibitText"/>
              <w:keepNext/>
              <w:rPr>
                <w:rFonts w:eastAsia="MS Mincho"/>
              </w:rPr>
            </w:pPr>
            <w:r w:rsidRPr="001F4770">
              <w:rPr>
                <w:rFonts w:eastAsia="MS Mincho"/>
              </w:rPr>
              <w:t>€</w:t>
            </w:r>
            <w:r w:rsidR="002F623D" w:rsidRPr="001F4770">
              <w:rPr>
                <w:rFonts w:eastAsia="MS Mincho"/>
              </w:rPr>
              <w:t>2</w:t>
            </w:r>
            <w:r w:rsidRPr="001F4770">
              <w:rPr>
                <w:rFonts w:eastAsia="MS Mincho"/>
              </w:rPr>
              <w:t>,</w:t>
            </w:r>
            <w:r w:rsidR="002F623D" w:rsidRPr="001F4770">
              <w:rPr>
                <w:rFonts w:eastAsia="MS Mincho"/>
              </w:rPr>
              <w:t>491</w:t>
            </w:r>
            <w:r w:rsidRPr="001F4770">
              <w:rPr>
                <w:rFonts w:eastAsia="MS Mincho"/>
              </w:rPr>
              <w:t xml:space="preserve"> million</w:t>
            </w:r>
            <w:r w:rsidR="002F623D" w:rsidRPr="001F4770">
              <w:rPr>
                <w:rFonts w:eastAsia="MS Mincho"/>
              </w:rPr>
              <w:t xml:space="preserve"> </w:t>
            </w:r>
            <w:r w:rsidR="00EE032E" w:rsidRPr="001F4770">
              <w:rPr>
                <w:rFonts w:eastAsia="MS Mincho"/>
              </w:rPr>
              <w:t xml:space="preserve">operating expenses </w:t>
            </w:r>
            <w:r w:rsidR="002F623D" w:rsidRPr="001F4770">
              <w:rPr>
                <w:rFonts w:eastAsia="MS Mincho"/>
              </w:rPr>
              <w:t>cap</w:t>
            </w:r>
            <w:r w:rsidR="00EE032E" w:rsidRPr="001F4770">
              <w:rPr>
                <w:rFonts w:eastAsia="MS Mincho"/>
              </w:rPr>
              <w:t>,</w:t>
            </w:r>
            <w:r w:rsidR="002F623D" w:rsidRPr="001F4770">
              <w:rPr>
                <w:rFonts w:eastAsia="MS Mincho"/>
              </w:rPr>
              <w:t xml:space="preserve"> 2014</w:t>
            </w:r>
          </w:p>
          <w:p w14:paraId="487CAF93" w14:textId="1F36E544" w:rsidR="002F623D" w:rsidRPr="001F4770" w:rsidRDefault="002F623D" w:rsidP="00EF6F46">
            <w:pPr>
              <w:pStyle w:val="ExhibitText"/>
              <w:keepNext/>
              <w:rPr>
                <w:rFonts w:eastAsia="MS Mincho"/>
              </w:rPr>
            </w:pPr>
            <w:r w:rsidRPr="001F4770">
              <w:rPr>
                <w:rFonts w:eastAsia="MS Mincho"/>
              </w:rPr>
              <w:t>1</w:t>
            </w:r>
            <w:r w:rsidR="00EE032E" w:rsidRPr="001F4770">
              <w:rPr>
                <w:rFonts w:eastAsia="MS Mincho"/>
              </w:rPr>
              <w:t>.</w:t>
            </w:r>
            <w:r w:rsidRPr="001F4770">
              <w:rPr>
                <w:rFonts w:eastAsia="MS Mincho"/>
              </w:rPr>
              <w:t xml:space="preserve">2% </w:t>
            </w:r>
            <w:r w:rsidR="00EE032E" w:rsidRPr="001F4770">
              <w:rPr>
                <w:rFonts w:eastAsia="MS Mincho"/>
              </w:rPr>
              <w:t xml:space="preserve">operating expense </w:t>
            </w:r>
            <w:r w:rsidRPr="001F4770">
              <w:rPr>
                <w:rFonts w:eastAsia="MS Mincho"/>
              </w:rPr>
              <w:t>cap increase</w:t>
            </w:r>
            <w:r w:rsidR="00EE032E" w:rsidRPr="001F4770">
              <w:rPr>
                <w:rFonts w:eastAsia="MS Mincho"/>
              </w:rPr>
              <w:t>/</w:t>
            </w:r>
            <w:r w:rsidRPr="001F4770">
              <w:rPr>
                <w:rFonts w:eastAsia="MS Mincho"/>
              </w:rPr>
              <w:t>year</w:t>
            </w:r>
          </w:p>
        </w:tc>
      </w:tr>
      <w:tr w:rsidR="002F623D" w:rsidRPr="001F4770" w14:paraId="43B9546E" w14:textId="77777777" w:rsidTr="00EF6F46">
        <w:trPr>
          <w:trHeight w:val="288"/>
          <w:jc w:val="center"/>
        </w:trPr>
        <w:tc>
          <w:tcPr>
            <w:tcW w:w="1223" w:type="pct"/>
          </w:tcPr>
          <w:p w14:paraId="2D70F27D" w14:textId="77777777" w:rsidR="002F623D" w:rsidRPr="001F4770" w:rsidRDefault="002F623D" w:rsidP="00EF6F46">
            <w:pPr>
              <w:pStyle w:val="ExhibitText"/>
              <w:keepNext/>
              <w:jc w:val="left"/>
              <w:rPr>
                <w:rFonts w:eastAsia="MS Mincho"/>
              </w:rPr>
            </w:pPr>
            <w:r w:rsidRPr="001F4770">
              <w:rPr>
                <w:rFonts w:eastAsia="MS Mincho"/>
              </w:rPr>
              <w:t>Regulatory risk</w:t>
            </w:r>
          </w:p>
        </w:tc>
        <w:tc>
          <w:tcPr>
            <w:tcW w:w="3777" w:type="pct"/>
          </w:tcPr>
          <w:p w14:paraId="61136FF6" w14:textId="795D2C8C" w:rsidR="002F623D" w:rsidRPr="001F4770" w:rsidRDefault="00334C4A" w:rsidP="00EF6F46">
            <w:pPr>
              <w:pStyle w:val="ExhibitText"/>
              <w:keepNext/>
              <w:rPr>
                <w:rFonts w:eastAsia="MS Mincho"/>
              </w:rPr>
            </w:pPr>
            <w:r w:rsidRPr="001F4770">
              <w:rPr>
                <w:rFonts w:eastAsia="MS Mincho"/>
              </w:rPr>
              <w:t>€</w:t>
            </w:r>
            <w:r w:rsidR="002F623D" w:rsidRPr="001F4770">
              <w:rPr>
                <w:rFonts w:eastAsia="MS Mincho"/>
              </w:rPr>
              <w:t>8</w:t>
            </w:r>
            <w:r w:rsidR="007E277D">
              <w:rPr>
                <w:rFonts w:eastAsia="MS Mincho"/>
              </w:rPr>
              <w:t>.</w:t>
            </w:r>
            <w:r w:rsidR="002F623D" w:rsidRPr="001F4770">
              <w:rPr>
                <w:rFonts w:eastAsia="MS Mincho"/>
              </w:rPr>
              <w:t>9</w:t>
            </w:r>
            <w:r w:rsidRPr="001F4770">
              <w:rPr>
                <w:rFonts w:eastAsia="MS Mincho"/>
              </w:rPr>
              <w:t>/MWh</w:t>
            </w:r>
            <w:r w:rsidR="002F623D" w:rsidRPr="001F4770">
              <w:rPr>
                <w:rFonts w:eastAsia="MS Mincho"/>
              </w:rPr>
              <w:t xml:space="preserve"> </w:t>
            </w:r>
            <w:r w:rsidR="00EE032E" w:rsidRPr="001F4770">
              <w:rPr>
                <w:rFonts w:eastAsia="MS Mincho"/>
              </w:rPr>
              <w:t>p</w:t>
            </w:r>
            <w:r w:rsidR="002F623D" w:rsidRPr="001F4770">
              <w:rPr>
                <w:rFonts w:eastAsia="MS Mincho"/>
              </w:rPr>
              <w:t>rice cap</w:t>
            </w:r>
            <w:r w:rsidR="00EE032E" w:rsidRPr="001F4770">
              <w:rPr>
                <w:rFonts w:eastAsia="MS Mincho"/>
              </w:rPr>
              <w:t>,</w:t>
            </w:r>
            <w:r w:rsidR="002F623D" w:rsidRPr="001F4770">
              <w:rPr>
                <w:rFonts w:eastAsia="MS Mincho"/>
              </w:rPr>
              <w:t xml:space="preserve"> 2014</w:t>
            </w:r>
          </w:p>
          <w:p w14:paraId="41BB264E" w14:textId="3E500166" w:rsidR="002F623D" w:rsidRPr="001F4770" w:rsidRDefault="002F623D" w:rsidP="00EF6F46">
            <w:pPr>
              <w:pStyle w:val="ExhibitText"/>
              <w:keepNext/>
              <w:rPr>
                <w:rFonts w:eastAsia="MS Mincho"/>
              </w:rPr>
            </w:pPr>
            <w:r w:rsidRPr="001F4770">
              <w:rPr>
                <w:rFonts w:eastAsia="MS Mincho"/>
              </w:rPr>
              <w:t xml:space="preserve">2% </w:t>
            </w:r>
            <w:r w:rsidR="00EE032E" w:rsidRPr="001F4770">
              <w:rPr>
                <w:rFonts w:eastAsia="MS Mincho"/>
              </w:rPr>
              <w:t>p</w:t>
            </w:r>
            <w:r w:rsidRPr="001F4770">
              <w:rPr>
                <w:rFonts w:eastAsia="MS Mincho"/>
              </w:rPr>
              <w:t>rice cap increase/year</w:t>
            </w:r>
          </w:p>
        </w:tc>
      </w:tr>
    </w:tbl>
    <w:p w14:paraId="37E8CE7D" w14:textId="77777777" w:rsidR="00C36C19" w:rsidRPr="001F4770" w:rsidRDefault="00C36C19" w:rsidP="00EF6F46">
      <w:pPr>
        <w:pStyle w:val="ExhibitText"/>
        <w:keepNext/>
        <w:rPr>
          <w:rFonts w:eastAsia="MS Mincho"/>
        </w:rPr>
      </w:pPr>
      <w:bookmarkStart w:id="5" w:name="_Ref417466368"/>
    </w:p>
    <w:p w14:paraId="29306EBD" w14:textId="19053A3A" w:rsidR="003F6391" w:rsidRPr="001F4770" w:rsidRDefault="003F6391" w:rsidP="003F6391">
      <w:pPr>
        <w:pStyle w:val="Footnote"/>
        <w:rPr>
          <w:rStyle w:val="FootnoteReference"/>
          <w:rFonts w:eastAsia="MS Mincho"/>
          <w:vertAlign w:val="baseline"/>
        </w:rPr>
      </w:pPr>
      <w:r w:rsidRPr="001F4770">
        <w:rPr>
          <w:rStyle w:val="FootnoteReference"/>
          <w:vertAlign w:val="baseline"/>
        </w:rPr>
        <w:t xml:space="preserve">Note: € = </w:t>
      </w:r>
      <w:r w:rsidR="00705C8C">
        <w:t xml:space="preserve">EUR </w:t>
      </w:r>
      <w:proofErr w:type="gramStart"/>
      <w:r w:rsidR="00705C8C">
        <w:t xml:space="preserve">= </w:t>
      </w:r>
      <w:proofErr w:type="gramEnd"/>
      <w:r w:rsidRPr="001F4770">
        <w:rPr>
          <w:rStyle w:val="FootnoteReference"/>
          <w:vertAlign w:val="baseline"/>
        </w:rPr>
        <w:t>euro</w:t>
      </w:r>
      <w:r w:rsidR="004E3E7A">
        <w:t>; MWh = megawatt hour.</w:t>
      </w:r>
    </w:p>
    <w:p w14:paraId="794652AB" w14:textId="38611A56" w:rsidR="00C36C19" w:rsidRPr="001F4770" w:rsidRDefault="00C36C19" w:rsidP="00C36C19">
      <w:pPr>
        <w:pStyle w:val="Footnote"/>
        <w:rPr>
          <w:rFonts w:eastAsia="MS Mincho"/>
        </w:rPr>
      </w:pPr>
      <w:r w:rsidRPr="001F4770">
        <w:rPr>
          <w:rFonts w:eastAsia="MS Mincho"/>
        </w:rPr>
        <w:t xml:space="preserve">Source: Created by </w:t>
      </w:r>
      <w:r w:rsidR="00EE032E" w:rsidRPr="001F4770">
        <w:rPr>
          <w:rFonts w:eastAsia="MS Mincho"/>
        </w:rPr>
        <w:t xml:space="preserve">the case </w:t>
      </w:r>
      <w:r w:rsidRPr="001F4770">
        <w:rPr>
          <w:rFonts w:eastAsia="MS Mincho"/>
        </w:rPr>
        <w:t>authors</w:t>
      </w:r>
      <w:r w:rsidR="00EE032E" w:rsidRPr="001F4770">
        <w:rPr>
          <w:rFonts w:eastAsia="MS Mincho"/>
        </w:rPr>
        <w:t>, loosely based on actual numbers from the company</w:t>
      </w:r>
      <w:r w:rsidRPr="001F4770">
        <w:rPr>
          <w:rFonts w:eastAsia="MS Mincho"/>
        </w:rPr>
        <w:t>.</w:t>
      </w:r>
    </w:p>
    <w:p w14:paraId="0F159AF3" w14:textId="77777777" w:rsidR="00700D53" w:rsidRPr="001F4770" w:rsidRDefault="00700D53" w:rsidP="00E559F0">
      <w:pPr>
        <w:pStyle w:val="ExhibitText"/>
        <w:rPr>
          <w:rFonts w:eastAsia="MS Mincho"/>
        </w:rPr>
      </w:pPr>
    </w:p>
    <w:p w14:paraId="4AE615BF" w14:textId="77777777" w:rsidR="00700D53" w:rsidRPr="001F4770" w:rsidRDefault="00700D53" w:rsidP="00E559F0">
      <w:pPr>
        <w:pStyle w:val="ExhibitText"/>
        <w:rPr>
          <w:rFonts w:eastAsia="MS Mincho"/>
        </w:rPr>
      </w:pPr>
    </w:p>
    <w:p w14:paraId="19DE7258" w14:textId="5974427D" w:rsidR="002F623D" w:rsidRPr="001F4770" w:rsidRDefault="002F623D" w:rsidP="00E559F0">
      <w:pPr>
        <w:pStyle w:val="ExhibitHeading"/>
        <w:keepNext/>
        <w:rPr>
          <w:rFonts w:eastAsia="MS Mincho"/>
          <w:noProof/>
        </w:rPr>
      </w:pPr>
      <w:r w:rsidRPr="001F4770">
        <w:rPr>
          <w:rFonts w:eastAsia="MS Mincho"/>
        </w:rPr>
        <w:t xml:space="preserve">Exhibit </w:t>
      </w:r>
      <w:bookmarkEnd w:id="5"/>
      <w:r w:rsidR="00700D53" w:rsidRPr="001F4770">
        <w:rPr>
          <w:rFonts w:eastAsia="MS Mincho"/>
        </w:rPr>
        <w:t>4</w:t>
      </w:r>
      <w:r w:rsidRPr="001F4770">
        <w:rPr>
          <w:rFonts w:eastAsia="MS Mincho"/>
        </w:rPr>
        <w:t>: Financial results in 2013</w:t>
      </w:r>
      <w:r w:rsidR="003E5B03" w:rsidRPr="001F4770">
        <w:rPr>
          <w:rFonts w:eastAsia="MS Mincho"/>
        </w:rPr>
        <w:t>,</w:t>
      </w:r>
      <w:r w:rsidRPr="001F4770">
        <w:rPr>
          <w:rFonts w:eastAsia="MS Mincho"/>
        </w:rPr>
        <w:t xml:space="preserve"> assuming cost-plus regime </w:t>
      </w:r>
    </w:p>
    <w:p w14:paraId="05D55624" w14:textId="77777777" w:rsidR="00C36C19" w:rsidRPr="001F4770" w:rsidRDefault="00C36C19" w:rsidP="00E559F0">
      <w:pPr>
        <w:pStyle w:val="ExhibitHeading"/>
        <w:keepNext/>
        <w:rPr>
          <w:rFonts w:eastAsia="MS Mincho"/>
        </w:rPr>
      </w:pPr>
    </w:p>
    <w:tbl>
      <w:tblPr>
        <w:tblStyle w:val="TableGrid3"/>
        <w:tblW w:w="3029" w:type="pct"/>
        <w:jc w:val="center"/>
        <w:tblLook w:val="04A0" w:firstRow="1" w:lastRow="0" w:firstColumn="1" w:lastColumn="0" w:noHBand="0" w:noVBand="1"/>
      </w:tblPr>
      <w:tblGrid>
        <w:gridCol w:w="2761"/>
        <w:gridCol w:w="2903"/>
      </w:tblGrid>
      <w:tr w:rsidR="002F623D" w:rsidRPr="001F4770" w14:paraId="43632659" w14:textId="77777777" w:rsidTr="00EF6F46">
        <w:trPr>
          <w:trHeight w:val="288"/>
          <w:jc w:val="center"/>
        </w:trPr>
        <w:tc>
          <w:tcPr>
            <w:tcW w:w="2761" w:type="dxa"/>
            <w:vAlign w:val="center"/>
          </w:tcPr>
          <w:p w14:paraId="64565115" w14:textId="1C2380EB" w:rsidR="002F623D" w:rsidRPr="001F4770" w:rsidRDefault="002F623D" w:rsidP="00EF6F46">
            <w:pPr>
              <w:pStyle w:val="ExhibitText"/>
              <w:keepNext/>
              <w:jc w:val="left"/>
              <w:rPr>
                <w:rFonts w:eastAsia="MS Mincho"/>
              </w:rPr>
            </w:pPr>
            <w:r w:rsidRPr="001F4770">
              <w:rPr>
                <w:rFonts w:eastAsia="MS Mincho"/>
              </w:rPr>
              <w:t>R</w:t>
            </w:r>
            <w:r w:rsidR="003E5B03" w:rsidRPr="001F4770">
              <w:rPr>
                <w:rFonts w:eastAsia="MS Mincho"/>
              </w:rPr>
              <w:t>egulated asset base</w:t>
            </w:r>
          </w:p>
        </w:tc>
        <w:tc>
          <w:tcPr>
            <w:tcW w:w="2904" w:type="dxa"/>
            <w:vAlign w:val="center"/>
          </w:tcPr>
          <w:p w14:paraId="5E7180B2" w14:textId="4BBEF897" w:rsidR="002F623D" w:rsidRPr="001F4770" w:rsidRDefault="003E5B03" w:rsidP="00EF6F46">
            <w:pPr>
              <w:pStyle w:val="ExhibitText"/>
              <w:keepNext/>
              <w:ind w:right="288"/>
              <w:jc w:val="right"/>
              <w:rPr>
                <w:rFonts w:eastAsia="MS Mincho"/>
              </w:rPr>
            </w:pPr>
            <w:r w:rsidRPr="001F4770">
              <w:rPr>
                <w:rFonts w:eastAsia="MS Mincho"/>
              </w:rPr>
              <w:t>€</w:t>
            </w:r>
            <w:r w:rsidR="002F623D" w:rsidRPr="001F4770">
              <w:rPr>
                <w:rFonts w:eastAsia="MS Mincho"/>
              </w:rPr>
              <w:t>12</w:t>
            </w:r>
            <w:r w:rsidRPr="001F4770">
              <w:rPr>
                <w:rFonts w:eastAsia="MS Mincho"/>
              </w:rPr>
              <w:t>,</w:t>
            </w:r>
            <w:r w:rsidR="002F623D" w:rsidRPr="001F4770">
              <w:rPr>
                <w:rFonts w:eastAsia="MS Mincho"/>
              </w:rPr>
              <w:t xml:space="preserve">000 </w:t>
            </w:r>
            <w:r w:rsidRPr="001F4770">
              <w:rPr>
                <w:rFonts w:eastAsia="MS Mincho"/>
              </w:rPr>
              <w:t>million</w:t>
            </w:r>
          </w:p>
        </w:tc>
      </w:tr>
      <w:tr w:rsidR="002F623D" w:rsidRPr="001F4770" w14:paraId="66354A4B" w14:textId="77777777" w:rsidTr="00EF6F46">
        <w:trPr>
          <w:trHeight w:val="288"/>
          <w:jc w:val="center"/>
        </w:trPr>
        <w:tc>
          <w:tcPr>
            <w:tcW w:w="2761" w:type="dxa"/>
            <w:vAlign w:val="center"/>
          </w:tcPr>
          <w:p w14:paraId="4DC2FD92" w14:textId="77777777" w:rsidR="002F623D" w:rsidRPr="001F4770" w:rsidRDefault="002F623D" w:rsidP="00EF6F46">
            <w:pPr>
              <w:pStyle w:val="ExhibitText"/>
              <w:keepNext/>
              <w:jc w:val="left"/>
              <w:rPr>
                <w:rFonts w:eastAsia="MS Mincho"/>
              </w:rPr>
            </w:pPr>
            <w:r w:rsidRPr="001F4770">
              <w:rPr>
                <w:rFonts w:eastAsia="MS Mincho"/>
              </w:rPr>
              <w:t>Equity</w:t>
            </w:r>
          </w:p>
        </w:tc>
        <w:tc>
          <w:tcPr>
            <w:tcW w:w="2904" w:type="dxa"/>
            <w:vAlign w:val="center"/>
          </w:tcPr>
          <w:p w14:paraId="4C86B0B1" w14:textId="3B23B1D5" w:rsidR="002F623D" w:rsidRPr="001F4770" w:rsidRDefault="003E5B03" w:rsidP="00EF6F46">
            <w:pPr>
              <w:pStyle w:val="ExhibitText"/>
              <w:keepNext/>
              <w:ind w:right="288"/>
              <w:jc w:val="right"/>
              <w:rPr>
                <w:rFonts w:eastAsia="MS Mincho"/>
              </w:rPr>
            </w:pPr>
            <w:r w:rsidRPr="001F4770">
              <w:rPr>
                <w:rFonts w:eastAsia="MS Mincho"/>
              </w:rPr>
              <w:t>€4,</w:t>
            </w:r>
            <w:r w:rsidR="002F623D" w:rsidRPr="001F4770">
              <w:rPr>
                <w:rFonts w:eastAsia="MS Mincho"/>
              </w:rPr>
              <w:t xml:space="preserve">800 </w:t>
            </w:r>
            <w:r w:rsidRPr="001F4770">
              <w:rPr>
                <w:rFonts w:eastAsia="MS Mincho"/>
              </w:rPr>
              <w:t>million</w:t>
            </w:r>
          </w:p>
        </w:tc>
      </w:tr>
      <w:tr w:rsidR="002F623D" w:rsidRPr="001F4770" w14:paraId="383F7C7D" w14:textId="77777777" w:rsidTr="00EF6F46">
        <w:trPr>
          <w:trHeight w:val="288"/>
          <w:jc w:val="center"/>
        </w:trPr>
        <w:tc>
          <w:tcPr>
            <w:tcW w:w="2761" w:type="dxa"/>
            <w:vAlign w:val="center"/>
          </w:tcPr>
          <w:p w14:paraId="257010D7" w14:textId="77777777" w:rsidR="002F623D" w:rsidRPr="001F4770" w:rsidRDefault="002F623D" w:rsidP="00EF6F46">
            <w:pPr>
              <w:pStyle w:val="ExhibitText"/>
              <w:keepNext/>
              <w:jc w:val="left"/>
              <w:rPr>
                <w:rFonts w:eastAsia="MS Mincho"/>
              </w:rPr>
            </w:pPr>
            <w:r w:rsidRPr="001F4770">
              <w:rPr>
                <w:rFonts w:eastAsia="MS Mincho"/>
              </w:rPr>
              <w:t>Debt</w:t>
            </w:r>
          </w:p>
        </w:tc>
        <w:tc>
          <w:tcPr>
            <w:tcW w:w="2904" w:type="dxa"/>
            <w:vAlign w:val="center"/>
          </w:tcPr>
          <w:p w14:paraId="5742C9AB" w14:textId="636A1D9B" w:rsidR="002F623D" w:rsidRPr="001F4770" w:rsidRDefault="003E5B03" w:rsidP="00EF6F46">
            <w:pPr>
              <w:pStyle w:val="ExhibitText"/>
              <w:keepNext/>
              <w:ind w:right="288"/>
              <w:jc w:val="right"/>
              <w:rPr>
                <w:rFonts w:eastAsia="MS Mincho"/>
              </w:rPr>
            </w:pPr>
            <w:r w:rsidRPr="001F4770">
              <w:rPr>
                <w:rFonts w:eastAsia="MS Mincho"/>
              </w:rPr>
              <w:t>€</w:t>
            </w:r>
            <w:r w:rsidR="002F623D" w:rsidRPr="001F4770">
              <w:rPr>
                <w:rFonts w:eastAsia="MS Mincho"/>
              </w:rPr>
              <w:t>7</w:t>
            </w:r>
            <w:r w:rsidRPr="001F4770">
              <w:rPr>
                <w:rFonts w:eastAsia="MS Mincho"/>
              </w:rPr>
              <w:t>,</w:t>
            </w:r>
            <w:r w:rsidR="002F623D" w:rsidRPr="001F4770">
              <w:rPr>
                <w:rFonts w:eastAsia="MS Mincho"/>
              </w:rPr>
              <w:t xml:space="preserve">200 </w:t>
            </w:r>
            <w:r w:rsidRPr="001F4770">
              <w:rPr>
                <w:rFonts w:eastAsia="MS Mincho"/>
              </w:rPr>
              <w:t>million</w:t>
            </w:r>
          </w:p>
        </w:tc>
      </w:tr>
      <w:tr w:rsidR="002F623D" w:rsidRPr="001F4770" w14:paraId="4A868FB7" w14:textId="77777777" w:rsidTr="00EF6F46">
        <w:trPr>
          <w:trHeight w:val="288"/>
          <w:jc w:val="center"/>
        </w:trPr>
        <w:tc>
          <w:tcPr>
            <w:tcW w:w="2761" w:type="dxa"/>
            <w:vAlign w:val="center"/>
          </w:tcPr>
          <w:p w14:paraId="7697994E" w14:textId="78FEAC5B" w:rsidR="002F623D" w:rsidRPr="001F4770" w:rsidRDefault="00BA3C5B" w:rsidP="00EF6F46">
            <w:pPr>
              <w:pStyle w:val="ExhibitText"/>
              <w:keepNext/>
              <w:jc w:val="left"/>
              <w:rPr>
                <w:rFonts w:eastAsia="MS Mincho"/>
              </w:rPr>
            </w:pPr>
            <w:r w:rsidRPr="001F4770">
              <w:rPr>
                <w:rFonts w:eastAsia="MS Mincho"/>
              </w:rPr>
              <w:t>Operating expenditures</w:t>
            </w:r>
          </w:p>
        </w:tc>
        <w:tc>
          <w:tcPr>
            <w:tcW w:w="2904" w:type="dxa"/>
            <w:vAlign w:val="center"/>
          </w:tcPr>
          <w:p w14:paraId="30E133A2" w14:textId="5D271239" w:rsidR="002F623D" w:rsidRPr="001F4770" w:rsidRDefault="003E5B03" w:rsidP="00EF6F46">
            <w:pPr>
              <w:pStyle w:val="ExhibitText"/>
              <w:keepNext/>
              <w:ind w:right="288"/>
              <w:jc w:val="right"/>
              <w:rPr>
                <w:rFonts w:eastAsia="MS Mincho"/>
              </w:rPr>
            </w:pPr>
            <w:r w:rsidRPr="001F4770">
              <w:rPr>
                <w:rFonts w:eastAsia="MS Mincho"/>
              </w:rPr>
              <w:t>€</w:t>
            </w:r>
            <w:r w:rsidR="002F623D" w:rsidRPr="001F4770">
              <w:rPr>
                <w:rFonts w:eastAsia="MS Mincho"/>
              </w:rPr>
              <w:t>2</w:t>
            </w:r>
            <w:r w:rsidRPr="001F4770">
              <w:rPr>
                <w:rFonts w:eastAsia="MS Mincho"/>
              </w:rPr>
              <w:t>,</w:t>
            </w:r>
            <w:r w:rsidR="002F623D" w:rsidRPr="001F4770">
              <w:rPr>
                <w:rFonts w:eastAsia="MS Mincho"/>
              </w:rPr>
              <w:t xml:space="preserve">466 </w:t>
            </w:r>
            <w:r w:rsidRPr="001F4770">
              <w:rPr>
                <w:rFonts w:eastAsia="MS Mincho"/>
              </w:rPr>
              <w:t>million</w:t>
            </w:r>
          </w:p>
        </w:tc>
      </w:tr>
      <w:tr w:rsidR="002F623D" w:rsidRPr="001F4770" w14:paraId="614F892C" w14:textId="77777777" w:rsidTr="00EF6F46">
        <w:trPr>
          <w:trHeight w:val="288"/>
          <w:jc w:val="center"/>
        </w:trPr>
        <w:tc>
          <w:tcPr>
            <w:tcW w:w="2761" w:type="dxa"/>
            <w:vAlign w:val="center"/>
          </w:tcPr>
          <w:p w14:paraId="27442C5C" w14:textId="77777777" w:rsidR="002F623D" w:rsidRPr="001F4770" w:rsidRDefault="002F623D" w:rsidP="00EF6F46">
            <w:pPr>
              <w:pStyle w:val="ExhibitText"/>
              <w:keepNext/>
              <w:jc w:val="left"/>
              <w:rPr>
                <w:rFonts w:eastAsia="MS Mincho"/>
              </w:rPr>
            </w:pPr>
            <w:r w:rsidRPr="001F4770">
              <w:rPr>
                <w:rFonts w:eastAsia="MS Mincho"/>
              </w:rPr>
              <w:t>Depreciation</w:t>
            </w:r>
          </w:p>
        </w:tc>
        <w:tc>
          <w:tcPr>
            <w:tcW w:w="2904" w:type="dxa"/>
            <w:vAlign w:val="center"/>
          </w:tcPr>
          <w:p w14:paraId="7D6686D5" w14:textId="3EF2F597" w:rsidR="002F623D" w:rsidRPr="001F4770" w:rsidRDefault="003E5B03"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450 </w:t>
            </w:r>
            <w:r w:rsidRPr="001F4770">
              <w:rPr>
                <w:rFonts w:eastAsia="MS Mincho"/>
              </w:rPr>
              <w:t>million</w:t>
            </w:r>
          </w:p>
        </w:tc>
      </w:tr>
      <w:tr w:rsidR="002F623D" w:rsidRPr="001F4770" w14:paraId="2C3E071B" w14:textId="77777777" w:rsidTr="00EF6F46">
        <w:trPr>
          <w:trHeight w:val="288"/>
          <w:jc w:val="center"/>
        </w:trPr>
        <w:tc>
          <w:tcPr>
            <w:tcW w:w="2761" w:type="dxa"/>
            <w:vAlign w:val="center"/>
          </w:tcPr>
          <w:p w14:paraId="434E3720" w14:textId="77777777" w:rsidR="002F623D" w:rsidRPr="001F4770" w:rsidRDefault="002F623D" w:rsidP="00EF6F46">
            <w:pPr>
              <w:pStyle w:val="ExhibitText"/>
              <w:keepNext/>
              <w:jc w:val="left"/>
              <w:rPr>
                <w:rFonts w:eastAsia="MS Mincho"/>
              </w:rPr>
            </w:pPr>
            <w:r w:rsidRPr="001F4770">
              <w:rPr>
                <w:rFonts w:eastAsia="MS Mincho"/>
              </w:rPr>
              <w:t>Cost of equity</w:t>
            </w:r>
          </w:p>
        </w:tc>
        <w:tc>
          <w:tcPr>
            <w:tcW w:w="2904" w:type="dxa"/>
            <w:vAlign w:val="center"/>
          </w:tcPr>
          <w:p w14:paraId="2AA58DCF" w14:textId="09C47661" w:rsidR="002F623D" w:rsidRPr="001F4770" w:rsidRDefault="003E5B03"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336 </w:t>
            </w:r>
            <w:r w:rsidRPr="001F4770">
              <w:rPr>
                <w:rFonts w:eastAsia="MS Mincho"/>
              </w:rPr>
              <w:t>million</w:t>
            </w:r>
          </w:p>
        </w:tc>
      </w:tr>
      <w:tr w:rsidR="002F623D" w:rsidRPr="001F4770" w14:paraId="150AB5F9" w14:textId="77777777" w:rsidTr="00EF6F46">
        <w:trPr>
          <w:trHeight w:val="288"/>
          <w:jc w:val="center"/>
        </w:trPr>
        <w:tc>
          <w:tcPr>
            <w:tcW w:w="2761" w:type="dxa"/>
            <w:vAlign w:val="center"/>
          </w:tcPr>
          <w:p w14:paraId="62A36688" w14:textId="77777777" w:rsidR="002F623D" w:rsidRPr="001F4770" w:rsidRDefault="002F623D" w:rsidP="00EF6F46">
            <w:pPr>
              <w:pStyle w:val="ExhibitText"/>
              <w:keepNext/>
              <w:jc w:val="left"/>
              <w:rPr>
                <w:rFonts w:eastAsia="MS Mincho"/>
              </w:rPr>
            </w:pPr>
            <w:r w:rsidRPr="001F4770">
              <w:rPr>
                <w:rFonts w:eastAsia="MS Mincho"/>
              </w:rPr>
              <w:t>Cost of debt</w:t>
            </w:r>
          </w:p>
        </w:tc>
        <w:tc>
          <w:tcPr>
            <w:tcW w:w="2904" w:type="dxa"/>
            <w:vAlign w:val="center"/>
          </w:tcPr>
          <w:p w14:paraId="31A15370" w14:textId="50FE1684" w:rsidR="002F623D" w:rsidRPr="001F4770" w:rsidRDefault="003E5B03"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324 </w:t>
            </w:r>
            <w:r w:rsidRPr="001F4770">
              <w:rPr>
                <w:rFonts w:eastAsia="MS Mincho"/>
              </w:rPr>
              <w:t>million</w:t>
            </w:r>
          </w:p>
        </w:tc>
      </w:tr>
      <w:tr w:rsidR="002F623D" w:rsidRPr="001F4770" w14:paraId="3E4BDE51" w14:textId="77777777" w:rsidTr="00EF6F46">
        <w:trPr>
          <w:trHeight w:val="288"/>
          <w:jc w:val="center"/>
        </w:trPr>
        <w:tc>
          <w:tcPr>
            <w:tcW w:w="2761" w:type="dxa"/>
            <w:vAlign w:val="center"/>
          </w:tcPr>
          <w:p w14:paraId="56F3D378" w14:textId="77777777" w:rsidR="002F623D" w:rsidRPr="001F4770" w:rsidRDefault="002F623D" w:rsidP="00EF6F46">
            <w:pPr>
              <w:pStyle w:val="ExhibitText"/>
              <w:keepNext/>
              <w:jc w:val="left"/>
              <w:rPr>
                <w:rFonts w:eastAsia="MS Mincho"/>
              </w:rPr>
            </w:pPr>
            <w:r w:rsidRPr="001F4770">
              <w:rPr>
                <w:rFonts w:eastAsia="MS Mincho"/>
              </w:rPr>
              <w:t>Other costs</w:t>
            </w:r>
          </w:p>
        </w:tc>
        <w:tc>
          <w:tcPr>
            <w:tcW w:w="2904" w:type="dxa"/>
            <w:vAlign w:val="center"/>
          </w:tcPr>
          <w:p w14:paraId="63047D68" w14:textId="3EB2B765" w:rsidR="002F623D" w:rsidRPr="001F4770" w:rsidRDefault="003E5B03"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454 </w:t>
            </w:r>
            <w:r w:rsidRPr="001F4770">
              <w:rPr>
                <w:rFonts w:eastAsia="MS Mincho"/>
              </w:rPr>
              <w:t>million</w:t>
            </w:r>
          </w:p>
        </w:tc>
      </w:tr>
      <w:tr w:rsidR="002F623D" w:rsidRPr="001F4770" w14:paraId="48997E31" w14:textId="77777777" w:rsidTr="00EF6F46">
        <w:trPr>
          <w:trHeight w:val="288"/>
          <w:jc w:val="center"/>
        </w:trPr>
        <w:tc>
          <w:tcPr>
            <w:tcW w:w="2761" w:type="dxa"/>
            <w:vAlign w:val="center"/>
          </w:tcPr>
          <w:p w14:paraId="7F9C939A" w14:textId="77777777" w:rsidR="002F623D" w:rsidRPr="001F4770" w:rsidRDefault="002F623D" w:rsidP="00EF6F46">
            <w:pPr>
              <w:pStyle w:val="ExhibitText"/>
              <w:keepNext/>
              <w:jc w:val="left"/>
              <w:rPr>
                <w:rFonts w:eastAsia="MS Mincho"/>
              </w:rPr>
            </w:pPr>
            <w:r w:rsidRPr="001F4770">
              <w:rPr>
                <w:rFonts w:eastAsia="MS Mincho"/>
              </w:rPr>
              <w:t>Consumption</w:t>
            </w:r>
          </w:p>
        </w:tc>
        <w:tc>
          <w:tcPr>
            <w:tcW w:w="2904" w:type="dxa"/>
            <w:vAlign w:val="center"/>
          </w:tcPr>
          <w:p w14:paraId="34D77468" w14:textId="50262DD2" w:rsidR="002F623D" w:rsidRPr="001F4770" w:rsidRDefault="003E5B03" w:rsidP="00EF6F46">
            <w:pPr>
              <w:pStyle w:val="ExhibitText"/>
              <w:keepNext/>
              <w:jc w:val="right"/>
              <w:rPr>
                <w:rFonts w:eastAsia="MS Mincho"/>
              </w:rPr>
            </w:pPr>
            <w:r w:rsidRPr="001F4770">
              <w:rPr>
                <w:rFonts w:eastAsia="MS Mincho"/>
              </w:rPr>
              <w:t xml:space="preserve">460 </w:t>
            </w:r>
            <w:proofErr w:type="spellStart"/>
            <w:r w:rsidRPr="001F4770">
              <w:rPr>
                <w:rFonts w:eastAsia="MS Mincho"/>
              </w:rPr>
              <w:t>TWh</w:t>
            </w:r>
            <w:proofErr w:type="spellEnd"/>
            <w:r w:rsidRPr="001F4770">
              <w:rPr>
                <w:rFonts w:eastAsia="MS Mincho"/>
              </w:rPr>
              <w:t xml:space="preserve"> (</w:t>
            </w:r>
            <w:r w:rsidR="002F623D" w:rsidRPr="001F4770">
              <w:rPr>
                <w:rFonts w:eastAsia="MS Mincho"/>
              </w:rPr>
              <w:t>460</w:t>
            </w:r>
            <w:r w:rsidRPr="001F4770">
              <w:rPr>
                <w:rFonts w:eastAsia="MS Mincho"/>
              </w:rPr>
              <w:t>,</w:t>
            </w:r>
            <w:r w:rsidR="002F623D" w:rsidRPr="001F4770">
              <w:rPr>
                <w:rFonts w:eastAsia="MS Mincho"/>
              </w:rPr>
              <w:t>000</w:t>
            </w:r>
            <w:r w:rsidRPr="001F4770">
              <w:rPr>
                <w:rFonts w:eastAsia="MS Mincho"/>
              </w:rPr>
              <w:t>,</w:t>
            </w:r>
            <w:r w:rsidR="002F623D" w:rsidRPr="001F4770">
              <w:rPr>
                <w:rFonts w:eastAsia="MS Mincho"/>
              </w:rPr>
              <w:t>000 MWh</w:t>
            </w:r>
            <w:r w:rsidRPr="001F4770">
              <w:rPr>
                <w:rFonts w:eastAsia="MS Mincho"/>
              </w:rPr>
              <w:t>)</w:t>
            </w:r>
          </w:p>
        </w:tc>
      </w:tr>
      <w:tr w:rsidR="002F623D" w:rsidRPr="001F4770" w14:paraId="2D4CBBB7" w14:textId="77777777" w:rsidTr="00EF6F46">
        <w:trPr>
          <w:trHeight w:val="288"/>
          <w:jc w:val="center"/>
        </w:trPr>
        <w:tc>
          <w:tcPr>
            <w:tcW w:w="2761" w:type="dxa"/>
            <w:vAlign w:val="center"/>
          </w:tcPr>
          <w:p w14:paraId="438AF16C" w14:textId="77777777" w:rsidR="002F623D" w:rsidRPr="001F4770" w:rsidRDefault="002F623D" w:rsidP="00EF6F46">
            <w:pPr>
              <w:pStyle w:val="ExhibitText"/>
              <w:keepNext/>
              <w:jc w:val="left"/>
              <w:rPr>
                <w:rFonts w:eastAsia="MS Mincho"/>
              </w:rPr>
            </w:pPr>
            <w:r w:rsidRPr="001F4770">
              <w:rPr>
                <w:rFonts w:eastAsia="MS Mincho"/>
              </w:rPr>
              <w:t>Price</w:t>
            </w:r>
          </w:p>
        </w:tc>
        <w:tc>
          <w:tcPr>
            <w:tcW w:w="2904" w:type="dxa"/>
            <w:vAlign w:val="center"/>
          </w:tcPr>
          <w:p w14:paraId="445C8AFC" w14:textId="3D3C71AA" w:rsidR="002F623D" w:rsidRPr="001F4770" w:rsidRDefault="003E5B03" w:rsidP="00EF6F46">
            <w:pPr>
              <w:pStyle w:val="ExhibitText"/>
              <w:keepNext/>
              <w:ind w:right="288"/>
              <w:jc w:val="right"/>
              <w:rPr>
                <w:rFonts w:eastAsia="MS Mincho"/>
              </w:rPr>
            </w:pPr>
            <w:r w:rsidRPr="001F4770">
              <w:rPr>
                <w:rFonts w:eastAsia="MS Mincho"/>
              </w:rPr>
              <w:t>€</w:t>
            </w:r>
            <w:r w:rsidR="002F623D" w:rsidRPr="001F4770">
              <w:rPr>
                <w:rFonts w:eastAsia="MS Mincho"/>
              </w:rPr>
              <w:t>8</w:t>
            </w:r>
            <w:r w:rsidRPr="001F4770">
              <w:rPr>
                <w:rFonts w:eastAsia="MS Mincho"/>
              </w:rPr>
              <w:t>.</w:t>
            </w:r>
            <w:r w:rsidR="002F623D" w:rsidRPr="001F4770">
              <w:rPr>
                <w:rFonts w:eastAsia="MS Mincho"/>
              </w:rPr>
              <w:t>76/MWh</w:t>
            </w:r>
          </w:p>
        </w:tc>
      </w:tr>
      <w:tr w:rsidR="002F623D" w:rsidRPr="001F4770" w14:paraId="6F2FF698" w14:textId="77777777" w:rsidTr="00EF6F46">
        <w:trPr>
          <w:trHeight w:val="288"/>
          <w:jc w:val="center"/>
        </w:trPr>
        <w:tc>
          <w:tcPr>
            <w:tcW w:w="2761" w:type="dxa"/>
            <w:vAlign w:val="center"/>
          </w:tcPr>
          <w:p w14:paraId="73CA30F9" w14:textId="191569BA" w:rsidR="002F623D" w:rsidRPr="001F4770" w:rsidRDefault="002F623D" w:rsidP="00EF6F46">
            <w:pPr>
              <w:pStyle w:val="ExhibitText"/>
              <w:keepNext/>
              <w:jc w:val="left"/>
              <w:rPr>
                <w:rFonts w:eastAsia="MS Mincho"/>
              </w:rPr>
            </w:pPr>
            <w:r w:rsidRPr="001F4770">
              <w:rPr>
                <w:rFonts w:eastAsia="MS Mincho"/>
              </w:rPr>
              <w:t xml:space="preserve">Return on </w:t>
            </w:r>
            <w:r w:rsidR="004E3E7A">
              <w:rPr>
                <w:rFonts w:eastAsia="MS Mincho"/>
              </w:rPr>
              <w:t>equity</w:t>
            </w:r>
          </w:p>
        </w:tc>
        <w:tc>
          <w:tcPr>
            <w:tcW w:w="2904" w:type="dxa"/>
            <w:vAlign w:val="center"/>
          </w:tcPr>
          <w:p w14:paraId="2EC5A3F7" w14:textId="77777777" w:rsidR="002F623D" w:rsidRPr="001F4770" w:rsidRDefault="002F623D" w:rsidP="00EF6F46">
            <w:pPr>
              <w:pStyle w:val="ExhibitText"/>
              <w:keepNext/>
              <w:ind w:right="288"/>
              <w:jc w:val="right"/>
              <w:rPr>
                <w:rFonts w:eastAsia="MS Mincho"/>
              </w:rPr>
            </w:pPr>
            <w:r w:rsidRPr="001F4770">
              <w:rPr>
                <w:rFonts w:eastAsia="MS Mincho"/>
              </w:rPr>
              <w:t>7%</w:t>
            </w:r>
          </w:p>
        </w:tc>
      </w:tr>
    </w:tbl>
    <w:p w14:paraId="1E142A72" w14:textId="77777777" w:rsidR="00C36C19" w:rsidRPr="001F4770" w:rsidRDefault="00C36C19" w:rsidP="00EF6F46">
      <w:pPr>
        <w:pStyle w:val="ExhibitText"/>
        <w:keepNext/>
        <w:rPr>
          <w:rFonts w:eastAsia="MS Mincho"/>
        </w:rPr>
      </w:pPr>
      <w:bookmarkStart w:id="6" w:name="_Ref417466624"/>
      <w:bookmarkStart w:id="7" w:name="_Ref418699340"/>
    </w:p>
    <w:p w14:paraId="6A89C734" w14:textId="543D6C5F" w:rsidR="003E5B03" w:rsidRPr="001F4770" w:rsidRDefault="003E5B03" w:rsidP="00EF6F46">
      <w:pPr>
        <w:pStyle w:val="Footnote"/>
        <w:keepNext/>
        <w:rPr>
          <w:rFonts w:eastAsia="MS Mincho"/>
        </w:rPr>
      </w:pPr>
      <w:r w:rsidRPr="001F4770">
        <w:rPr>
          <w:rFonts w:eastAsia="MS Mincho"/>
        </w:rPr>
        <w:t xml:space="preserve">Note: </w:t>
      </w:r>
      <w:r w:rsidR="00705C8C" w:rsidRPr="001F4770">
        <w:rPr>
          <w:rStyle w:val="FootnoteReference"/>
          <w:vertAlign w:val="baseline"/>
        </w:rPr>
        <w:t xml:space="preserve">€ = </w:t>
      </w:r>
      <w:r w:rsidR="00705C8C">
        <w:t xml:space="preserve">EUR </w:t>
      </w:r>
      <w:proofErr w:type="gramStart"/>
      <w:r w:rsidR="00705C8C">
        <w:t xml:space="preserve">= </w:t>
      </w:r>
      <w:proofErr w:type="gramEnd"/>
      <w:r w:rsidR="00705C8C" w:rsidRPr="001F4770">
        <w:rPr>
          <w:rStyle w:val="FootnoteReference"/>
          <w:vertAlign w:val="baseline"/>
        </w:rPr>
        <w:t>euro</w:t>
      </w:r>
      <w:r w:rsidR="003F6391" w:rsidRPr="001F4770">
        <w:t>;</w:t>
      </w:r>
      <w:r w:rsidR="003F6391" w:rsidRPr="001F4770">
        <w:rPr>
          <w:rFonts w:eastAsia="MS Mincho"/>
        </w:rPr>
        <w:t xml:space="preserve"> </w:t>
      </w:r>
      <w:proofErr w:type="spellStart"/>
      <w:r w:rsidR="004E3E7A" w:rsidRPr="001F4770">
        <w:rPr>
          <w:rFonts w:eastAsia="MS Mincho"/>
        </w:rPr>
        <w:t>TWh</w:t>
      </w:r>
      <w:proofErr w:type="spellEnd"/>
      <w:r w:rsidR="004E3E7A" w:rsidRPr="001F4770">
        <w:rPr>
          <w:rFonts w:eastAsia="MS Mincho"/>
        </w:rPr>
        <w:t xml:space="preserve"> = terawatt hours</w:t>
      </w:r>
      <w:r w:rsidR="004E3E7A">
        <w:rPr>
          <w:rFonts w:eastAsia="MS Mincho"/>
        </w:rPr>
        <w:t>;</w:t>
      </w:r>
      <w:r w:rsidR="004E3E7A" w:rsidRPr="001F4770">
        <w:rPr>
          <w:rFonts w:eastAsia="MS Mincho"/>
        </w:rPr>
        <w:t xml:space="preserve"> </w:t>
      </w:r>
      <w:r w:rsidRPr="001F4770">
        <w:rPr>
          <w:rFonts w:eastAsia="MS Mincho"/>
        </w:rPr>
        <w:t>MWh = megawatt hours.</w:t>
      </w:r>
    </w:p>
    <w:p w14:paraId="06AD0965" w14:textId="34504D62" w:rsidR="00C36C19" w:rsidRPr="001F4770" w:rsidRDefault="00C36C19" w:rsidP="00C36C19">
      <w:pPr>
        <w:pStyle w:val="Footnote"/>
        <w:rPr>
          <w:rFonts w:eastAsia="MS Mincho"/>
        </w:rPr>
      </w:pPr>
      <w:r w:rsidRPr="001F4770">
        <w:rPr>
          <w:rFonts w:eastAsia="MS Mincho"/>
        </w:rPr>
        <w:t xml:space="preserve">Source: Created by </w:t>
      </w:r>
      <w:r w:rsidR="00D2301C" w:rsidRPr="001F4770">
        <w:rPr>
          <w:rFonts w:eastAsia="MS Mincho"/>
        </w:rPr>
        <w:t xml:space="preserve">the case </w:t>
      </w:r>
      <w:r w:rsidRPr="001F4770">
        <w:rPr>
          <w:rFonts w:eastAsia="MS Mincho"/>
        </w:rPr>
        <w:t>authors</w:t>
      </w:r>
      <w:r w:rsidR="00D2301C" w:rsidRPr="001F4770">
        <w:rPr>
          <w:rFonts w:eastAsia="MS Mincho"/>
        </w:rPr>
        <w:t>, loosely based on actual numbers from the company</w:t>
      </w:r>
      <w:r w:rsidRPr="001F4770">
        <w:rPr>
          <w:rFonts w:eastAsia="MS Mincho"/>
        </w:rPr>
        <w:t>.</w:t>
      </w:r>
    </w:p>
    <w:p w14:paraId="374E2116" w14:textId="77777777" w:rsidR="00C36C19" w:rsidRPr="001F4770" w:rsidRDefault="00C36C19" w:rsidP="00E559F0">
      <w:pPr>
        <w:pStyle w:val="ExhibitText"/>
        <w:rPr>
          <w:rFonts w:eastAsia="MS Mincho"/>
        </w:rPr>
      </w:pPr>
    </w:p>
    <w:p w14:paraId="4B582813" w14:textId="77777777" w:rsidR="00C36C19" w:rsidRPr="001F4770" w:rsidRDefault="00C36C19" w:rsidP="00E559F0">
      <w:pPr>
        <w:pStyle w:val="ExhibitText"/>
        <w:rPr>
          <w:rFonts w:eastAsia="MS Mincho"/>
        </w:rPr>
      </w:pPr>
    </w:p>
    <w:p w14:paraId="10064E00" w14:textId="532307B9" w:rsidR="002F623D" w:rsidRPr="001F4770" w:rsidRDefault="002F623D" w:rsidP="00E559F0">
      <w:pPr>
        <w:pStyle w:val="ExhibitHeading"/>
        <w:keepNext/>
        <w:rPr>
          <w:rFonts w:eastAsia="MS Mincho"/>
          <w:noProof/>
        </w:rPr>
      </w:pPr>
      <w:r w:rsidRPr="001F4770">
        <w:rPr>
          <w:rFonts w:eastAsia="MS Mincho"/>
        </w:rPr>
        <w:t xml:space="preserve">Exhibit </w:t>
      </w:r>
      <w:r w:rsidR="00700D53" w:rsidRPr="001F4770">
        <w:rPr>
          <w:rFonts w:eastAsia="MS Mincho"/>
        </w:rPr>
        <w:t>5</w:t>
      </w:r>
      <w:bookmarkEnd w:id="6"/>
      <w:bookmarkEnd w:id="7"/>
      <w:r w:rsidRPr="001F4770">
        <w:rPr>
          <w:rFonts w:eastAsia="MS Mincho"/>
        </w:rPr>
        <w:t>: Business as usual scenario</w:t>
      </w:r>
      <w:r w:rsidR="003E5B03" w:rsidRPr="001F4770">
        <w:rPr>
          <w:rFonts w:eastAsia="MS Mincho"/>
        </w:rPr>
        <w:t>,</w:t>
      </w:r>
      <w:r w:rsidRPr="001F4770">
        <w:rPr>
          <w:rFonts w:eastAsia="MS Mincho"/>
        </w:rPr>
        <w:t xml:space="preserve"> 2014</w:t>
      </w:r>
      <w:r w:rsidR="003E5B03" w:rsidRPr="001F4770">
        <w:rPr>
          <w:rFonts w:eastAsia="MS Mincho"/>
        </w:rPr>
        <w:t>–</w:t>
      </w:r>
      <w:r w:rsidRPr="001F4770">
        <w:rPr>
          <w:rFonts w:eastAsia="MS Mincho"/>
        </w:rPr>
        <w:t>2023</w:t>
      </w:r>
    </w:p>
    <w:p w14:paraId="5CEB1B75" w14:textId="77777777" w:rsidR="00C36C19" w:rsidRPr="001F4770" w:rsidRDefault="00C36C19" w:rsidP="00E559F0">
      <w:pPr>
        <w:pStyle w:val="ExhibitText"/>
        <w:keepNext/>
        <w:rPr>
          <w:rFonts w:eastAsia="MS Mincho"/>
        </w:rPr>
      </w:pPr>
    </w:p>
    <w:tbl>
      <w:tblPr>
        <w:tblStyle w:val="TableGrid3"/>
        <w:tblW w:w="3250" w:type="pct"/>
        <w:jc w:val="center"/>
        <w:tblLook w:val="04A0" w:firstRow="1" w:lastRow="0" w:firstColumn="1" w:lastColumn="0" w:noHBand="0" w:noVBand="1"/>
      </w:tblPr>
      <w:tblGrid>
        <w:gridCol w:w="4090"/>
        <w:gridCol w:w="1988"/>
      </w:tblGrid>
      <w:tr w:rsidR="002F623D" w:rsidRPr="001F4770" w14:paraId="6544EBA5" w14:textId="77777777" w:rsidTr="00EF6F46">
        <w:trPr>
          <w:trHeight w:val="288"/>
          <w:jc w:val="center"/>
        </w:trPr>
        <w:tc>
          <w:tcPr>
            <w:tcW w:w="3365" w:type="pct"/>
          </w:tcPr>
          <w:p w14:paraId="42893FF4" w14:textId="77777777" w:rsidR="002F623D" w:rsidRPr="001F4770" w:rsidRDefault="002F623D" w:rsidP="00EF6F46">
            <w:pPr>
              <w:pStyle w:val="ExhibitText"/>
              <w:keepNext/>
              <w:rPr>
                <w:rFonts w:eastAsia="MS Mincho"/>
              </w:rPr>
            </w:pPr>
            <w:r w:rsidRPr="001F4770">
              <w:rPr>
                <w:rFonts w:eastAsia="MS Mincho"/>
              </w:rPr>
              <w:t>RAB growth (replacement investments)</w:t>
            </w:r>
          </w:p>
        </w:tc>
        <w:tc>
          <w:tcPr>
            <w:tcW w:w="1635" w:type="pct"/>
          </w:tcPr>
          <w:p w14:paraId="2667556D" w14:textId="5AC1DE40" w:rsidR="002F623D" w:rsidRPr="001F4770" w:rsidRDefault="00AD574D" w:rsidP="00EF6F46">
            <w:pPr>
              <w:pStyle w:val="ExhibitText"/>
              <w:keepNext/>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500 </w:t>
            </w:r>
            <w:r w:rsidRPr="001F4770">
              <w:rPr>
                <w:rFonts w:eastAsia="MS Mincho"/>
              </w:rPr>
              <w:t>million/</w:t>
            </w:r>
            <w:r w:rsidR="002F623D" w:rsidRPr="001F4770">
              <w:rPr>
                <w:rFonts w:eastAsia="MS Mincho"/>
              </w:rPr>
              <w:t>year</w:t>
            </w:r>
          </w:p>
        </w:tc>
      </w:tr>
      <w:tr w:rsidR="002F623D" w:rsidRPr="001F4770" w14:paraId="3E503A3B" w14:textId="77777777" w:rsidTr="00EF6F46">
        <w:trPr>
          <w:trHeight w:val="288"/>
          <w:jc w:val="center"/>
        </w:trPr>
        <w:tc>
          <w:tcPr>
            <w:tcW w:w="3365" w:type="pct"/>
          </w:tcPr>
          <w:p w14:paraId="201109DC" w14:textId="77777777" w:rsidR="002F623D" w:rsidRPr="001F4770" w:rsidRDefault="002F623D" w:rsidP="00EF6F46">
            <w:pPr>
              <w:pStyle w:val="ExhibitText"/>
              <w:keepNext/>
              <w:rPr>
                <w:rFonts w:eastAsia="MS Mincho"/>
              </w:rPr>
            </w:pPr>
            <w:r w:rsidRPr="001F4770">
              <w:rPr>
                <w:rFonts w:eastAsia="MS Mincho"/>
              </w:rPr>
              <w:t>Equity (financing new investments)</w:t>
            </w:r>
          </w:p>
        </w:tc>
        <w:tc>
          <w:tcPr>
            <w:tcW w:w="1635" w:type="pct"/>
          </w:tcPr>
          <w:p w14:paraId="48B40C7F" w14:textId="43951323" w:rsidR="002F623D" w:rsidRPr="001F4770" w:rsidRDefault="002F623D" w:rsidP="00EF6F46">
            <w:pPr>
              <w:pStyle w:val="ExhibitText"/>
              <w:keepNext/>
              <w:ind w:right="288"/>
              <w:jc w:val="right"/>
              <w:rPr>
                <w:rFonts w:eastAsia="MS Mincho"/>
              </w:rPr>
            </w:pPr>
            <w:r w:rsidRPr="001F4770">
              <w:rPr>
                <w:rFonts w:eastAsia="MS Mincho"/>
              </w:rPr>
              <w:t>40</w:t>
            </w:r>
            <w:r w:rsidR="00AD574D" w:rsidRPr="001F4770">
              <w:rPr>
                <w:rFonts w:eastAsia="MS Mincho"/>
              </w:rPr>
              <w:t>.0</w:t>
            </w:r>
            <w:r w:rsidRPr="001F4770">
              <w:rPr>
                <w:rFonts w:eastAsia="MS Mincho"/>
              </w:rPr>
              <w:t>%</w:t>
            </w:r>
          </w:p>
        </w:tc>
      </w:tr>
      <w:tr w:rsidR="002F623D" w:rsidRPr="001F4770" w14:paraId="66501758" w14:textId="77777777" w:rsidTr="00EF6F46">
        <w:trPr>
          <w:trHeight w:val="288"/>
          <w:jc w:val="center"/>
        </w:trPr>
        <w:tc>
          <w:tcPr>
            <w:tcW w:w="3365" w:type="pct"/>
          </w:tcPr>
          <w:p w14:paraId="26D6B7F6" w14:textId="77777777" w:rsidR="002F623D" w:rsidRPr="001F4770" w:rsidRDefault="002F623D" w:rsidP="00EF6F46">
            <w:pPr>
              <w:pStyle w:val="ExhibitText"/>
              <w:keepNext/>
              <w:rPr>
                <w:rFonts w:eastAsia="MS Mincho"/>
              </w:rPr>
            </w:pPr>
            <w:r w:rsidRPr="001F4770">
              <w:rPr>
                <w:rFonts w:eastAsia="MS Mincho"/>
              </w:rPr>
              <w:t>Debt (financing new investments)</w:t>
            </w:r>
          </w:p>
        </w:tc>
        <w:tc>
          <w:tcPr>
            <w:tcW w:w="1635" w:type="pct"/>
          </w:tcPr>
          <w:p w14:paraId="165C19A2" w14:textId="6C073FE0" w:rsidR="002F623D" w:rsidRPr="001F4770" w:rsidRDefault="002F623D" w:rsidP="00EF6F46">
            <w:pPr>
              <w:pStyle w:val="ExhibitText"/>
              <w:keepNext/>
              <w:ind w:right="288"/>
              <w:jc w:val="right"/>
              <w:rPr>
                <w:rFonts w:eastAsia="MS Mincho"/>
              </w:rPr>
            </w:pPr>
            <w:r w:rsidRPr="001F4770">
              <w:rPr>
                <w:rFonts w:eastAsia="MS Mincho"/>
              </w:rPr>
              <w:t>60</w:t>
            </w:r>
            <w:r w:rsidR="00AD574D" w:rsidRPr="001F4770">
              <w:rPr>
                <w:rFonts w:eastAsia="MS Mincho"/>
              </w:rPr>
              <w:t>.0</w:t>
            </w:r>
            <w:r w:rsidRPr="001F4770">
              <w:rPr>
                <w:rFonts w:eastAsia="MS Mincho"/>
              </w:rPr>
              <w:t>%</w:t>
            </w:r>
          </w:p>
        </w:tc>
      </w:tr>
      <w:tr w:rsidR="002F623D" w:rsidRPr="001F4770" w14:paraId="54D8ADF0" w14:textId="77777777" w:rsidTr="00EF6F46">
        <w:trPr>
          <w:trHeight w:val="288"/>
          <w:jc w:val="center"/>
        </w:trPr>
        <w:tc>
          <w:tcPr>
            <w:tcW w:w="3365" w:type="pct"/>
          </w:tcPr>
          <w:p w14:paraId="299C6D5A" w14:textId="77777777" w:rsidR="002F623D" w:rsidRPr="001F4770" w:rsidRDefault="002F623D" w:rsidP="00EF6F46">
            <w:pPr>
              <w:pStyle w:val="ExhibitText"/>
              <w:keepNext/>
              <w:rPr>
                <w:rFonts w:eastAsia="MS Mincho"/>
              </w:rPr>
            </w:pPr>
            <w:r w:rsidRPr="001F4770">
              <w:rPr>
                <w:rFonts w:eastAsia="MS Mincho"/>
              </w:rPr>
              <w:t>Interest rate</w:t>
            </w:r>
          </w:p>
        </w:tc>
        <w:tc>
          <w:tcPr>
            <w:tcW w:w="1635" w:type="pct"/>
          </w:tcPr>
          <w:p w14:paraId="711BDC20" w14:textId="5A78355C" w:rsidR="002F623D" w:rsidRPr="001F4770" w:rsidRDefault="002F623D" w:rsidP="00EF6F46">
            <w:pPr>
              <w:pStyle w:val="ExhibitText"/>
              <w:keepNext/>
              <w:ind w:right="288"/>
              <w:jc w:val="right"/>
              <w:rPr>
                <w:rFonts w:eastAsia="MS Mincho"/>
              </w:rPr>
            </w:pPr>
            <w:r w:rsidRPr="001F4770">
              <w:rPr>
                <w:rFonts w:eastAsia="MS Mincho"/>
              </w:rPr>
              <w:t>4</w:t>
            </w:r>
            <w:r w:rsidR="00AD574D" w:rsidRPr="001F4770">
              <w:rPr>
                <w:rFonts w:eastAsia="MS Mincho"/>
              </w:rPr>
              <w:t>.</w:t>
            </w:r>
            <w:r w:rsidRPr="001F4770">
              <w:rPr>
                <w:rFonts w:eastAsia="MS Mincho"/>
              </w:rPr>
              <w:t>5%</w:t>
            </w:r>
          </w:p>
        </w:tc>
      </w:tr>
      <w:tr w:rsidR="002F623D" w:rsidRPr="001F4770" w14:paraId="7CAF81DD" w14:textId="77777777" w:rsidTr="00EF6F46">
        <w:trPr>
          <w:trHeight w:val="288"/>
          <w:jc w:val="center"/>
        </w:trPr>
        <w:tc>
          <w:tcPr>
            <w:tcW w:w="3365" w:type="pct"/>
          </w:tcPr>
          <w:p w14:paraId="1795A2D6" w14:textId="77777777" w:rsidR="002F623D" w:rsidRPr="001F4770" w:rsidRDefault="002F623D" w:rsidP="00EF6F46">
            <w:pPr>
              <w:pStyle w:val="ExhibitText"/>
              <w:keepNext/>
              <w:rPr>
                <w:rFonts w:eastAsia="MS Mincho"/>
              </w:rPr>
            </w:pPr>
            <w:r w:rsidRPr="001F4770">
              <w:rPr>
                <w:rFonts w:eastAsia="MS Mincho"/>
              </w:rPr>
              <w:t xml:space="preserve">Dividend </w:t>
            </w:r>
            <w:proofErr w:type="spellStart"/>
            <w:r w:rsidRPr="001F4770">
              <w:rPr>
                <w:rFonts w:eastAsia="MS Mincho"/>
              </w:rPr>
              <w:t>payout</w:t>
            </w:r>
            <w:proofErr w:type="spellEnd"/>
            <w:r w:rsidRPr="001F4770">
              <w:rPr>
                <w:rFonts w:eastAsia="MS Mincho"/>
              </w:rPr>
              <w:t xml:space="preserve"> ratio</w:t>
            </w:r>
          </w:p>
        </w:tc>
        <w:tc>
          <w:tcPr>
            <w:tcW w:w="1635" w:type="pct"/>
          </w:tcPr>
          <w:p w14:paraId="6294ACA1" w14:textId="10C163C6" w:rsidR="002F623D" w:rsidRPr="001F4770" w:rsidRDefault="002F623D" w:rsidP="00EF6F46">
            <w:pPr>
              <w:pStyle w:val="ExhibitText"/>
              <w:keepNext/>
              <w:ind w:right="288"/>
              <w:jc w:val="right"/>
              <w:rPr>
                <w:rFonts w:eastAsia="MS Mincho"/>
              </w:rPr>
            </w:pPr>
            <w:r w:rsidRPr="001F4770">
              <w:rPr>
                <w:rFonts w:eastAsia="MS Mincho"/>
              </w:rPr>
              <w:t>70</w:t>
            </w:r>
            <w:r w:rsidR="00AD574D" w:rsidRPr="001F4770">
              <w:rPr>
                <w:rFonts w:eastAsia="MS Mincho"/>
              </w:rPr>
              <w:t>.0</w:t>
            </w:r>
            <w:r w:rsidRPr="001F4770">
              <w:rPr>
                <w:rFonts w:eastAsia="MS Mincho"/>
              </w:rPr>
              <w:t>%</w:t>
            </w:r>
          </w:p>
        </w:tc>
      </w:tr>
      <w:tr w:rsidR="002F623D" w:rsidRPr="001F4770" w14:paraId="4D306A8B" w14:textId="77777777" w:rsidTr="00EF6F46">
        <w:trPr>
          <w:trHeight w:val="288"/>
          <w:jc w:val="center"/>
        </w:trPr>
        <w:tc>
          <w:tcPr>
            <w:tcW w:w="3365" w:type="pct"/>
          </w:tcPr>
          <w:p w14:paraId="7415F245" w14:textId="50A3EAC7" w:rsidR="002F623D" w:rsidRPr="001F4770" w:rsidRDefault="00AD574D" w:rsidP="00EF6F46">
            <w:pPr>
              <w:pStyle w:val="ExhibitText"/>
              <w:keepNext/>
              <w:rPr>
                <w:rFonts w:eastAsia="MS Mincho"/>
              </w:rPr>
            </w:pPr>
            <w:r w:rsidRPr="001F4770">
              <w:rPr>
                <w:rFonts w:eastAsia="MS Mincho"/>
              </w:rPr>
              <w:t xml:space="preserve">Operating expenses </w:t>
            </w:r>
            <w:r w:rsidR="002F623D" w:rsidRPr="001F4770">
              <w:rPr>
                <w:rFonts w:eastAsia="MS Mincho"/>
              </w:rPr>
              <w:t>growth</w:t>
            </w:r>
          </w:p>
        </w:tc>
        <w:tc>
          <w:tcPr>
            <w:tcW w:w="1635" w:type="pct"/>
          </w:tcPr>
          <w:p w14:paraId="08FC2BFE" w14:textId="10C1CBDA" w:rsidR="002F623D" w:rsidRPr="001F4770" w:rsidRDefault="002F623D" w:rsidP="00EF6F46">
            <w:pPr>
              <w:pStyle w:val="ExhibitText"/>
              <w:keepNext/>
              <w:ind w:right="288"/>
              <w:jc w:val="right"/>
              <w:rPr>
                <w:rFonts w:eastAsia="MS Mincho"/>
              </w:rPr>
            </w:pPr>
            <w:r w:rsidRPr="001F4770">
              <w:rPr>
                <w:rFonts w:eastAsia="MS Mincho"/>
              </w:rPr>
              <w:t>1</w:t>
            </w:r>
            <w:r w:rsidR="00AD574D" w:rsidRPr="001F4770">
              <w:rPr>
                <w:rFonts w:eastAsia="MS Mincho"/>
              </w:rPr>
              <w:t>.0</w:t>
            </w:r>
            <w:r w:rsidRPr="001F4770">
              <w:rPr>
                <w:rFonts w:eastAsia="MS Mincho"/>
              </w:rPr>
              <w:t>%</w:t>
            </w:r>
          </w:p>
        </w:tc>
      </w:tr>
      <w:tr w:rsidR="002F623D" w:rsidRPr="001F4770" w14:paraId="6085BE70" w14:textId="77777777" w:rsidTr="00EF6F46">
        <w:trPr>
          <w:trHeight w:val="288"/>
          <w:jc w:val="center"/>
        </w:trPr>
        <w:tc>
          <w:tcPr>
            <w:tcW w:w="3365" w:type="pct"/>
          </w:tcPr>
          <w:p w14:paraId="557423F9" w14:textId="77777777" w:rsidR="002F623D" w:rsidRPr="001F4770" w:rsidRDefault="002F623D" w:rsidP="00EF6F46">
            <w:pPr>
              <w:pStyle w:val="ExhibitText"/>
              <w:keepNext/>
              <w:rPr>
                <w:rFonts w:eastAsia="MS Mincho"/>
              </w:rPr>
            </w:pPr>
            <w:r w:rsidRPr="001F4770">
              <w:rPr>
                <w:rFonts w:eastAsia="MS Mincho"/>
              </w:rPr>
              <w:t>Depreciation for new investments</w:t>
            </w:r>
          </w:p>
        </w:tc>
        <w:tc>
          <w:tcPr>
            <w:tcW w:w="1635" w:type="pct"/>
          </w:tcPr>
          <w:p w14:paraId="6394DA40" w14:textId="3B72C4C3" w:rsidR="002F623D" w:rsidRPr="001F4770" w:rsidRDefault="002F623D" w:rsidP="00EF6F46">
            <w:pPr>
              <w:pStyle w:val="ExhibitText"/>
              <w:keepNext/>
              <w:ind w:right="288"/>
              <w:jc w:val="right"/>
              <w:rPr>
                <w:rFonts w:eastAsia="MS Mincho"/>
              </w:rPr>
            </w:pPr>
            <w:r w:rsidRPr="001F4770">
              <w:rPr>
                <w:rFonts w:eastAsia="MS Mincho"/>
              </w:rPr>
              <w:t>2</w:t>
            </w:r>
            <w:r w:rsidR="00AD574D" w:rsidRPr="001F4770">
              <w:rPr>
                <w:rFonts w:eastAsia="MS Mincho"/>
              </w:rPr>
              <w:t>.</w:t>
            </w:r>
            <w:r w:rsidRPr="001F4770">
              <w:rPr>
                <w:rFonts w:eastAsia="MS Mincho"/>
              </w:rPr>
              <w:t>5%</w:t>
            </w:r>
          </w:p>
        </w:tc>
      </w:tr>
      <w:tr w:rsidR="002F623D" w:rsidRPr="001F4770" w14:paraId="53F6BD0F" w14:textId="77777777" w:rsidTr="00EF6F46">
        <w:trPr>
          <w:trHeight w:val="288"/>
          <w:jc w:val="center"/>
        </w:trPr>
        <w:tc>
          <w:tcPr>
            <w:tcW w:w="3365" w:type="pct"/>
          </w:tcPr>
          <w:p w14:paraId="05E7ABD4" w14:textId="77777777" w:rsidR="002F623D" w:rsidRPr="001F4770" w:rsidRDefault="002F623D" w:rsidP="00EF6F46">
            <w:pPr>
              <w:pStyle w:val="ExhibitText"/>
              <w:keepNext/>
              <w:rPr>
                <w:rFonts w:eastAsia="MS Mincho"/>
              </w:rPr>
            </w:pPr>
            <w:r w:rsidRPr="001F4770">
              <w:rPr>
                <w:rFonts w:eastAsia="MS Mincho"/>
              </w:rPr>
              <w:t>Other costs growth</w:t>
            </w:r>
          </w:p>
        </w:tc>
        <w:tc>
          <w:tcPr>
            <w:tcW w:w="1635" w:type="pct"/>
          </w:tcPr>
          <w:p w14:paraId="23B78F07" w14:textId="3CF338F8" w:rsidR="002F623D" w:rsidRPr="001F4770" w:rsidRDefault="002F623D" w:rsidP="00EF6F46">
            <w:pPr>
              <w:pStyle w:val="ExhibitText"/>
              <w:keepNext/>
              <w:ind w:right="288"/>
              <w:jc w:val="right"/>
              <w:rPr>
                <w:rFonts w:eastAsia="MS Mincho"/>
              </w:rPr>
            </w:pPr>
            <w:r w:rsidRPr="001F4770">
              <w:rPr>
                <w:rFonts w:eastAsia="MS Mincho"/>
              </w:rPr>
              <w:t>0</w:t>
            </w:r>
          </w:p>
        </w:tc>
      </w:tr>
      <w:tr w:rsidR="002F623D" w:rsidRPr="001F4770" w14:paraId="38EB9DDF" w14:textId="77777777" w:rsidTr="00EF6F46">
        <w:trPr>
          <w:trHeight w:val="288"/>
          <w:jc w:val="center"/>
        </w:trPr>
        <w:tc>
          <w:tcPr>
            <w:tcW w:w="3365" w:type="pct"/>
          </w:tcPr>
          <w:p w14:paraId="3BBFC729" w14:textId="77777777" w:rsidR="002F623D" w:rsidRPr="001F4770" w:rsidRDefault="002F623D" w:rsidP="00EF6F46">
            <w:pPr>
              <w:pStyle w:val="ExhibitText"/>
              <w:keepNext/>
              <w:rPr>
                <w:rFonts w:eastAsia="MS Mincho"/>
              </w:rPr>
            </w:pPr>
            <w:r w:rsidRPr="001F4770">
              <w:rPr>
                <w:rFonts w:eastAsia="MS Mincho"/>
              </w:rPr>
              <w:t>Consumption growth</w:t>
            </w:r>
          </w:p>
        </w:tc>
        <w:tc>
          <w:tcPr>
            <w:tcW w:w="1635" w:type="pct"/>
          </w:tcPr>
          <w:p w14:paraId="47483A26" w14:textId="64FF33C7" w:rsidR="002F623D" w:rsidRPr="001F4770" w:rsidRDefault="002F623D" w:rsidP="00EF6F46">
            <w:pPr>
              <w:pStyle w:val="ExhibitText"/>
              <w:keepNext/>
              <w:ind w:right="288"/>
              <w:jc w:val="right"/>
              <w:rPr>
                <w:rFonts w:eastAsia="MS Mincho"/>
              </w:rPr>
            </w:pPr>
            <w:r w:rsidRPr="001F4770">
              <w:rPr>
                <w:rFonts w:eastAsia="MS Mincho"/>
              </w:rPr>
              <w:t>1</w:t>
            </w:r>
            <w:r w:rsidR="00AD574D" w:rsidRPr="001F4770">
              <w:rPr>
                <w:rFonts w:eastAsia="MS Mincho"/>
              </w:rPr>
              <w:t>.0</w:t>
            </w:r>
            <w:r w:rsidRPr="001F4770">
              <w:rPr>
                <w:rFonts w:eastAsia="MS Mincho"/>
              </w:rPr>
              <w:t>%</w:t>
            </w:r>
          </w:p>
        </w:tc>
      </w:tr>
    </w:tbl>
    <w:p w14:paraId="4214343A" w14:textId="77777777" w:rsidR="00C36C19" w:rsidRPr="001F4770" w:rsidRDefault="00C36C19" w:rsidP="00EF6F46">
      <w:pPr>
        <w:pStyle w:val="ExhibitText"/>
        <w:keepNext/>
        <w:rPr>
          <w:rFonts w:eastAsia="MS Mincho"/>
        </w:rPr>
      </w:pPr>
      <w:bookmarkStart w:id="8" w:name="_Ref417466651"/>
    </w:p>
    <w:p w14:paraId="42CD6E34" w14:textId="0AE8CFD6" w:rsidR="003E5B03" w:rsidRPr="001F4770" w:rsidRDefault="003E5B03" w:rsidP="00EF6F46">
      <w:pPr>
        <w:pStyle w:val="Footnote"/>
        <w:keepNext/>
        <w:rPr>
          <w:rFonts w:eastAsia="MS Mincho"/>
        </w:rPr>
      </w:pPr>
      <w:r w:rsidRPr="001F4770">
        <w:rPr>
          <w:rFonts w:eastAsia="MS Mincho"/>
        </w:rPr>
        <w:t xml:space="preserve">Note: </w:t>
      </w:r>
      <w:r w:rsidR="004E3E7A" w:rsidRPr="001F4770">
        <w:rPr>
          <w:rFonts w:eastAsia="MS Mincho"/>
        </w:rPr>
        <w:t>RAB = regulated asset base</w:t>
      </w:r>
      <w:r w:rsidR="004E3E7A">
        <w:rPr>
          <w:rFonts w:eastAsia="MS Mincho"/>
        </w:rPr>
        <w:t>;</w:t>
      </w:r>
      <w:r w:rsidR="004E3E7A" w:rsidRPr="001F4770">
        <w:t xml:space="preserve"> </w:t>
      </w:r>
      <w:r w:rsidR="00705C8C" w:rsidRPr="001F4770">
        <w:rPr>
          <w:rStyle w:val="FootnoteReference"/>
          <w:vertAlign w:val="baseline"/>
        </w:rPr>
        <w:t xml:space="preserve">€ = </w:t>
      </w:r>
      <w:r w:rsidR="00705C8C">
        <w:t xml:space="preserve">EUR </w:t>
      </w:r>
      <w:proofErr w:type="gramStart"/>
      <w:r w:rsidR="00705C8C">
        <w:t xml:space="preserve">= </w:t>
      </w:r>
      <w:proofErr w:type="gramEnd"/>
      <w:r w:rsidR="00705C8C" w:rsidRPr="001F4770">
        <w:rPr>
          <w:rStyle w:val="FootnoteReference"/>
          <w:vertAlign w:val="baseline"/>
        </w:rPr>
        <w:t>euro</w:t>
      </w:r>
      <w:r w:rsidRPr="001F4770">
        <w:rPr>
          <w:rFonts w:eastAsia="MS Mincho"/>
        </w:rPr>
        <w:t>.</w:t>
      </w:r>
    </w:p>
    <w:p w14:paraId="1C246219" w14:textId="3146CAD7" w:rsidR="00C36C19" w:rsidRPr="001F4770" w:rsidRDefault="00C36C19" w:rsidP="00C36C19">
      <w:pPr>
        <w:pStyle w:val="Footnote"/>
        <w:rPr>
          <w:rFonts w:eastAsia="MS Mincho"/>
        </w:rPr>
      </w:pPr>
      <w:r w:rsidRPr="001F4770">
        <w:rPr>
          <w:rFonts w:eastAsia="MS Mincho"/>
        </w:rPr>
        <w:t xml:space="preserve">Source: Created by </w:t>
      </w:r>
      <w:r w:rsidR="00D2301C" w:rsidRPr="001F4770">
        <w:rPr>
          <w:rFonts w:eastAsia="MS Mincho"/>
        </w:rPr>
        <w:t xml:space="preserve">the case </w:t>
      </w:r>
      <w:r w:rsidRPr="001F4770">
        <w:rPr>
          <w:rFonts w:eastAsia="MS Mincho"/>
        </w:rPr>
        <w:t>authors</w:t>
      </w:r>
      <w:r w:rsidR="00D2301C" w:rsidRPr="001F4770">
        <w:rPr>
          <w:rFonts w:eastAsia="MS Mincho"/>
        </w:rPr>
        <w:t>, loosely based on actual numbers from the company</w:t>
      </w:r>
      <w:r w:rsidRPr="001F4770">
        <w:rPr>
          <w:rFonts w:eastAsia="MS Mincho"/>
        </w:rPr>
        <w:t>.</w:t>
      </w:r>
    </w:p>
    <w:p w14:paraId="3AD4286F" w14:textId="77777777" w:rsidR="00C36C19" w:rsidRPr="001F4770" w:rsidRDefault="00C36C19" w:rsidP="00E559F0">
      <w:pPr>
        <w:pStyle w:val="ExhibitText"/>
        <w:rPr>
          <w:rFonts w:eastAsia="MS Mincho"/>
        </w:rPr>
      </w:pPr>
    </w:p>
    <w:p w14:paraId="781FEB82" w14:textId="77777777" w:rsidR="00C36C19" w:rsidRPr="001F4770" w:rsidRDefault="00C36C19" w:rsidP="00E559F0">
      <w:pPr>
        <w:pStyle w:val="ExhibitText"/>
        <w:rPr>
          <w:rFonts w:eastAsia="MS Mincho"/>
        </w:rPr>
      </w:pPr>
    </w:p>
    <w:p w14:paraId="7B9ADB79" w14:textId="591311FF" w:rsidR="002F623D" w:rsidRPr="001F4770" w:rsidRDefault="002F623D" w:rsidP="00E559F0">
      <w:pPr>
        <w:pStyle w:val="ExhibitHeading"/>
        <w:keepNext/>
        <w:rPr>
          <w:rFonts w:eastAsia="MS Mincho"/>
          <w:noProof/>
        </w:rPr>
      </w:pPr>
      <w:r w:rsidRPr="001F4770">
        <w:rPr>
          <w:rFonts w:eastAsia="MS Mincho"/>
        </w:rPr>
        <w:lastRenderedPageBreak/>
        <w:t xml:space="preserve">Exhibit </w:t>
      </w:r>
      <w:bookmarkEnd w:id="8"/>
      <w:r w:rsidR="00700D53" w:rsidRPr="001F4770">
        <w:rPr>
          <w:rFonts w:eastAsia="MS Mincho"/>
        </w:rPr>
        <w:t>6</w:t>
      </w:r>
      <w:r w:rsidRPr="001F4770">
        <w:rPr>
          <w:rFonts w:eastAsia="MS Mincho"/>
        </w:rPr>
        <w:t>: Investment program</w:t>
      </w:r>
      <w:r w:rsidR="00AD574D" w:rsidRPr="001F4770">
        <w:rPr>
          <w:rFonts w:eastAsia="MS Mincho"/>
        </w:rPr>
        <w:t xml:space="preserve"> (</w:t>
      </w:r>
      <w:r w:rsidR="00AD574D" w:rsidRPr="00B912ED">
        <w:rPr>
          <w:rFonts w:eastAsia="MS Mincho"/>
          <w:i/>
        </w:rPr>
        <w:t>TYNDP</w:t>
      </w:r>
      <w:r w:rsidR="00AD574D" w:rsidRPr="001F4770">
        <w:rPr>
          <w:rFonts w:eastAsia="MS Mincho"/>
        </w:rPr>
        <w:t>),</w:t>
      </w:r>
      <w:r w:rsidRPr="001F4770">
        <w:rPr>
          <w:rFonts w:eastAsia="MS Mincho"/>
        </w:rPr>
        <w:t xml:space="preserve"> 2014</w:t>
      </w:r>
      <w:r w:rsidR="00AD574D" w:rsidRPr="001F4770">
        <w:rPr>
          <w:rFonts w:eastAsia="MS Mincho"/>
        </w:rPr>
        <w:t>–</w:t>
      </w:r>
      <w:r w:rsidRPr="001F4770">
        <w:rPr>
          <w:rFonts w:eastAsia="MS Mincho"/>
        </w:rPr>
        <w:t>2023</w:t>
      </w:r>
      <w:r w:rsidRPr="001F4770">
        <w:rPr>
          <w:rFonts w:eastAsia="MS Mincho"/>
          <w:noProof/>
        </w:rPr>
        <w:t xml:space="preserve"> </w:t>
      </w:r>
    </w:p>
    <w:p w14:paraId="7EE2BDE5" w14:textId="77777777" w:rsidR="00C36C19" w:rsidRPr="001F4770" w:rsidRDefault="00C36C19" w:rsidP="00E559F0">
      <w:pPr>
        <w:pStyle w:val="ExhibitText"/>
        <w:keepNext/>
        <w:rPr>
          <w:rFonts w:eastAsia="MS Mincho"/>
        </w:rPr>
      </w:pPr>
    </w:p>
    <w:tbl>
      <w:tblPr>
        <w:tblStyle w:val="TableGrid3"/>
        <w:tblW w:w="3126" w:type="pct"/>
        <w:jc w:val="center"/>
        <w:tblLook w:val="04A0" w:firstRow="1" w:lastRow="0" w:firstColumn="1" w:lastColumn="0" w:noHBand="0" w:noVBand="1"/>
      </w:tblPr>
      <w:tblGrid>
        <w:gridCol w:w="1340"/>
        <w:gridCol w:w="2253"/>
        <w:gridCol w:w="2253"/>
      </w:tblGrid>
      <w:tr w:rsidR="00AD574D" w:rsidRPr="001F4770" w14:paraId="56B02EFE" w14:textId="77777777" w:rsidTr="00EF6F46">
        <w:trPr>
          <w:trHeight w:val="288"/>
          <w:jc w:val="center"/>
        </w:trPr>
        <w:tc>
          <w:tcPr>
            <w:tcW w:w="1146" w:type="pct"/>
            <w:vAlign w:val="center"/>
          </w:tcPr>
          <w:p w14:paraId="5B9BEDA8" w14:textId="77777777" w:rsidR="002F623D" w:rsidRPr="001F4770" w:rsidRDefault="002F623D" w:rsidP="00EF6F46">
            <w:pPr>
              <w:pStyle w:val="ExhibitText"/>
              <w:keepNext/>
              <w:jc w:val="center"/>
              <w:rPr>
                <w:rFonts w:eastAsia="MS Mincho"/>
                <w:b/>
              </w:rPr>
            </w:pPr>
            <w:r w:rsidRPr="001F4770">
              <w:rPr>
                <w:rFonts w:eastAsia="MS Mincho"/>
                <w:b/>
              </w:rPr>
              <w:t>Year</w:t>
            </w:r>
          </w:p>
        </w:tc>
        <w:tc>
          <w:tcPr>
            <w:tcW w:w="1927" w:type="pct"/>
            <w:vAlign w:val="center"/>
          </w:tcPr>
          <w:p w14:paraId="07F91C6D" w14:textId="259135D1" w:rsidR="002F623D" w:rsidRPr="001F4770" w:rsidRDefault="00AD574D" w:rsidP="00EF6F46">
            <w:pPr>
              <w:pStyle w:val="ExhibitText"/>
              <w:keepNext/>
              <w:jc w:val="right"/>
              <w:rPr>
                <w:rFonts w:eastAsia="MS Mincho"/>
                <w:b/>
              </w:rPr>
            </w:pPr>
            <w:r w:rsidRPr="001F4770">
              <w:rPr>
                <w:rFonts w:eastAsia="MS Mincho"/>
                <w:b/>
              </w:rPr>
              <w:t>Capital Expenditures</w:t>
            </w:r>
          </w:p>
        </w:tc>
        <w:tc>
          <w:tcPr>
            <w:tcW w:w="1927" w:type="pct"/>
            <w:vAlign w:val="center"/>
          </w:tcPr>
          <w:p w14:paraId="7AC445A1" w14:textId="4ECA680B" w:rsidR="002F623D" w:rsidRPr="001F4770" w:rsidRDefault="00AD574D" w:rsidP="00EF6F46">
            <w:pPr>
              <w:pStyle w:val="ExhibitText"/>
              <w:keepNext/>
              <w:jc w:val="right"/>
              <w:rPr>
                <w:rFonts w:eastAsia="MS Mincho"/>
                <w:b/>
              </w:rPr>
            </w:pPr>
            <w:r w:rsidRPr="001F4770">
              <w:rPr>
                <w:rFonts w:eastAsia="MS Mincho"/>
                <w:b/>
              </w:rPr>
              <w:t>Operating Expenses</w:t>
            </w:r>
          </w:p>
        </w:tc>
      </w:tr>
      <w:tr w:rsidR="00AD574D" w:rsidRPr="001F4770" w14:paraId="05791E20" w14:textId="77777777" w:rsidTr="00EF6F46">
        <w:trPr>
          <w:trHeight w:val="288"/>
          <w:jc w:val="center"/>
        </w:trPr>
        <w:tc>
          <w:tcPr>
            <w:tcW w:w="1146" w:type="pct"/>
            <w:vAlign w:val="center"/>
          </w:tcPr>
          <w:p w14:paraId="4007A9B4" w14:textId="77777777" w:rsidR="002F623D" w:rsidRPr="001F4770" w:rsidRDefault="002F623D" w:rsidP="00EF6F46">
            <w:pPr>
              <w:pStyle w:val="ExhibitText"/>
              <w:keepNext/>
              <w:jc w:val="center"/>
              <w:rPr>
                <w:rFonts w:eastAsia="MS Mincho"/>
              </w:rPr>
            </w:pPr>
            <w:r w:rsidRPr="001F4770">
              <w:rPr>
                <w:rFonts w:eastAsia="MS Mincho"/>
              </w:rPr>
              <w:t>2014</w:t>
            </w:r>
          </w:p>
        </w:tc>
        <w:tc>
          <w:tcPr>
            <w:tcW w:w="1927" w:type="pct"/>
            <w:vAlign w:val="center"/>
          </w:tcPr>
          <w:p w14:paraId="010639A8" w14:textId="7BF897A6"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66DE9EA5" w14:textId="0ADEBEA8"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28EBA7F8" w14:textId="77777777" w:rsidTr="00EF6F46">
        <w:trPr>
          <w:trHeight w:val="288"/>
          <w:jc w:val="center"/>
        </w:trPr>
        <w:tc>
          <w:tcPr>
            <w:tcW w:w="1146" w:type="pct"/>
            <w:vAlign w:val="center"/>
          </w:tcPr>
          <w:p w14:paraId="12856C12" w14:textId="77777777" w:rsidR="002F623D" w:rsidRPr="001F4770" w:rsidRDefault="002F623D" w:rsidP="00EF6F46">
            <w:pPr>
              <w:pStyle w:val="ExhibitText"/>
              <w:keepNext/>
              <w:jc w:val="center"/>
              <w:rPr>
                <w:rFonts w:eastAsia="MS Mincho"/>
              </w:rPr>
            </w:pPr>
            <w:r w:rsidRPr="001F4770">
              <w:rPr>
                <w:rFonts w:eastAsia="MS Mincho"/>
              </w:rPr>
              <w:t>2015</w:t>
            </w:r>
          </w:p>
        </w:tc>
        <w:tc>
          <w:tcPr>
            <w:tcW w:w="1927" w:type="pct"/>
            <w:vAlign w:val="center"/>
          </w:tcPr>
          <w:p w14:paraId="238FBC18" w14:textId="56B2FF39"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5C2F981E" w14:textId="2BF6078C"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04C93043" w14:textId="77777777" w:rsidTr="00EF6F46">
        <w:trPr>
          <w:trHeight w:val="288"/>
          <w:jc w:val="center"/>
        </w:trPr>
        <w:tc>
          <w:tcPr>
            <w:tcW w:w="1146" w:type="pct"/>
            <w:vAlign w:val="center"/>
          </w:tcPr>
          <w:p w14:paraId="73978C3D" w14:textId="77777777" w:rsidR="002F623D" w:rsidRPr="001F4770" w:rsidRDefault="002F623D" w:rsidP="00EF6F46">
            <w:pPr>
              <w:pStyle w:val="ExhibitText"/>
              <w:keepNext/>
              <w:jc w:val="center"/>
              <w:rPr>
                <w:rFonts w:eastAsia="MS Mincho"/>
              </w:rPr>
            </w:pPr>
            <w:r w:rsidRPr="001F4770">
              <w:rPr>
                <w:rFonts w:eastAsia="MS Mincho"/>
              </w:rPr>
              <w:t>2016</w:t>
            </w:r>
          </w:p>
        </w:tc>
        <w:tc>
          <w:tcPr>
            <w:tcW w:w="1927" w:type="pct"/>
            <w:vAlign w:val="center"/>
          </w:tcPr>
          <w:p w14:paraId="17EBF460" w14:textId="5B06D5CB"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520AD639" w14:textId="3044C156"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69E9CB98" w14:textId="77777777" w:rsidTr="00EF6F46">
        <w:trPr>
          <w:trHeight w:val="288"/>
          <w:jc w:val="center"/>
        </w:trPr>
        <w:tc>
          <w:tcPr>
            <w:tcW w:w="1146" w:type="pct"/>
            <w:vAlign w:val="center"/>
          </w:tcPr>
          <w:p w14:paraId="354D2EDE" w14:textId="77777777" w:rsidR="002F623D" w:rsidRPr="001F4770" w:rsidRDefault="002F623D" w:rsidP="00EF6F46">
            <w:pPr>
              <w:pStyle w:val="ExhibitText"/>
              <w:keepNext/>
              <w:jc w:val="center"/>
              <w:rPr>
                <w:rFonts w:eastAsia="MS Mincho"/>
              </w:rPr>
            </w:pPr>
            <w:r w:rsidRPr="001F4770">
              <w:rPr>
                <w:rFonts w:eastAsia="MS Mincho"/>
              </w:rPr>
              <w:t>2017</w:t>
            </w:r>
          </w:p>
        </w:tc>
        <w:tc>
          <w:tcPr>
            <w:tcW w:w="1927" w:type="pct"/>
            <w:vAlign w:val="center"/>
          </w:tcPr>
          <w:p w14:paraId="6D0BBAC9" w14:textId="6AD3C19D"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76099D70" w14:textId="58B784EB"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10B10B20" w14:textId="77777777" w:rsidTr="00EF6F46">
        <w:trPr>
          <w:trHeight w:val="288"/>
          <w:jc w:val="center"/>
        </w:trPr>
        <w:tc>
          <w:tcPr>
            <w:tcW w:w="1146" w:type="pct"/>
            <w:vAlign w:val="center"/>
          </w:tcPr>
          <w:p w14:paraId="49347470" w14:textId="77777777" w:rsidR="002F623D" w:rsidRPr="001F4770" w:rsidRDefault="002F623D" w:rsidP="00EF6F46">
            <w:pPr>
              <w:pStyle w:val="ExhibitText"/>
              <w:keepNext/>
              <w:jc w:val="center"/>
              <w:rPr>
                <w:rFonts w:eastAsia="MS Mincho"/>
              </w:rPr>
            </w:pPr>
            <w:r w:rsidRPr="001F4770">
              <w:rPr>
                <w:rFonts w:eastAsia="MS Mincho"/>
              </w:rPr>
              <w:t>2018</w:t>
            </w:r>
          </w:p>
        </w:tc>
        <w:tc>
          <w:tcPr>
            <w:tcW w:w="1927" w:type="pct"/>
            <w:vAlign w:val="center"/>
          </w:tcPr>
          <w:p w14:paraId="7C63CDF1" w14:textId="3DD28358"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1BE08DEA" w14:textId="50058DED"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3AAC21F6" w14:textId="77777777" w:rsidTr="00EF6F46">
        <w:trPr>
          <w:trHeight w:val="288"/>
          <w:jc w:val="center"/>
        </w:trPr>
        <w:tc>
          <w:tcPr>
            <w:tcW w:w="1146" w:type="pct"/>
            <w:vAlign w:val="center"/>
          </w:tcPr>
          <w:p w14:paraId="7304782E" w14:textId="77777777" w:rsidR="002F623D" w:rsidRPr="001F4770" w:rsidRDefault="002F623D" w:rsidP="00EF6F46">
            <w:pPr>
              <w:pStyle w:val="ExhibitText"/>
              <w:keepNext/>
              <w:jc w:val="center"/>
              <w:rPr>
                <w:rFonts w:eastAsia="MS Mincho"/>
              </w:rPr>
            </w:pPr>
            <w:r w:rsidRPr="001F4770">
              <w:rPr>
                <w:rFonts w:eastAsia="MS Mincho"/>
              </w:rPr>
              <w:t>2019</w:t>
            </w:r>
          </w:p>
        </w:tc>
        <w:tc>
          <w:tcPr>
            <w:tcW w:w="1927" w:type="pct"/>
            <w:vAlign w:val="center"/>
          </w:tcPr>
          <w:p w14:paraId="0D836756" w14:textId="4A1965F4"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05201401" w14:textId="4B69248C"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01C87186" w14:textId="77777777" w:rsidTr="00EF6F46">
        <w:trPr>
          <w:trHeight w:val="288"/>
          <w:jc w:val="center"/>
        </w:trPr>
        <w:tc>
          <w:tcPr>
            <w:tcW w:w="1146" w:type="pct"/>
            <w:vAlign w:val="center"/>
          </w:tcPr>
          <w:p w14:paraId="789FABA9" w14:textId="77777777" w:rsidR="002F623D" w:rsidRPr="001F4770" w:rsidRDefault="002F623D" w:rsidP="00EF6F46">
            <w:pPr>
              <w:pStyle w:val="ExhibitText"/>
              <w:keepNext/>
              <w:jc w:val="center"/>
              <w:rPr>
                <w:rFonts w:eastAsia="MS Mincho"/>
              </w:rPr>
            </w:pPr>
            <w:r w:rsidRPr="001F4770">
              <w:rPr>
                <w:rFonts w:eastAsia="MS Mincho"/>
              </w:rPr>
              <w:t>2020</w:t>
            </w:r>
          </w:p>
        </w:tc>
        <w:tc>
          <w:tcPr>
            <w:tcW w:w="1927" w:type="pct"/>
            <w:vAlign w:val="center"/>
          </w:tcPr>
          <w:p w14:paraId="208975AC" w14:textId="2DD9E364"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547403F3" w14:textId="1AF5308C"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359D99D3" w14:textId="77777777" w:rsidTr="00EF6F46">
        <w:trPr>
          <w:trHeight w:val="288"/>
          <w:jc w:val="center"/>
        </w:trPr>
        <w:tc>
          <w:tcPr>
            <w:tcW w:w="1146" w:type="pct"/>
            <w:vAlign w:val="center"/>
          </w:tcPr>
          <w:p w14:paraId="01B7D8E8" w14:textId="77777777" w:rsidR="002F623D" w:rsidRPr="001F4770" w:rsidRDefault="002F623D" w:rsidP="00EF6F46">
            <w:pPr>
              <w:pStyle w:val="ExhibitText"/>
              <w:keepNext/>
              <w:jc w:val="center"/>
              <w:rPr>
                <w:rFonts w:eastAsia="MS Mincho"/>
              </w:rPr>
            </w:pPr>
            <w:r w:rsidRPr="001F4770">
              <w:rPr>
                <w:rFonts w:eastAsia="MS Mincho"/>
              </w:rPr>
              <w:t>2021</w:t>
            </w:r>
          </w:p>
        </w:tc>
        <w:tc>
          <w:tcPr>
            <w:tcW w:w="1927" w:type="pct"/>
            <w:vAlign w:val="center"/>
          </w:tcPr>
          <w:p w14:paraId="0508EABE" w14:textId="7769E066"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422236D0" w14:textId="33D2A7FC"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028BFC98" w14:textId="77777777" w:rsidTr="00EF6F46">
        <w:trPr>
          <w:trHeight w:val="288"/>
          <w:jc w:val="center"/>
        </w:trPr>
        <w:tc>
          <w:tcPr>
            <w:tcW w:w="1146" w:type="pct"/>
            <w:vAlign w:val="center"/>
          </w:tcPr>
          <w:p w14:paraId="7A231295" w14:textId="77777777" w:rsidR="002F623D" w:rsidRPr="001F4770" w:rsidRDefault="002F623D" w:rsidP="00EF6F46">
            <w:pPr>
              <w:pStyle w:val="ExhibitText"/>
              <w:keepNext/>
              <w:jc w:val="center"/>
              <w:rPr>
                <w:rFonts w:eastAsia="MS Mincho"/>
              </w:rPr>
            </w:pPr>
            <w:r w:rsidRPr="001F4770">
              <w:rPr>
                <w:rFonts w:eastAsia="MS Mincho"/>
              </w:rPr>
              <w:t>2022</w:t>
            </w:r>
          </w:p>
        </w:tc>
        <w:tc>
          <w:tcPr>
            <w:tcW w:w="1927" w:type="pct"/>
            <w:vAlign w:val="center"/>
          </w:tcPr>
          <w:p w14:paraId="2E8CE3A7" w14:textId="4CC7E34B"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6E064B84" w14:textId="2B679A3A"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27FBB808" w14:textId="77777777" w:rsidTr="00EF6F46">
        <w:trPr>
          <w:trHeight w:val="288"/>
          <w:jc w:val="center"/>
        </w:trPr>
        <w:tc>
          <w:tcPr>
            <w:tcW w:w="1146" w:type="pct"/>
            <w:vAlign w:val="center"/>
          </w:tcPr>
          <w:p w14:paraId="4F660D96" w14:textId="77777777" w:rsidR="002F623D" w:rsidRPr="001F4770" w:rsidRDefault="002F623D" w:rsidP="00EF6F46">
            <w:pPr>
              <w:pStyle w:val="ExhibitText"/>
              <w:keepNext/>
              <w:jc w:val="center"/>
              <w:rPr>
                <w:rFonts w:eastAsia="MS Mincho"/>
              </w:rPr>
            </w:pPr>
            <w:r w:rsidRPr="001F4770">
              <w:rPr>
                <w:rFonts w:eastAsia="MS Mincho"/>
              </w:rPr>
              <w:t>2023</w:t>
            </w:r>
          </w:p>
        </w:tc>
        <w:tc>
          <w:tcPr>
            <w:tcW w:w="1927" w:type="pct"/>
            <w:vAlign w:val="center"/>
          </w:tcPr>
          <w:p w14:paraId="19242071" w14:textId="17025C70"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1</w:t>
            </w:r>
            <w:r w:rsidRPr="001F4770">
              <w:rPr>
                <w:rFonts w:eastAsia="MS Mincho"/>
              </w:rPr>
              <w:t>,</w:t>
            </w:r>
            <w:r w:rsidR="002F623D" w:rsidRPr="001F4770">
              <w:rPr>
                <w:rFonts w:eastAsia="MS Mincho"/>
              </w:rPr>
              <w:t xml:space="preserve">400 </w:t>
            </w:r>
            <w:r w:rsidR="00AD574D" w:rsidRPr="001F4770">
              <w:rPr>
                <w:rFonts w:eastAsia="MS Mincho"/>
              </w:rPr>
              <w:t>million</w:t>
            </w:r>
          </w:p>
        </w:tc>
        <w:tc>
          <w:tcPr>
            <w:tcW w:w="1927" w:type="pct"/>
            <w:vAlign w:val="center"/>
          </w:tcPr>
          <w:p w14:paraId="19FD5D94" w14:textId="50A0F2E1" w:rsidR="002F623D" w:rsidRPr="001F4770" w:rsidRDefault="00C15CE5" w:rsidP="00EF6F46">
            <w:pPr>
              <w:pStyle w:val="ExhibitText"/>
              <w:keepNext/>
              <w:ind w:right="288"/>
              <w:jc w:val="right"/>
              <w:rPr>
                <w:rFonts w:eastAsia="MS Mincho"/>
              </w:rPr>
            </w:pPr>
            <w:r w:rsidRPr="001F4770">
              <w:rPr>
                <w:rFonts w:eastAsia="MS Mincho"/>
              </w:rPr>
              <w:t>€</w:t>
            </w:r>
            <w:r w:rsidR="002F623D" w:rsidRPr="001F4770">
              <w:rPr>
                <w:rFonts w:eastAsia="MS Mincho"/>
              </w:rPr>
              <w:t xml:space="preserve">75 </w:t>
            </w:r>
            <w:r w:rsidR="00AD574D" w:rsidRPr="001F4770">
              <w:rPr>
                <w:rFonts w:eastAsia="MS Mincho"/>
              </w:rPr>
              <w:t>million</w:t>
            </w:r>
          </w:p>
        </w:tc>
      </w:tr>
      <w:tr w:rsidR="00AD574D" w:rsidRPr="001F4770" w14:paraId="00A6E916" w14:textId="77777777" w:rsidTr="00EF6F46">
        <w:trPr>
          <w:trHeight w:val="288"/>
          <w:jc w:val="center"/>
        </w:trPr>
        <w:tc>
          <w:tcPr>
            <w:tcW w:w="1146" w:type="pct"/>
            <w:vAlign w:val="center"/>
          </w:tcPr>
          <w:p w14:paraId="7ECFC665" w14:textId="77777777" w:rsidR="002F623D" w:rsidRPr="001F4770" w:rsidRDefault="002F623D" w:rsidP="00EF6F46">
            <w:pPr>
              <w:pStyle w:val="ExhibitText"/>
              <w:keepNext/>
              <w:jc w:val="center"/>
              <w:rPr>
                <w:rFonts w:eastAsia="MS Mincho"/>
              </w:rPr>
            </w:pPr>
            <w:r w:rsidRPr="001F4770">
              <w:rPr>
                <w:rFonts w:eastAsia="MS Mincho"/>
              </w:rPr>
              <w:t>Depreciation</w:t>
            </w:r>
          </w:p>
        </w:tc>
        <w:tc>
          <w:tcPr>
            <w:tcW w:w="1927" w:type="pct"/>
            <w:vAlign w:val="center"/>
          </w:tcPr>
          <w:p w14:paraId="03FB1971" w14:textId="49927270" w:rsidR="002F623D" w:rsidRPr="001F4770" w:rsidRDefault="002F623D" w:rsidP="00EF6F46">
            <w:pPr>
              <w:pStyle w:val="ExhibitText"/>
              <w:keepNext/>
              <w:jc w:val="center"/>
              <w:rPr>
                <w:rFonts w:eastAsia="MS Mincho"/>
              </w:rPr>
            </w:pPr>
            <w:r w:rsidRPr="001F4770">
              <w:rPr>
                <w:rFonts w:eastAsia="MS Mincho"/>
              </w:rPr>
              <w:t>2</w:t>
            </w:r>
            <w:r w:rsidR="00C15CE5" w:rsidRPr="001F4770">
              <w:rPr>
                <w:rFonts w:eastAsia="MS Mincho"/>
              </w:rPr>
              <w:t>.</w:t>
            </w:r>
            <w:r w:rsidRPr="001F4770">
              <w:rPr>
                <w:rFonts w:eastAsia="MS Mincho"/>
              </w:rPr>
              <w:t>5%</w:t>
            </w:r>
          </w:p>
        </w:tc>
        <w:tc>
          <w:tcPr>
            <w:tcW w:w="1927" w:type="pct"/>
            <w:vAlign w:val="center"/>
          </w:tcPr>
          <w:p w14:paraId="530BA432" w14:textId="77777777" w:rsidR="002F623D" w:rsidRPr="001F4770" w:rsidRDefault="002F623D" w:rsidP="00EF6F46">
            <w:pPr>
              <w:pStyle w:val="ExhibitText"/>
              <w:keepNext/>
              <w:jc w:val="right"/>
              <w:rPr>
                <w:rFonts w:eastAsia="MS Mincho"/>
              </w:rPr>
            </w:pPr>
          </w:p>
        </w:tc>
      </w:tr>
    </w:tbl>
    <w:p w14:paraId="69D7BFD3" w14:textId="77777777" w:rsidR="00C36C19" w:rsidRPr="001F4770" w:rsidRDefault="00C36C19" w:rsidP="00EF6F46">
      <w:pPr>
        <w:pStyle w:val="ExhibitText"/>
        <w:keepNext/>
      </w:pPr>
    </w:p>
    <w:p w14:paraId="769A0B39" w14:textId="019ED4BF" w:rsidR="00D2301C" w:rsidRPr="001F4770" w:rsidRDefault="00D2301C" w:rsidP="00C36C19">
      <w:pPr>
        <w:pStyle w:val="Footnote"/>
        <w:rPr>
          <w:rFonts w:eastAsia="MS Mincho"/>
        </w:rPr>
      </w:pPr>
      <w:r w:rsidRPr="001F4770">
        <w:rPr>
          <w:rFonts w:eastAsia="MS Mincho"/>
        </w:rPr>
        <w:t xml:space="preserve">Note: </w:t>
      </w:r>
      <w:r w:rsidR="00705C8C" w:rsidRPr="001F4770">
        <w:rPr>
          <w:rStyle w:val="FootnoteReference"/>
          <w:vertAlign w:val="baseline"/>
        </w:rPr>
        <w:t xml:space="preserve">€ = </w:t>
      </w:r>
      <w:r w:rsidR="00705C8C">
        <w:t xml:space="preserve">EUR </w:t>
      </w:r>
      <w:proofErr w:type="gramStart"/>
      <w:r w:rsidR="00705C8C">
        <w:t xml:space="preserve">= </w:t>
      </w:r>
      <w:proofErr w:type="gramEnd"/>
      <w:r w:rsidR="00705C8C" w:rsidRPr="001F4770">
        <w:rPr>
          <w:rStyle w:val="FootnoteReference"/>
          <w:vertAlign w:val="baseline"/>
        </w:rPr>
        <w:t>euro</w:t>
      </w:r>
      <w:r w:rsidR="003F6391" w:rsidRPr="001F4770">
        <w:t>;</w:t>
      </w:r>
      <w:r w:rsidR="003F6391" w:rsidRPr="001F4770">
        <w:rPr>
          <w:rFonts w:eastAsia="MS Mincho"/>
        </w:rPr>
        <w:t xml:space="preserve"> </w:t>
      </w:r>
      <w:r w:rsidRPr="00B912ED">
        <w:rPr>
          <w:rFonts w:eastAsia="MS Mincho"/>
          <w:i/>
        </w:rPr>
        <w:t>TYNDP</w:t>
      </w:r>
      <w:r w:rsidRPr="001F4770">
        <w:rPr>
          <w:rFonts w:eastAsia="MS Mincho"/>
        </w:rPr>
        <w:t xml:space="preserve"> = </w:t>
      </w:r>
      <w:r w:rsidR="004E3E7A" w:rsidRPr="00B912ED">
        <w:rPr>
          <w:rFonts w:eastAsia="MS Mincho"/>
          <w:i/>
        </w:rPr>
        <w:t>10</w:t>
      </w:r>
      <w:r w:rsidRPr="00B912ED">
        <w:rPr>
          <w:rFonts w:eastAsia="MS Mincho"/>
          <w:i/>
        </w:rPr>
        <w:t>-Year Network Development Plan</w:t>
      </w:r>
      <w:r w:rsidRPr="001F4770">
        <w:rPr>
          <w:rFonts w:eastAsia="MS Mincho"/>
        </w:rPr>
        <w:t>.</w:t>
      </w:r>
    </w:p>
    <w:p w14:paraId="14E6FD96" w14:textId="3268B950" w:rsidR="00C36C19" w:rsidRPr="001F4770" w:rsidRDefault="00C36C19" w:rsidP="00C36C19">
      <w:pPr>
        <w:pStyle w:val="Footnote"/>
        <w:rPr>
          <w:rFonts w:eastAsia="MS Mincho"/>
        </w:rPr>
      </w:pPr>
      <w:r w:rsidRPr="001F4770">
        <w:rPr>
          <w:rFonts w:eastAsia="MS Mincho"/>
        </w:rPr>
        <w:t xml:space="preserve">Source: Created by </w:t>
      </w:r>
      <w:r w:rsidR="00D2301C" w:rsidRPr="001F4770">
        <w:rPr>
          <w:rFonts w:eastAsia="MS Mincho"/>
        </w:rPr>
        <w:t xml:space="preserve">the case </w:t>
      </w:r>
      <w:r w:rsidRPr="001F4770">
        <w:rPr>
          <w:rFonts w:eastAsia="MS Mincho"/>
        </w:rPr>
        <w:t>authors</w:t>
      </w:r>
      <w:r w:rsidR="00D2301C" w:rsidRPr="001F4770">
        <w:rPr>
          <w:rFonts w:eastAsia="MS Mincho"/>
        </w:rPr>
        <w:t>, loosely based on actual numbers from the company</w:t>
      </w:r>
      <w:r w:rsidRPr="001F4770">
        <w:rPr>
          <w:rFonts w:eastAsia="MS Mincho"/>
        </w:rPr>
        <w:t>.</w:t>
      </w:r>
    </w:p>
    <w:p w14:paraId="7C9B2799" w14:textId="77777777" w:rsidR="00C36C19" w:rsidRPr="001F4770" w:rsidRDefault="00C36C19">
      <w:pPr>
        <w:pStyle w:val="BodyTextMain"/>
      </w:pPr>
    </w:p>
    <w:sectPr w:rsidR="00C36C19" w:rsidRPr="001F4770"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CEF3A4" w16cid:durableId="1FC9DA98"/>
  <w16cid:commentId w16cid:paraId="287B0C1E" w16cid:durableId="1FC9DA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4D995" w14:textId="77777777" w:rsidR="00D870D7" w:rsidRDefault="00D870D7" w:rsidP="00D75295">
      <w:r>
        <w:separator/>
      </w:r>
    </w:p>
  </w:endnote>
  <w:endnote w:type="continuationSeparator" w:id="0">
    <w:p w14:paraId="679FECE6" w14:textId="77777777" w:rsidR="00D870D7" w:rsidRDefault="00D870D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D7188" w14:textId="77777777" w:rsidR="00D870D7" w:rsidRDefault="00D870D7" w:rsidP="00D75295">
      <w:r>
        <w:separator/>
      </w:r>
    </w:p>
  </w:footnote>
  <w:footnote w:type="continuationSeparator" w:id="0">
    <w:p w14:paraId="45276CA1" w14:textId="77777777" w:rsidR="00D870D7" w:rsidRDefault="00D870D7" w:rsidP="00D75295">
      <w:r>
        <w:continuationSeparator/>
      </w:r>
    </w:p>
  </w:footnote>
  <w:footnote w:id="1">
    <w:p w14:paraId="73194865" w14:textId="4D228A27" w:rsidR="00CD787D" w:rsidRPr="00EC15F0" w:rsidRDefault="00CD787D" w:rsidP="00E559F0">
      <w:pPr>
        <w:pStyle w:val="Footnote"/>
        <w:jc w:val="both"/>
      </w:pPr>
      <w:r w:rsidRPr="003565B9">
        <w:rPr>
          <w:rStyle w:val="FootnoteReference"/>
        </w:rPr>
        <w:footnoteRef/>
      </w:r>
      <w:r w:rsidR="003F6391" w:rsidRPr="003565B9">
        <w:t xml:space="preserve"> </w:t>
      </w:r>
      <w:r w:rsidR="00705C8C" w:rsidRPr="001F4770">
        <w:rPr>
          <w:rStyle w:val="FootnoteReference"/>
          <w:vertAlign w:val="baseline"/>
        </w:rPr>
        <w:t xml:space="preserve">€ = </w:t>
      </w:r>
      <w:r w:rsidR="00705C8C">
        <w:t xml:space="preserve">EUR </w:t>
      </w:r>
      <w:proofErr w:type="gramStart"/>
      <w:r w:rsidR="00705C8C">
        <w:t xml:space="preserve">= </w:t>
      </w:r>
      <w:proofErr w:type="gramEnd"/>
      <w:r w:rsidR="00705C8C" w:rsidRPr="001F4770">
        <w:rPr>
          <w:rStyle w:val="FootnoteReference"/>
          <w:vertAlign w:val="baseline"/>
        </w:rPr>
        <w:t>euro</w:t>
      </w:r>
      <w:r w:rsidR="003F6391" w:rsidRPr="003565B9">
        <w:t xml:space="preserve">; </w:t>
      </w:r>
      <w:r w:rsidR="003F6391" w:rsidRPr="00B912ED">
        <w:rPr>
          <w:rFonts w:eastAsiaTheme="minorEastAsia"/>
          <w:spacing w:val="-2"/>
          <w:kern w:val="15"/>
        </w:rPr>
        <w:t xml:space="preserve">all currency amounts are in </w:t>
      </w:r>
      <w:r w:rsidR="003F6391" w:rsidRPr="00EC15F0">
        <w:t>€</w:t>
      </w:r>
      <w:r w:rsidR="003F6391" w:rsidRPr="00B912ED">
        <w:rPr>
          <w:rFonts w:eastAsiaTheme="minorEastAsia"/>
          <w:spacing w:val="-2"/>
          <w:kern w:val="15"/>
        </w:rPr>
        <w:t xml:space="preserve"> unless otherwise specified; </w:t>
      </w:r>
      <w:r w:rsidR="003F6391" w:rsidRPr="00EC15F0">
        <w:t>€</w:t>
      </w:r>
      <w:r w:rsidR="003F6391" w:rsidRPr="00B912ED">
        <w:rPr>
          <w:rFonts w:eastAsiaTheme="minorEastAsia"/>
          <w:spacing w:val="-2"/>
          <w:kern w:val="15"/>
        </w:rPr>
        <w:t>1 = US$1.32 on December 31, 2012.</w:t>
      </w:r>
    </w:p>
  </w:footnote>
  <w:footnote w:id="2">
    <w:p w14:paraId="147A245D" w14:textId="4E811415" w:rsidR="00CD787D" w:rsidRPr="00E7740E" w:rsidRDefault="00CD787D" w:rsidP="00E559F0">
      <w:pPr>
        <w:pStyle w:val="Footnote"/>
        <w:jc w:val="both"/>
      </w:pPr>
      <w:r w:rsidRPr="00B912ED">
        <w:rPr>
          <w:rStyle w:val="FootnoteReference"/>
        </w:rPr>
        <w:footnoteRef/>
      </w:r>
      <w:r w:rsidRPr="00EC15F0">
        <w:t xml:space="preserve"> </w:t>
      </w:r>
      <w:r w:rsidR="00D2301C" w:rsidRPr="00EC15F0">
        <w:t xml:space="preserve">In effect, </w:t>
      </w:r>
      <w:r w:rsidRPr="00EC15F0">
        <w:t xml:space="preserve">every regulatory regime </w:t>
      </w:r>
      <w:r w:rsidR="00D2301C" w:rsidRPr="00EC15F0">
        <w:t xml:space="preserve">provided companies with </w:t>
      </w:r>
      <w:r w:rsidRPr="00E7740E">
        <w:t>incentives</w:t>
      </w:r>
      <w:r w:rsidR="00D2301C" w:rsidRPr="00E7740E">
        <w:t>; the incentives just varied with the regime</w:t>
      </w:r>
      <w:r w:rsidRPr="00E7740E">
        <w:t xml:space="preserve">. </w:t>
      </w:r>
    </w:p>
  </w:footnote>
  <w:footnote w:id="3">
    <w:p w14:paraId="79E359FD" w14:textId="4D9DF16F" w:rsidR="00CD787D" w:rsidRPr="003565B9" w:rsidRDefault="00CD787D" w:rsidP="00E559F0">
      <w:pPr>
        <w:pStyle w:val="Footnote"/>
        <w:jc w:val="both"/>
      </w:pPr>
      <w:r w:rsidRPr="00EC15F0">
        <w:rPr>
          <w:rStyle w:val="FootnoteReference"/>
        </w:rPr>
        <w:footnoteRef/>
      </w:r>
      <w:r w:rsidRPr="00EC15F0">
        <w:t xml:space="preserve"> Pass-through charges </w:t>
      </w:r>
      <w:r w:rsidR="00BA136E" w:rsidRPr="00EC15F0">
        <w:t>refer</w:t>
      </w:r>
      <w:r w:rsidR="000A6EA7" w:rsidRPr="00EC15F0">
        <w:t>red</w:t>
      </w:r>
      <w:r w:rsidR="00BA136E" w:rsidRPr="00EC15F0">
        <w:t xml:space="preserve"> to </w:t>
      </w:r>
      <w:r w:rsidRPr="00EC15F0">
        <w:t xml:space="preserve">costs incurred by the company </w:t>
      </w:r>
      <w:r w:rsidR="00BA136E" w:rsidRPr="00E7740E">
        <w:t>that the regulator directly add</w:t>
      </w:r>
      <w:r w:rsidR="000A6EA7" w:rsidRPr="00E7740E">
        <w:t>ed</w:t>
      </w:r>
      <w:r w:rsidR="00BA136E" w:rsidRPr="00E7740E">
        <w:t xml:space="preserve"> to the total revenue (i.e.</w:t>
      </w:r>
      <w:r w:rsidR="000A6EA7" w:rsidRPr="00E7740E">
        <w:t>, t</w:t>
      </w:r>
      <w:r w:rsidR="000A6EA7" w:rsidRPr="003565B9">
        <w:t>he</w:t>
      </w:r>
      <w:r w:rsidR="00BA136E" w:rsidRPr="003565B9">
        <w:t xml:space="preserve"> regulated asset base) that the company </w:t>
      </w:r>
      <w:r w:rsidR="00246552" w:rsidRPr="003565B9">
        <w:t>could</w:t>
      </w:r>
      <w:r w:rsidR="00BA136E" w:rsidRPr="003565B9">
        <w:t xml:space="preserve"> collect from consumers through electricity transmission tariffs.</w:t>
      </w:r>
    </w:p>
  </w:footnote>
  <w:footnote w:id="4">
    <w:p w14:paraId="53518896" w14:textId="55C8291E" w:rsidR="0048430A" w:rsidRPr="003565B9" w:rsidRDefault="0048430A" w:rsidP="00E559F0">
      <w:pPr>
        <w:pStyle w:val="Footnote"/>
        <w:jc w:val="both"/>
      </w:pPr>
      <w:r w:rsidRPr="00EC15F0">
        <w:rPr>
          <w:rStyle w:val="FootnoteReference"/>
        </w:rPr>
        <w:footnoteRef/>
      </w:r>
      <w:r w:rsidRPr="00EC15F0">
        <w:t xml:space="preserve"> </w:t>
      </w:r>
      <w:r w:rsidR="00CD38A7" w:rsidRPr="00EC15F0">
        <w:t>European Network of Transmission System Operators for Electricity,</w:t>
      </w:r>
      <w:r w:rsidR="00C34705" w:rsidRPr="00EC15F0">
        <w:t xml:space="preserve"> </w:t>
      </w:r>
      <w:r w:rsidR="00C34705" w:rsidRPr="00EC15F0">
        <w:rPr>
          <w:i/>
        </w:rPr>
        <w:t>10-Year Network Development Plan 2012</w:t>
      </w:r>
      <w:r w:rsidR="00CD38A7" w:rsidRPr="00EC15F0">
        <w:t>,</w:t>
      </w:r>
      <w:r w:rsidR="00C34705" w:rsidRPr="00E7740E">
        <w:t xml:space="preserve"> </w:t>
      </w:r>
      <w:r w:rsidR="00CD38A7" w:rsidRPr="00E7740E">
        <w:t xml:space="preserve">accessed August 29, 2018, </w:t>
      </w:r>
      <w:r w:rsidR="00C34705" w:rsidRPr="003565B9">
        <w:t>www.entsoe.eu/fileadmin/user_upload/_library/SDC/TYNDP/2012/TYNDP_2012_report.pdf</w:t>
      </w:r>
      <w:r w:rsidRPr="003565B9">
        <w:t>.</w:t>
      </w:r>
    </w:p>
  </w:footnote>
  <w:footnote w:id="5">
    <w:p w14:paraId="5D297E8D" w14:textId="40D28F57" w:rsidR="003E2C86" w:rsidRPr="003565B9" w:rsidRDefault="003E2C86" w:rsidP="00E559F0">
      <w:pPr>
        <w:pStyle w:val="Footnote"/>
        <w:jc w:val="both"/>
      </w:pPr>
      <w:r w:rsidRPr="00EC15F0">
        <w:rPr>
          <w:rStyle w:val="FootnoteReference"/>
        </w:rPr>
        <w:footnoteRef/>
      </w:r>
      <w:r w:rsidRPr="00EC15F0">
        <w:t xml:space="preserve"> </w:t>
      </w:r>
      <w:r w:rsidR="00986844" w:rsidRPr="00B912ED">
        <w:rPr>
          <w:i/>
        </w:rPr>
        <w:t>Regulation (EU) No 347/2013 of the European Parliament and of the Council of 17 April 2013</w:t>
      </w:r>
      <w:r w:rsidR="00986844" w:rsidRPr="00EC15F0">
        <w:t>,</w:t>
      </w:r>
      <w:r w:rsidRPr="003565B9">
        <w:rPr>
          <w:lang w:val="en-CA"/>
        </w:rPr>
        <w:t xml:space="preserve"> accessed August 30, 2018, https://eur-lex.europa.eu/LexUriServ/LexUriServ.do?uri=OJ:L:2013:115:0039:0075:EN:PDF</w:t>
      </w:r>
      <w:r w:rsidR="00AF32CE" w:rsidRPr="003565B9">
        <w:rPr>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C8CC4" w14:textId="744870B4" w:rsidR="00CD787D" w:rsidRPr="00C92CC4" w:rsidRDefault="00CD787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043CA">
      <w:rPr>
        <w:rFonts w:ascii="Arial" w:hAnsi="Arial"/>
        <w:b/>
        <w:noProof/>
      </w:rPr>
      <w:t>8</w:t>
    </w:r>
    <w:r>
      <w:rPr>
        <w:rFonts w:ascii="Arial" w:hAnsi="Arial"/>
        <w:b/>
      </w:rPr>
      <w:fldChar w:fldCharType="end"/>
    </w:r>
    <w:r>
      <w:rPr>
        <w:rFonts w:ascii="Arial" w:hAnsi="Arial"/>
        <w:b/>
      </w:rPr>
      <w:tab/>
    </w:r>
    <w:r w:rsidR="00282434">
      <w:rPr>
        <w:rFonts w:ascii="Arial" w:hAnsi="Arial"/>
        <w:b/>
      </w:rPr>
      <w:t>9B19N002</w:t>
    </w:r>
  </w:p>
  <w:p w14:paraId="6C311BA2" w14:textId="77777777" w:rsidR="00CD787D" w:rsidRDefault="00CD787D" w:rsidP="00D13667">
    <w:pPr>
      <w:pStyle w:val="Header"/>
      <w:tabs>
        <w:tab w:val="clear" w:pos="4680"/>
      </w:tabs>
      <w:rPr>
        <w:sz w:val="18"/>
        <w:szCs w:val="18"/>
      </w:rPr>
    </w:pPr>
  </w:p>
  <w:p w14:paraId="32FE0D4A" w14:textId="77777777" w:rsidR="00CD787D" w:rsidRPr="00C92CC4" w:rsidRDefault="00CD787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A3649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CD6B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28D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3AA7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3C1B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02EF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1891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F6A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9A16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28A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F492D"/>
    <w:multiLevelType w:val="hybridMultilevel"/>
    <w:tmpl w:val="007AAFB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29489B"/>
    <w:multiLevelType w:val="hybridMultilevel"/>
    <w:tmpl w:val="530EA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2233E3"/>
    <w:multiLevelType w:val="hybridMultilevel"/>
    <w:tmpl w:val="263C0E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6F136F"/>
    <w:multiLevelType w:val="hybridMultilevel"/>
    <w:tmpl w:val="625CD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1"/>
  </w:num>
  <w:num w:numId="10">
    <w:abstractNumId w:val="19"/>
  </w:num>
  <w:num w:numId="11">
    <w:abstractNumId w:val="12"/>
  </w:num>
  <w:num w:numId="12">
    <w:abstractNumId w:val="38"/>
  </w:num>
  <w:num w:numId="13">
    <w:abstractNumId w:val="16"/>
  </w:num>
  <w:num w:numId="14">
    <w:abstractNumId w:val="29"/>
  </w:num>
  <w:num w:numId="15">
    <w:abstractNumId w:val="39"/>
  </w:num>
  <w:num w:numId="16">
    <w:abstractNumId w:val="18"/>
  </w:num>
  <w:num w:numId="17">
    <w:abstractNumId w:val="25"/>
  </w:num>
  <w:num w:numId="18">
    <w:abstractNumId w:val="17"/>
  </w:num>
  <w:num w:numId="19">
    <w:abstractNumId w:val="21"/>
  </w:num>
  <w:num w:numId="20">
    <w:abstractNumId w:val="36"/>
  </w:num>
  <w:num w:numId="21">
    <w:abstractNumId w:val="27"/>
  </w:num>
  <w:num w:numId="22">
    <w:abstractNumId w:val="28"/>
  </w:num>
  <w:num w:numId="23">
    <w:abstractNumId w:val="10"/>
  </w:num>
  <w:num w:numId="24">
    <w:abstractNumId w:val="14"/>
  </w:num>
  <w:num w:numId="25">
    <w:abstractNumId w:val="40"/>
  </w:num>
  <w:num w:numId="26">
    <w:abstractNumId w:val="42"/>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37"/>
  </w:num>
  <w:num w:numId="41">
    <w:abstractNumId w:val="13"/>
  </w:num>
  <w:num w:numId="42">
    <w:abstractNumId w:val="35"/>
  </w:num>
  <w:num w:numId="43">
    <w:abstractNumId w:val="4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S0MDY2NTI1MzQwNTFT0lEKTi0uzszPAykwrAUAoBIBPSwAAAA="/>
  </w:docVars>
  <w:rsids>
    <w:rsidRoot w:val="008A4DC4"/>
    <w:rsid w:val="0000085A"/>
    <w:rsid w:val="0001074A"/>
    <w:rsid w:val="000107DF"/>
    <w:rsid w:val="00013360"/>
    <w:rsid w:val="00016759"/>
    <w:rsid w:val="000203F8"/>
    <w:rsid w:val="000216CE"/>
    <w:rsid w:val="000220D6"/>
    <w:rsid w:val="0002414B"/>
    <w:rsid w:val="00024ED4"/>
    <w:rsid w:val="00025DC7"/>
    <w:rsid w:val="00035F09"/>
    <w:rsid w:val="00044ECC"/>
    <w:rsid w:val="00052B26"/>
    <w:rsid w:val="000531D3"/>
    <w:rsid w:val="0005646B"/>
    <w:rsid w:val="0008102D"/>
    <w:rsid w:val="00090451"/>
    <w:rsid w:val="00094C0E"/>
    <w:rsid w:val="000A6EA7"/>
    <w:rsid w:val="000B2CE9"/>
    <w:rsid w:val="000D7091"/>
    <w:rsid w:val="000F0C22"/>
    <w:rsid w:val="000F6B09"/>
    <w:rsid w:val="000F6FDC"/>
    <w:rsid w:val="00104567"/>
    <w:rsid w:val="00104916"/>
    <w:rsid w:val="00104AA7"/>
    <w:rsid w:val="0010731E"/>
    <w:rsid w:val="00117F99"/>
    <w:rsid w:val="0012732D"/>
    <w:rsid w:val="0014074B"/>
    <w:rsid w:val="00143F25"/>
    <w:rsid w:val="00152682"/>
    <w:rsid w:val="00154924"/>
    <w:rsid w:val="00154FC9"/>
    <w:rsid w:val="00173B70"/>
    <w:rsid w:val="0018359A"/>
    <w:rsid w:val="0019241A"/>
    <w:rsid w:val="00192A18"/>
    <w:rsid w:val="00192E57"/>
    <w:rsid w:val="00197ADF"/>
    <w:rsid w:val="001A22D1"/>
    <w:rsid w:val="001A68A6"/>
    <w:rsid w:val="001A752D"/>
    <w:rsid w:val="001A757E"/>
    <w:rsid w:val="001B5032"/>
    <w:rsid w:val="001C7777"/>
    <w:rsid w:val="001E364F"/>
    <w:rsid w:val="001F4222"/>
    <w:rsid w:val="001F4770"/>
    <w:rsid w:val="00203AA1"/>
    <w:rsid w:val="00213E98"/>
    <w:rsid w:val="0023053B"/>
    <w:rsid w:val="0023081A"/>
    <w:rsid w:val="00233C65"/>
    <w:rsid w:val="00242D61"/>
    <w:rsid w:val="00246552"/>
    <w:rsid w:val="00255143"/>
    <w:rsid w:val="00265FA8"/>
    <w:rsid w:val="00282434"/>
    <w:rsid w:val="002B2DAA"/>
    <w:rsid w:val="002F2E07"/>
    <w:rsid w:val="002F460C"/>
    <w:rsid w:val="002F48D6"/>
    <w:rsid w:val="002F623D"/>
    <w:rsid w:val="00317391"/>
    <w:rsid w:val="00324BDB"/>
    <w:rsid w:val="00326216"/>
    <w:rsid w:val="00330D40"/>
    <w:rsid w:val="00334C4A"/>
    <w:rsid w:val="00336580"/>
    <w:rsid w:val="0034290B"/>
    <w:rsid w:val="00347346"/>
    <w:rsid w:val="003477D7"/>
    <w:rsid w:val="00352644"/>
    <w:rsid w:val="00354899"/>
    <w:rsid w:val="00355FD6"/>
    <w:rsid w:val="003565B9"/>
    <w:rsid w:val="0035777D"/>
    <w:rsid w:val="00364A5C"/>
    <w:rsid w:val="00373FB1"/>
    <w:rsid w:val="00381CFF"/>
    <w:rsid w:val="00396C76"/>
    <w:rsid w:val="003B0F59"/>
    <w:rsid w:val="003B25C6"/>
    <w:rsid w:val="003B30D8"/>
    <w:rsid w:val="003B7A9F"/>
    <w:rsid w:val="003B7EF2"/>
    <w:rsid w:val="003C3FA4"/>
    <w:rsid w:val="003D0BA1"/>
    <w:rsid w:val="003E2C86"/>
    <w:rsid w:val="003E5B03"/>
    <w:rsid w:val="003F2B0C"/>
    <w:rsid w:val="003F6391"/>
    <w:rsid w:val="004105B2"/>
    <w:rsid w:val="0041133A"/>
    <w:rsid w:val="00412900"/>
    <w:rsid w:val="004221E4"/>
    <w:rsid w:val="004273F8"/>
    <w:rsid w:val="00427E8B"/>
    <w:rsid w:val="004355A3"/>
    <w:rsid w:val="00446546"/>
    <w:rsid w:val="00452769"/>
    <w:rsid w:val="00455E8B"/>
    <w:rsid w:val="00465348"/>
    <w:rsid w:val="00467A55"/>
    <w:rsid w:val="0048430A"/>
    <w:rsid w:val="00493EE0"/>
    <w:rsid w:val="004979A5"/>
    <w:rsid w:val="004B1CCB"/>
    <w:rsid w:val="004B632F"/>
    <w:rsid w:val="004B6FD7"/>
    <w:rsid w:val="004C2020"/>
    <w:rsid w:val="004C76E9"/>
    <w:rsid w:val="004D3FB1"/>
    <w:rsid w:val="004D6917"/>
    <w:rsid w:val="004D6F21"/>
    <w:rsid w:val="004D73A5"/>
    <w:rsid w:val="004E3E7A"/>
    <w:rsid w:val="004F2F19"/>
    <w:rsid w:val="004F3BE6"/>
    <w:rsid w:val="00505594"/>
    <w:rsid w:val="005160F1"/>
    <w:rsid w:val="00524F2F"/>
    <w:rsid w:val="00527E5C"/>
    <w:rsid w:val="00532CF5"/>
    <w:rsid w:val="00546C0B"/>
    <w:rsid w:val="005528CB"/>
    <w:rsid w:val="00566771"/>
    <w:rsid w:val="00575695"/>
    <w:rsid w:val="00581E2E"/>
    <w:rsid w:val="00584F15"/>
    <w:rsid w:val="0059514B"/>
    <w:rsid w:val="005954A0"/>
    <w:rsid w:val="00596658"/>
    <w:rsid w:val="005A1B0F"/>
    <w:rsid w:val="005C5DB6"/>
    <w:rsid w:val="00603969"/>
    <w:rsid w:val="006043CA"/>
    <w:rsid w:val="006117FD"/>
    <w:rsid w:val="006163F7"/>
    <w:rsid w:val="00626FDD"/>
    <w:rsid w:val="00627C63"/>
    <w:rsid w:val="0063350B"/>
    <w:rsid w:val="00652606"/>
    <w:rsid w:val="00657E18"/>
    <w:rsid w:val="0068246F"/>
    <w:rsid w:val="006946EE"/>
    <w:rsid w:val="006976AE"/>
    <w:rsid w:val="006A58A9"/>
    <w:rsid w:val="006A606D"/>
    <w:rsid w:val="006C0371"/>
    <w:rsid w:val="006C08B6"/>
    <w:rsid w:val="006C0B1A"/>
    <w:rsid w:val="006C6065"/>
    <w:rsid w:val="006C705D"/>
    <w:rsid w:val="006C7F9F"/>
    <w:rsid w:val="006E2F6D"/>
    <w:rsid w:val="006E58F6"/>
    <w:rsid w:val="006E77E1"/>
    <w:rsid w:val="006F131D"/>
    <w:rsid w:val="00700D53"/>
    <w:rsid w:val="007036B8"/>
    <w:rsid w:val="00705C8C"/>
    <w:rsid w:val="00706277"/>
    <w:rsid w:val="00711642"/>
    <w:rsid w:val="00741276"/>
    <w:rsid w:val="007507C6"/>
    <w:rsid w:val="00751E0B"/>
    <w:rsid w:val="00752BCD"/>
    <w:rsid w:val="00762364"/>
    <w:rsid w:val="00765A35"/>
    <w:rsid w:val="00766DA1"/>
    <w:rsid w:val="00780D94"/>
    <w:rsid w:val="007866A6"/>
    <w:rsid w:val="007A130D"/>
    <w:rsid w:val="007A2624"/>
    <w:rsid w:val="007C3B6C"/>
    <w:rsid w:val="007C5482"/>
    <w:rsid w:val="007D1A2D"/>
    <w:rsid w:val="007D34BA"/>
    <w:rsid w:val="007D4102"/>
    <w:rsid w:val="007E095C"/>
    <w:rsid w:val="007E277D"/>
    <w:rsid w:val="007F43B7"/>
    <w:rsid w:val="00821FFC"/>
    <w:rsid w:val="008271CA"/>
    <w:rsid w:val="008467D5"/>
    <w:rsid w:val="00853D71"/>
    <w:rsid w:val="0087441B"/>
    <w:rsid w:val="008A184D"/>
    <w:rsid w:val="008A2957"/>
    <w:rsid w:val="008A4DC4"/>
    <w:rsid w:val="008B0084"/>
    <w:rsid w:val="008B438C"/>
    <w:rsid w:val="008B5DBC"/>
    <w:rsid w:val="008C0EC1"/>
    <w:rsid w:val="008D06CA"/>
    <w:rsid w:val="008D3A46"/>
    <w:rsid w:val="008D558D"/>
    <w:rsid w:val="009022B2"/>
    <w:rsid w:val="009067A4"/>
    <w:rsid w:val="00926828"/>
    <w:rsid w:val="00930885"/>
    <w:rsid w:val="00933D68"/>
    <w:rsid w:val="009340DB"/>
    <w:rsid w:val="00944CCD"/>
    <w:rsid w:val="0094618C"/>
    <w:rsid w:val="00947084"/>
    <w:rsid w:val="0095684B"/>
    <w:rsid w:val="00972498"/>
    <w:rsid w:val="0097481F"/>
    <w:rsid w:val="00974CC6"/>
    <w:rsid w:val="009760FE"/>
    <w:rsid w:val="00976AD4"/>
    <w:rsid w:val="00986844"/>
    <w:rsid w:val="0099552A"/>
    <w:rsid w:val="00995547"/>
    <w:rsid w:val="00996C8B"/>
    <w:rsid w:val="009A1A61"/>
    <w:rsid w:val="009A312F"/>
    <w:rsid w:val="009A5348"/>
    <w:rsid w:val="009B0AB7"/>
    <w:rsid w:val="009C485A"/>
    <w:rsid w:val="009C76D5"/>
    <w:rsid w:val="009D7E45"/>
    <w:rsid w:val="009E309B"/>
    <w:rsid w:val="009F7AA4"/>
    <w:rsid w:val="00A00693"/>
    <w:rsid w:val="00A03C08"/>
    <w:rsid w:val="00A10AD7"/>
    <w:rsid w:val="00A40D17"/>
    <w:rsid w:val="00A559DB"/>
    <w:rsid w:val="00A569EA"/>
    <w:rsid w:val="00A76103"/>
    <w:rsid w:val="00A76CDD"/>
    <w:rsid w:val="00A94921"/>
    <w:rsid w:val="00AB6DEC"/>
    <w:rsid w:val="00AC710C"/>
    <w:rsid w:val="00AD3A73"/>
    <w:rsid w:val="00AD56CA"/>
    <w:rsid w:val="00AD574D"/>
    <w:rsid w:val="00AF32CE"/>
    <w:rsid w:val="00AF35FC"/>
    <w:rsid w:val="00AF5556"/>
    <w:rsid w:val="00B03639"/>
    <w:rsid w:val="00B0652A"/>
    <w:rsid w:val="00B07CDB"/>
    <w:rsid w:val="00B16E35"/>
    <w:rsid w:val="00B30D09"/>
    <w:rsid w:val="00B40937"/>
    <w:rsid w:val="00B423EF"/>
    <w:rsid w:val="00B453DE"/>
    <w:rsid w:val="00B47489"/>
    <w:rsid w:val="00B51B06"/>
    <w:rsid w:val="00B62858"/>
    <w:rsid w:val="00B66DD5"/>
    <w:rsid w:val="00B72597"/>
    <w:rsid w:val="00B901F9"/>
    <w:rsid w:val="00B912ED"/>
    <w:rsid w:val="00B92B5E"/>
    <w:rsid w:val="00B9591F"/>
    <w:rsid w:val="00BA136E"/>
    <w:rsid w:val="00BA3C5B"/>
    <w:rsid w:val="00BB269C"/>
    <w:rsid w:val="00BC4D98"/>
    <w:rsid w:val="00BC6839"/>
    <w:rsid w:val="00BD6EFB"/>
    <w:rsid w:val="00BE300E"/>
    <w:rsid w:val="00BF5EAB"/>
    <w:rsid w:val="00BF7894"/>
    <w:rsid w:val="00BF7C5D"/>
    <w:rsid w:val="00C04547"/>
    <w:rsid w:val="00C1584D"/>
    <w:rsid w:val="00C15BE2"/>
    <w:rsid w:val="00C15CE5"/>
    <w:rsid w:val="00C263A6"/>
    <w:rsid w:val="00C3447F"/>
    <w:rsid w:val="00C34705"/>
    <w:rsid w:val="00C36C19"/>
    <w:rsid w:val="00C42C30"/>
    <w:rsid w:val="00C44E98"/>
    <w:rsid w:val="00C51B96"/>
    <w:rsid w:val="00C55758"/>
    <w:rsid w:val="00C55D10"/>
    <w:rsid w:val="00C56F36"/>
    <w:rsid w:val="00C67102"/>
    <w:rsid w:val="00C81491"/>
    <w:rsid w:val="00C81676"/>
    <w:rsid w:val="00C81940"/>
    <w:rsid w:val="00C85C5D"/>
    <w:rsid w:val="00C92CC4"/>
    <w:rsid w:val="00CA0AFB"/>
    <w:rsid w:val="00CA198F"/>
    <w:rsid w:val="00CA2CE1"/>
    <w:rsid w:val="00CA3976"/>
    <w:rsid w:val="00CA50E3"/>
    <w:rsid w:val="00CA757B"/>
    <w:rsid w:val="00CC1787"/>
    <w:rsid w:val="00CC182C"/>
    <w:rsid w:val="00CC59FB"/>
    <w:rsid w:val="00CD0824"/>
    <w:rsid w:val="00CD12E9"/>
    <w:rsid w:val="00CD208C"/>
    <w:rsid w:val="00CD2908"/>
    <w:rsid w:val="00CD38A7"/>
    <w:rsid w:val="00CD787D"/>
    <w:rsid w:val="00CE2526"/>
    <w:rsid w:val="00CF6E50"/>
    <w:rsid w:val="00D01868"/>
    <w:rsid w:val="00D03A82"/>
    <w:rsid w:val="00D13667"/>
    <w:rsid w:val="00D15344"/>
    <w:rsid w:val="00D15C62"/>
    <w:rsid w:val="00D202FD"/>
    <w:rsid w:val="00D2301C"/>
    <w:rsid w:val="00D23F57"/>
    <w:rsid w:val="00D31BEC"/>
    <w:rsid w:val="00D63150"/>
    <w:rsid w:val="00D636BA"/>
    <w:rsid w:val="00D64A32"/>
    <w:rsid w:val="00D64EFC"/>
    <w:rsid w:val="00D75295"/>
    <w:rsid w:val="00D76CE9"/>
    <w:rsid w:val="00D870D7"/>
    <w:rsid w:val="00D97741"/>
    <w:rsid w:val="00D97F12"/>
    <w:rsid w:val="00DA6095"/>
    <w:rsid w:val="00DB42E7"/>
    <w:rsid w:val="00DD3104"/>
    <w:rsid w:val="00DE01A6"/>
    <w:rsid w:val="00DE7A98"/>
    <w:rsid w:val="00DF189C"/>
    <w:rsid w:val="00DF32C2"/>
    <w:rsid w:val="00E277CD"/>
    <w:rsid w:val="00E27A96"/>
    <w:rsid w:val="00E45879"/>
    <w:rsid w:val="00E471A7"/>
    <w:rsid w:val="00E559F0"/>
    <w:rsid w:val="00E635CF"/>
    <w:rsid w:val="00E73C5C"/>
    <w:rsid w:val="00E7740E"/>
    <w:rsid w:val="00E80C5F"/>
    <w:rsid w:val="00E82A52"/>
    <w:rsid w:val="00E83DD7"/>
    <w:rsid w:val="00EC0355"/>
    <w:rsid w:val="00EC15F0"/>
    <w:rsid w:val="00EC6E0A"/>
    <w:rsid w:val="00ED0BAD"/>
    <w:rsid w:val="00ED3FDE"/>
    <w:rsid w:val="00ED4E18"/>
    <w:rsid w:val="00EE032E"/>
    <w:rsid w:val="00EE1F37"/>
    <w:rsid w:val="00EE3B4E"/>
    <w:rsid w:val="00EF6F46"/>
    <w:rsid w:val="00F0159C"/>
    <w:rsid w:val="00F02FEE"/>
    <w:rsid w:val="00F031C1"/>
    <w:rsid w:val="00F105B7"/>
    <w:rsid w:val="00F10DD1"/>
    <w:rsid w:val="00F13220"/>
    <w:rsid w:val="00F17A21"/>
    <w:rsid w:val="00F24853"/>
    <w:rsid w:val="00F379CA"/>
    <w:rsid w:val="00F37B27"/>
    <w:rsid w:val="00F409D2"/>
    <w:rsid w:val="00F46556"/>
    <w:rsid w:val="00F50E91"/>
    <w:rsid w:val="00F50F3F"/>
    <w:rsid w:val="00F57D29"/>
    <w:rsid w:val="00F60413"/>
    <w:rsid w:val="00F60786"/>
    <w:rsid w:val="00F67EB8"/>
    <w:rsid w:val="00F757F3"/>
    <w:rsid w:val="00F77C1B"/>
    <w:rsid w:val="00F87533"/>
    <w:rsid w:val="00F91BC7"/>
    <w:rsid w:val="00F96201"/>
    <w:rsid w:val="00FD0B18"/>
    <w:rsid w:val="00FD2FAD"/>
    <w:rsid w:val="00FE0268"/>
    <w:rsid w:val="00FE2237"/>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5CBA96"/>
  <w15:docId w15:val="{21BD1FFF-5EF3-4A78-A1E6-FB80F48F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7EB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9D7E45"/>
    <w:rPr>
      <w:b w:val="0"/>
      <w:color w:val="auto"/>
      <w:vertAlign w:val="superscript"/>
    </w:rPr>
  </w:style>
  <w:style w:type="paragraph" w:customStyle="1" w:styleId="Footnote">
    <w:name w:val="Footnote"/>
    <w:basedOn w:val="FootnoteText"/>
    <w:link w:val="FootnoteChar"/>
    <w:qFormat/>
    <w:rsid w:val="009D7E45"/>
    <w:rPr>
      <w:rFonts w:ascii="Arial" w:hAnsi="Arial" w:cs="Arial"/>
      <w:sz w:val="17"/>
      <w:szCs w:val="17"/>
    </w:rPr>
  </w:style>
  <w:style w:type="character" w:customStyle="1" w:styleId="FootnoteChar">
    <w:name w:val="Footnote Char"/>
    <w:basedOn w:val="FootnoteTextChar"/>
    <w:link w:val="Footnote"/>
    <w:rsid w:val="00F67EB8"/>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3">
    <w:name w:val="Table Grid3"/>
    <w:basedOn w:val="TableNormal"/>
    <w:next w:val="TableGrid"/>
    <w:rsid w:val="002F623D"/>
    <w:pPr>
      <w:spacing w:after="0" w:line="240" w:lineRule="auto"/>
    </w:pPr>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9D7E45"/>
  </w:style>
  <w:style w:type="character" w:customStyle="1" w:styleId="apple-converted-space">
    <w:name w:val="apple-converted-space"/>
    <w:basedOn w:val="DefaultParagraphFont"/>
    <w:rsid w:val="009D7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174188">
      <w:bodyDiv w:val="1"/>
      <w:marLeft w:val="0"/>
      <w:marRight w:val="0"/>
      <w:marTop w:val="0"/>
      <w:marBottom w:val="0"/>
      <w:divBdr>
        <w:top w:val="none" w:sz="0" w:space="0" w:color="auto"/>
        <w:left w:val="none" w:sz="0" w:space="0" w:color="auto"/>
        <w:bottom w:val="none" w:sz="0" w:space="0" w:color="auto"/>
        <w:right w:val="none" w:sz="0" w:space="0" w:color="auto"/>
      </w:divBdr>
      <w:divsChild>
        <w:div w:id="429161936">
          <w:marLeft w:val="0"/>
          <w:marRight w:val="0"/>
          <w:marTop w:val="0"/>
          <w:marBottom w:val="0"/>
          <w:divBdr>
            <w:top w:val="none" w:sz="0" w:space="0" w:color="auto"/>
            <w:left w:val="none" w:sz="0" w:space="0" w:color="auto"/>
            <w:bottom w:val="none" w:sz="0" w:space="0" w:color="auto"/>
            <w:right w:val="none" w:sz="0" w:space="0" w:color="auto"/>
          </w:divBdr>
          <w:divsChild>
            <w:div w:id="929629228">
              <w:marLeft w:val="0"/>
              <w:marRight w:val="0"/>
              <w:marTop w:val="0"/>
              <w:marBottom w:val="0"/>
              <w:divBdr>
                <w:top w:val="none" w:sz="0" w:space="0" w:color="auto"/>
                <w:left w:val="none" w:sz="0" w:space="0" w:color="auto"/>
                <w:bottom w:val="none" w:sz="0" w:space="0" w:color="auto"/>
                <w:right w:val="none" w:sz="0" w:space="0" w:color="auto"/>
              </w:divBdr>
              <w:divsChild>
                <w:div w:id="1511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AE68D-CC88-4AC4-98B0-05F18D1D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6</cp:revision>
  <cp:lastPrinted>2018-03-25T17:11:00Z</cp:lastPrinted>
  <dcterms:created xsi:type="dcterms:W3CDTF">2019-01-08T20:46:00Z</dcterms:created>
  <dcterms:modified xsi:type="dcterms:W3CDTF">2019-02-08T21:45:00Z</dcterms:modified>
</cp:coreProperties>
</file>