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90"/>
      </w:tblGrid>
      <w:tr w:rsidR="00EC1130" w:rsidRPr="001C0029" w14:paraId="55020604" w14:textId="77777777" w:rsidTr="00FA4081">
        <w:tc>
          <w:tcPr>
            <w:tcW w:w="4680" w:type="dxa"/>
          </w:tcPr>
          <w:p w14:paraId="616E9C13" w14:textId="77777777" w:rsidR="00EC1130" w:rsidRPr="001C0029" w:rsidRDefault="00EC1130" w:rsidP="00FA4081">
            <w:pPr>
              <w:tabs>
                <w:tab w:val="left" w:pos="-1440"/>
                <w:tab w:val="left" w:pos="-720"/>
                <w:tab w:val="left" w:pos="1"/>
              </w:tabs>
              <w:jc w:val="both"/>
              <w:rPr>
                <w:rFonts w:ascii="Arial" w:hAnsi="Arial"/>
                <w:b/>
                <w:sz w:val="24"/>
              </w:rPr>
            </w:pPr>
            <w:r w:rsidRPr="001C0029">
              <w:rPr>
                <w:rFonts w:ascii="Arial" w:hAnsi="Arial"/>
                <w:b/>
                <w:noProof/>
                <w:sz w:val="24"/>
                <w:lang w:val="en-US"/>
              </w:rPr>
              <w:drawing>
                <wp:inline distT="0" distB="0" distL="0" distR="0" wp14:anchorId="111BB996" wp14:editId="6FAB7207">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B667777" w14:textId="77777777" w:rsidR="00EC1130" w:rsidRPr="001C0029" w:rsidRDefault="00EC1130" w:rsidP="00FA4081">
            <w:pPr>
              <w:tabs>
                <w:tab w:val="left" w:pos="-1440"/>
                <w:tab w:val="left" w:pos="-720"/>
                <w:tab w:val="left" w:pos="1"/>
              </w:tabs>
              <w:jc w:val="right"/>
              <w:rPr>
                <w:rFonts w:ascii="Arial" w:hAnsi="Arial"/>
                <w:b/>
                <w:sz w:val="24"/>
              </w:rPr>
            </w:pPr>
            <w:r w:rsidRPr="001C0029">
              <w:rPr>
                <w:noProof/>
                <w:lang w:val="en-US"/>
              </w:rPr>
              <w:drawing>
                <wp:inline distT="0" distB="0" distL="0" distR="0" wp14:anchorId="1F425BC6" wp14:editId="4FC77DB1">
                  <wp:extent cx="525011" cy="640080"/>
                  <wp:effectExtent l="0" t="0" r="8890" b="7620"/>
                  <wp:docPr id="2" name="Picture 2" descr="VLERI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ERICK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011" cy="640080"/>
                          </a:xfrm>
                          <a:prstGeom prst="rect">
                            <a:avLst/>
                          </a:prstGeom>
                          <a:noFill/>
                          <a:ln>
                            <a:noFill/>
                          </a:ln>
                        </pic:spPr>
                      </pic:pic>
                    </a:graphicData>
                  </a:graphic>
                </wp:inline>
              </w:drawing>
            </w:r>
          </w:p>
        </w:tc>
      </w:tr>
    </w:tbl>
    <w:p w14:paraId="49ADB5F9" w14:textId="77777777" w:rsidR="00EC1130" w:rsidRPr="001C0029" w:rsidRDefault="00EC1130" w:rsidP="00EC1130">
      <w:pPr>
        <w:pBdr>
          <w:bottom w:val="single" w:sz="18" w:space="1" w:color="auto"/>
        </w:pBdr>
        <w:tabs>
          <w:tab w:val="left" w:pos="-1440"/>
          <w:tab w:val="left" w:pos="-720"/>
          <w:tab w:val="left" w:pos="1"/>
        </w:tabs>
        <w:jc w:val="both"/>
        <w:rPr>
          <w:rFonts w:ascii="Arial" w:hAnsi="Arial"/>
          <w:b/>
          <w:sz w:val="2"/>
          <w:szCs w:val="2"/>
        </w:rPr>
      </w:pPr>
    </w:p>
    <w:p w14:paraId="282AE83A" w14:textId="3776F854" w:rsidR="00EC1130" w:rsidRPr="001C0029" w:rsidRDefault="000D679E" w:rsidP="00EC1130">
      <w:pPr>
        <w:pStyle w:val="ProductNumber"/>
      </w:pPr>
      <w:r>
        <w:t>9B19N003</w:t>
      </w:r>
    </w:p>
    <w:p w14:paraId="4E057522" w14:textId="77777777" w:rsidR="00D75295" w:rsidRPr="001C0029" w:rsidRDefault="00D75295" w:rsidP="00D75295">
      <w:pPr>
        <w:jc w:val="right"/>
        <w:rPr>
          <w:rFonts w:ascii="Arial" w:hAnsi="Arial"/>
          <w:b/>
          <w:sz w:val="28"/>
          <w:szCs w:val="28"/>
        </w:rPr>
      </w:pPr>
    </w:p>
    <w:p w14:paraId="426B7211" w14:textId="77777777" w:rsidR="00013360" w:rsidRPr="001C0029" w:rsidRDefault="00013360" w:rsidP="00D75295">
      <w:pPr>
        <w:jc w:val="right"/>
        <w:rPr>
          <w:rFonts w:ascii="Arial" w:hAnsi="Arial"/>
          <w:b/>
          <w:sz w:val="28"/>
          <w:szCs w:val="28"/>
        </w:rPr>
      </w:pPr>
    </w:p>
    <w:p w14:paraId="2F03D26A" w14:textId="0657414B" w:rsidR="00013360" w:rsidRPr="001C0029" w:rsidRDefault="00672919" w:rsidP="00013360">
      <w:pPr>
        <w:pStyle w:val="CaseTitle"/>
        <w:spacing w:after="0" w:line="240" w:lineRule="auto"/>
        <w:rPr>
          <w:sz w:val="20"/>
          <w:szCs w:val="20"/>
        </w:rPr>
      </w:pPr>
      <w:r w:rsidRPr="001C0029">
        <w:rPr>
          <w:rFonts w:eastAsia="Arial"/>
        </w:rPr>
        <w:t>EANDIS: FINANCING THE ROLL</w:t>
      </w:r>
      <w:r w:rsidR="007E54A7" w:rsidRPr="001C0029">
        <w:rPr>
          <w:rFonts w:eastAsia="Arial"/>
        </w:rPr>
        <w:t>OUT OF SMART METERS IN A REGULATED ENVIRONMENT</w:t>
      </w:r>
    </w:p>
    <w:p w14:paraId="40ABF6FD" w14:textId="77777777" w:rsidR="00CA3976" w:rsidRPr="001C0029" w:rsidRDefault="00CA3976" w:rsidP="00013360">
      <w:pPr>
        <w:pStyle w:val="CaseTitle"/>
        <w:spacing w:after="0" w:line="240" w:lineRule="auto"/>
        <w:rPr>
          <w:sz w:val="20"/>
          <w:szCs w:val="20"/>
        </w:rPr>
      </w:pPr>
    </w:p>
    <w:p w14:paraId="202F1085" w14:textId="77777777" w:rsidR="00013360" w:rsidRPr="001C0029" w:rsidRDefault="00013360" w:rsidP="00013360">
      <w:pPr>
        <w:pStyle w:val="CaseTitle"/>
        <w:spacing w:after="0" w:line="240" w:lineRule="auto"/>
        <w:rPr>
          <w:sz w:val="20"/>
          <w:szCs w:val="20"/>
        </w:rPr>
      </w:pPr>
    </w:p>
    <w:p w14:paraId="4899722B" w14:textId="77777777" w:rsidR="00627C63" w:rsidRPr="001C0029" w:rsidRDefault="007E54A7" w:rsidP="00627C63">
      <w:pPr>
        <w:pStyle w:val="StyleCopyrightStatementAfter0ptBottomSinglesolidline1"/>
      </w:pPr>
      <w:r w:rsidRPr="001C0029">
        <w:t xml:space="preserve">Filip </w:t>
      </w:r>
      <w:proofErr w:type="spellStart"/>
      <w:r w:rsidRPr="001C0029">
        <w:t>Roodhooft</w:t>
      </w:r>
      <w:proofErr w:type="spellEnd"/>
      <w:r w:rsidRPr="001C0029">
        <w:t xml:space="preserve">, </w:t>
      </w:r>
      <w:proofErr w:type="spellStart"/>
      <w:r w:rsidRPr="001C0029">
        <w:t>Ilan</w:t>
      </w:r>
      <w:proofErr w:type="spellEnd"/>
      <w:r w:rsidRPr="001C0029">
        <w:t xml:space="preserve"> </w:t>
      </w:r>
      <w:proofErr w:type="spellStart"/>
      <w:r w:rsidRPr="001C0029">
        <w:t>Momber</w:t>
      </w:r>
      <w:proofErr w:type="spellEnd"/>
      <w:r w:rsidRPr="001C0029">
        <w:t xml:space="preserve">, Leonardo </w:t>
      </w:r>
      <w:proofErr w:type="spellStart"/>
      <w:r w:rsidRPr="001C0029">
        <w:t>Meeus</w:t>
      </w:r>
      <w:proofErr w:type="spellEnd"/>
      <w:r w:rsidRPr="001C0029">
        <w:t xml:space="preserve">, and Samson </w:t>
      </w:r>
      <w:proofErr w:type="spellStart"/>
      <w:r w:rsidRPr="001C0029">
        <w:t>Yemane</w:t>
      </w:r>
      <w:proofErr w:type="spellEnd"/>
      <w:r w:rsidRPr="001C0029">
        <w:t xml:space="preserve"> </w:t>
      </w:r>
      <w:proofErr w:type="spellStart"/>
      <w:r w:rsidRPr="001C0029">
        <w:t>Hadush</w:t>
      </w:r>
      <w:proofErr w:type="spellEnd"/>
      <w:r w:rsidRPr="001C0029">
        <w:t xml:space="preserve"> </w:t>
      </w:r>
      <w:r w:rsidR="004B632F" w:rsidRPr="001C0029">
        <w:t xml:space="preserve">wrote this </w:t>
      </w:r>
      <w:r w:rsidR="00152682" w:rsidRPr="001C0029">
        <w:t>case</w:t>
      </w:r>
      <w:r w:rsidR="004B632F" w:rsidRPr="001C0029">
        <w:t xml:space="preserve"> </w:t>
      </w:r>
      <w:r w:rsidR="00152682" w:rsidRPr="001C0029">
        <w:t>solely to provide material for class discussion. The</w:t>
      </w:r>
      <w:r w:rsidR="001C7777" w:rsidRPr="001C0029">
        <w:t xml:space="preserve"> author</w:t>
      </w:r>
      <w:r w:rsidR="004979A5" w:rsidRPr="001C0029">
        <w:t>s</w:t>
      </w:r>
      <w:r w:rsidR="00152682" w:rsidRPr="001C0029">
        <w:t xml:space="preserve"> do not intend to illustrate either effective or ineffective handling of a managerial situation. The author</w:t>
      </w:r>
      <w:r w:rsidR="00F91BC7" w:rsidRPr="001C0029">
        <w:t>s</w:t>
      </w:r>
      <w:r w:rsidR="00152682" w:rsidRPr="001C0029">
        <w:t xml:space="preserve"> may have disguised certain names and other identifying information to protect confidentiality.</w:t>
      </w:r>
    </w:p>
    <w:p w14:paraId="41BDA9C6" w14:textId="77777777" w:rsidR="007E54A7" w:rsidRPr="001C0029" w:rsidRDefault="007E54A7" w:rsidP="00B24E9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1CDC2041" w14:textId="09B22168" w:rsidR="00EC1130" w:rsidRPr="001C0029" w:rsidRDefault="00B30295" w:rsidP="00EC1130">
      <w:pPr>
        <w:jc w:val="both"/>
        <w:rPr>
          <w:rFonts w:ascii="Arial" w:hAnsi="Arial" w:cs="Arial"/>
          <w:i/>
          <w:iCs/>
          <w:sz w:val="16"/>
          <w:szCs w:val="16"/>
        </w:rPr>
      </w:pPr>
      <w:r w:rsidRPr="00B30295">
        <w:rPr>
          <w:rFonts w:ascii="Arial" w:hAnsi="Arial" w:cs="Arial"/>
          <w:i/>
          <w:iCs/>
          <w:sz w:val="16"/>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bookmarkStart w:id="0" w:name="_GoBack"/>
      <w:bookmarkEnd w:id="0"/>
    </w:p>
    <w:p w14:paraId="43CE1296" w14:textId="77777777" w:rsidR="00EC1130" w:rsidRPr="001C0029" w:rsidRDefault="00EC1130" w:rsidP="00EC1130">
      <w:pPr>
        <w:pStyle w:val="StyleCopyrightStatementAfter0ptBottomSinglesolidline1"/>
        <w:pBdr>
          <w:top w:val="none" w:sz="0" w:space="0" w:color="auto"/>
        </w:pBdr>
      </w:pPr>
    </w:p>
    <w:p w14:paraId="3922E14F" w14:textId="5F1966B7" w:rsidR="00751E0B" w:rsidRPr="001C0029" w:rsidRDefault="00EC1130" w:rsidP="00EC1130">
      <w:pPr>
        <w:pStyle w:val="StyleStyleCopyrightStatementAfter0ptBottomSinglesolid"/>
      </w:pPr>
      <w:r w:rsidRPr="001C0029">
        <w:t xml:space="preserve">Copyright © </w:t>
      </w:r>
      <w:r w:rsidR="00DC5B2B">
        <w:t>2019</w:t>
      </w:r>
      <w:r w:rsidRPr="001C0029">
        <w:t xml:space="preserve">, </w:t>
      </w:r>
      <w:proofErr w:type="spellStart"/>
      <w:r w:rsidRPr="001C0029">
        <w:t>Vlerick</w:t>
      </w:r>
      <w:proofErr w:type="spellEnd"/>
      <w:r w:rsidRPr="001C0029">
        <w:t xml:space="preserve"> Business School</w:t>
      </w:r>
      <w:r w:rsidRPr="001C0029">
        <w:tab/>
        <w:t xml:space="preserve">Version: </w:t>
      </w:r>
      <w:r w:rsidR="00DC5B2B">
        <w:t>2019-01-</w:t>
      </w:r>
      <w:r w:rsidR="008F4091">
        <w:t>15</w:t>
      </w:r>
    </w:p>
    <w:p w14:paraId="0A2A54E4" w14:textId="77777777" w:rsidR="00751E0B" w:rsidRPr="001C0029" w:rsidRDefault="00751E0B" w:rsidP="00751E0B">
      <w:pPr>
        <w:pStyle w:val="StyleCopyrightStatementAfter0ptBottomSinglesolidline1"/>
        <w:rPr>
          <w:rFonts w:ascii="Times New Roman" w:hAnsi="Times New Roman"/>
          <w:sz w:val="20"/>
        </w:rPr>
      </w:pPr>
    </w:p>
    <w:p w14:paraId="1507635B" w14:textId="77777777" w:rsidR="004B632F" w:rsidRPr="001C0029" w:rsidRDefault="004B632F" w:rsidP="004B632F">
      <w:pPr>
        <w:pStyle w:val="StyleCopyrightStatementAfter0ptBottomSinglesolidline1"/>
        <w:rPr>
          <w:rFonts w:ascii="Times New Roman" w:hAnsi="Times New Roman"/>
          <w:sz w:val="20"/>
        </w:rPr>
      </w:pPr>
    </w:p>
    <w:p w14:paraId="415361F0" w14:textId="16A37676" w:rsidR="00A14F5C" w:rsidRPr="001C0029" w:rsidRDefault="00B05619" w:rsidP="007E54A7">
      <w:pPr>
        <w:pStyle w:val="BodyTextMain"/>
      </w:pPr>
      <w:r w:rsidRPr="001C0029">
        <w:t>At the</w:t>
      </w:r>
      <w:r w:rsidR="00AD0D2C" w:rsidRPr="001C0029">
        <w:t xml:space="preserve"> end of</w:t>
      </w:r>
      <w:r w:rsidR="00050304" w:rsidRPr="001C0029">
        <w:t xml:space="preserve"> </w:t>
      </w:r>
      <w:r w:rsidR="007E54A7" w:rsidRPr="001C0029">
        <w:t xml:space="preserve">2014, </w:t>
      </w:r>
      <w:r w:rsidR="001B6858" w:rsidRPr="005273A6">
        <w:t xml:space="preserve">Walter Van </w:t>
      </w:r>
      <w:r w:rsidR="001B6858">
        <w:t>den</w:t>
      </w:r>
      <w:r w:rsidR="001B6858" w:rsidRPr="005273A6">
        <w:t xml:space="preserve"> </w:t>
      </w:r>
      <w:proofErr w:type="spellStart"/>
      <w:r w:rsidR="001B6858" w:rsidRPr="005273A6">
        <w:t>Bossche</w:t>
      </w:r>
      <w:proofErr w:type="spellEnd"/>
      <w:r w:rsidRPr="001C0029">
        <w:t>,</w:t>
      </w:r>
      <w:r w:rsidR="007E54A7" w:rsidRPr="001C0029">
        <w:t xml:space="preserve"> </w:t>
      </w:r>
      <w:r w:rsidRPr="001C0029">
        <w:t xml:space="preserve">the chief executive officer (CEO) at </w:t>
      </w:r>
      <w:proofErr w:type="spellStart"/>
      <w:r w:rsidRPr="001C0029">
        <w:t>Eandis</w:t>
      </w:r>
      <w:proofErr w:type="spellEnd"/>
      <w:r w:rsidR="00815503" w:rsidRPr="001C0029">
        <w:t xml:space="preserve"> System Operator CVBA</w:t>
      </w:r>
      <w:r w:rsidR="00815503" w:rsidRPr="001C0029">
        <w:rPr>
          <w:rStyle w:val="FootnoteReference"/>
          <w:b w:val="0"/>
          <w:color w:val="auto"/>
        </w:rPr>
        <w:footnoteReference w:id="1"/>
      </w:r>
      <w:r w:rsidR="00815503" w:rsidRPr="001C0029">
        <w:t xml:space="preserve"> (</w:t>
      </w:r>
      <w:proofErr w:type="spellStart"/>
      <w:r w:rsidR="00815503" w:rsidRPr="001C0029">
        <w:t>Eandis</w:t>
      </w:r>
      <w:proofErr w:type="spellEnd"/>
      <w:r w:rsidR="00815503" w:rsidRPr="001C0029">
        <w:t>)</w:t>
      </w:r>
      <w:r w:rsidRPr="001C0029">
        <w:t xml:space="preserve">, a Belgian power distribution system operator (DSO), </w:t>
      </w:r>
      <w:r w:rsidR="007E54A7" w:rsidRPr="001C0029">
        <w:t xml:space="preserve">was reviewing </w:t>
      </w:r>
      <w:r w:rsidR="00803835" w:rsidRPr="001C0029">
        <w:t>his</w:t>
      </w:r>
      <w:r w:rsidR="007E54A7" w:rsidRPr="001C0029">
        <w:t xml:space="preserve"> </w:t>
      </w:r>
      <w:r w:rsidR="00803835" w:rsidRPr="001C0029">
        <w:t xml:space="preserve">company’s </w:t>
      </w:r>
      <w:r w:rsidR="007E54A7" w:rsidRPr="001C0029">
        <w:t>investment program</w:t>
      </w:r>
      <w:r w:rsidR="00803835" w:rsidRPr="001C0029">
        <w:t>.</w:t>
      </w:r>
      <w:r w:rsidR="007E54A7" w:rsidRPr="001C0029">
        <w:t xml:space="preserve"> </w:t>
      </w:r>
      <w:proofErr w:type="spellStart"/>
      <w:r w:rsidR="00803835" w:rsidRPr="001C0029">
        <w:t>Eandis</w:t>
      </w:r>
      <w:proofErr w:type="spellEnd"/>
      <w:r w:rsidR="00803835" w:rsidRPr="001C0029">
        <w:t xml:space="preserve"> </w:t>
      </w:r>
      <w:r w:rsidR="007E54A7" w:rsidRPr="001C0029">
        <w:t>operat</w:t>
      </w:r>
      <w:r w:rsidR="00803835" w:rsidRPr="001C0029">
        <w:t>ed</w:t>
      </w:r>
      <w:r w:rsidR="007E54A7" w:rsidRPr="001C0029">
        <w:t xml:space="preserve"> one of the leading low</w:t>
      </w:r>
      <w:r w:rsidR="00672919" w:rsidRPr="001C0029">
        <w:t>-</w:t>
      </w:r>
      <w:r w:rsidR="007E54A7" w:rsidRPr="001C0029">
        <w:t xml:space="preserve"> and medium</w:t>
      </w:r>
      <w:r w:rsidR="00672919" w:rsidRPr="001C0029">
        <w:t>-</w:t>
      </w:r>
      <w:r w:rsidR="007E54A7" w:rsidRPr="001C0029">
        <w:t xml:space="preserve">voltage electricity networks in Europe. </w:t>
      </w:r>
      <w:r w:rsidR="002E38EA">
        <w:t>The</w:t>
      </w:r>
      <w:r w:rsidR="007E54A7" w:rsidRPr="001C0029">
        <w:t xml:space="preserve"> </w:t>
      </w:r>
      <w:r w:rsidR="009A7F62" w:rsidRPr="001C0029">
        <w:t xml:space="preserve">company’s financial </w:t>
      </w:r>
      <w:r w:rsidR="007E54A7" w:rsidRPr="001C0029">
        <w:t xml:space="preserve">plan was more complex </w:t>
      </w:r>
      <w:r w:rsidR="00803835" w:rsidRPr="001C0029">
        <w:t xml:space="preserve">than it had been in previous years because </w:t>
      </w:r>
      <w:r w:rsidR="00A946F7" w:rsidRPr="001C0029">
        <w:t>the company needed to decide whether to r</w:t>
      </w:r>
      <w:r w:rsidR="007E54A7" w:rsidRPr="001C0029">
        <w:t>oll out smart meters to the</w:t>
      </w:r>
      <w:r w:rsidR="00A946F7" w:rsidRPr="001C0029">
        <w:t>ir</w:t>
      </w:r>
      <w:r w:rsidR="007E54A7" w:rsidRPr="001C0029">
        <w:t xml:space="preserve"> Belgian </w:t>
      </w:r>
      <w:r w:rsidR="00A946F7" w:rsidRPr="001C0029">
        <w:t>customers</w:t>
      </w:r>
      <w:r w:rsidR="00D1051D">
        <w:t xml:space="preserve">—a decision that </w:t>
      </w:r>
      <w:r w:rsidR="007E54A7" w:rsidRPr="001C0029">
        <w:t xml:space="preserve">could be seen as an opportunity for growth. </w:t>
      </w:r>
    </w:p>
    <w:p w14:paraId="715D05CD" w14:textId="77777777" w:rsidR="00A14F5C" w:rsidRPr="001C0029" w:rsidRDefault="00A14F5C" w:rsidP="007E54A7">
      <w:pPr>
        <w:pStyle w:val="BodyTextMain"/>
      </w:pPr>
    </w:p>
    <w:p w14:paraId="7A8269BC" w14:textId="6C86761C" w:rsidR="006200E9" w:rsidRPr="001C0029" w:rsidRDefault="007E54A7" w:rsidP="007E54A7">
      <w:pPr>
        <w:pStyle w:val="BodyTextMain"/>
        <w:rPr>
          <w:spacing w:val="-2"/>
        </w:rPr>
      </w:pPr>
      <w:r w:rsidRPr="001C0029">
        <w:rPr>
          <w:spacing w:val="-2"/>
        </w:rPr>
        <w:t>At the same time</w:t>
      </w:r>
      <w:r w:rsidR="00A14F5C" w:rsidRPr="001C0029">
        <w:rPr>
          <w:spacing w:val="-2"/>
        </w:rPr>
        <w:t>,</w:t>
      </w:r>
      <w:r w:rsidRPr="001C0029">
        <w:rPr>
          <w:spacing w:val="-2"/>
        </w:rPr>
        <w:t xml:space="preserve"> </w:t>
      </w:r>
      <w:r w:rsidR="001B6858">
        <w:rPr>
          <w:spacing w:val="-2"/>
        </w:rPr>
        <w:t>Van</w:t>
      </w:r>
      <w:r w:rsidR="001B6858" w:rsidRPr="001C0029">
        <w:rPr>
          <w:spacing w:val="-2"/>
        </w:rPr>
        <w:t xml:space="preserve"> </w:t>
      </w:r>
      <w:r w:rsidR="00A946F7" w:rsidRPr="001C0029">
        <w:rPr>
          <w:spacing w:val="-2"/>
        </w:rPr>
        <w:t xml:space="preserve">den </w:t>
      </w:r>
      <w:proofErr w:type="spellStart"/>
      <w:r w:rsidR="00A946F7" w:rsidRPr="001C0029">
        <w:rPr>
          <w:spacing w:val="-2"/>
        </w:rPr>
        <w:t>Bossche</w:t>
      </w:r>
      <w:proofErr w:type="spellEnd"/>
      <w:r w:rsidR="00A946F7" w:rsidRPr="001C0029">
        <w:rPr>
          <w:spacing w:val="-2"/>
        </w:rPr>
        <w:t xml:space="preserve"> </w:t>
      </w:r>
      <w:r w:rsidRPr="001C0029">
        <w:rPr>
          <w:spacing w:val="-2"/>
        </w:rPr>
        <w:t xml:space="preserve">was </w:t>
      </w:r>
      <w:r w:rsidR="00A946F7" w:rsidRPr="001C0029">
        <w:rPr>
          <w:spacing w:val="-2"/>
        </w:rPr>
        <w:t>aware</w:t>
      </w:r>
      <w:r w:rsidRPr="001C0029">
        <w:rPr>
          <w:spacing w:val="-2"/>
        </w:rPr>
        <w:t xml:space="preserve"> </w:t>
      </w:r>
      <w:r w:rsidR="00A14F5C" w:rsidRPr="001C0029">
        <w:rPr>
          <w:spacing w:val="-2"/>
        </w:rPr>
        <w:t>of</w:t>
      </w:r>
      <w:r w:rsidRPr="001C0029">
        <w:rPr>
          <w:spacing w:val="-2"/>
        </w:rPr>
        <w:t xml:space="preserve"> the regulatory risk that came with such large investments in his </w:t>
      </w:r>
      <w:r w:rsidR="00A14F5C" w:rsidRPr="001C0029">
        <w:rPr>
          <w:spacing w:val="-2"/>
        </w:rPr>
        <w:t>field</w:t>
      </w:r>
      <w:r w:rsidRPr="001C0029">
        <w:rPr>
          <w:spacing w:val="-2"/>
        </w:rPr>
        <w:t>. Thus far, the company had been operating in a regulat</w:t>
      </w:r>
      <w:r w:rsidR="007C77A7" w:rsidRPr="001C0029">
        <w:rPr>
          <w:spacing w:val="-2"/>
        </w:rPr>
        <w:t>ed monopoly governed by a cost-</w:t>
      </w:r>
      <w:r w:rsidRPr="001C0029">
        <w:rPr>
          <w:spacing w:val="-2"/>
        </w:rPr>
        <w:t>plus</w:t>
      </w:r>
      <w:r w:rsidR="00A946F7" w:rsidRPr="001C0029">
        <w:rPr>
          <w:spacing w:val="-2"/>
        </w:rPr>
        <w:t xml:space="preserve"> </w:t>
      </w:r>
      <w:r w:rsidR="005435FB" w:rsidRPr="001C0029">
        <w:rPr>
          <w:spacing w:val="-2"/>
        </w:rPr>
        <w:t xml:space="preserve">(cost+) </w:t>
      </w:r>
      <w:r w:rsidR="00A946F7" w:rsidRPr="001C0029">
        <w:rPr>
          <w:spacing w:val="-2"/>
        </w:rPr>
        <w:t xml:space="preserve">pricing </w:t>
      </w:r>
      <w:r w:rsidRPr="001C0029">
        <w:rPr>
          <w:spacing w:val="-2"/>
        </w:rPr>
        <w:t>regime</w:t>
      </w:r>
      <w:r w:rsidR="00A14F5C" w:rsidRPr="001C0029">
        <w:rPr>
          <w:spacing w:val="-2"/>
        </w:rPr>
        <w:t xml:space="preserve">. In that regime, the company </w:t>
      </w:r>
      <w:r w:rsidRPr="001C0029">
        <w:rPr>
          <w:spacing w:val="-2"/>
        </w:rPr>
        <w:t>recover</w:t>
      </w:r>
      <w:r w:rsidR="00A14F5C" w:rsidRPr="001C0029">
        <w:rPr>
          <w:spacing w:val="-2"/>
        </w:rPr>
        <w:t>ed</w:t>
      </w:r>
      <w:r w:rsidRPr="001C0029">
        <w:rPr>
          <w:spacing w:val="-2"/>
        </w:rPr>
        <w:t xml:space="preserve"> </w:t>
      </w:r>
      <w:r w:rsidR="002E38EA" w:rsidRPr="001C0029">
        <w:rPr>
          <w:spacing w:val="-2"/>
        </w:rPr>
        <w:t>all</w:t>
      </w:r>
      <w:r w:rsidR="00A14F5C" w:rsidRPr="001C0029">
        <w:rPr>
          <w:spacing w:val="-2"/>
        </w:rPr>
        <w:t xml:space="preserve"> </w:t>
      </w:r>
      <w:r w:rsidR="008F4091">
        <w:rPr>
          <w:spacing w:val="-2"/>
        </w:rPr>
        <w:t xml:space="preserve">of </w:t>
      </w:r>
      <w:r w:rsidR="00A14F5C" w:rsidRPr="001C0029">
        <w:rPr>
          <w:spacing w:val="-2"/>
        </w:rPr>
        <w:t xml:space="preserve">its </w:t>
      </w:r>
      <w:r w:rsidRPr="001C0029">
        <w:rPr>
          <w:spacing w:val="-2"/>
        </w:rPr>
        <w:t xml:space="preserve">costs </w:t>
      </w:r>
      <w:r w:rsidR="006200E9" w:rsidRPr="001C0029">
        <w:rPr>
          <w:spacing w:val="-2"/>
        </w:rPr>
        <w:t>from</w:t>
      </w:r>
      <w:r w:rsidRPr="001C0029">
        <w:rPr>
          <w:spacing w:val="-2"/>
        </w:rPr>
        <w:t xml:space="preserve"> the </w:t>
      </w:r>
      <w:r w:rsidR="00A946F7" w:rsidRPr="001C0029">
        <w:rPr>
          <w:spacing w:val="-2"/>
        </w:rPr>
        <w:t>fees</w:t>
      </w:r>
      <w:r w:rsidR="006200E9" w:rsidRPr="001C0029">
        <w:rPr>
          <w:spacing w:val="-2"/>
        </w:rPr>
        <w:t xml:space="preserve"> grid users paid to access the electricity distribution network. T</w:t>
      </w:r>
      <w:r w:rsidRPr="001C0029">
        <w:rPr>
          <w:spacing w:val="-2"/>
        </w:rPr>
        <w:t>he charges were expressed in volumetric tariffs</w:t>
      </w:r>
      <w:r w:rsidR="006200E9" w:rsidRPr="001C0029">
        <w:rPr>
          <w:spacing w:val="-2"/>
        </w:rPr>
        <w:t xml:space="preserve"> of </w:t>
      </w:r>
      <w:r w:rsidRPr="001C0029">
        <w:rPr>
          <w:spacing w:val="-2"/>
        </w:rPr>
        <w:t>euro</w:t>
      </w:r>
      <w:r w:rsidR="006200E9" w:rsidRPr="001C0029">
        <w:rPr>
          <w:spacing w:val="-2"/>
        </w:rPr>
        <w:t>s</w:t>
      </w:r>
      <w:r w:rsidRPr="001C0029">
        <w:rPr>
          <w:spacing w:val="-2"/>
        </w:rPr>
        <w:t xml:space="preserve"> per energy unit. </w:t>
      </w:r>
    </w:p>
    <w:p w14:paraId="65F37CE5" w14:textId="77777777" w:rsidR="006200E9" w:rsidRPr="001C0029" w:rsidRDefault="006200E9" w:rsidP="007E54A7">
      <w:pPr>
        <w:pStyle w:val="BodyTextMain"/>
        <w:rPr>
          <w:spacing w:val="-2"/>
        </w:rPr>
      </w:pPr>
    </w:p>
    <w:p w14:paraId="67BAAB91" w14:textId="0DB71C99" w:rsidR="009C7016" w:rsidRPr="001C0029" w:rsidRDefault="007C77A7" w:rsidP="007E54A7">
      <w:pPr>
        <w:pStyle w:val="BodyTextMain"/>
      </w:pPr>
      <w:r w:rsidRPr="001C0029">
        <w:t xml:space="preserve">The </w:t>
      </w:r>
      <w:r w:rsidR="005435FB" w:rsidRPr="001C0029">
        <w:t>cost+</w:t>
      </w:r>
      <w:r w:rsidR="00173796" w:rsidRPr="001C0029">
        <w:t xml:space="preserve"> </w:t>
      </w:r>
      <w:r w:rsidR="006200E9" w:rsidRPr="001C0029">
        <w:t xml:space="preserve">regime </w:t>
      </w:r>
      <w:r w:rsidR="007E54A7" w:rsidRPr="001C0029">
        <w:t xml:space="preserve">had motivated </w:t>
      </w:r>
      <w:proofErr w:type="spellStart"/>
      <w:r w:rsidR="006200E9" w:rsidRPr="001C0029">
        <w:t>Eandis</w:t>
      </w:r>
      <w:proofErr w:type="spellEnd"/>
      <w:r w:rsidR="007E54A7" w:rsidRPr="001C0029">
        <w:t xml:space="preserve"> to invest in the </w:t>
      </w:r>
      <w:r w:rsidR="00A946F7" w:rsidRPr="001C0029">
        <w:t xml:space="preserve">grid </w:t>
      </w:r>
      <w:r w:rsidR="007E54A7" w:rsidRPr="001C0029">
        <w:t>infrastructure</w:t>
      </w:r>
      <w:r w:rsidR="006200E9" w:rsidRPr="001C0029">
        <w:t>; h</w:t>
      </w:r>
      <w:r w:rsidR="007E54A7" w:rsidRPr="001C0029">
        <w:t xml:space="preserve">owever, </w:t>
      </w:r>
      <w:r w:rsidR="006200E9" w:rsidRPr="001C0029">
        <w:t>that regime</w:t>
      </w:r>
      <w:r w:rsidR="007E54A7" w:rsidRPr="001C0029">
        <w:t xml:space="preserve"> was about to be replaced by </w:t>
      </w:r>
      <w:r w:rsidR="006200E9" w:rsidRPr="001C0029">
        <w:t xml:space="preserve">an </w:t>
      </w:r>
      <w:r w:rsidR="007E54A7" w:rsidRPr="001C0029">
        <w:t>incentive regulation scheme</w:t>
      </w:r>
      <w:r w:rsidR="00E332BC" w:rsidRPr="001C0029">
        <w:t xml:space="preserve">—a pricing regime that would involve either a price cap, an upper limit on the unit prices charged to network users, or a revenue cap </w:t>
      </w:r>
      <w:r w:rsidR="008F4091">
        <w:t>(</w:t>
      </w:r>
      <w:r w:rsidR="00E332BC" w:rsidRPr="001C0029">
        <w:t>an upper limit on the total revenue the DSO could earn</w:t>
      </w:r>
      <w:r w:rsidR="008F4091">
        <w:t>)</w:t>
      </w:r>
      <w:r w:rsidR="006200E9" w:rsidRPr="001C0029">
        <w:t>.</w:t>
      </w:r>
      <w:r w:rsidR="007E54A7" w:rsidRPr="001C0029">
        <w:t xml:space="preserve"> </w:t>
      </w:r>
      <w:r w:rsidR="006200E9" w:rsidRPr="001C0029">
        <w:t xml:space="preserve">With the anticipated change in revenue structure, the company needed a new financial analysis </w:t>
      </w:r>
      <w:r w:rsidR="0069227F" w:rsidRPr="001C0029">
        <w:t xml:space="preserve">for </w:t>
      </w:r>
      <w:r w:rsidR="009C7016" w:rsidRPr="001C0029">
        <w:t>t</w:t>
      </w:r>
      <w:r w:rsidR="0069227F" w:rsidRPr="001C0029">
        <w:t>he company’s planning processes; the new analysis would need to anticipate the potential changes in regulatory structure and how the changes would affect a decision to invest in smart metering. The CEO</w:t>
      </w:r>
      <w:r w:rsidR="007E54A7" w:rsidRPr="001C0029">
        <w:t xml:space="preserve"> </w:t>
      </w:r>
      <w:r w:rsidR="009C7016" w:rsidRPr="001C0029">
        <w:t xml:space="preserve">summarized, </w:t>
      </w:r>
      <w:r w:rsidR="007E54A7" w:rsidRPr="001C0029">
        <w:t>“With the funding needs ahead for the DSO industry</w:t>
      </w:r>
      <w:r w:rsidR="009C7016" w:rsidRPr="001C0029">
        <w:t>,</w:t>
      </w:r>
      <w:r w:rsidR="007E54A7" w:rsidRPr="001C0029">
        <w:t xml:space="preserve"> it </w:t>
      </w:r>
      <w:r w:rsidR="009C7016" w:rsidRPr="001C0029">
        <w:t>is</w:t>
      </w:r>
      <w:r w:rsidR="007E54A7" w:rsidRPr="001C0029">
        <w:t xml:space="preserve"> important to prove to potential institutional investors and other stakeholders </w:t>
      </w:r>
      <w:r w:rsidR="009C7016" w:rsidRPr="001C0029">
        <w:t xml:space="preserve">that we </w:t>
      </w:r>
      <w:r w:rsidR="007E54A7" w:rsidRPr="001C0029">
        <w:t xml:space="preserve">have looked at all reasonable scenarios to </w:t>
      </w:r>
      <w:r w:rsidR="009C7016" w:rsidRPr="001C0029">
        <w:t>assess</w:t>
      </w:r>
      <w:r w:rsidR="007E54A7" w:rsidRPr="001C0029">
        <w:t xml:space="preserve"> the impact on profitability, equity, debt, turn over</w:t>
      </w:r>
      <w:r w:rsidR="009C7016" w:rsidRPr="001C0029">
        <w:t xml:space="preserve"> . . . </w:t>
      </w:r>
      <w:r w:rsidR="007E54A7" w:rsidRPr="001C0029">
        <w:t xml:space="preserve">you name it.” </w:t>
      </w:r>
    </w:p>
    <w:p w14:paraId="7140AC0F" w14:textId="77777777" w:rsidR="009C7016" w:rsidRPr="001C0029" w:rsidRDefault="009C7016" w:rsidP="001F165C">
      <w:pPr>
        <w:pStyle w:val="BodyTextMain"/>
      </w:pPr>
    </w:p>
    <w:p w14:paraId="2DFF7B66" w14:textId="77777777" w:rsidR="00EC2E1F" w:rsidRPr="001C0029" w:rsidRDefault="00EC2E1F" w:rsidP="007E54A7">
      <w:pPr>
        <w:pStyle w:val="BodyTextMain"/>
        <w:rPr>
          <w:rFonts w:eastAsiaTheme="minorEastAsia"/>
          <w:lang w:eastAsia="en-GB"/>
        </w:rPr>
      </w:pPr>
    </w:p>
    <w:p w14:paraId="609579F6" w14:textId="7A8AAD87" w:rsidR="007E54A7" w:rsidRPr="001C0029" w:rsidRDefault="00EC2E1F" w:rsidP="00EC2E1F">
      <w:pPr>
        <w:pStyle w:val="Casehead1"/>
      </w:pPr>
      <w:r w:rsidRPr="001C0029">
        <w:t>The Power Grid Industry in Europe</w:t>
      </w:r>
    </w:p>
    <w:p w14:paraId="55FEE7E8" w14:textId="77777777" w:rsidR="007E54A7" w:rsidRPr="001C0029" w:rsidRDefault="007E54A7" w:rsidP="00374122">
      <w:pPr>
        <w:pStyle w:val="BodyTextMain"/>
        <w:keepNext/>
      </w:pPr>
    </w:p>
    <w:p w14:paraId="5354BC30" w14:textId="57913DC4" w:rsidR="00912426" w:rsidRPr="001C0029" w:rsidRDefault="007E54A7" w:rsidP="007E54A7">
      <w:pPr>
        <w:pStyle w:val="BodyTextMain"/>
        <w:rPr>
          <w:spacing w:val="-4"/>
        </w:rPr>
      </w:pPr>
      <w:r w:rsidRPr="001C0029">
        <w:rPr>
          <w:spacing w:val="-4"/>
        </w:rPr>
        <w:t>The power grid industry was rapidly changing</w:t>
      </w:r>
      <w:r w:rsidR="002E38EA">
        <w:rPr>
          <w:spacing w:val="-4"/>
        </w:rPr>
        <w:t>,</w:t>
      </w:r>
      <w:r w:rsidRPr="001C0029">
        <w:rPr>
          <w:spacing w:val="-4"/>
        </w:rPr>
        <w:t xml:space="preserve"> and low- to medium</w:t>
      </w:r>
      <w:r w:rsidR="00EA673C" w:rsidRPr="001C0029">
        <w:rPr>
          <w:spacing w:val="-4"/>
        </w:rPr>
        <w:t>-</w:t>
      </w:r>
      <w:r w:rsidRPr="001C0029">
        <w:rPr>
          <w:spacing w:val="-4"/>
        </w:rPr>
        <w:t>voltage grid operators</w:t>
      </w:r>
      <w:r w:rsidR="004F1786" w:rsidRPr="001C0029">
        <w:rPr>
          <w:spacing w:val="-4"/>
        </w:rPr>
        <w:t>, which were</w:t>
      </w:r>
      <w:r w:rsidRPr="001C0029">
        <w:rPr>
          <w:spacing w:val="-4"/>
        </w:rPr>
        <w:t xml:space="preserve"> asset-intensive owners of vast infrastructures</w:t>
      </w:r>
      <w:r w:rsidR="004F1786" w:rsidRPr="001C0029">
        <w:rPr>
          <w:spacing w:val="-4"/>
        </w:rPr>
        <w:t>,</w:t>
      </w:r>
      <w:r w:rsidRPr="001C0029">
        <w:rPr>
          <w:spacing w:val="-4"/>
        </w:rPr>
        <w:t xml:space="preserve"> merit</w:t>
      </w:r>
      <w:r w:rsidR="004F1786" w:rsidRPr="001C0029">
        <w:rPr>
          <w:spacing w:val="-4"/>
        </w:rPr>
        <w:t>ed</w:t>
      </w:r>
      <w:r w:rsidRPr="001C0029">
        <w:rPr>
          <w:spacing w:val="-4"/>
        </w:rPr>
        <w:t xml:space="preserve"> attention. </w:t>
      </w:r>
      <w:r w:rsidR="004F1786" w:rsidRPr="001C0029">
        <w:rPr>
          <w:spacing w:val="-4"/>
        </w:rPr>
        <w:t xml:space="preserve">Electricity DSOs played an important role in Europe’s energy system: they linked the </w:t>
      </w:r>
      <w:r w:rsidRPr="001C0029">
        <w:rPr>
          <w:spacing w:val="-4"/>
        </w:rPr>
        <w:t xml:space="preserve">transmission system </w:t>
      </w:r>
      <w:r w:rsidR="004F1786" w:rsidRPr="001C0029">
        <w:rPr>
          <w:spacing w:val="-4"/>
        </w:rPr>
        <w:t>with</w:t>
      </w:r>
      <w:r w:rsidRPr="001C0029">
        <w:rPr>
          <w:spacing w:val="-4"/>
        </w:rPr>
        <w:t xml:space="preserve"> 260 million connected customers, delivering </w:t>
      </w:r>
      <w:r w:rsidRPr="001C0029">
        <w:rPr>
          <w:spacing w:val="-4"/>
        </w:rPr>
        <w:lastRenderedPageBreak/>
        <w:t xml:space="preserve">approximately 2,700 </w:t>
      </w:r>
      <w:r w:rsidR="004F1786" w:rsidRPr="001C0029">
        <w:rPr>
          <w:spacing w:val="-4"/>
        </w:rPr>
        <w:t>terawatt hours (</w:t>
      </w:r>
      <w:r w:rsidRPr="001C0029">
        <w:rPr>
          <w:spacing w:val="-4"/>
        </w:rPr>
        <w:t>TWh</w:t>
      </w:r>
      <w:r w:rsidR="004F1786" w:rsidRPr="001C0029">
        <w:rPr>
          <w:spacing w:val="-4"/>
        </w:rPr>
        <w:t>)</w:t>
      </w:r>
      <w:r w:rsidRPr="001C0029">
        <w:rPr>
          <w:spacing w:val="-4"/>
        </w:rPr>
        <w:t xml:space="preserve"> of electrical energy per year.</w:t>
      </w:r>
      <w:r w:rsidR="004F1786" w:rsidRPr="001C0029">
        <w:rPr>
          <w:rStyle w:val="FootnoteReference"/>
          <w:b w:val="0"/>
          <w:color w:val="auto"/>
          <w:spacing w:val="-4"/>
        </w:rPr>
        <w:footnoteReference w:id="2"/>
      </w:r>
      <w:r w:rsidRPr="001C0029">
        <w:rPr>
          <w:spacing w:val="-4"/>
        </w:rPr>
        <w:t xml:space="preserve"> </w:t>
      </w:r>
      <w:r w:rsidR="00374122" w:rsidRPr="001C0029">
        <w:rPr>
          <w:spacing w:val="-4"/>
        </w:rPr>
        <w:t>Europe’s</w:t>
      </w:r>
      <w:r w:rsidR="000E098A" w:rsidRPr="001C0029">
        <w:rPr>
          <w:spacing w:val="-4"/>
        </w:rPr>
        <w:t xml:space="preserve"> DSOs collectively </w:t>
      </w:r>
      <w:r w:rsidR="004F1786" w:rsidRPr="001C0029">
        <w:rPr>
          <w:spacing w:val="-4"/>
        </w:rPr>
        <w:t>employ</w:t>
      </w:r>
      <w:r w:rsidR="000E098A" w:rsidRPr="001C0029">
        <w:rPr>
          <w:spacing w:val="-4"/>
        </w:rPr>
        <w:t>ed approximately</w:t>
      </w:r>
      <w:r w:rsidR="004F1786" w:rsidRPr="001C0029">
        <w:rPr>
          <w:spacing w:val="-4"/>
        </w:rPr>
        <w:t xml:space="preserve"> 240,000 people</w:t>
      </w:r>
      <w:r w:rsidR="000E098A" w:rsidRPr="001C0029">
        <w:rPr>
          <w:spacing w:val="-4"/>
        </w:rPr>
        <w:t>.</w:t>
      </w:r>
      <w:r w:rsidR="004F1786" w:rsidRPr="001C0029">
        <w:rPr>
          <w:spacing w:val="-4"/>
        </w:rPr>
        <w:t xml:space="preserve"> </w:t>
      </w:r>
      <w:r w:rsidR="000E098A" w:rsidRPr="001C0029">
        <w:rPr>
          <w:spacing w:val="-4"/>
        </w:rPr>
        <w:t>D</w:t>
      </w:r>
      <w:r w:rsidRPr="001C0029">
        <w:rPr>
          <w:spacing w:val="-4"/>
        </w:rPr>
        <w:t xml:space="preserve">istribution grids </w:t>
      </w:r>
      <w:r w:rsidR="000E098A" w:rsidRPr="001C0029">
        <w:rPr>
          <w:spacing w:val="-4"/>
        </w:rPr>
        <w:t>had been previously</w:t>
      </w:r>
      <w:r w:rsidRPr="001C0029">
        <w:rPr>
          <w:spacing w:val="-4"/>
        </w:rPr>
        <w:t xml:space="preserve"> regarded as merely the last mile in the </w:t>
      </w:r>
      <w:r w:rsidR="009459D3" w:rsidRPr="001C0029">
        <w:rPr>
          <w:spacing w:val="-4"/>
        </w:rPr>
        <w:t>delivery of low- and medium-</w:t>
      </w:r>
      <w:r w:rsidRPr="001C0029">
        <w:rPr>
          <w:spacing w:val="-4"/>
        </w:rPr>
        <w:t>voltage electricity</w:t>
      </w:r>
      <w:r w:rsidR="009459D3" w:rsidRPr="001C0029">
        <w:rPr>
          <w:spacing w:val="-4"/>
        </w:rPr>
        <w:t>; h</w:t>
      </w:r>
      <w:r w:rsidRPr="001C0029">
        <w:rPr>
          <w:spacing w:val="-4"/>
        </w:rPr>
        <w:t xml:space="preserve">owever, </w:t>
      </w:r>
      <w:r w:rsidR="009459D3" w:rsidRPr="001C0029">
        <w:rPr>
          <w:spacing w:val="-4"/>
        </w:rPr>
        <w:t xml:space="preserve">with more technology penetrating the grids, </w:t>
      </w:r>
      <w:r w:rsidRPr="001C0029">
        <w:rPr>
          <w:spacing w:val="-4"/>
        </w:rPr>
        <w:t>the future role of DSOs</w:t>
      </w:r>
      <w:r w:rsidR="009459D3" w:rsidRPr="001C0029">
        <w:rPr>
          <w:spacing w:val="-4"/>
        </w:rPr>
        <w:t xml:space="preserve"> was increasingly a topic of discussion. </w:t>
      </w:r>
      <w:r w:rsidRPr="001C0029">
        <w:rPr>
          <w:spacing w:val="-4"/>
        </w:rPr>
        <w:t xml:space="preserve">Europe’s </w:t>
      </w:r>
      <w:r w:rsidR="009459D3" w:rsidRPr="001C0029">
        <w:rPr>
          <w:spacing w:val="-4"/>
        </w:rPr>
        <w:t xml:space="preserve">DSOs, approximately </w:t>
      </w:r>
      <w:r w:rsidRPr="001C0029">
        <w:rPr>
          <w:spacing w:val="-4"/>
        </w:rPr>
        <w:t xml:space="preserve">2,400 </w:t>
      </w:r>
      <w:r w:rsidR="009459D3" w:rsidRPr="001C0029">
        <w:rPr>
          <w:spacing w:val="-4"/>
        </w:rPr>
        <w:t>in number, w</w:t>
      </w:r>
      <w:r w:rsidRPr="001C0029">
        <w:rPr>
          <w:spacing w:val="-4"/>
        </w:rPr>
        <w:t xml:space="preserve">ere likely to become the central hub and backbone of </w:t>
      </w:r>
      <w:r w:rsidR="008A1314" w:rsidRPr="001C0029">
        <w:rPr>
          <w:spacing w:val="-4"/>
        </w:rPr>
        <w:t xml:space="preserve">future </w:t>
      </w:r>
      <w:r w:rsidRPr="001C0029">
        <w:rPr>
          <w:spacing w:val="-4"/>
        </w:rPr>
        <w:t xml:space="preserve">intelligent power systems. </w:t>
      </w:r>
    </w:p>
    <w:p w14:paraId="2A411CE2" w14:textId="77777777" w:rsidR="00912426" w:rsidRPr="001C0029" w:rsidRDefault="00912426" w:rsidP="007E54A7">
      <w:pPr>
        <w:pStyle w:val="BodyTextMain"/>
      </w:pPr>
    </w:p>
    <w:p w14:paraId="56D3F8A6" w14:textId="0F4C9D51" w:rsidR="007E54A7" w:rsidRPr="001C0029" w:rsidRDefault="0095507C" w:rsidP="007E54A7">
      <w:pPr>
        <w:pStyle w:val="BodyTextMain"/>
        <w:rPr>
          <w:spacing w:val="-2"/>
        </w:rPr>
      </w:pPr>
      <w:r w:rsidRPr="001C0029">
        <w:rPr>
          <w:spacing w:val="-2"/>
        </w:rPr>
        <w:t>Several</w:t>
      </w:r>
      <w:r w:rsidR="00912426" w:rsidRPr="001C0029">
        <w:rPr>
          <w:spacing w:val="-2"/>
        </w:rPr>
        <w:t xml:space="preserve"> forces were challenging the status quo of electrical distribution. An increasing </w:t>
      </w:r>
      <w:r w:rsidR="008A1314" w:rsidRPr="001C0029">
        <w:rPr>
          <w:spacing w:val="-2"/>
        </w:rPr>
        <w:t>number of generators creating electricity from renewable resources (renewable generators)</w:t>
      </w:r>
      <w:r w:rsidR="00912426" w:rsidRPr="001C0029">
        <w:rPr>
          <w:spacing w:val="-2"/>
        </w:rPr>
        <w:t xml:space="preserve"> were being connected to the networks at </w:t>
      </w:r>
      <w:r w:rsidR="00120CF2">
        <w:rPr>
          <w:spacing w:val="-2"/>
        </w:rPr>
        <w:t xml:space="preserve">the </w:t>
      </w:r>
      <w:r w:rsidR="00912426" w:rsidRPr="001C0029">
        <w:rPr>
          <w:spacing w:val="-2"/>
        </w:rPr>
        <w:t>distribution level, and the grids were increasingly driven by information technology</w:t>
      </w:r>
      <w:r w:rsidR="00173796" w:rsidRPr="001C0029">
        <w:rPr>
          <w:spacing w:val="-2"/>
        </w:rPr>
        <w:t xml:space="preserve"> (IT)</w:t>
      </w:r>
      <w:r w:rsidR="00374122" w:rsidRPr="001C0029">
        <w:rPr>
          <w:spacing w:val="-2"/>
        </w:rPr>
        <w:t>—a process known as “becoming smart</w:t>
      </w:r>
      <w:r w:rsidR="00120CF2">
        <w:rPr>
          <w:spacing w:val="-2"/>
        </w:rPr>
        <w:t>.</w:t>
      </w:r>
      <w:r w:rsidR="00374122" w:rsidRPr="001C0029">
        <w:rPr>
          <w:spacing w:val="-2"/>
        </w:rPr>
        <w:t>”</w:t>
      </w:r>
      <w:r w:rsidR="00912426" w:rsidRPr="001C0029">
        <w:rPr>
          <w:spacing w:val="-2"/>
        </w:rPr>
        <w:t xml:space="preserve"> Large</w:t>
      </w:r>
      <w:r w:rsidR="00132B2A" w:rsidRPr="001C0029">
        <w:rPr>
          <w:spacing w:val="-2"/>
        </w:rPr>
        <w:t>,</w:t>
      </w:r>
      <w:r w:rsidR="00912426" w:rsidRPr="001C0029">
        <w:rPr>
          <w:spacing w:val="-2"/>
        </w:rPr>
        <w:t xml:space="preserve"> centralized power </w:t>
      </w:r>
      <w:r w:rsidR="00132B2A" w:rsidRPr="001C0029">
        <w:rPr>
          <w:spacing w:val="-2"/>
        </w:rPr>
        <w:t>generators</w:t>
      </w:r>
      <w:r w:rsidR="00912426" w:rsidRPr="001C0029">
        <w:rPr>
          <w:spacing w:val="-2"/>
        </w:rPr>
        <w:t xml:space="preserve">, </w:t>
      </w:r>
      <w:r w:rsidR="00132B2A" w:rsidRPr="001C0029">
        <w:rPr>
          <w:spacing w:val="-2"/>
        </w:rPr>
        <w:t xml:space="preserve">such as those involving hydro, nuclear energy, coal, and gas, were giving way to a range of dispersed units, such as co-generation plants, </w:t>
      </w:r>
      <w:bookmarkStart w:id="1" w:name="_Hlk533663932"/>
      <w:r w:rsidR="00132B2A" w:rsidRPr="001C0029">
        <w:rPr>
          <w:spacing w:val="-2"/>
        </w:rPr>
        <w:t>photovoltaic</w:t>
      </w:r>
      <w:bookmarkEnd w:id="1"/>
      <w:r w:rsidR="00132B2A" w:rsidRPr="001C0029">
        <w:rPr>
          <w:spacing w:val="-2"/>
        </w:rPr>
        <w:t xml:space="preserve"> panels (solar panels), and wind turbines. </w:t>
      </w:r>
      <w:r w:rsidR="002243FE" w:rsidRPr="001C0029">
        <w:rPr>
          <w:spacing w:val="-2"/>
        </w:rPr>
        <w:t>Millions of these s</w:t>
      </w:r>
      <w:r w:rsidR="007E54A7" w:rsidRPr="001C0029">
        <w:rPr>
          <w:spacing w:val="-2"/>
        </w:rPr>
        <w:t xml:space="preserve">mall-scale units were already generating electricity all over Europe. Further, </w:t>
      </w:r>
      <w:r w:rsidR="00B4570F" w:rsidRPr="001C0029">
        <w:rPr>
          <w:spacing w:val="-2"/>
        </w:rPr>
        <w:t>as</w:t>
      </w:r>
      <w:r w:rsidR="007E54A7" w:rsidRPr="001C0029">
        <w:rPr>
          <w:spacing w:val="-2"/>
        </w:rPr>
        <w:t xml:space="preserve"> smart meter systems </w:t>
      </w:r>
      <w:r w:rsidR="00B4570F" w:rsidRPr="001C0029">
        <w:rPr>
          <w:spacing w:val="-2"/>
        </w:rPr>
        <w:t xml:space="preserve">were added to the system, electricity consumers could use the </w:t>
      </w:r>
      <w:r w:rsidR="007E54A7" w:rsidRPr="001C0029">
        <w:rPr>
          <w:spacing w:val="-2"/>
        </w:rPr>
        <w:t xml:space="preserve">information and communication technologies </w:t>
      </w:r>
      <w:r w:rsidR="00B4570F" w:rsidRPr="001C0029">
        <w:rPr>
          <w:spacing w:val="-2"/>
        </w:rPr>
        <w:t xml:space="preserve">to participate in the distribution system. </w:t>
      </w:r>
      <w:r w:rsidR="007E54A7" w:rsidRPr="001C0029">
        <w:rPr>
          <w:spacing w:val="-2"/>
        </w:rPr>
        <w:t>These</w:t>
      </w:r>
      <w:r w:rsidR="005871A7" w:rsidRPr="001C0029">
        <w:rPr>
          <w:spacing w:val="-2"/>
        </w:rPr>
        <w:t xml:space="preserve"> </w:t>
      </w:r>
      <w:r w:rsidR="007E54A7" w:rsidRPr="001C0029">
        <w:rPr>
          <w:spacing w:val="-2"/>
        </w:rPr>
        <w:t>clients</w:t>
      </w:r>
      <w:r w:rsidR="005871A7" w:rsidRPr="001C0029">
        <w:rPr>
          <w:spacing w:val="-2"/>
        </w:rPr>
        <w:t>, which were unlikely to change in number,</w:t>
      </w:r>
      <w:r w:rsidR="007E54A7" w:rsidRPr="001C0029">
        <w:rPr>
          <w:spacing w:val="-2"/>
        </w:rPr>
        <w:t xml:space="preserve"> represented 99</w:t>
      </w:r>
      <w:r w:rsidR="00B4570F" w:rsidRPr="001C0029">
        <w:rPr>
          <w:spacing w:val="-2"/>
        </w:rPr>
        <w:t xml:space="preserve"> per cent</w:t>
      </w:r>
      <w:r w:rsidR="007E54A7" w:rsidRPr="001C0029">
        <w:rPr>
          <w:spacing w:val="-2"/>
        </w:rPr>
        <w:t xml:space="preserve"> of all final customers.</w:t>
      </w:r>
      <w:r w:rsidR="00633C03" w:rsidRPr="001C0029">
        <w:rPr>
          <w:spacing w:val="-2"/>
        </w:rPr>
        <w:t xml:space="preserve"> </w:t>
      </w:r>
    </w:p>
    <w:p w14:paraId="1CF6D36C" w14:textId="77777777" w:rsidR="007E54A7" w:rsidRPr="001C0029" w:rsidRDefault="007E54A7" w:rsidP="007E54A7">
      <w:pPr>
        <w:pStyle w:val="BodyTextMain"/>
      </w:pPr>
    </w:p>
    <w:p w14:paraId="63BC91C5" w14:textId="57434706" w:rsidR="007E54A7" w:rsidRPr="001C0029" w:rsidRDefault="007E54A7" w:rsidP="007E54A7">
      <w:pPr>
        <w:pStyle w:val="BodyTextMain"/>
      </w:pPr>
      <w:r w:rsidRPr="001C0029">
        <w:t xml:space="preserve">The </w:t>
      </w:r>
      <w:r w:rsidR="00B4570F" w:rsidRPr="001C0029">
        <w:t xml:space="preserve">evolving </w:t>
      </w:r>
      <w:r w:rsidRPr="001C0029">
        <w:t xml:space="preserve">context was not only changing the business model of power generation but </w:t>
      </w:r>
      <w:r w:rsidR="00B4570F" w:rsidRPr="001C0029">
        <w:t xml:space="preserve">also affecting </w:t>
      </w:r>
      <w:r w:rsidR="0016756E" w:rsidRPr="001C0029">
        <w:t xml:space="preserve">the grid operations and investments of </w:t>
      </w:r>
      <w:r w:rsidRPr="001C0029">
        <w:t xml:space="preserve">network companies, which </w:t>
      </w:r>
      <w:r w:rsidR="00B4570F" w:rsidRPr="001C0029">
        <w:t xml:space="preserve">included </w:t>
      </w:r>
      <w:r w:rsidRPr="001C0029">
        <w:t>DSOs. Regulation was advancing</w:t>
      </w:r>
      <w:r w:rsidR="00374122" w:rsidRPr="001C0029">
        <w:t>,</w:t>
      </w:r>
      <w:r w:rsidRPr="001C0029">
        <w:t xml:space="preserve"> and </w:t>
      </w:r>
      <w:r w:rsidR="00374122" w:rsidRPr="001C0029">
        <w:t xml:space="preserve">it </w:t>
      </w:r>
      <w:r w:rsidRPr="001C0029">
        <w:t xml:space="preserve">triggered the need for adequate financial planning models to complement existing tools of analysis. In addition to </w:t>
      </w:r>
      <w:r w:rsidR="0016756E" w:rsidRPr="001C0029">
        <w:t xml:space="preserve">being used in </w:t>
      </w:r>
      <w:r w:rsidRPr="001C0029">
        <w:t>project analysis, where</w:t>
      </w:r>
      <w:r w:rsidR="0016756E" w:rsidRPr="001C0029">
        <w:t>, for example,</w:t>
      </w:r>
      <w:r w:rsidRPr="001C0029">
        <w:t xml:space="preserve"> the net present value of projects or investments was calculated for </w:t>
      </w:r>
      <w:r w:rsidR="0016756E" w:rsidRPr="001C0029">
        <w:t xml:space="preserve">a </w:t>
      </w:r>
      <w:r w:rsidR="00120CF2">
        <w:t>cost-benefit analysis</w:t>
      </w:r>
      <w:r w:rsidRPr="001C0029">
        <w:t xml:space="preserve"> (CBA) and </w:t>
      </w:r>
      <w:r w:rsidR="0016756E" w:rsidRPr="001C0029">
        <w:t xml:space="preserve">to </w:t>
      </w:r>
      <w:r w:rsidRPr="001C0029">
        <w:t>assess profitability, financial modelling tools</w:t>
      </w:r>
      <w:r w:rsidR="0016756E" w:rsidRPr="001C0029">
        <w:t xml:space="preserve"> were needed to </w:t>
      </w:r>
      <w:r w:rsidRPr="001C0029">
        <w:t xml:space="preserve">calculate the impact of </w:t>
      </w:r>
      <w:r w:rsidR="0016756E" w:rsidRPr="001C0029">
        <w:t>a project or investment on the rate of tariffs.</w:t>
      </w:r>
    </w:p>
    <w:p w14:paraId="609337A0" w14:textId="0AC9D842" w:rsidR="0016756E" w:rsidRPr="001C0029" w:rsidRDefault="0016756E" w:rsidP="007E54A7">
      <w:pPr>
        <w:pStyle w:val="BodyTextMain"/>
      </w:pPr>
    </w:p>
    <w:p w14:paraId="7C7A1B5D" w14:textId="77777777" w:rsidR="0016756E" w:rsidRPr="001C0029" w:rsidRDefault="0016756E" w:rsidP="007E54A7">
      <w:pPr>
        <w:pStyle w:val="BodyTextMain"/>
      </w:pPr>
    </w:p>
    <w:p w14:paraId="33CEDDFF" w14:textId="77777777" w:rsidR="00EC2E1F" w:rsidRPr="001C0029" w:rsidRDefault="00EC2E1F" w:rsidP="00EC2E1F">
      <w:pPr>
        <w:pStyle w:val="Casehead1"/>
        <w:rPr>
          <w:rFonts w:eastAsiaTheme="majorEastAsia"/>
        </w:rPr>
      </w:pPr>
      <w:r w:rsidRPr="001C0029">
        <w:rPr>
          <w:rFonts w:eastAsiaTheme="majorEastAsia"/>
        </w:rPr>
        <w:t>EANDIS: THE BELGIAN POWER GRID OPERATOR</w:t>
      </w:r>
    </w:p>
    <w:p w14:paraId="79201EAA" w14:textId="77777777" w:rsidR="007E54A7" w:rsidRPr="001C0029" w:rsidRDefault="007E54A7" w:rsidP="007E54A7">
      <w:pPr>
        <w:pStyle w:val="BodyTextMain"/>
      </w:pPr>
    </w:p>
    <w:p w14:paraId="6045607C" w14:textId="24AD199D" w:rsidR="007E54A7" w:rsidRPr="001C0029" w:rsidRDefault="007E54A7" w:rsidP="007E54A7">
      <w:pPr>
        <w:pStyle w:val="BodyTextMain"/>
      </w:pPr>
      <w:proofErr w:type="spellStart"/>
      <w:r w:rsidRPr="001C0029">
        <w:t>Eandis</w:t>
      </w:r>
      <w:proofErr w:type="spellEnd"/>
      <w:r w:rsidRPr="001C0029">
        <w:t xml:space="preserve"> was the regional electricity </w:t>
      </w:r>
      <w:r w:rsidR="00EC2E1F" w:rsidRPr="001C0029">
        <w:t>DSO</w:t>
      </w:r>
      <w:r w:rsidRPr="001C0029">
        <w:t xml:space="preserve"> in Flanders, the northern</w:t>
      </w:r>
      <w:r w:rsidR="00EC2E1F" w:rsidRPr="001C0029">
        <w:t>, Flemish region</w:t>
      </w:r>
      <w:r w:rsidRPr="001C0029">
        <w:t xml:space="preserve"> of Belgium</w:t>
      </w:r>
      <w:r w:rsidR="00EC2E1F" w:rsidRPr="001C0029">
        <w:t>, servicing a market that covered</w:t>
      </w:r>
      <w:r w:rsidRPr="001C0029">
        <w:t xml:space="preserve"> 78</w:t>
      </w:r>
      <w:r w:rsidR="00EC2E1F" w:rsidRPr="001C0029">
        <w:t xml:space="preserve"> per cent of the Flemish m</w:t>
      </w:r>
      <w:r w:rsidRPr="001C0029">
        <w:t>unicipalities. With a network of 94</w:t>
      </w:r>
      <w:r w:rsidR="00EC2E1F" w:rsidRPr="001C0029">
        <w:t>,</w:t>
      </w:r>
      <w:r w:rsidRPr="001C0029">
        <w:t xml:space="preserve">000 </w:t>
      </w:r>
      <w:r w:rsidR="00EC2E1F" w:rsidRPr="001C0029">
        <w:t>kilometres (</w:t>
      </w:r>
      <w:r w:rsidRPr="001C0029">
        <w:t>km</w:t>
      </w:r>
      <w:r w:rsidR="00EC2E1F" w:rsidRPr="001C0029">
        <w:t xml:space="preserve">) </w:t>
      </w:r>
      <w:r w:rsidRPr="001C0029">
        <w:t>(61</w:t>
      </w:r>
      <w:r w:rsidR="00EC2E1F" w:rsidRPr="001C0029">
        <w:t>,</w:t>
      </w:r>
      <w:r w:rsidRPr="001C0029">
        <w:t xml:space="preserve">000 </w:t>
      </w:r>
      <w:r w:rsidR="00EC2E1F" w:rsidRPr="001C0029">
        <w:t xml:space="preserve">km </w:t>
      </w:r>
      <w:r w:rsidRPr="001C0029">
        <w:t>in low voltage and 33</w:t>
      </w:r>
      <w:r w:rsidR="00EC2E1F" w:rsidRPr="001C0029">
        <w:t>,</w:t>
      </w:r>
      <w:r w:rsidRPr="001C0029">
        <w:t xml:space="preserve">000 in medium voltage), </w:t>
      </w:r>
      <w:proofErr w:type="spellStart"/>
      <w:r w:rsidR="00EC2E1F" w:rsidRPr="001C0029">
        <w:t>Eandis</w:t>
      </w:r>
      <w:proofErr w:type="spellEnd"/>
      <w:r w:rsidRPr="001C0029">
        <w:t xml:space="preserve"> supplied 2.5 million clients, engaged 4</w:t>
      </w:r>
      <w:r w:rsidR="00EC2E1F" w:rsidRPr="001C0029">
        <w:t>,750 employees, and generated €</w:t>
      </w:r>
      <w:r w:rsidRPr="001C0029">
        <w:t>3 billion</w:t>
      </w:r>
      <w:r w:rsidR="00EC2E1F" w:rsidRPr="001C0029">
        <w:rPr>
          <w:rStyle w:val="FootnoteReference"/>
          <w:b w:val="0"/>
          <w:color w:val="auto"/>
        </w:rPr>
        <w:footnoteReference w:id="3"/>
      </w:r>
      <w:r w:rsidRPr="001C0029">
        <w:t xml:space="preserve"> in operating revenue from a base of €3 billion in total assets.</w:t>
      </w:r>
    </w:p>
    <w:p w14:paraId="60935148" w14:textId="20170C5B" w:rsidR="007E54A7" w:rsidRPr="001C0029" w:rsidRDefault="007E54A7" w:rsidP="007E54A7">
      <w:pPr>
        <w:pStyle w:val="BodyTextMain"/>
      </w:pPr>
    </w:p>
    <w:p w14:paraId="2F41B635" w14:textId="307D07C6" w:rsidR="00DF7B80" w:rsidRPr="001C0029" w:rsidRDefault="00DF7B80" w:rsidP="007E54A7">
      <w:pPr>
        <w:pStyle w:val="BodyTextMain"/>
      </w:pPr>
    </w:p>
    <w:p w14:paraId="4F88F962" w14:textId="77777777" w:rsidR="007702C2" w:rsidRPr="001C0029" w:rsidRDefault="007702C2" w:rsidP="007702C2">
      <w:pPr>
        <w:pStyle w:val="Casehead2"/>
        <w:rPr>
          <w:rFonts w:eastAsiaTheme="majorEastAsia"/>
        </w:rPr>
      </w:pPr>
      <w:r w:rsidRPr="001C0029">
        <w:rPr>
          <w:rFonts w:eastAsiaTheme="majorEastAsia"/>
        </w:rPr>
        <w:t xml:space="preserve">Basic Financial Statement for </w:t>
      </w:r>
      <w:proofErr w:type="spellStart"/>
      <w:r w:rsidRPr="001C0029">
        <w:rPr>
          <w:rFonts w:eastAsiaTheme="majorEastAsia"/>
        </w:rPr>
        <w:t>Eandis</w:t>
      </w:r>
      <w:proofErr w:type="spellEnd"/>
    </w:p>
    <w:p w14:paraId="62E39196" w14:textId="77777777" w:rsidR="007702C2" w:rsidRPr="001C0029" w:rsidRDefault="007702C2" w:rsidP="007E54A7">
      <w:pPr>
        <w:pStyle w:val="BodyTextMain"/>
      </w:pPr>
    </w:p>
    <w:p w14:paraId="79478362" w14:textId="2ADC6338" w:rsidR="007C77A7" w:rsidRPr="001C0029" w:rsidRDefault="007702C2" w:rsidP="007E54A7">
      <w:pPr>
        <w:pStyle w:val="BodyTextMain"/>
      </w:pPr>
      <w:r w:rsidRPr="001C0029">
        <w:t>In</w:t>
      </w:r>
      <w:r w:rsidR="007E54A7" w:rsidRPr="001C0029">
        <w:t xml:space="preserve"> 2014</w:t>
      </w:r>
      <w:r w:rsidRPr="001C0029">
        <w:t xml:space="preserve">, </w:t>
      </w:r>
      <w:proofErr w:type="spellStart"/>
      <w:r w:rsidRPr="001C0029">
        <w:t>Eandis</w:t>
      </w:r>
      <w:proofErr w:type="spellEnd"/>
      <w:r w:rsidRPr="001C0029">
        <w:t xml:space="preserve"> s</w:t>
      </w:r>
      <w:r w:rsidR="007E54A7" w:rsidRPr="001C0029">
        <w:t>ervic</w:t>
      </w:r>
      <w:r w:rsidRPr="001C0029">
        <w:t>ed</w:t>
      </w:r>
      <w:r w:rsidR="007E54A7" w:rsidRPr="001C0029">
        <w:t xml:space="preserve"> a consumption of 30 TWh at a regulated price of </w:t>
      </w:r>
      <w:r w:rsidRPr="001C0029">
        <w:t>€</w:t>
      </w:r>
      <w:r w:rsidR="007E54A7" w:rsidRPr="001C0029">
        <w:t xml:space="preserve">39.17 </w:t>
      </w:r>
      <w:r w:rsidRPr="001C0029">
        <w:t>per megawatt hour (</w:t>
      </w:r>
      <w:r w:rsidR="007E54A7" w:rsidRPr="001C0029">
        <w:t>MWh</w:t>
      </w:r>
      <w:r w:rsidR="00F6547B" w:rsidRPr="001C0029">
        <w:t>). T</w:t>
      </w:r>
      <w:r w:rsidR="007E54A7" w:rsidRPr="001C0029">
        <w:t>he company</w:t>
      </w:r>
      <w:r w:rsidR="00F6547B" w:rsidRPr="001C0029">
        <w:t>’s</w:t>
      </w:r>
      <w:r w:rsidR="007E54A7" w:rsidRPr="001C0029">
        <w:t xml:space="preserve"> return on equity </w:t>
      </w:r>
      <w:r w:rsidR="00F6547B" w:rsidRPr="001C0029">
        <w:t xml:space="preserve">was </w:t>
      </w:r>
      <w:r w:rsidR="007E54A7" w:rsidRPr="001C0029">
        <w:t>7</w:t>
      </w:r>
      <w:r w:rsidR="00F6547B" w:rsidRPr="001C0029">
        <w:t xml:space="preserve"> per cent</w:t>
      </w:r>
      <w:r w:rsidR="007E54A7" w:rsidRPr="001C0029">
        <w:t xml:space="preserve">, with </w:t>
      </w:r>
      <w:r w:rsidR="00B020D3" w:rsidRPr="001C0029">
        <w:t>equity costs of €</w:t>
      </w:r>
      <w:r w:rsidR="007E54A7" w:rsidRPr="001C0029">
        <w:t xml:space="preserve">140 </w:t>
      </w:r>
      <w:r w:rsidR="00B020D3" w:rsidRPr="001C0029">
        <w:t xml:space="preserve">million </w:t>
      </w:r>
      <w:r w:rsidR="00780C72" w:rsidRPr="001C0029">
        <w:t>for</w:t>
      </w:r>
      <w:r w:rsidR="007E54A7" w:rsidRPr="001C0029">
        <w:t xml:space="preserve"> </w:t>
      </w:r>
      <w:r w:rsidR="00780C72" w:rsidRPr="001C0029">
        <w:t xml:space="preserve">a total equity of </w:t>
      </w:r>
      <w:r w:rsidR="00B020D3" w:rsidRPr="001C0029">
        <w:t>€</w:t>
      </w:r>
      <w:r w:rsidR="007E54A7" w:rsidRPr="001C0029">
        <w:t>2</w:t>
      </w:r>
      <w:r w:rsidR="00B020D3" w:rsidRPr="001C0029">
        <w:t>,</w:t>
      </w:r>
      <w:r w:rsidR="007E54A7" w:rsidRPr="001C0029">
        <w:t xml:space="preserve">000 </w:t>
      </w:r>
      <w:r w:rsidR="00B020D3" w:rsidRPr="001C0029">
        <w:t>million</w:t>
      </w:r>
      <w:r w:rsidR="007E54A7" w:rsidRPr="001C0029">
        <w:t xml:space="preserve"> </w:t>
      </w:r>
      <w:r w:rsidR="00B020D3" w:rsidRPr="001C0029">
        <w:t xml:space="preserve">(€2 billion) </w:t>
      </w:r>
      <w:r w:rsidRPr="001C0029">
        <w:t>(see Exhibit 1)</w:t>
      </w:r>
      <w:r w:rsidR="007E54A7" w:rsidRPr="001C0029">
        <w:t>.</w:t>
      </w:r>
      <w:r w:rsidRPr="001C0029">
        <w:rPr>
          <w:rStyle w:val="FootnoteReference"/>
          <w:b w:val="0"/>
          <w:color w:val="auto"/>
        </w:rPr>
        <w:footnoteReference w:id="4"/>
      </w:r>
      <w:r w:rsidR="00B020D3" w:rsidRPr="001C0029">
        <w:rPr>
          <w:b/>
        </w:rPr>
        <w:t xml:space="preserve"> </w:t>
      </w:r>
    </w:p>
    <w:p w14:paraId="5327F1F6" w14:textId="77777777" w:rsidR="007C77A7" w:rsidRPr="001C0029" w:rsidRDefault="007C77A7" w:rsidP="007E54A7">
      <w:pPr>
        <w:pStyle w:val="BodyTextMain"/>
      </w:pPr>
    </w:p>
    <w:p w14:paraId="61522485" w14:textId="6DE1C470" w:rsidR="007E54A7" w:rsidRPr="001C0029" w:rsidRDefault="00780C72" w:rsidP="007E54A7">
      <w:pPr>
        <w:pStyle w:val="BodyTextMain"/>
      </w:pPr>
      <w:r w:rsidRPr="001C0029">
        <w:t>A</w:t>
      </w:r>
      <w:r w:rsidR="007E54A7" w:rsidRPr="001C0029">
        <w:t xml:space="preserve"> depreciation cost of </w:t>
      </w:r>
      <w:r w:rsidR="00B020D3" w:rsidRPr="001C0029">
        <w:t>€</w:t>
      </w:r>
      <w:r w:rsidR="007E54A7" w:rsidRPr="001C0029">
        <w:t xml:space="preserve">220 </w:t>
      </w:r>
      <w:r w:rsidR="00B020D3" w:rsidRPr="001C0029">
        <w:t xml:space="preserve">million </w:t>
      </w:r>
      <w:r w:rsidR="007E54A7" w:rsidRPr="001C0029">
        <w:t xml:space="preserve">for the </w:t>
      </w:r>
      <w:r w:rsidR="00B020D3" w:rsidRPr="001C0029">
        <w:t>regulated asset base (</w:t>
      </w:r>
      <w:r w:rsidR="007E54A7" w:rsidRPr="001C0029">
        <w:t>RAB</w:t>
      </w:r>
      <w:r w:rsidR="00B020D3" w:rsidRPr="001C0029">
        <w:t>)</w:t>
      </w:r>
      <w:r w:rsidR="00816DF7" w:rsidRPr="001C0029">
        <w:rPr>
          <w:rStyle w:val="FootnoteReference"/>
          <w:b w:val="0"/>
          <w:color w:val="auto"/>
        </w:rPr>
        <w:footnoteReference w:id="5"/>
      </w:r>
      <w:r w:rsidR="007E54A7" w:rsidRPr="001C0029">
        <w:t xml:space="preserve"> of </w:t>
      </w:r>
      <w:r w:rsidR="00B020D3" w:rsidRPr="001C0029">
        <w:t>€</w:t>
      </w:r>
      <w:r w:rsidR="007E54A7" w:rsidRPr="001C0029">
        <w:t>5</w:t>
      </w:r>
      <w:r w:rsidR="00B020D3" w:rsidRPr="001C0029">
        <w:t>,</w:t>
      </w:r>
      <w:r w:rsidR="007E54A7" w:rsidRPr="001C0029">
        <w:t xml:space="preserve">000 </w:t>
      </w:r>
      <w:r w:rsidR="00B020D3" w:rsidRPr="001C0029">
        <w:t xml:space="preserve">million (€5 billion) </w:t>
      </w:r>
      <w:r w:rsidRPr="001C0029">
        <w:t>indicated</w:t>
      </w:r>
      <w:r w:rsidR="007E54A7" w:rsidRPr="001C0029">
        <w:t xml:space="preserve"> that under a simplified linear depreciation model, the existing assets were assumed to have an average lifetime of about 23</w:t>
      </w:r>
      <w:r w:rsidR="007C77A7" w:rsidRPr="001C0029">
        <w:t xml:space="preserve"> to </w:t>
      </w:r>
      <w:r w:rsidR="007E54A7" w:rsidRPr="001C0029">
        <w:t>26 years. This was realistic for power grid companies</w:t>
      </w:r>
      <w:r w:rsidRPr="001C0029">
        <w:t>, which</w:t>
      </w:r>
      <w:r w:rsidR="007E54A7" w:rsidRPr="001C0029">
        <w:t xml:space="preserve"> typically ha</w:t>
      </w:r>
      <w:r w:rsidR="007C77A7" w:rsidRPr="001C0029">
        <w:t>d</w:t>
      </w:r>
      <w:r w:rsidR="007E54A7" w:rsidRPr="001C0029">
        <w:t xml:space="preserve"> </w:t>
      </w:r>
      <w:r w:rsidR="007E54A7" w:rsidRPr="001C0029">
        <w:lastRenderedPageBreak/>
        <w:t>a mixed composition of heavy infrastructure assets with a life</w:t>
      </w:r>
      <w:r w:rsidR="007C77A7" w:rsidRPr="001C0029">
        <w:t>time</w:t>
      </w:r>
      <w:r w:rsidR="007E54A7" w:rsidRPr="001C0029">
        <w:t xml:space="preserve"> of up to 40 years</w:t>
      </w:r>
      <w:r w:rsidR="007C77A7" w:rsidRPr="001C0029">
        <w:t xml:space="preserve"> (</w:t>
      </w:r>
      <w:r w:rsidR="007E54A7" w:rsidRPr="001C0029">
        <w:t>e.g., cables and overhead lines</w:t>
      </w:r>
      <w:r w:rsidR="007C77A7" w:rsidRPr="001C0029">
        <w:t xml:space="preserve">) </w:t>
      </w:r>
      <w:r w:rsidR="007E54A7" w:rsidRPr="001C0029">
        <w:t>and lighter assets with shorter life</w:t>
      </w:r>
      <w:r w:rsidR="007C77A7" w:rsidRPr="001C0029">
        <w:t>times (</w:t>
      </w:r>
      <w:r w:rsidR="007E54A7" w:rsidRPr="001C0029">
        <w:t>e.g., IT equipment</w:t>
      </w:r>
      <w:r w:rsidR="007C77A7" w:rsidRPr="001C0029">
        <w:t>)</w:t>
      </w:r>
      <w:r w:rsidR="007E54A7" w:rsidRPr="001C0029">
        <w:t>.</w:t>
      </w:r>
    </w:p>
    <w:p w14:paraId="274FF6D5" w14:textId="77777777" w:rsidR="007E54A7" w:rsidRPr="001C0029" w:rsidRDefault="007E54A7" w:rsidP="007E54A7">
      <w:pPr>
        <w:pStyle w:val="BodyTextMain"/>
      </w:pPr>
    </w:p>
    <w:p w14:paraId="41BD0E2A" w14:textId="77777777" w:rsidR="007E54A7" w:rsidRPr="001C0029" w:rsidRDefault="007E54A7" w:rsidP="007E54A7">
      <w:pPr>
        <w:pStyle w:val="BodyTextMain"/>
      </w:pPr>
    </w:p>
    <w:p w14:paraId="44053106" w14:textId="65113B8F" w:rsidR="00A43007" w:rsidRPr="001C0029" w:rsidRDefault="00A43007" w:rsidP="00A43007">
      <w:pPr>
        <w:pStyle w:val="Casehead2"/>
        <w:rPr>
          <w:rFonts w:eastAsiaTheme="majorEastAsia"/>
        </w:rPr>
      </w:pPr>
      <w:r w:rsidRPr="001C0029">
        <w:rPr>
          <w:rFonts w:eastAsiaTheme="majorEastAsia"/>
        </w:rPr>
        <w:t>Main Assumptions for Cost</w:t>
      </w:r>
      <w:r w:rsidR="009A0725" w:rsidRPr="001C0029">
        <w:rPr>
          <w:rFonts w:eastAsiaTheme="majorEastAsia"/>
        </w:rPr>
        <w:t>+</w:t>
      </w:r>
      <w:r w:rsidRPr="001C0029">
        <w:rPr>
          <w:rFonts w:eastAsiaTheme="majorEastAsia"/>
        </w:rPr>
        <w:t xml:space="preserve"> Pricing</w:t>
      </w:r>
    </w:p>
    <w:p w14:paraId="69D35090" w14:textId="77777777" w:rsidR="007E54A7" w:rsidRPr="001C0029" w:rsidRDefault="007E54A7" w:rsidP="007E54A7">
      <w:pPr>
        <w:pStyle w:val="BodyTextMain"/>
      </w:pPr>
    </w:p>
    <w:p w14:paraId="6AE72E33" w14:textId="4B088985" w:rsidR="00B24E9B" w:rsidRPr="001C0029" w:rsidRDefault="0064500F" w:rsidP="00B24E9B">
      <w:pPr>
        <w:pStyle w:val="BodyTextMain"/>
      </w:pPr>
      <w:r w:rsidRPr="001C0029">
        <w:t xml:space="preserve">In the </w:t>
      </w:r>
      <w:r w:rsidR="00076D38">
        <w:t>cost+</w:t>
      </w:r>
      <w:r w:rsidRPr="001C0029">
        <w:t xml:space="preserve"> scenario, the regulatory regime was assumed </w:t>
      </w:r>
      <w:r w:rsidR="00975001" w:rsidRPr="001C0029">
        <w:t xml:space="preserve">to remain as it was </w:t>
      </w:r>
      <w:r w:rsidRPr="001C0029">
        <w:t xml:space="preserve">(see Exhibit 2). </w:t>
      </w:r>
      <w:r w:rsidR="00CA64C5" w:rsidRPr="001C0029">
        <w:t>T</w:t>
      </w:r>
      <w:r w:rsidR="00B24E9B" w:rsidRPr="001C0029">
        <w:t xml:space="preserve">he annual increase of </w:t>
      </w:r>
      <w:r w:rsidR="00CA64C5" w:rsidRPr="001C0029">
        <w:t>operating expenses, other costs, and c</w:t>
      </w:r>
      <w:r w:rsidR="00B24E9B" w:rsidRPr="001C0029">
        <w:t xml:space="preserve">onsumption for the </w:t>
      </w:r>
      <w:r w:rsidRPr="001C0029">
        <w:t xml:space="preserve">projected </w:t>
      </w:r>
      <w:r w:rsidR="00B24E9B" w:rsidRPr="001C0029">
        <w:t xml:space="preserve">years </w:t>
      </w:r>
      <w:r w:rsidRPr="001C0029">
        <w:t xml:space="preserve">2015–2024 </w:t>
      </w:r>
      <w:r w:rsidR="00B24E9B" w:rsidRPr="001C0029">
        <w:t xml:space="preserve">was assumed under business as usual. </w:t>
      </w:r>
    </w:p>
    <w:p w14:paraId="696C9D31" w14:textId="721B9744" w:rsidR="00A43007" w:rsidRPr="001C0029" w:rsidRDefault="00A43007" w:rsidP="007E54A7">
      <w:pPr>
        <w:pStyle w:val="BodyTextMain"/>
      </w:pPr>
    </w:p>
    <w:p w14:paraId="57909412" w14:textId="155CD3D9" w:rsidR="00B24E9B" w:rsidRPr="001C0029" w:rsidRDefault="007E54A7" w:rsidP="007E54A7">
      <w:pPr>
        <w:pStyle w:val="BodyTextMain"/>
      </w:pPr>
      <w:r w:rsidRPr="001C0029">
        <w:t xml:space="preserve">In this </w:t>
      </w:r>
      <w:r w:rsidR="00BD1A2E" w:rsidRPr="001C0029">
        <w:t>scenario</w:t>
      </w:r>
      <w:r w:rsidRPr="001C0029">
        <w:t xml:space="preserve">, the </w:t>
      </w:r>
      <w:r w:rsidR="00F842EA" w:rsidRPr="001C0029">
        <w:t>change in</w:t>
      </w:r>
      <w:r w:rsidRPr="001C0029">
        <w:t xml:space="preserve"> the R</w:t>
      </w:r>
      <w:r w:rsidR="00A43007" w:rsidRPr="001C0029">
        <w:t>AB was the net effect of the on</w:t>
      </w:r>
      <w:r w:rsidRPr="001C0029">
        <w:t xml:space="preserve">going asset depreciation of </w:t>
      </w:r>
      <w:r w:rsidR="00A43007" w:rsidRPr="001C0029">
        <w:t>€</w:t>
      </w:r>
      <w:r w:rsidRPr="001C0029">
        <w:t xml:space="preserve">230 </w:t>
      </w:r>
      <w:r w:rsidR="00A43007" w:rsidRPr="001C0029">
        <w:t xml:space="preserve">million per </w:t>
      </w:r>
      <w:r w:rsidRPr="001C0029">
        <w:t xml:space="preserve">year, corrected for the investments that were planned to replace depreciated assets of </w:t>
      </w:r>
      <w:r w:rsidR="00A43007" w:rsidRPr="001C0029">
        <w:t>€</w:t>
      </w:r>
      <w:r w:rsidRPr="001C0029">
        <w:t xml:space="preserve">400 </w:t>
      </w:r>
      <w:r w:rsidR="00A43007" w:rsidRPr="001C0029">
        <w:t xml:space="preserve">million per </w:t>
      </w:r>
      <w:r w:rsidRPr="001C0029">
        <w:t>year. For the new investments, a depreciation rate of 2.5</w:t>
      </w:r>
      <w:r w:rsidR="00A43007" w:rsidRPr="001C0029">
        <w:t xml:space="preserve"> per cent</w:t>
      </w:r>
      <w:r w:rsidRPr="001C0029">
        <w:t xml:space="preserve"> per year was assumed, </w:t>
      </w:r>
      <w:r w:rsidR="00A43007" w:rsidRPr="001C0029">
        <w:t>implying an asset life</w:t>
      </w:r>
      <w:r w:rsidRPr="001C0029">
        <w:t xml:space="preserve">time of about 40 years. It was also assumed that positive </w:t>
      </w:r>
      <w:r w:rsidR="00A43007" w:rsidRPr="001C0029">
        <w:t xml:space="preserve">changes </w:t>
      </w:r>
      <w:r w:rsidR="00F842EA" w:rsidRPr="001C0029">
        <w:t xml:space="preserve">to the financing needs </w:t>
      </w:r>
      <w:r w:rsidRPr="001C0029">
        <w:t>(</w:t>
      </w:r>
      <w:r w:rsidR="00F842EA" w:rsidRPr="001C0029">
        <w:t xml:space="preserve">an increase in the </w:t>
      </w:r>
      <w:r w:rsidRPr="001C0029">
        <w:t xml:space="preserve">RAB) or negative </w:t>
      </w:r>
      <w:r w:rsidR="00A43007" w:rsidRPr="001C0029">
        <w:t xml:space="preserve">changes </w:t>
      </w:r>
      <w:r w:rsidR="00F842EA" w:rsidRPr="001C0029">
        <w:t xml:space="preserve">to the financing needs </w:t>
      </w:r>
      <w:r w:rsidRPr="001C0029">
        <w:t>(</w:t>
      </w:r>
      <w:r w:rsidR="00F842EA" w:rsidRPr="001C0029">
        <w:t xml:space="preserve">a decrease in the </w:t>
      </w:r>
      <w:r w:rsidRPr="001C0029">
        <w:t>RAB) were shared between debt (60</w:t>
      </w:r>
      <w:r w:rsidR="00A43007" w:rsidRPr="001C0029">
        <w:t xml:space="preserve"> per cent</w:t>
      </w:r>
      <w:r w:rsidRPr="001C0029">
        <w:t>) and equity (40</w:t>
      </w:r>
      <w:r w:rsidR="00A43007" w:rsidRPr="001C0029">
        <w:t xml:space="preserve"> per cent</w:t>
      </w:r>
      <w:r w:rsidRPr="001C0029">
        <w:t xml:space="preserve">). </w:t>
      </w:r>
    </w:p>
    <w:p w14:paraId="29CFB9B6" w14:textId="77777777" w:rsidR="00B24E9B" w:rsidRPr="001C0029" w:rsidRDefault="00B24E9B" w:rsidP="007E54A7">
      <w:pPr>
        <w:pStyle w:val="BodyTextMain"/>
      </w:pPr>
    </w:p>
    <w:p w14:paraId="3E115FD0" w14:textId="1A7DEDDE" w:rsidR="00013D3E" w:rsidRPr="001C0029" w:rsidRDefault="007E54A7" w:rsidP="007E54A7">
      <w:pPr>
        <w:pStyle w:val="BodyTextMain"/>
      </w:pPr>
      <w:r w:rsidRPr="001C0029">
        <w:t xml:space="preserve">Moreover, equity was equal to the shared capital in 2014, implying the absence of any reserves. As of 2015, the company </w:t>
      </w:r>
      <w:r w:rsidR="0064500F" w:rsidRPr="001C0029">
        <w:t xml:space="preserve">would have </w:t>
      </w:r>
      <w:r w:rsidRPr="001C0029">
        <w:t>accumulate</w:t>
      </w:r>
      <w:r w:rsidR="00B24E9B" w:rsidRPr="001C0029">
        <w:t>d</w:t>
      </w:r>
      <w:r w:rsidRPr="001C0029">
        <w:t xml:space="preserve"> reserves because </w:t>
      </w:r>
      <w:r w:rsidR="00B24E9B" w:rsidRPr="001C0029">
        <w:t xml:space="preserve">a portion </w:t>
      </w:r>
      <w:r w:rsidRPr="001C0029">
        <w:t xml:space="preserve">of the profit was paid out as dividends, while </w:t>
      </w:r>
      <w:r w:rsidR="00B24E9B" w:rsidRPr="001C0029">
        <w:t>another portion</w:t>
      </w:r>
      <w:r w:rsidRPr="001C0029">
        <w:t xml:space="preserve"> was kept in the company.</w:t>
      </w:r>
    </w:p>
    <w:p w14:paraId="615D30BA" w14:textId="77777777" w:rsidR="007E54A7" w:rsidRPr="001C0029" w:rsidRDefault="007E54A7" w:rsidP="007E54A7">
      <w:pPr>
        <w:pStyle w:val="BodyTextMain"/>
      </w:pPr>
    </w:p>
    <w:p w14:paraId="4F233F4A" w14:textId="77777777" w:rsidR="00DC09D8" w:rsidRPr="001C0029" w:rsidRDefault="00DC09D8" w:rsidP="007E54A7">
      <w:pPr>
        <w:pStyle w:val="BodyTextMain"/>
      </w:pPr>
    </w:p>
    <w:p w14:paraId="3981F52C" w14:textId="6C1B0EB9" w:rsidR="00CA64C5" w:rsidRPr="001C0029" w:rsidRDefault="00CA64C5" w:rsidP="00CA64C5">
      <w:pPr>
        <w:pStyle w:val="Casehead2"/>
        <w:rPr>
          <w:rFonts w:eastAsiaTheme="majorEastAsia"/>
        </w:rPr>
      </w:pPr>
      <w:r w:rsidRPr="001C0029">
        <w:rPr>
          <w:rFonts w:eastAsiaTheme="majorEastAsia"/>
        </w:rPr>
        <w:t xml:space="preserve">Financial Planning </w:t>
      </w:r>
      <w:r w:rsidR="00F842EA" w:rsidRPr="001C0029">
        <w:rPr>
          <w:rFonts w:eastAsiaTheme="majorEastAsia"/>
        </w:rPr>
        <w:t>for Regulatory Changes</w:t>
      </w:r>
    </w:p>
    <w:p w14:paraId="28AA5D64" w14:textId="77777777" w:rsidR="007E54A7" w:rsidRPr="001C0029" w:rsidRDefault="007E54A7" w:rsidP="007E54A7">
      <w:pPr>
        <w:pStyle w:val="BodyTextMain"/>
      </w:pPr>
    </w:p>
    <w:p w14:paraId="491A9ECF" w14:textId="21909314" w:rsidR="005435FB" w:rsidRPr="001C0029" w:rsidRDefault="00F842EA" w:rsidP="007E54A7">
      <w:pPr>
        <w:pStyle w:val="BodyTextMain"/>
      </w:pPr>
      <w:r w:rsidRPr="001C0029">
        <w:t>If the regulatory structure changed, r</w:t>
      </w:r>
      <w:r w:rsidR="003A1893" w:rsidRPr="001C0029">
        <w:t xml:space="preserve">evenues </w:t>
      </w:r>
      <w:r w:rsidR="00ED4FA4" w:rsidRPr="001C0029">
        <w:t xml:space="preserve">would </w:t>
      </w:r>
      <w:r w:rsidR="003A1893" w:rsidRPr="001C0029">
        <w:t>var</w:t>
      </w:r>
      <w:r w:rsidR="00ED4FA4" w:rsidRPr="001C0029">
        <w:t>y</w:t>
      </w:r>
      <w:r w:rsidR="007E54A7" w:rsidRPr="001C0029">
        <w:t xml:space="preserve">. </w:t>
      </w:r>
      <w:r w:rsidR="00674FB8" w:rsidRPr="001C0029">
        <w:t>The cost+ regime covered all cost positions</w:t>
      </w:r>
      <w:r w:rsidR="00131F2A">
        <w:t>,</w:t>
      </w:r>
      <w:r w:rsidR="00674FB8" w:rsidRPr="001C0029">
        <w:t xml:space="preserve"> and the revenues had to provide the profits, which equalled the allowed return on equity</w:t>
      </w:r>
      <w:r w:rsidR="007E54A7" w:rsidRPr="001C0029">
        <w:t>. This was assumed to be 7</w:t>
      </w:r>
      <w:r w:rsidR="005435FB" w:rsidRPr="001C0029">
        <w:t xml:space="preserve"> per cent</w:t>
      </w:r>
      <w:r w:rsidR="007E54A7" w:rsidRPr="001C0029">
        <w:t xml:space="preserve"> of equity, as in 2014. </w:t>
      </w:r>
      <w:r w:rsidR="007F0EEE" w:rsidRPr="001C0029">
        <w:t>Under this regime,</w:t>
      </w:r>
      <w:r w:rsidR="007E54A7" w:rsidRPr="001C0029">
        <w:t xml:space="preserve"> the revenues </w:t>
      </w:r>
      <w:r w:rsidR="005435FB" w:rsidRPr="001C0029">
        <w:t xml:space="preserve">no longer </w:t>
      </w:r>
      <w:r w:rsidR="007E54A7" w:rsidRPr="001C0029">
        <w:t>guarantee</w:t>
      </w:r>
      <w:r w:rsidR="005435FB" w:rsidRPr="001C0029">
        <w:t>d</w:t>
      </w:r>
      <w:r w:rsidR="007E54A7" w:rsidRPr="001C0029">
        <w:t xml:space="preserve"> a fixed return on equity. Inst</w:t>
      </w:r>
      <w:r w:rsidR="005435FB" w:rsidRPr="001C0029">
        <w:t>ead, the revenues included the c</w:t>
      </w:r>
      <w:r w:rsidR="007E54A7" w:rsidRPr="001C0029">
        <w:t xml:space="preserve">osts that </w:t>
      </w:r>
      <w:r w:rsidR="007F0EEE" w:rsidRPr="001C0029">
        <w:t>the regulator accepted to be recovered from consumers</w:t>
      </w:r>
      <w:r w:rsidR="007E54A7" w:rsidRPr="001C0029">
        <w:t xml:space="preserve">, the allowed </w:t>
      </w:r>
      <w:r w:rsidR="000635E1" w:rsidRPr="001C0029">
        <w:t>change in</w:t>
      </w:r>
      <w:r w:rsidR="007E54A7" w:rsidRPr="001C0029">
        <w:t xml:space="preserve"> </w:t>
      </w:r>
      <w:r w:rsidR="005435FB" w:rsidRPr="001C0029">
        <w:t>operating expenses</w:t>
      </w:r>
      <w:r w:rsidR="007E54A7" w:rsidRPr="001C0029">
        <w:t xml:space="preserve">, and the allowed </w:t>
      </w:r>
      <w:r w:rsidR="005435FB" w:rsidRPr="001C0029">
        <w:t>capital expenditure</w:t>
      </w:r>
      <w:r w:rsidR="007E54A7" w:rsidRPr="001C0029">
        <w:t>. The difference between the allowed costs and actual costs determined the net profit and</w:t>
      </w:r>
      <w:r w:rsidR="005435FB" w:rsidRPr="001C0029">
        <w:t>, thus,</w:t>
      </w:r>
      <w:r w:rsidR="007E54A7" w:rsidRPr="001C0029">
        <w:t xml:space="preserve"> the </w:t>
      </w:r>
      <w:r w:rsidR="005435FB" w:rsidRPr="001C0029">
        <w:t xml:space="preserve">company’s </w:t>
      </w:r>
      <w:r w:rsidR="007E54A7" w:rsidRPr="001C0029">
        <w:t xml:space="preserve">performance. </w:t>
      </w:r>
    </w:p>
    <w:p w14:paraId="2AC8042B" w14:textId="77777777" w:rsidR="007E54A7" w:rsidRPr="001C0029" w:rsidRDefault="007E54A7" w:rsidP="007E54A7">
      <w:pPr>
        <w:pStyle w:val="BodyTextMain"/>
      </w:pPr>
    </w:p>
    <w:p w14:paraId="5654B7E4" w14:textId="524637A7" w:rsidR="007E54A7" w:rsidRPr="001C0029" w:rsidRDefault="009A0725" w:rsidP="007E54A7">
      <w:pPr>
        <w:pStyle w:val="BodyTextMain"/>
      </w:pPr>
      <w:r w:rsidRPr="001C0029">
        <w:t>Under the cost+</w:t>
      </w:r>
      <w:r w:rsidR="007E54A7" w:rsidRPr="001C0029">
        <w:t xml:space="preserve"> regime, the company </w:t>
      </w:r>
      <w:r w:rsidRPr="001C0029">
        <w:t>had</w:t>
      </w:r>
      <w:r w:rsidR="007E54A7" w:rsidRPr="001C0029">
        <w:t xml:space="preserve"> an implicit </w:t>
      </w:r>
      <w:r w:rsidRPr="001C0029">
        <w:t>weighted average cost of capital (</w:t>
      </w:r>
      <w:r w:rsidR="007E54A7" w:rsidRPr="001C0029">
        <w:t>WACC</w:t>
      </w:r>
      <w:r w:rsidRPr="001C0029">
        <w:t>)</w:t>
      </w:r>
      <w:r w:rsidR="007E54A7" w:rsidRPr="001C0029">
        <w:t xml:space="preserve"> of 5.5</w:t>
      </w:r>
      <w:r w:rsidRPr="001C0029">
        <w:t xml:space="preserve"> per cent</w:t>
      </w:r>
      <w:r w:rsidR="007E54A7" w:rsidRPr="001C0029">
        <w:t>, but in 2014</w:t>
      </w:r>
      <w:r w:rsidRPr="001C0029">
        <w:t>,</w:t>
      </w:r>
      <w:r w:rsidR="007E54A7" w:rsidRPr="001C0029">
        <w:t xml:space="preserve"> the regulator </w:t>
      </w:r>
      <w:r w:rsidR="00D54894" w:rsidRPr="001C0029">
        <w:t xml:space="preserve">had </w:t>
      </w:r>
      <w:r w:rsidR="007E54A7" w:rsidRPr="001C0029">
        <w:t>limit</w:t>
      </w:r>
      <w:r w:rsidRPr="001C0029">
        <w:t>ed</w:t>
      </w:r>
      <w:r w:rsidR="007E54A7" w:rsidRPr="001C0029">
        <w:t xml:space="preserve"> the WACC to 5</w:t>
      </w:r>
      <w:r w:rsidRPr="001C0029">
        <w:t xml:space="preserve"> per cent</w:t>
      </w:r>
      <w:r w:rsidR="007E54A7" w:rsidRPr="001C0029">
        <w:t xml:space="preserve">. The regulator had set the starting value for </w:t>
      </w:r>
      <w:r w:rsidR="00D54894" w:rsidRPr="001C0029">
        <w:t>operating expenses</w:t>
      </w:r>
      <w:r w:rsidR="007E54A7" w:rsidRPr="001C0029">
        <w:t xml:space="preserve"> </w:t>
      </w:r>
      <w:r w:rsidR="00282501" w:rsidRPr="001C0029">
        <w:t xml:space="preserve">based on </w:t>
      </w:r>
      <w:r w:rsidR="007E54A7" w:rsidRPr="001C0029">
        <w:t xml:space="preserve">the </w:t>
      </w:r>
      <w:r w:rsidR="00D54894" w:rsidRPr="001C0029">
        <w:t xml:space="preserve">DSO’s </w:t>
      </w:r>
      <w:r w:rsidR="007E54A7" w:rsidRPr="001C0029">
        <w:t xml:space="preserve">expected cost, but the allowed </w:t>
      </w:r>
      <w:r w:rsidR="00D54894" w:rsidRPr="001C0029">
        <w:t>operating expense</w:t>
      </w:r>
      <w:r w:rsidR="007E54A7" w:rsidRPr="001C0029">
        <w:t xml:space="preserve"> </w:t>
      </w:r>
      <w:r w:rsidR="00D54894" w:rsidRPr="001C0029">
        <w:t>was</w:t>
      </w:r>
      <w:r w:rsidR="007E54A7" w:rsidRPr="001C0029">
        <w:t xml:space="preserve"> capped </w:t>
      </w:r>
      <w:r w:rsidR="00D54894" w:rsidRPr="001C0029">
        <w:t>at</w:t>
      </w:r>
      <w:r w:rsidR="007E54A7" w:rsidRPr="001C0029">
        <w:t xml:space="preserve"> </w:t>
      </w:r>
      <w:r w:rsidR="00D54894" w:rsidRPr="001C0029">
        <w:t xml:space="preserve">a </w:t>
      </w:r>
      <w:r w:rsidR="007E54A7" w:rsidRPr="001C0029">
        <w:t>2</w:t>
      </w:r>
      <w:r w:rsidR="00D54894" w:rsidRPr="001C0029">
        <w:t xml:space="preserve"> per cent</w:t>
      </w:r>
      <w:r w:rsidR="007E54A7" w:rsidRPr="001C0029">
        <w:t xml:space="preserve"> increase per year, even if the DSO argue</w:t>
      </w:r>
      <w:r w:rsidR="00D54894" w:rsidRPr="001C0029">
        <w:t>d</w:t>
      </w:r>
      <w:r w:rsidR="007E54A7" w:rsidRPr="001C0029">
        <w:t xml:space="preserve"> that </w:t>
      </w:r>
      <w:r w:rsidR="00D54894" w:rsidRPr="001C0029">
        <w:t>the operating expenses</w:t>
      </w:r>
      <w:r w:rsidR="007E54A7" w:rsidRPr="001C0029">
        <w:t xml:space="preserve"> would grow </w:t>
      </w:r>
      <w:r w:rsidR="00D54894" w:rsidRPr="001C0029">
        <w:t xml:space="preserve">at </w:t>
      </w:r>
      <w:r w:rsidR="007E54A7" w:rsidRPr="001C0029">
        <w:t>2.4</w:t>
      </w:r>
      <w:r w:rsidR="00D54894" w:rsidRPr="001C0029">
        <w:t xml:space="preserve"> per cent</w:t>
      </w:r>
      <w:r w:rsidR="007E54A7" w:rsidRPr="001C0029">
        <w:t xml:space="preserve"> per year</w:t>
      </w:r>
      <w:r w:rsidR="0013032D" w:rsidRPr="001C0029">
        <w:t xml:space="preserve"> </w:t>
      </w:r>
      <w:r w:rsidR="007E54A7" w:rsidRPr="001C0029">
        <w:t xml:space="preserve">and that investing in smart meters would further increase </w:t>
      </w:r>
      <w:r w:rsidR="00D54894" w:rsidRPr="001C0029">
        <w:t>the operating expenses</w:t>
      </w:r>
      <w:r w:rsidR="007E54A7" w:rsidRPr="001C0029">
        <w:t>.</w:t>
      </w:r>
    </w:p>
    <w:p w14:paraId="0B1F909B" w14:textId="77777777" w:rsidR="007E54A7" w:rsidRPr="001C0029" w:rsidRDefault="007E54A7" w:rsidP="007E54A7">
      <w:pPr>
        <w:pStyle w:val="BodyTextMain"/>
      </w:pPr>
    </w:p>
    <w:p w14:paraId="11AEFAA3" w14:textId="14496018" w:rsidR="00F6396B" w:rsidRPr="001C0029" w:rsidRDefault="00F6396B" w:rsidP="00F6396B">
      <w:pPr>
        <w:pStyle w:val="BodyTextMain"/>
      </w:pPr>
      <w:r w:rsidRPr="001C0029">
        <w:t>If the regulatory regime changed to price cap regulation, revenues would depend on the price cap set by the regulator and the volume customers consumed (see Exhibit 3). In this scenario, the volume risk would be assumed by the company.</w:t>
      </w:r>
    </w:p>
    <w:p w14:paraId="49E37613" w14:textId="77777777" w:rsidR="001446B8" w:rsidRPr="001C0029" w:rsidRDefault="001446B8" w:rsidP="00F6396B">
      <w:pPr>
        <w:pStyle w:val="BodyTextMain"/>
      </w:pPr>
    </w:p>
    <w:p w14:paraId="54FB3790" w14:textId="42671EFD" w:rsidR="007E54A7" w:rsidRPr="001C0029" w:rsidRDefault="00F6396B" w:rsidP="007E54A7">
      <w:pPr>
        <w:pStyle w:val="BodyTextMain"/>
      </w:pPr>
      <w:r w:rsidRPr="001C0029">
        <w:t xml:space="preserve">This possible change to price cap </w:t>
      </w:r>
      <w:r w:rsidR="0013032D" w:rsidRPr="001C0029">
        <w:t>regulation posed</w:t>
      </w:r>
      <w:r w:rsidR="007E54A7" w:rsidRPr="001C0029">
        <w:t xml:space="preserve"> the threat that the regulator might not allow grid tariffs to increase more than 2</w:t>
      </w:r>
      <w:r w:rsidR="00ED4FA4" w:rsidRPr="001C0029">
        <w:t xml:space="preserve"> per cent</w:t>
      </w:r>
      <w:r w:rsidR="00282501" w:rsidRPr="001C0029">
        <w:t xml:space="preserve"> per year</w:t>
      </w:r>
      <w:r w:rsidR="007E54A7" w:rsidRPr="001C0029">
        <w:t xml:space="preserve">. This threat was taken seriously because the investments had a lifetime of more than a decade, while the regulatory period in which the regulated parameters were fixed </w:t>
      </w:r>
      <w:r w:rsidR="00737C38">
        <w:t>was</w:t>
      </w:r>
      <w:r w:rsidR="00737C38" w:rsidRPr="001C0029">
        <w:t xml:space="preserve"> </w:t>
      </w:r>
      <w:r w:rsidR="007E54A7" w:rsidRPr="001C0029">
        <w:t xml:space="preserve">typically for </w:t>
      </w:r>
      <w:r w:rsidR="00ED4FA4" w:rsidRPr="001C0029">
        <w:t>four to five</w:t>
      </w:r>
      <w:r w:rsidR="007E54A7" w:rsidRPr="001C0029">
        <w:t xml:space="preserve"> years.</w:t>
      </w:r>
    </w:p>
    <w:p w14:paraId="7009A672" w14:textId="3D434439" w:rsidR="003D72B6" w:rsidRPr="001C0029" w:rsidRDefault="003D72B6" w:rsidP="007E54A7">
      <w:pPr>
        <w:pStyle w:val="BodyTextMain"/>
      </w:pPr>
    </w:p>
    <w:p w14:paraId="6AD624AB" w14:textId="77777777" w:rsidR="00E80891" w:rsidRPr="001C0029" w:rsidRDefault="00E80891" w:rsidP="007E54A7">
      <w:pPr>
        <w:pStyle w:val="BodyTextMain"/>
      </w:pPr>
    </w:p>
    <w:p w14:paraId="589D0C42" w14:textId="6991BC77" w:rsidR="003D72B6" w:rsidRPr="001C0029" w:rsidRDefault="003D72B6" w:rsidP="00E80891">
      <w:pPr>
        <w:pStyle w:val="Casehead1"/>
        <w:rPr>
          <w:rFonts w:eastAsiaTheme="majorEastAsia"/>
        </w:rPr>
      </w:pPr>
      <w:r w:rsidRPr="001C0029">
        <w:rPr>
          <w:rFonts w:eastAsiaTheme="majorEastAsia"/>
        </w:rPr>
        <w:lastRenderedPageBreak/>
        <w:t>Investment program</w:t>
      </w:r>
    </w:p>
    <w:p w14:paraId="44F53F23" w14:textId="77777777" w:rsidR="003D72B6" w:rsidRPr="001C0029" w:rsidRDefault="003D72B6" w:rsidP="001F165C">
      <w:pPr>
        <w:pStyle w:val="BodyTextMain"/>
        <w:keepNext/>
      </w:pPr>
    </w:p>
    <w:p w14:paraId="448F846D" w14:textId="372C66EE" w:rsidR="007E54A7" w:rsidRPr="001C0029" w:rsidRDefault="008B25DD" w:rsidP="007E54A7">
      <w:pPr>
        <w:pStyle w:val="BodyTextMain"/>
      </w:pPr>
      <w:proofErr w:type="spellStart"/>
      <w:r w:rsidRPr="001C0029">
        <w:t>Eandis</w:t>
      </w:r>
      <w:proofErr w:type="spellEnd"/>
      <w:r w:rsidR="003D72B6" w:rsidRPr="001C0029">
        <w:t xml:space="preserve"> was considering a slow but almost complete rollout of smart meters</w:t>
      </w:r>
      <w:r w:rsidR="0010476E" w:rsidRPr="001C0029">
        <w:t xml:space="preserve"> (see </w:t>
      </w:r>
      <w:r w:rsidR="0080417C" w:rsidRPr="001C0029">
        <w:t>Exhibit 4</w:t>
      </w:r>
      <w:r w:rsidR="0010476E" w:rsidRPr="001C0029">
        <w:t>)</w:t>
      </w:r>
      <w:r w:rsidR="0080417C" w:rsidRPr="001C0029">
        <w:t>. T</w:t>
      </w:r>
      <w:r w:rsidR="003D72B6" w:rsidRPr="001C0029">
        <w:t xml:space="preserve">he </w:t>
      </w:r>
      <w:r w:rsidR="0010476E" w:rsidRPr="001C0029">
        <w:t xml:space="preserve">costs would be </w:t>
      </w:r>
      <w:r w:rsidR="003D72B6" w:rsidRPr="001C0029">
        <w:t xml:space="preserve">high in the first </w:t>
      </w:r>
      <w:r w:rsidR="0010476E" w:rsidRPr="001C0029">
        <w:t xml:space="preserve">two years because the company would need to assume costs to prepare the company systems for rollout. </w:t>
      </w:r>
      <w:r w:rsidR="003D72B6" w:rsidRPr="001C0029">
        <w:t xml:space="preserve">Moreover, these investments had </w:t>
      </w:r>
      <w:r w:rsidR="0010476E" w:rsidRPr="001C0029">
        <w:t xml:space="preserve">a </w:t>
      </w:r>
      <w:r w:rsidR="003D72B6" w:rsidRPr="001C0029">
        <w:t>depreciation rate of 10</w:t>
      </w:r>
      <w:r w:rsidR="0010476E" w:rsidRPr="001C0029">
        <w:t xml:space="preserve"> per cent,</w:t>
      </w:r>
      <w:r w:rsidR="003D72B6" w:rsidRPr="001C0029">
        <w:t xml:space="preserve"> which was </w:t>
      </w:r>
      <w:r w:rsidR="0010476E" w:rsidRPr="001C0029">
        <w:t xml:space="preserve">set by the regulator based on the </w:t>
      </w:r>
      <w:r w:rsidR="003D72B6" w:rsidRPr="001C0029">
        <w:t>expected lifetime</w:t>
      </w:r>
      <w:r w:rsidR="0010476E" w:rsidRPr="001C0029">
        <w:t xml:space="preserve"> of a meter</w:t>
      </w:r>
      <w:r w:rsidR="003D72B6" w:rsidRPr="001C0029">
        <w:t>.</w:t>
      </w:r>
    </w:p>
    <w:p w14:paraId="50D81FC4" w14:textId="267D0438" w:rsidR="007E54A7" w:rsidRPr="001C0029" w:rsidRDefault="007E54A7" w:rsidP="007E54A7">
      <w:pPr>
        <w:pStyle w:val="BodyTextMain"/>
      </w:pPr>
    </w:p>
    <w:p w14:paraId="2517A36D" w14:textId="77777777" w:rsidR="0010476E" w:rsidRPr="001C0029" w:rsidRDefault="0010476E" w:rsidP="007E54A7">
      <w:pPr>
        <w:pStyle w:val="BodyTextMain"/>
      </w:pPr>
    </w:p>
    <w:p w14:paraId="0E4777B3" w14:textId="3D759A05" w:rsidR="007E54A7" w:rsidRPr="001C0029" w:rsidRDefault="00C33712" w:rsidP="00111E71">
      <w:pPr>
        <w:pStyle w:val="Casehead2"/>
        <w:rPr>
          <w:rFonts w:eastAsiaTheme="majorEastAsia"/>
        </w:rPr>
      </w:pPr>
      <w:r w:rsidRPr="001C0029">
        <w:rPr>
          <w:rFonts w:eastAsiaTheme="majorEastAsia"/>
        </w:rPr>
        <w:t>The C</w:t>
      </w:r>
      <w:r w:rsidR="008D23E0" w:rsidRPr="001C0029">
        <w:rPr>
          <w:rFonts w:eastAsiaTheme="majorEastAsia"/>
        </w:rPr>
        <w:t>hallenge</w:t>
      </w:r>
    </w:p>
    <w:p w14:paraId="66C7CB2B" w14:textId="77777777" w:rsidR="007E54A7" w:rsidRPr="001C0029" w:rsidRDefault="007E54A7" w:rsidP="007E54A7">
      <w:pPr>
        <w:pStyle w:val="BodyTextMain"/>
      </w:pPr>
    </w:p>
    <w:p w14:paraId="10D2569E" w14:textId="64B62205" w:rsidR="008D23E0" w:rsidRPr="001C0029" w:rsidRDefault="0010476E" w:rsidP="00E80891">
      <w:pPr>
        <w:pStyle w:val="BodyTextMain"/>
      </w:pPr>
      <w:r w:rsidRPr="001C0029">
        <w:t>Using</w:t>
      </w:r>
      <w:r w:rsidR="007E54A7" w:rsidRPr="001C0029">
        <w:t xml:space="preserve"> the financial </w:t>
      </w:r>
      <w:r w:rsidRPr="001C0029">
        <w:t>information</w:t>
      </w:r>
      <w:r w:rsidR="007E54A7" w:rsidRPr="001C0029">
        <w:t xml:space="preserve"> and assumptions, </w:t>
      </w:r>
      <w:r w:rsidR="002A5B0F" w:rsidRPr="001C0029">
        <w:t xml:space="preserve">van den </w:t>
      </w:r>
      <w:proofErr w:type="spellStart"/>
      <w:r w:rsidR="002A5B0F" w:rsidRPr="001C0029">
        <w:t>Bossche</w:t>
      </w:r>
      <w:proofErr w:type="spellEnd"/>
      <w:r w:rsidRPr="001C0029">
        <w:t xml:space="preserve"> needed to develop a financial planning model </w:t>
      </w:r>
      <w:r w:rsidR="007E54A7" w:rsidRPr="001C0029">
        <w:t xml:space="preserve">that </w:t>
      </w:r>
      <w:r w:rsidRPr="001C0029">
        <w:t>would</w:t>
      </w:r>
      <w:r w:rsidR="007E54A7" w:rsidRPr="001C0029">
        <w:t xml:space="preserve"> help </w:t>
      </w:r>
      <w:r w:rsidRPr="001C0029">
        <w:t>him evaluate</w:t>
      </w:r>
      <w:r w:rsidR="008D23E0" w:rsidRPr="001C0029">
        <w:t xml:space="preserve"> the smart meter investment program under </w:t>
      </w:r>
      <w:r w:rsidRPr="001C0029">
        <w:t xml:space="preserve">the </w:t>
      </w:r>
      <w:r w:rsidR="008D23E0" w:rsidRPr="001C0029">
        <w:t xml:space="preserve">different regulatory regimes and assumptions. </w:t>
      </w:r>
    </w:p>
    <w:p w14:paraId="48EC2D19" w14:textId="278AFAEA" w:rsidR="008B25DD" w:rsidRPr="001C0029" w:rsidRDefault="008B25DD" w:rsidP="00E80891">
      <w:pPr>
        <w:pStyle w:val="BodyTextMain"/>
      </w:pPr>
    </w:p>
    <w:p w14:paraId="429D5E0D" w14:textId="7980A4AC" w:rsidR="008B25DD" w:rsidRPr="001C0029" w:rsidRDefault="00535C82" w:rsidP="008B25DD">
      <w:pPr>
        <w:pStyle w:val="BodyTextMain"/>
      </w:pPr>
      <w:r w:rsidRPr="001C0029">
        <w:rPr>
          <w:rFonts w:eastAsiaTheme="minorEastAsia"/>
          <w:lang w:eastAsia="en-GB"/>
        </w:rPr>
        <w:t>Use</w:t>
      </w:r>
      <w:r w:rsidR="008B25DD" w:rsidRPr="001C0029">
        <w:rPr>
          <w:rFonts w:eastAsiaTheme="minorEastAsia"/>
          <w:lang w:eastAsia="en-GB"/>
        </w:rPr>
        <w:t xml:space="preserve"> the accompanying </w:t>
      </w:r>
      <w:r w:rsidR="002A5B0F" w:rsidRPr="000D679E">
        <w:rPr>
          <w:rFonts w:eastAsiaTheme="minorEastAsia"/>
          <w:lang w:eastAsia="en-GB"/>
        </w:rPr>
        <w:t>Student Spreadsheet</w:t>
      </w:r>
      <w:r w:rsidR="00111E71" w:rsidRPr="000D679E">
        <w:rPr>
          <w:rFonts w:eastAsiaTheme="minorEastAsia"/>
          <w:lang w:eastAsia="en-GB"/>
        </w:rPr>
        <w:t xml:space="preserve"> (Ivey product no </w:t>
      </w:r>
      <w:r w:rsidR="007479DC" w:rsidRPr="000D679E">
        <w:rPr>
          <w:rFonts w:eastAsiaTheme="minorEastAsia"/>
          <w:lang w:eastAsia="en-GB"/>
        </w:rPr>
        <w:t>7</w:t>
      </w:r>
      <w:r w:rsidR="00111E71" w:rsidRPr="000D679E">
        <w:rPr>
          <w:rFonts w:eastAsiaTheme="minorEastAsia"/>
          <w:lang w:eastAsia="en-GB"/>
        </w:rPr>
        <w:t>B1</w:t>
      </w:r>
      <w:r w:rsidR="000D679E" w:rsidRPr="000D679E">
        <w:rPr>
          <w:rFonts w:eastAsiaTheme="minorEastAsia"/>
          <w:lang w:eastAsia="en-GB"/>
        </w:rPr>
        <w:t>9N003</w:t>
      </w:r>
      <w:r w:rsidR="00111E71" w:rsidRPr="000D679E">
        <w:rPr>
          <w:rFonts w:eastAsiaTheme="minorEastAsia"/>
          <w:lang w:eastAsia="en-GB"/>
        </w:rPr>
        <w:t>)</w:t>
      </w:r>
      <w:r w:rsidR="008B25DD" w:rsidRPr="000D679E">
        <w:rPr>
          <w:rFonts w:eastAsiaTheme="minorEastAsia"/>
          <w:lang w:eastAsia="en-GB"/>
        </w:rPr>
        <w:t xml:space="preserve"> </w:t>
      </w:r>
      <w:r w:rsidRPr="000D679E">
        <w:rPr>
          <w:rFonts w:eastAsiaTheme="minorEastAsia"/>
          <w:lang w:eastAsia="en-GB"/>
        </w:rPr>
        <w:t xml:space="preserve">to determine whether </w:t>
      </w:r>
      <w:proofErr w:type="spellStart"/>
      <w:r w:rsidRPr="000D679E">
        <w:rPr>
          <w:rFonts w:eastAsiaTheme="minorEastAsia"/>
          <w:lang w:eastAsia="en-GB"/>
        </w:rPr>
        <w:t>Eandis</w:t>
      </w:r>
      <w:proofErr w:type="spellEnd"/>
      <w:r w:rsidRPr="000D679E">
        <w:rPr>
          <w:rFonts w:eastAsiaTheme="minorEastAsia"/>
          <w:lang w:eastAsia="en-GB"/>
        </w:rPr>
        <w:t xml:space="preserve"> should undertake the investment in smart meters under the different regulatory</w:t>
      </w:r>
      <w:r w:rsidRPr="001C0029">
        <w:rPr>
          <w:rFonts w:eastAsiaTheme="minorEastAsia"/>
          <w:lang w:eastAsia="en-GB"/>
        </w:rPr>
        <w:t xml:space="preserve"> regimes and</w:t>
      </w:r>
      <w:r w:rsidR="002A5B0F">
        <w:rPr>
          <w:rFonts w:eastAsiaTheme="minorEastAsia"/>
          <w:lang w:eastAsia="en-GB"/>
        </w:rPr>
        <w:t>,</w:t>
      </w:r>
      <w:r w:rsidRPr="001C0029">
        <w:rPr>
          <w:rFonts w:eastAsiaTheme="minorEastAsia"/>
          <w:lang w:eastAsia="en-GB"/>
        </w:rPr>
        <w:t xml:space="preserve"> if so, under what conditions the investment might be attractive to </w:t>
      </w:r>
      <w:proofErr w:type="spellStart"/>
      <w:r w:rsidRPr="001C0029">
        <w:rPr>
          <w:rFonts w:eastAsiaTheme="minorEastAsia"/>
          <w:lang w:eastAsia="en-GB"/>
        </w:rPr>
        <w:t>Eandis’s</w:t>
      </w:r>
      <w:proofErr w:type="spellEnd"/>
      <w:r w:rsidRPr="001C0029">
        <w:rPr>
          <w:rFonts w:eastAsiaTheme="minorEastAsia"/>
          <w:lang w:eastAsia="en-GB"/>
        </w:rPr>
        <w:t xml:space="preserve"> equity investors. </w:t>
      </w:r>
      <w:r w:rsidR="008B25DD" w:rsidRPr="001C0029">
        <w:rPr>
          <w:rFonts w:eastAsiaTheme="minorEastAsia"/>
          <w:lang w:eastAsia="en-GB"/>
        </w:rPr>
        <w:t xml:space="preserve">The financial planning model should include a detailed income statement, a cash flow statement, and balance sheets for </w:t>
      </w:r>
      <w:proofErr w:type="spellStart"/>
      <w:r w:rsidR="008B25DD" w:rsidRPr="001C0029">
        <w:rPr>
          <w:rFonts w:eastAsiaTheme="minorEastAsia"/>
          <w:lang w:eastAsia="en-GB"/>
        </w:rPr>
        <w:t>Eandis</w:t>
      </w:r>
      <w:proofErr w:type="spellEnd"/>
      <w:r w:rsidR="008B25DD" w:rsidRPr="001C0029">
        <w:rPr>
          <w:rFonts w:eastAsiaTheme="minorEastAsia"/>
          <w:lang w:eastAsia="en-GB"/>
        </w:rPr>
        <w:t>.</w:t>
      </w:r>
    </w:p>
    <w:p w14:paraId="2A2DED8B" w14:textId="77777777" w:rsidR="008B25DD" w:rsidRPr="001C0029" w:rsidRDefault="008B25DD" w:rsidP="008B25DD">
      <w:pPr>
        <w:pStyle w:val="BodyTextMain"/>
        <w:rPr>
          <w:rFonts w:eastAsiaTheme="minorEastAsia"/>
          <w:lang w:eastAsia="en-GB"/>
        </w:rPr>
      </w:pPr>
    </w:p>
    <w:p w14:paraId="19C8ACE4" w14:textId="77777777" w:rsidR="008B25DD" w:rsidRPr="001C0029" w:rsidRDefault="008B25DD" w:rsidP="00E80891">
      <w:pPr>
        <w:pStyle w:val="BodyTextMain"/>
      </w:pPr>
    </w:p>
    <w:p w14:paraId="2F1F13E6" w14:textId="77777777" w:rsidR="00232F48" w:rsidRPr="001C0029" w:rsidRDefault="00232F48">
      <w:pPr>
        <w:spacing w:after="200" w:line="276" w:lineRule="auto"/>
        <w:rPr>
          <w:rFonts w:ascii="Arial" w:eastAsiaTheme="minorHAnsi" w:hAnsi="Arial"/>
          <w:b/>
          <w:caps/>
        </w:rPr>
      </w:pPr>
      <w:r w:rsidRPr="001C0029">
        <w:rPr>
          <w:rFonts w:eastAsiaTheme="minorHAnsi"/>
        </w:rPr>
        <w:br w:type="page"/>
      </w:r>
    </w:p>
    <w:p w14:paraId="29AAF34C" w14:textId="7377C5F2" w:rsidR="00C33712" w:rsidRPr="001C0029" w:rsidRDefault="00DC09D8" w:rsidP="00DC09D8">
      <w:pPr>
        <w:pStyle w:val="ExhibitHeading"/>
        <w:rPr>
          <w:rFonts w:eastAsiaTheme="minorHAnsi"/>
        </w:rPr>
      </w:pPr>
      <w:r w:rsidRPr="001C0029">
        <w:rPr>
          <w:rFonts w:eastAsiaTheme="minorHAnsi"/>
        </w:rPr>
        <w:lastRenderedPageBreak/>
        <w:t>Exhibit 1: Company Results</w:t>
      </w:r>
      <w:r w:rsidR="00C33712" w:rsidRPr="001C0029">
        <w:rPr>
          <w:rFonts w:eastAsiaTheme="minorHAnsi"/>
        </w:rPr>
        <w:t>,</w:t>
      </w:r>
      <w:r w:rsidRPr="001C0029">
        <w:rPr>
          <w:rFonts w:eastAsiaTheme="minorHAnsi"/>
        </w:rPr>
        <w:t xml:space="preserve"> 2014</w:t>
      </w:r>
      <w:r w:rsidR="00111E71" w:rsidRPr="001C0029">
        <w:rPr>
          <w:rFonts w:eastAsiaTheme="minorHAnsi"/>
        </w:rPr>
        <w:t xml:space="preserve"> </w:t>
      </w:r>
      <w:r w:rsidR="00C33712" w:rsidRPr="001C0029">
        <w:rPr>
          <w:rFonts w:eastAsiaTheme="minorHAnsi"/>
        </w:rPr>
        <w:t>(in € millions</w:t>
      </w:r>
      <w:r w:rsidR="006853A6" w:rsidRPr="001C0029">
        <w:rPr>
          <w:rFonts w:eastAsiaTheme="minorHAnsi"/>
        </w:rPr>
        <w:t>,</w:t>
      </w:r>
      <w:r w:rsidR="00C33712" w:rsidRPr="001C0029">
        <w:rPr>
          <w:rFonts w:eastAsiaTheme="minorHAnsi"/>
        </w:rPr>
        <w:t xml:space="preserve"> except where indicated)</w:t>
      </w:r>
    </w:p>
    <w:p w14:paraId="119E96D1" w14:textId="77777777" w:rsidR="00DC09D8" w:rsidRPr="001C0029" w:rsidRDefault="00DC09D8" w:rsidP="00DC09D8">
      <w:pPr>
        <w:pStyle w:val="BodyTextMain"/>
        <w:rPr>
          <w:rFonts w:eastAsiaTheme="minorHAnsi"/>
        </w:rPr>
      </w:pPr>
    </w:p>
    <w:tbl>
      <w:tblPr>
        <w:tblStyle w:val="TableGrid"/>
        <w:tblW w:w="29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508"/>
        <w:gridCol w:w="1921"/>
      </w:tblGrid>
      <w:tr w:rsidR="00C33712" w:rsidRPr="001C0029" w14:paraId="21C1967A" w14:textId="77777777" w:rsidTr="00227357">
        <w:trPr>
          <w:trHeight w:val="288"/>
          <w:jc w:val="center"/>
        </w:trPr>
        <w:tc>
          <w:tcPr>
            <w:tcW w:w="3507" w:type="dxa"/>
            <w:tcBorders>
              <w:top w:val="single" w:sz="4" w:space="0" w:color="auto"/>
            </w:tcBorders>
            <w:vAlign w:val="center"/>
          </w:tcPr>
          <w:p w14:paraId="0C0C8FEB" w14:textId="20F36BB2" w:rsidR="00C33712" w:rsidRPr="001C0029" w:rsidRDefault="00C33712" w:rsidP="00C33712">
            <w:pPr>
              <w:pStyle w:val="ExhibitText"/>
              <w:jc w:val="left"/>
              <w:rPr>
                <w:rFonts w:eastAsiaTheme="minorHAnsi"/>
              </w:rPr>
            </w:pPr>
            <w:r w:rsidRPr="001C0029">
              <w:rPr>
                <w:rFonts w:eastAsiaTheme="minorHAnsi"/>
              </w:rPr>
              <w:t>Regulatory asset base</w:t>
            </w:r>
          </w:p>
        </w:tc>
        <w:tc>
          <w:tcPr>
            <w:tcW w:w="1921" w:type="dxa"/>
            <w:tcBorders>
              <w:top w:val="single" w:sz="4" w:space="0" w:color="auto"/>
            </w:tcBorders>
            <w:vAlign w:val="center"/>
          </w:tcPr>
          <w:p w14:paraId="58F9E27E" w14:textId="380CE032" w:rsidR="00C33712" w:rsidRPr="001C0029" w:rsidRDefault="00C33712" w:rsidP="006853A6">
            <w:pPr>
              <w:pStyle w:val="ExhibitText"/>
              <w:ind w:right="360"/>
              <w:jc w:val="right"/>
              <w:rPr>
                <w:rFonts w:eastAsiaTheme="minorHAnsi"/>
              </w:rPr>
            </w:pPr>
            <w:r w:rsidRPr="001C0029">
              <w:rPr>
                <w:rFonts w:eastAsiaTheme="minorHAnsi"/>
              </w:rPr>
              <w:t>5,000</w:t>
            </w:r>
          </w:p>
        </w:tc>
      </w:tr>
      <w:tr w:rsidR="00C33712" w:rsidRPr="001C0029" w14:paraId="5D3D8C03" w14:textId="77777777" w:rsidTr="00227357">
        <w:trPr>
          <w:trHeight w:val="288"/>
          <w:jc w:val="center"/>
        </w:trPr>
        <w:tc>
          <w:tcPr>
            <w:tcW w:w="3507" w:type="dxa"/>
            <w:vAlign w:val="center"/>
          </w:tcPr>
          <w:p w14:paraId="1AB6856A" w14:textId="47C43E5C" w:rsidR="00C33712" w:rsidRPr="001C0029" w:rsidRDefault="00C33712" w:rsidP="00C33712">
            <w:pPr>
              <w:pStyle w:val="ExhibitText"/>
              <w:ind w:left="144"/>
              <w:jc w:val="left"/>
              <w:rPr>
                <w:rFonts w:eastAsiaTheme="minorHAnsi"/>
              </w:rPr>
            </w:pPr>
            <w:r w:rsidRPr="001C0029">
              <w:rPr>
                <w:rFonts w:eastAsiaTheme="minorHAnsi"/>
              </w:rPr>
              <w:t>Equity</w:t>
            </w:r>
          </w:p>
        </w:tc>
        <w:tc>
          <w:tcPr>
            <w:tcW w:w="1921" w:type="dxa"/>
            <w:vAlign w:val="center"/>
          </w:tcPr>
          <w:p w14:paraId="6728E4BC" w14:textId="55DE52F8" w:rsidR="00C33712" w:rsidRPr="001C0029" w:rsidRDefault="00C33712" w:rsidP="006853A6">
            <w:pPr>
              <w:pStyle w:val="ExhibitText"/>
              <w:ind w:right="360"/>
              <w:jc w:val="right"/>
              <w:rPr>
                <w:rFonts w:eastAsiaTheme="minorHAnsi"/>
              </w:rPr>
            </w:pPr>
            <w:r w:rsidRPr="001C0029">
              <w:rPr>
                <w:rFonts w:eastAsiaTheme="minorHAnsi"/>
              </w:rPr>
              <w:t>2,000</w:t>
            </w:r>
          </w:p>
        </w:tc>
      </w:tr>
      <w:tr w:rsidR="00C33712" w:rsidRPr="001C0029" w14:paraId="5EFBD238" w14:textId="77777777" w:rsidTr="00227357">
        <w:trPr>
          <w:trHeight w:val="288"/>
          <w:jc w:val="center"/>
        </w:trPr>
        <w:tc>
          <w:tcPr>
            <w:tcW w:w="3507" w:type="dxa"/>
            <w:vAlign w:val="center"/>
          </w:tcPr>
          <w:p w14:paraId="1D313871" w14:textId="0F944FC0" w:rsidR="00C33712" w:rsidRPr="001C0029" w:rsidRDefault="00C33712" w:rsidP="00C33712">
            <w:pPr>
              <w:pStyle w:val="ExhibitText"/>
              <w:ind w:left="144"/>
              <w:jc w:val="left"/>
              <w:rPr>
                <w:rFonts w:eastAsiaTheme="minorHAnsi"/>
              </w:rPr>
            </w:pPr>
            <w:r w:rsidRPr="001C0029">
              <w:rPr>
                <w:rFonts w:eastAsiaTheme="minorHAnsi"/>
              </w:rPr>
              <w:t>Debt</w:t>
            </w:r>
          </w:p>
        </w:tc>
        <w:tc>
          <w:tcPr>
            <w:tcW w:w="1921" w:type="dxa"/>
            <w:vAlign w:val="center"/>
          </w:tcPr>
          <w:p w14:paraId="044F095E" w14:textId="42662D0B" w:rsidR="00C33712" w:rsidRPr="001C0029" w:rsidRDefault="00C33712" w:rsidP="006853A6">
            <w:pPr>
              <w:pStyle w:val="ExhibitText"/>
              <w:ind w:right="360"/>
              <w:jc w:val="right"/>
              <w:rPr>
                <w:rFonts w:eastAsiaTheme="minorHAnsi"/>
              </w:rPr>
            </w:pPr>
            <w:r w:rsidRPr="001C0029">
              <w:rPr>
                <w:rFonts w:eastAsiaTheme="minorHAnsi"/>
              </w:rPr>
              <w:t>3,000</w:t>
            </w:r>
          </w:p>
        </w:tc>
      </w:tr>
      <w:tr w:rsidR="00C33712" w:rsidRPr="001C0029" w14:paraId="3149ADE2" w14:textId="77777777" w:rsidTr="00227357">
        <w:trPr>
          <w:trHeight w:val="288"/>
          <w:jc w:val="center"/>
        </w:trPr>
        <w:tc>
          <w:tcPr>
            <w:tcW w:w="3507" w:type="dxa"/>
            <w:vAlign w:val="center"/>
          </w:tcPr>
          <w:p w14:paraId="7DBCA062" w14:textId="2281F1B2" w:rsidR="00C33712" w:rsidRPr="001C0029" w:rsidRDefault="00C33712" w:rsidP="00C33712">
            <w:pPr>
              <w:pStyle w:val="ExhibitText"/>
              <w:jc w:val="left"/>
              <w:rPr>
                <w:rFonts w:eastAsiaTheme="minorHAnsi"/>
              </w:rPr>
            </w:pPr>
            <w:r w:rsidRPr="001C0029">
              <w:rPr>
                <w:rFonts w:eastAsiaTheme="minorHAnsi"/>
              </w:rPr>
              <w:t>Operating expenses</w:t>
            </w:r>
          </w:p>
        </w:tc>
        <w:tc>
          <w:tcPr>
            <w:tcW w:w="1921" w:type="dxa"/>
            <w:vAlign w:val="center"/>
          </w:tcPr>
          <w:p w14:paraId="4861BAF9" w14:textId="77777777" w:rsidR="00C33712" w:rsidRPr="001C0029" w:rsidRDefault="00C33712" w:rsidP="006853A6">
            <w:pPr>
              <w:pStyle w:val="ExhibitText"/>
              <w:ind w:right="360"/>
              <w:jc w:val="right"/>
              <w:rPr>
                <w:rFonts w:eastAsiaTheme="minorHAnsi"/>
              </w:rPr>
            </w:pPr>
            <w:r w:rsidRPr="001C0029">
              <w:rPr>
                <w:rFonts w:eastAsiaTheme="minorHAnsi"/>
              </w:rPr>
              <w:t>250</w:t>
            </w:r>
          </w:p>
        </w:tc>
      </w:tr>
      <w:tr w:rsidR="00C33712" w:rsidRPr="001C0029" w14:paraId="74210B12" w14:textId="77777777" w:rsidTr="00227357">
        <w:trPr>
          <w:trHeight w:val="288"/>
          <w:jc w:val="center"/>
        </w:trPr>
        <w:tc>
          <w:tcPr>
            <w:tcW w:w="3507" w:type="dxa"/>
            <w:vAlign w:val="center"/>
          </w:tcPr>
          <w:p w14:paraId="72A08C24" w14:textId="77777777" w:rsidR="00C33712" w:rsidRPr="001C0029" w:rsidRDefault="00C33712" w:rsidP="00C33712">
            <w:pPr>
              <w:pStyle w:val="ExhibitText"/>
              <w:jc w:val="left"/>
              <w:rPr>
                <w:rFonts w:eastAsiaTheme="minorHAnsi"/>
              </w:rPr>
            </w:pPr>
            <w:r w:rsidRPr="001C0029">
              <w:rPr>
                <w:rFonts w:eastAsiaTheme="minorHAnsi"/>
              </w:rPr>
              <w:t>Depreciation</w:t>
            </w:r>
          </w:p>
        </w:tc>
        <w:tc>
          <w:tcPr>
            <w:tcW w:w="1921" w:type="dxa"/>
            <w:vAlign w:val="center"/>
          </w:tcPr>
          <w:p w14:paraId="142D4781" w14:textId="77777777" w:rsidR="00C33712" w:rsidRPr="001C0029" w:rsidRDefault="00C33712" w:rsidP="006853A6">
            <w:pPr>
              <w:pStyle w:val="ExhibitText"/>
              <w:ind w:right="360"/>
              <w:jc w:val="right"/>
              <w:rPr>
                <w:rFonts w:eastAsiaTheme="minorHAnsi"/>
              </w:rPr>
            </w:pPr>
            <w:r w:rsidRPr="001C0029">
              <w:rPr>
                <w:rFonts w:eastAsiaTheme="minorHAnsi"/>
              </w:rPr>
              <w:t>220</w:t>
            </w:r>
          </w:p>
        </w:tc>
      </w:tr>
      <w:tr w:rsidR="00C33712" w:rsidRPr="001C0029" w14:paraId="1A7E24CE" w14:textId="77777777" w:rsidTr="00227357">
        <w:trPr>
          <w:trHeight w:val="288"/>
          <w:jc w:val="center"/>
        </w:trPr>
        <w:tc>
          <w:tcPr>
            <w:tcW w:w="3507" w:type="dxa"/>
            <w:vAlign w:val="center"/>
          </w:tcPr>
          <w:p w14:paraId="32B2969E" w14:textId="77777777" w:rsidR="00C33712" w:rsidRPr="001C0029" w:rsidRDefault="00C33712" w:rsidP="00C33712">
            <w:pPr>
              <w:pStyle w:val="ExhibitText"/>
              <w:jc w:val="left"/>
              <w:rPr>
                <w:rFonts w:eastAsiaTheme="minorHAnsi"/>
              </w:rPr>
            </w:pPr>
            <w:r w:rsidRPr="001C0029">
              <w:rPr>
                <w:rFonts w:eastAsiaTheme="minorHAnsi"/>
              </w:rPr>
              <w:t>Cost of equity</w:t>
            </w:r>
          </w:p>
        </w:tc>
        <w:tc>
          <w:tcPr>
            <w:tcW w:w="1921" w:type="dxa"/>
            <w:vAlign w:val="center"/>
          </w:tcPr>
          <w:p w14:paraId="08490697" w14:textId="77777777" w:rsidR="00C33712" w:rsidRPr="001C0029" w:rsidRDefault="00C33712" w:rsidP="006853A6">
            <w:pPr>
              <w:pStyle w:val="ExhibitText"/>
              <w:ind w:right="360"/>
              <w:jc w:val="right"/>
              <w:rPr>
                <w:rFonts w:eastAsiaTheme="minorHAnsi"/>
              </w:rPr>
            </w:pPr>
            <w:r w:rsidRPr="001C0029">
              <w:rPr>
                <w:rFonts w:eastAsiaTheme="minorHAnsi"/>
              </w:rPr>
              <w:t>140</w:t>
            </w:r>
          </w:p>
        </w:tc>
      </w:tr>
      <w:tr w:rsidR="00C33712" w:rsidRPr="001C0029" w14:paraId="4EAEADED" w14:textId="77777777" w:rsidTr="00227357">
        <w:trPr>
          <w:trHeight w:val="288"/>
          <w:jc w:val="center"/>
        </w:trPr>
        <w:tc>
          <w:tcPr>
            <w:tcW w:w="3507" w:type="dxa"/>
            <w:vAlign w:val="center"/>
          </w:tcPr>
          <w:p w14:paraId="7456A183" w14:textId="77777777" w:rsidR="00C33712" w:rsidRPr="001C0029" w:rsidRDefault="00C33712" w:rsidP="00C33712">
            <w:pPr>
              <w:pStyle w:val="ExhibitText"/>
              <w:jc w:val="left"/>
              <w:rPr>
                <w:rFonts w:eastAsiaTheme="minorHAnsi"/>
              </w:rPr>
            </w:pPr>
            <w:r w:rsidRPr="001C0029">
              <w:rPr>
                <w:rFonts w:eastAsiaTheme="minorHAnsi"/>
              </w:rPr>
              <w:t>Cost of debt</w:t>
            </w:r>
          </w:p>
        </w:tc>
        <w:tc>
          <w:tcPr>
            <w:tcW w:w="1921" w:type="dxa"/>
            <w:vAlign w:val="center"/>
          </w:tcPr>
          <w:p w14:paraId="3A7F2503" w14:textId="77777777" w:rsidR="00C33712" w:rsidRPr="001C0029" w:rsidRDefault="00C33712" w:rsidP="006853A6">
            <w:pPr>
              <w:pStyle w:val="ExhibitText"/>
              <w:ind w:right="360"/>
              <w:jc w:val="right"/>
              <w:rPr>
                <w:rFonts w:eastAsiaTheme="minorHAnsi"/>
              </w:rPr>
            </w:pPr>
            <w:r w:rsidRPr="001C0029">
              <w:rPr>
                <w:rFonts w:eastAsiaTheme="minorHAnsi"/>
              </w:rPr>
              <w:t>135</w:t>
            </w:r>
          </w:p>
        </w:tc>
      </w:tr>
      <w:tr w:rsidR="00C33712" w:rsidRPr="001C0029" w14:paraId="673FCCC7" w14:textId="77777777" w:rsidTr="00227357">
        <w:trPr>
          <w:trHeight w:val="288"/>
          <w:jc w:val="center"/>
        </w:trPr>
        <w:tc>
          <w:tcPr>
            <w:tcW w:w="3507" w:type="dxa"/>
            <w:vAlign w:val="center"/>
          </w:tcPr>
          <w:p w14:paraId="1E53422E" w14:textId="77777777" w:rsidR="00C33712" w:rsidRPr="001C0029" w:rsidRDefault="00C33712" w:rsidP="00C33712">
            <w:pPr>
              <w:pStyle w:val="ExhibitText"/>
              <w:jc w:val="left"/>
              <w:rPr>
                <w:rFonts w:eastAsiaTheme="minorHAnsi"/>
              </w:rPr>
            </w:pPr>
            <w:r w:rsidRPr="001C0029">
              <w:rPr>
                <w:rFonts w:eastAsiaTheme="minorHAnsi"/>
              </w:rPr>
              <w:t>Other costs</w:t>
            </w:r>
          </w:p>
        </w:tc>
        <w:tc>
          <w:tcPr>
            <w:tcW w:w="1921" w:type="dxa"/>
            <w:vAlign w:val="center"/>
          </w:tcPr>
          <w:p w14:paraId="7B1E9375" w14:textId="77777777" w:rsidR="00C33712" w:rsidRPr="001C0029" w:rsidRDefault="00C33712" w:rsidP="006853A6">
            <w:pPr>
              <w:pStyle w:val="ExhibitText"/>
              <w:ind w:right="360"/>
              <w:jc w:val="right"/>
              <w:rPr>
                <w:rFonts w:eastAsiaTheme="minorHAnsi"/>
              </w:rPr>
            </w:pPr>
            <w:r w:rsidRPr="001C0029">
              <w:rPr>
                <w:rFonts w:eastAsiaTheme="minorHAnsi"/>
              </w:rPr>
              <w:t>430</w:t>
            </w:r>
          </w:p>
        </w:tc>
      </w:tr>
      <w:tr w:rsidR="00C33712" w:rsidRPr="001C0029" w14:paraId="6E87E8ED" w14:textId="77777777" w:rsidTr="00227357">
        <w:trPr>
          <w:trHeight w:val="288"/>
          <w:jc w:val="center"/>
        </w:trPr>
        <w:tc>
          <w:tcPr>
            <w:tcW w:w="3507" w:type="dxa"/>
            <w:tcBorders>
              <w:bottom w:val="single" w:sz="4" w:space="0" w:color="auto"/>
            </w:tcBorders>
            <w:vAlign w:val="center"/>
          </w:tcPr>
          <w:p w14:paraId="159FC9DC" w14:textId="77777777" w:rsidR="00C33712" w:rsidRPr="001C0029" w:rsidRDefault="00C33712" w:rsidP="00C33712">
            <w:pPr>
              <w:pStyle w:val="ExhibitText"/>
              <w:jc w:val="left"/>
              <w:rPr>
                <w:rFonts w:eastAsiaTheme="minorHAnsi"/>
              </w:rPr>
            </w:pPr>
            <w:r w:rsidRPr="001C0029">
              <w:rPr>
                <w:rFonts w:eastAsiaTheme="minorHAnsi"/>
              </w:rPr>
              <w:t>Total costs</w:t>
            </w:r>
          </w:p>
        </w:tc>
        <w:tc>
          <w:tcPr>
            <w:tcW w:w="1921" w:type="dxa"/>
            <w:tcBorders>
              <w:bottom w:val="single" w:sz="4" w:space="0" w:color="auto"/>
            </w:tcBorders>
            <w:vAlign w:val="center"/>
          </w:tcPr>
          <w:p w14:paraId="2E0FAF0D" w14:textId="77777777" w:rsidR="00C33712" w:rsidRPr="001C0029" w:rsidRDefault="00C33712" w:rsidP="006853A6">
            <w:pPr>
              <w:pStyle w:val="ExhibitText"/>
              <w:ind w:right="360"/>
              <w:jc w:val="right"/>
              <w:rPr>
                <w:rFonts w:eastAsiaTheme="minorHAnsi"/>
              </w:rPr>
            </w:pPr>
            <w:r w:rsidRPr="001C0029">
              <w:rPr>
                <w:rFonts w:eastAsiaTheme="minorHAnsi"/>
              </w:rPr>
              <w:t>1,175</w:t>
            </w:r>
          </w:p>
        </w:tc>
      </w:tr>
      <w:tr w:rsidR="00C33712" w:rsidRPr="001C0029" w14:paraId="0CC65315" w14:textId="77777777" w:rsidTr="00227357">
        <w:trPr>
          <w:trHeight w:val="288"/>
          <w:jc w:val="center"/>
        </w:trPr>
        <w:tc>
          <w:tcPr>
            <w:tcW w:w="3507" w:type="dxa"/>
            <w:tcBorders>
              <w:top w:val="single" w:sz="4" w:space="0" w:color="auto"/>
            </w:tcBorders>
            <w:vAlign w:val="center"/>
          </w:tcPr>
          <w:p w14:paraId="6EFFB9F1" w14:textId="77777777" w:rsidR="00C33712" w:rsidRPr="001C0029" w:rsidRDefault="00C33712" w:rsidP="00C33712">
            <w:pPr>
              <w:pStyle w:val="ExhibitText"/>
              <w:jc w:val="left"/>
              <w:rPr>
                <w:rFonts w:eastAsiaTheme="minorHAnsi"/>
              </w:rPr>
            </w:pPr>
            <w:r w:rsidRPr="001C0029">
              <w:rPr>
                <w:rFonts w:eastAsiaTheme="minorHAnsi"/>
              </w:rPr>
              <w:t>Consumption</w:t>
            </w:r>
          </w:p>
        </w:tc>
        <w:tc>
          <w:tcPr>
            <w:tcW w:w="1921" w:type="dxa"/>
            <w:tcBorders>
              <w:top w:val="single" w:sz="4" w:space="0" w:color="auto"/>
            </w:tcBorders>
            <w:vAlign w:val="center"/>
          </w:tcPr>
          <w:p w14:paraId="638D377A" w14:textId="271A1C49" w:rsidR="00C33712" w:rsidRPr="001C0029" w:rsidRDefault="006853A6" w:rsidP="00C33712">
            <w:pPr>
              <w:pStyle w:val="ExhibitText"/>
              <w:jc w:val="right"/>
              <w:rPr>
                <w:rFonts w:eastAsiaTheme="minorHAnsi"/>
              </w:rPr>
            </w:pPr>
            <w:r w:rsidRPr="001C0029">
              <w:rPr>
                <w:rFonts w:eastAsiaTheme="minorHAnsi"/>
              </w:rPr>
              <w:t>30,000,</w:t>
            </w:r>
            <w:r w:rsidR="00C33712" w:rsidRPr="001C0029">
              <w:rPr>
                <w:rFonts w:eastAsiaTheme="minorHAnsi"/>
              </w:rPr>
              <w:t>000 MWh</w:t>
            </w:r>
          </w:p>
        </w:tc>
      </w:tr>
      <w:tr w:rsidR="00C33712" w:rsidRPr="001C0029" w14:paraId="4906F7C7" w14:textId="77777777" w:rsidTr="00227357">
        <w:trPr>
          <w:trHeight w:val="288"/>
          <w:jc w:val="center"/>
        </w:trPr>
        <w:tc>
          <w:tcPr>
            <w:tcW w:w="3507" w:type="dxa"/>
            <w:tcBorders>
              <w:bottom w:val="single" w:sz="4" w:space="0" w:color="auto"/>
            </w:tcBorders>
            <w:vAlign w:val="center"/>
          </w:tcPr>
          <w:p w14:paraId="2F6E0174" w14:textId="0C1D222C" w:rsidR="00C33712" w:rsidRPr="001C0029" w:rsidRDefault="00227357" w:rsidP="00C33712">
            <w:pPr>
              <w:pStyle w:val="ExhibitText"/>
              <w:jc w:val="left"/>
              <w:rPr>
                <w:rFonts w:eastAsiaTheme="minorHAnsi"/>
              </w:rPr>
            </w:pPr>
            <w:r w:rsidRPr="001C0029">
              <w:rPr>
                <w:rFonts w:eastAsiaTheme="minorHAnsi"/>
              </w:rPr>
              <w:t>Consumer p</w:t>
            </w:r>
            <w:r w:rsidR="00C33712" w:rsidRPr="001C0029">
              <w:rPr>
                <w:rFonts w:eastAsiaTheme="minorHAnsi"/>
              </w:rPr>
              <w:t>rice for electricity (in €)</w:t>
            </w:r>
          </w:p>
        </w:tc>
        <w:tc>
          <w:tcPr>
            <w:tcW w:w="1921" w:type="dxa"/>
            <w:tcBorders>
              <w:bottom w:val="single" w:sz="4" w:space="0" w:color="auto"/>
            </w:tcBorders>
            <w:vAlign w:val="center"/>
          </w:tcPr>
          <w:p w14:paraId="2A3A9B27" w14:textId="1D0D5599" w:rsidR="00C33712" w:rsidRPr="001C0029" w:rsidRDefault="00C33712" w:rsidP="00C33712">
            <w:pPr>
              <w:pStyle w:val="ExhibitText"/>
              <w:jc w:val="right"/>
              <w:rPr>
                <w:rFonts w:eastAsiaTheme="minorHAnsi"/>
              </w:rPr>
            </w:pPr>
            <w:r w:rsidRPr="001C0029">
              <w:rPr>
                <w:rFonts w:eastAsiaTheme="minorHAnsi"/>
              </w:rPr>
              <w:t>€39.17/MWh</w:t>
            </w:r>
          </w:p>
        </w:tc>
      </w:tr>
    </w:tbl>
    <w:p w14:paraId="2B5C6662" w14:textId="77777777" w:rsidR="00DC09D8" w:rsidRPr="001C0029" w:rsidRDefault="00DC09D8" w:rsidP="00DC09D8">
      <w:pPr>
        <w:rPr>
          <w:sz w:val="22"/>
          <w:szCs w:val="22"/>
        </w:rPr>
      </w:pPr>
    </w:p>
    <w:p w14:paraId="526F6C13" w14:textId="77777777" w:rsidR="006853A6" w:rsidRPr="001C0029" w:rsidRDefault="006853A6" w:rsidP="00DC09D8">
      <w:pPr>
        <w:pStyle w:val="Footnote"/>
      </w:pPr>
      <w:r w:rsidRPr="001C0029">
        <w:t>Note: € = euros; MWh = megawatt hours.</w:t>
      </w:r>
    </w:p>
    <w:p w14:paraId="12D09652" w14:textId="53EA8E6D" w:rsidR="00DC09D8" w:rsidRPr="001C0029" w:rsidRDefault="00DC09D8" w:rsidP="00DC09D8">
      <w:pPr>
        <w:pStyle w:val="Footnote"/>
      </w:pPr>
      <w:r w:rsidRPr="001C0029">
        <w:t xml:space="preserve">Source: Created by </w:t>
      </w:r>
      <w:r w:rsidR="006853A6" w:rsidRPr="001C0029">
        <w:t xml:space="preserve">the case </w:t>
      </w:r>
      <w:r w:rsidRPr="001C0029">
        <w:t>authors.</w:t>
      </w:r>
    </w:p>
    <w:p w14:paraId="67237DA9" w14:textId="77777777" w:rsidR="00DC09D8" w:rsidRPr="001C0029" w:rsidRDefault="00DC09D8" w:rsidP="00DC09D8">
      <w:pPr>
        <w:pStyle w:val="BodyTextMain"/>
      </w:pPr>
    </w:p>
    <w:p w14:paraId="5798AD3C" w14:textId="77777777" w:rsidR="00DC09D8" w:rsidRPr="001C0029" w:rsidRDefault="00DC09D8" w:rsidP="00DC09D8">
      <w:pPr>
        <w:pStyle w:val="BodyTextMain"/>
        <w:rPr>
          <w:rFonts w:eastAsiaTheme="minorHAnsi"/>
        </w:rPr>
      </w:pPr>
    </w:p>
    <w:p w14:paraId="6992D637" w14:textId="51CF4487" w:rsidR="006853A6" w:rsidRPr="001C0029" w:rsidRDefault="00DC09D8" w:rsidP="00DC09D8">
      <w:pPr>
        <w:pStyle w:val="ExhibitHeading"/>
        <w:rPr>
          <w:rFonts w:eastAsiaTheme="minorHAnsi"/>
        </w:rPr>
      </w:pPr>
      <w:r w:rsidRPr="001C0029">
        <w:t>Exhibit</w:t>
      </w:r>
      <w:r w:rsidRPr="001C0029">
        <w:rPr>
          <w:rFonts w:eastAsiaTheme="minorHAnsi"/>
        </w:rPr>
        <w:t xml:space="preserve"> 2: Business as Usual</w:t>
      </w:r>
      <w:r w:rsidR="006853A6" w:rsidRPr="001C0029">
        <w:rPr>
          <w:rFonts w:eastAsiaTheme="minorHAnsi"/>
        </w:rPr>
        <w:t>, 2015–</w:t>
      </w:r>
      <w:r w:rsidRPr="001C0029">
        <w:rPr>
          <w:rFonts w:eastAsiaTheme="minorHAnsi"/>
        </w:rPr>
        <w:t>2024</w:t>
      </w:r>
      <w:r w:rsidR="00111E71" w:rsidRPr="001C0029">
        <w:rPr>
          <w:rFonts w:eastAsiaTheme="minorHAnsi"/>
        </w:rPr>
        <w:t xml:space="preserve"> </w:t>
      </w:r>
      <w:r w:rsidR="006853A6" w:rsidRPr="001C0029">
        <w:rPr>
          <w:rFonts w:eastAsiaTheme="minorHAnsi"/>
        </w:rPr>
        <w:t>(in percentages, except where indicated)</w:t>
      </w:r>
    </w:p>
    <w:p w14:paraId="44C1CA6B" w14:textId="77777777" w:rsidR="00DC09D8" w:rsidRPr="001C0029" w:rsidRDefault="00DC09D8" w:rsidP="00DC09D8">
      <w:pPr>
        <w:pStyle w:val="BodyTextMain"/>
        <w:rPr>
          <w:rFonts w:eastAsiaTheme="minorHAnsi"/>
        </w:rPr>
      </w:pPr>
    </w:p>
    <w:tbl>
      <w:tblPr>
        <w:tblStyle w:val="TableGrid"/>
        <w:tblW w:w="3077" w:type="pct"/>
        <w:jc w:val="center"/>
        <w:tblBorders>
          <w:left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958"/>
        <w:gridCol w:w="1802"/>
      </w:tblGrid>
      <w:tr w:rsidR="006853A6" w:rsidRPr="001C0029" w14:paraId="2AD8E387" w14:textId="77777777" w:rsidTr="00227357">
        <w:trPr>
          <w:trHeight w:val="288"/>
          <w:jc w:val="center"/>
        </w:trPr>
        <w:tc>
          <w:tcPr>
            <w:tcW w:w="3958" w:type="dxa"/>
            <w:tcBorders>
              <w:top w:val="single" w:sz="4" w:space="0" w:color="auto"/>
              <w:bottom w:val="single" w:sz="4" w:space="0" w:color="auto"/>
            </w:tcBorders>
            <w:vAlign w:val="center"/>
          </w:tcPr>
          <w:p w14:paraId="597F3905" w14:textId="77777777" w:rsidR="006853A6" w:rsidRPr="001C0029" w:rsidRDefault="006853A6" w:rsidP="006853A6">
            <w:pPr>
              <w:pStyle w:val="ExhibitText"/>
              <w:jc w:val="left"/>
              <w:rPr>
                <w:rFonts w:eastAsiaTheme="minorHAnsi"/>
              </w:rPr>
            </w:pPr>
            <w:r w:rsidRPr="001C0029">
              <w:rPr>
                <w:rFonts w:eastAsiaTheme="minorHAnsi"/>
              </w:rPr>
              <w:t>RAB growth (replacement investments)</w:t>
            </w:r>
          </w:p>
        </w:tc>
        <w:tc>
          <w:tcPr>
            <w:tcW w:w="1802" w:type="dxa"/>
            <w:tcBorders>
              <w:top w:val="single" w:sz="4" w:space="0" w:color="auto"/>
              <w:bottom w:val="single" w:sz="4" w:space="0" w:color="auto"/>
            </w:tcBorders>
            <w:vAlign w:val="center"/>
          </w:tcPr>
          <w:p w14:paraId="00BB5FF8" w14:textId="0CDD519D" w:rsidR="006853A6" w:rsidRPr="001C0029" w:rsidRDefault="006853A6" w:rsidP="006853A6">
            <w:pPr>
              <w:pStyle w:val="ExhibitText"/>
              <w:jc w:val="right"/>
              <w:rPr>
                <w:rFonts w:eastAsiaTheme="minorHAnsi"/>
              </w:rPr>
            </w:pPr>
            <w:r w:rsidRPr="001C0029">
              <w:rPr>
                <w:rFonts w:eastAsiaTheme="minorHAnsi"/>
              </w:rPr>
              <w:t>€400 million/year</w:t>
            </w:r>
          </w:p>
        </w:tc>
      </w:tr>
      <w:tr w:rsidR="006853A6" w:rsidRPr="001C0029" w14:paraId="754841AB" w14:textId="77777777" w:rsidTr="00227357">
        <w:trPr>
          <w:trHeight w:val="288"/>
          <w:jc w:val="center"/>
        </w:trPr>
        <w:tc>
          <w:tcPr>
            <w:tcW w:w="3958" w:type="dxa"/>
            <w:tcBorders>
              <w:top w:val="single" w:sz="4" w:space="0" w:color="auto"/>
            </w:tcBorders>
            <w:vAlign w:val="center"/>
          </w:tcPr>
          <w:p w14:paraId="5D9D6F38" w14:textId="77777777" w:rsidR="006853A6" w:rsidRPr="001C0029" w:rsidRDefault="006853A6" w:rsidP="006853A6">
            <w:pPr>
              <w:pStyle w:val="ExhibitText"/>
              <w:jc w:val="left"/>
              <w:rPr>
                <w:rFonts w:eastAsiaTheme="minorHAnsi"/>
              </w:rPr>
            </w:pPr>
            <w:r w:rsidRPr="001C0029">
              <w:rPr>
                <w:rFonts w:eastAsiaTheme="minorHAnsi"/>
              </w:rPr>
              <w:t>Equity (financing new investments)</w:t>
            </w:r>
          </w:p>
        </w:tc>
        <w:tc>
          <w:tcPr>
            <w:tcW w:w="1802" w:type="dxa"/>
            <w:tcBorders>
              <w:top w:val="single" w:sz="4" w:space="0" w:color="auto"/>
            </w:tcBorders>
            <w:vAlign w:val="center"/>
          </w:tcPr>
          <w:p w14:paraId="7BC0B03D" w14:textId="5373086B" w:rsidR="006853A6" w:rsidRPr="001C0029" w:rsidRDefault="006853A6" w:rsidP="006853A6">
            <w:pPr>
              <w:pStyle w:val="ExhibitText"/>
              <w:ind w:right="360"/>
              <w:jc w:val="right"/>
              <w:rPr>
                <w:rFonts w:eastAsiaTheme="minorHAnsi"/>
              </w:rPr>
            </w:pPr>
            <w:r w:rsidRPr="001C0029">
              <w:rPr>
                <w:rFonts w:eastAsiaTheme="minorHAnsi"/>
              </w:rPr>
              <w:t>40.0</w:t>
            </w:r>
          </w:p>
        </w:tc>
      </w:tr>
      <w:tr w:rsidR="006853A6" w:rsidRPr="001C0029" w14:paraId="27B9C6CC" w14:textId="77777777" w:rsidTr="00227357">
        <w:trPr>
          <w:trHeight w:val="288"/>
          <w:jc w:val="center"/>
        </w:trPr>
        <w:tc>
          <w:tcPr>
            <w:tcW w:w="3958" w:type="dxa"/>
            <w:vAlign w:val="center"/>
          </w:tcPr>
          <w:p w14:paraId="700C305C" w14:textId="77777777" w:rsidR="006853A6" w:rsidRPr="001C0029" w:rsidRDefault="006853A6" w:rsidP="006853A6">
            <w:pPr>
              <w:pStyle w:val="ExhibitText"/>
              <w:jc w:val="left"/>
              <w:rPr>
                <w:rFonts w:eastAsiaTheme="minorHAnsi"/>
              </w:rPr>
            </w:pPr>
            <w:r w:rsidRPr="001C0029">
              <w:rPr>
                <w:rFonts w:eastAsiaTheme="minorHAnsi"/>
              </w:rPr>
              <w:t>Debt (financing new investments)</w:t>
            </w:r>
          </w:p>
        </w:tc>
        <w:tc>
          <w:tcPr>
            <w:tcW w:w="1802" w:type="dxa"/>
            <w:vAlign w:val="center"/>
          </w:tcPr>
          <w:p w14:paraId="1EA8215A" w14:textId="2879D925" w:rsidR="006853A6" w:rsidRPr="001C0029" w:rsidRDefault="006853A6" w:rsidP="006853A6">
            <w:pPr>
              <w:pStyle w:val="ExhibitText"/>
              <w:ind w:right="360"/>
              <w:jc w:val="right"/>
              <w:rPr>
                <w:rFonts w:eastAsiaTheme="minorHAnsi"/>
              </w:rPr>
            </w:pPr>
            <w:r w:rsidRPr="001C0029">
              <w:rPr>
                <w:rFonts w:eastAsiaTheme="minorHAnsi"/>
              </w:rPr>
              <w:t>60.0</w:t>
            </w:r>
          </w:p>
        </w:tc>
      </w:tr>
      <w:tr w:rsidR="006853A6" w:rsidRPr="001C0029" w14:paraId="4B55B9CF" w14:textId="77777777" w:rsidTr="00227357">
        <w:trPr>
          <w:trHeight w:val="288"/>
          <w:jc w:val="center"/>
        </w:trPr>
        <w:tc>
          <w:tcPr>
            <w:tcW w:w="3958" w:type="dxa"/>
            <w:vAlign w:val="center"/>
          </w:tcPr>
          <w:p w14:paraId="1D0C43EC" w14:textId="77777777" w:rsidR="006853A6" w:rsidRPr="001C0029" w:rsidRDefault="006853A6" w:rsidP="006853A6">
            <w:pPr>
              <w:pStyle w:val="ExhibitText"/>
              <w:jc w:val="left"/>
              <w:rPr>
                <w:rFonts w:eastAsiaTheme="minorHAnsi"/>
              </w:rPr>
            </w:pPr>
            <w:r w:rsidRPr="001C0029">
              <w:rPr>
                <w:rFonts w:eastAsiaTheme="minorHAnsi"/>
              </w:rPr>
              <w:t>Interest rate on debt</w:t>
            </w:r>
          </w:p>
        </w:tc>
        <w:tc>
          <w:tcPr>
            <w:tcW w:w="1802" w:type="dxa"/>
            <w:vAlign w:val="center"/>
          </w:tcPr>
          <w:p w14:paraId="7A9676F8" w14:textId="77777777" w:rsidR="006853A6" w:rsidRPr="001C0029" w:rsidRDefault="006853A6" w:rsidP="006853A6">
            <w:pPr>
              <w:pStyle w:val="ExhibitText"/>
              <w:ind w:right="360"/>
              <w:jc w:val="right"/>
              <w:rPr>
                <w:rFonts w:eastAsiaTheme="minorHAnsi"/>
              </w:rPr>
            </w:pPr>
            <w:r w:rsidRPr="001C0029">
              <w:rPr>
                <w:rFonts w:eastAsiaTheme="minorHAnsi"/>
              </w:rPr>
              <w:t>4.5</w:t>
            </w:r>
          </w:p>
        </w:tc>
      </w:tr>
      <w:tr w:rsidR="006853A6" w:rsidRPr="001C0029" w14:paraId="46221B98" w14:textId="77777777" w:rsidTr="00227357">
        <w:trPr>
          <w:trHeight w:val="288"/>
          <w:jc w:val="center"/>
        </w:trPr>
        <w:tc>
          <w:tcPr>
            <w:tcW w:w="3958" w:type="dxa"/>
            <w:vAlign w:val="center"/>
          </w:tcPr>
          <w:p w14:paraId="32C60C8C" w14:textId="3760AA88" w:rsidR="006853A6" w:rsidRPr="001C0029" w:rsidRDefault="006853A6" w:rsidP="006853A6">
            <w:pPr>
              <w:pStyle w:val="ExhibitText"/>
              <w:jc w:val="left"/>
              <w:rPr>
                <w:rFonts w:eastAsiaTheme="minorHAnsi"/>
              </w:rPr>
            </w:pPr>
            <w:r w:rsidRPr="001C0029">
              <w:rPr>
                <w:rFonts w:eastAsiaTheme="minorHAnsi"/>
              </w:rPr>
              <w:t xml:space="preserve">Dividend </w:t>
            </w:r>
            <w:proofErr w:type="spellStart"/>
            <w:r w:rsidRPr="001C0029">
              <w:rPr>
                <w:rFonts w:eastAsiaTheme="minorHAnsi"/>
              </w:rPr>
              <w:t>payout</w:t>
            </w:r>
            <w:proofErr w:type="spellEnd"/>
            <w:r w:rsidRPr="001C0029">
              <w:rPr>
                <w:rFonts w:eastAsiaTheme="minorHAnsi"/>
              </w:rPr>
              <w:t xml:space="preserve"> ratio</w:t>
            </w:r>
          </w:p>
        </w:tc>
        <w:tc>
          <w:tcPr>
            <w:tcW w:w="1802" w:type="dxa"/>
            <w:vAlign w:val="center"/>
          </w:tcPr>
          <w:p w14:paraId="72DC223C" w14:textId="4C7FD20A" w:rsidR="006853A6" w:rsidRPr="001C0029" w:rsidRDefault="006853A6" w:rsidP="006853A6">
            <w:pPr>
              <w:pStyle w:val="ExhibitText"/>
              <w:ind w:right="360"/>
              <w:jc w:val="right"/>
              <w:rPr>
                <w:rFonts w:eastAsiaTheme="minorHAnsi"/>
              </w:rPr>
            </w:pPr>
            <w:r w:rsidRPr="001C0029">
              <w:rPr>
                <w:rFonts w:eastAsiaTheme="minorHAnsi"/>
              </w:rPr>
              <w:t>90.0</w:t>
            </w:r>
          </w:p>
        </w:tc>
      </w:tr>
      <w:tr w:rsidR="006853A6" w:rsidRPr="001C0029" w14:paraId="36512FB8" w14:textId="77777777" w:rsidTr="00227357">
        <w:trPr>
          <w:trHeight w:val="288"/>
          <w:jc w:val="center"/>
        </w:trPr>
        <w:tc>
          <w:tcPr>
            <w:tcW w:w="3958" w:type="dxa"/>
            <w:vAlign w:val="center"/>
          </w:tcPr>
          <w:p w14:paraId="25896FD6" w14:textId="6CE1CB12" w:rsidR="006853A6" w:rsidRPr="001C0029" w:rsidRDefault="006853A6" w:rsidP="006853A6">
            <w:pPr>
              <w:pStyle w:val="ExhibitText"/>
              <w:jc w:val="left"/>
              <w:rPr>
                <w:rFonts w:eastAsiaTheme="minorHAnsi"/>
              </w:rPr>
            </w:pPr>
            <w:r w:rsidRPr="001C0029">
              <w:rPr>
                <w:rFonts w:eastAsiaTheme="minorHAnsi"/>
              </w:rPr>
              <w:t>Operating expenses growth</w:t>
            </w:r>
          </w:p>
        </w:tc>
        <w:tc>
          <w:tcPr>
            <w:tcW w:w="1802" w:type="dxa"/>
            <w:vAlign w:val="center"/>
          </w:tcPr>
          <w:p w14:paraId="24943884" w14:textId="77777777" w:rsidR="006853A6" w:rsidRPr="001C0029" w:rsidRDefault="006853A6" w:rsidP="006853A6">
            <w:pPr>
              <w:pStyle w:val="ExhibitText"/>
              <w:ind w:right="360"/>
              <w:jc w:val="right"/>
              <w:rPr>
                <w:rFonts w:eastAsiaTheme="minorHAnsi"/>
              </w:rPr>
            </w:pPr>
            <w:r w:rsidRPr="001C0029">
              <w:rPr>
                <w:rFonts w:eastAsiaTheme="minorHAnsi"/>
              </w:rPr>
              <w:t>2.4</w:t>
            </w:r>
          </w:p>
        </w:tc>
      </w:tr>
      <w:tr w:rsidR="006853A6" w:rsidRPr="001C0029" w14:paraId="7EFE6848" w14:textId="77777777" w:rsidTr="00227357">
        <w:trPr>
          <w:trHeight w:val="288"/>
          <w:jc w:val="center"/>
        </w:trPr>
        <w:tc>
          <w:tcPr>
            <w:tcW w:w="3958" w:type="dxa"/>
            <w:vAlign w:val="center"/>
          </w:tcPr>
          <w:p w14:paraId="63A07C16" w14:textId="77777777" w:rsidR="006853A6" w:rsidRPr="001C0029" w:rsidRDefault="006853A6" w:rsidP="006853A6">
            <w:pPr>
              <w:pStyle w:val="ExhibitText"/>
              <w:jc w:val="left"/>
              <w:rPr>
                <w:rFonts w:eastAsiaTheme="minorHAnsi"/>
              </w:rPr>
            </w:pPr>
            <w:r w:rsidRPr="001C0029">
              <w:rPr>
                <w:rFonts w:eastAsiaTheme="minorHAnsi"/>
              </w:rPr>
              <w:t>Depreciation for new investments</w:t>
            </w:r>
          </w:p>
        </w:tc>
        <w:tc>
          <w:tcPr>
            <w:tcW w:w="1802" w:type="dxa"/>
            <w:vAlign w:val="center"/>
          </w:tcPr>
          <w:p w14:paraId="1EC53475" w14:textId="77777777" w:rsidR="006853A6" w:rsidRPr="001C0029" w:rsidRDefault="006853A6" w:rsidP="006853A6">
            <w:pPr>
              <w:pStyle w:val="ExhibitText"/>
              <w:ind w:right="360"/>
              <w:jc w:val="right"/>
              <w:rPr>
                <w:rFonts w:eastAsiaTheme="minorHAnsi"/>
              </w:rPr>
            </w:pPr>
            <w:r w:rsidRPr="001C0029">
              <w:rPr>
                <w:rFonts w:eastAsiaTheme="minorHAnsi"/>
              </w:rPr>
              <w:t>2.5</w:t>
            </w:r>
          </w:p>
        </w:tc>
      </w:tr>
      <w:tr w:rsidR="006853A6" w:rsidRPr="001C0029" w14:paraId="4757B0D8" w14:textId="77777777" w:rsidTr="00227357">
        <w:trPr>
          <w:trHeight w:val="288"/>
          <w:jc w:val="center"/>
        </w:trPr>
        <w:tc>
          <w:tcPr>
            <w:tcW w:w="3958" w:type="dxa"/>
            <w:vAlign w:val="center"/>
          </w:tcPr>
          <w:p w14:paraId="00F393DC" w14:textId="77777777" w:rsidR="006853A6" w:rsidRPr="001C0029" w:rsidRDefault="006853A6" w:rsidP="006853A6">
            <w:pPr>
              <w:pStyle w:val="ExhibitText"/>
              <w:jc w:val="left"/>
              <w:rPr>
                <w:rFonts w:eastAsiaTheme="minorHAnsi"/>
              </w:rPr>
            </w:pPr>
            <w:r w:rsidRPr="001C0029">
              <w:rPr>
                <w:rFonts w:eastAsiaTheme="minorHAnsi"/>
              </w:rPr>
              <w:t>Other costs growth</w:t>
            </w:r>
          </w:p>
        </w:tc>
        <w:tc>
          <w:tcPr>
            <w:tcW w:w="1802" w:type="dxa"/>
            <w:vAlign w:val="center"/>
          </w:tcPr>
          <w:p w14:paraId="1B7C2296" w14:textId="2D52E63C" w:rsidR="006853A6" w:rsidRPr="001C0029" w:rsidRDefault="006853A6" w:rsidP="006853A6">
            <w:pPr>
              <w:pStyle w:val="ExhibitText"/>
              <w:ind w:right="360"/>
              <w:jc w:val="right"/>
              <w:rPr>
                <w:rFonts w:eastAsiaTheme="minorHAnsi"/>
              </w:rPr>
            </w:pPr>
            <w:r w:rsidRPr="001C0029">
              <w:rPr>
                <w:rFonts w:eastAsiaTheme="minorHAnsi"/>
              </w:rPr>
              <w:t>2.0</w:t>
            </w:r>
          </w:p>
        </w:tc>
      </w:tr>
      <w:tr w:rsidR="006853A6" w:rsidRPr="001C0029" w14:paraId="1CB1C3C4" w14:textId="77777777" w:rsidTr="00227357">
        <w:trPr>
          <w:trHeight w:val="288"/>
          <w:jc w:val="center"/>
        </w:trPr>
        <w:tc>
          <w:tcPr>
            <w:tcW w:w="3958" w:type="dxa"/>
            <w:vAlign w:val="center"/>
          </w:tcPr>
          <w:p w14:paraId="0A282F8B" w14:textId="77777777" w:rsidR="006853A6" w:rsidRPr="001C0029" w:rsidRDefault="006853A6" w:rsidP="006853A6">
            <w:pPr>
              <w:pStyle w:val="ExhibitText"/>
              <w:jc w:val="left"/>
              <w:rPr>
                <w:rFonts w:eastAsiaTheme="minorHAnsi"/>
              </w:rPr>
            </w:pPr>
            <w:r w:rsidRPr="001C0029">
              <w:rPr>
                <w:rFonts w:eastAsiaTheme="minorHAnsi"/>
              </w:rPr>
              <w:t>Consumption growth</w:t>
            </w:r>
          </w:p>
        </w:tc>
        <w:tc>
          <w:tcPr>
            <w:tcW w:w="1802" w:type="dxa"/>
            <w:vAlign w:val="center"/>
          </w:tcPr>
          <w:p w14:paraId="42B493DB" w14:textId="10119BDC" w:rsidR="006853A6" w:rsidRPr="001C0029" w:rsidRDefault="006853A6" w:rsidP="006853A6">
            <w:pPr>
              <w:pStyle w:val="ExhibitText"/>
              <w:ind w:right="360"/>
              <w:jc w:val="right"/>
              <w:rPr>
                <w:rFonts w:eastAsiaTheme="minorHAnsi"/>
              </w:rPr>
            </w:pPr>
            <w:r w:rsidRPr="001C0029">
              <w:rPr>
                <w:rFonts w:eastAsiaTheme="minorHAnsi"/>
              </w:rPr>
              <w:t>1.0</w:t>
            </w:r>
          </w:p>
        </w:tc>
      </w:tr>
    </w:tbl>
    <w:p w14:paraId="6AB00733" w14:textId="77777777" w:rsidR="00DC09D8" w:rsidRPr="001C0029" w:rsidRDefault="00DC09D8" w:rsidP="00DC09D8">
      <w:pPr>
        <w:pStyle w:val="BodyTextMain"/>
        <w:rPr>
          <w:rFonts w:eastAsiaTheme="minorHAnsi"/>
        </w:rPr>
      </w:pPr>
    </w:p>
    <w:p w14:paraId="60A14436" w14:textId="77777777" w:rsidR="006853A6" w:rsidRPr="001C0029" w:rsidRDefault="006853A6" w:rsidP="00DC09D8">
      <w:pPr>
        <w:pStyle w:val="Footnote"/>
      </w:pPr>
      <w:r w:rsidRPr="001C0029">
        <w:t>Note: RAB = regulatory asset base.</w:t>
      </w:r>
    </w:p>
    <w:p w14:paraId="7E1116ED" w14:textId="03214790" w:rsidR="00DC09D8" w:rsidRPr="001C0029" w:rsidRDefault="00DC09D8" w:rsidP="00DC09D8">
      <w:pPr>
        <w:pStyle w:val="Footnote"/>
      </w:pPr>
      <w:r w:rsidRPr="001C0029">
        <w:t xml:space="preserve">Source: Created by </w:t>
      </w:r>
      <w:r w:rsidR="00227357" w:rsidRPr="001C0029">
        <w:t xml:space="preserve">the case </w:t>
      </w:r>
      <w:r w:rsidRPr="001C0029">
        <w:t>authors.</w:t>
      </w:r>
    </w:p>
    <w:p w14:paraId="70A97569" w14:textId="77777777" w:rsidR="00DC09D8" w:rsidRPr="001C0029" w:rsidRDefault="00DC09D8" w:rsidP="00DC09D8">
      <w:pPr>
        <w:pStyle w:val="BodyTextMain"/>
        <w:rPr>
          <w:rFonts w:eastAsiaTheme="minorHAnsi"/>
        </w:rPr>
      </w:pPr>
    </w:p>
    <w:p w14:paraId="300A2BF7" w14:textId="77777777" w:rsidR="00DC09D8" w:rsidRPr="001C0029" w:rsidRDefault="00DC09D8" w:rsidP="00DC09D8">
      <w:pPr>
        <w:pStyle w:val="BodyTextMain"/>
      </w:pPr>
    </w:p>
    <w:p w14:paraId="11456F16" w14:textId="58DDBBDC" w:rsidR="00DC09D8" w:rsidRPr="001C0029" w:rsidRDefault="00DC09D8" w:rsidP="00DC09D8">
      <w:pPr>
        <w:pStyle w:val="ExhibitHeading"/>
        <w:rPr>
          <w:rFonts w:eastAsiaTheme="minorHAnsi"/>
        </w:rPr>
      </w:pPr>
      <w:r w:rsidRPr="001C0029">
        <w:rPr>
          <w:rFonts w:eastAsiaTheme="minorHAnsi"/>
        </w:rPr>
        <w:t xml:space="preserve">Exhibit 3: Parameter Settings </w:t>
      </w:r>
      <w:r w:rsidR="00227357" w:rsidRPr="001C0029">
        <w:rPr>
          <w:rFonts w:eastAsiaTheme="minorHAnsi"/>
        </w:rPr>
        <w:t>for</w:t>
      </w:r>
      <w:r w:rsidRPr="001C0029">
        <w:rPr>
          <w:rFonts w:eastAsiaTheme="minorHAnsi"/>
        </w:rPr>
        <w:t xml:space="preserve"> Regulatory Regimes</w:t>
      </w:r>
    </w:p>
    <w:p w14:paraId="2FC355FE" w14:textId="77777777" w:rsidR="00DC09D8" w:rsidRPr="001C0029" w:rsidRDefault="00DC09D8" w:rsidP="00DC09D8">
      <w:pPr>
        <w:pStyle w:val="BodyTextMain"/>
        <w:rPr>
          <w:rFonts w:eastAsiaTheme="minorHAnsi"/>
        </w:rPr>
      </w:pPr>
    </w:p>
    <w:tbl>
      <w:tblPr>
        <w:tblStyle w:val="TableGrid"/>
        <w:tblW w:w="3655" w:type="pct"/>
        <w:jc w:val="center"/>
        <w:tblBorders>
          <w:left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237"/>
        <w:gridCol w:w="3983"/>
        <w:gridCol w:w="1622"/>
      </w:tblGrid>
      <w:tr w:rsidR="00227357" w:rsidRPr="001C0029" w14:paraId="5615B6B3" w14:textId="77777777" w:rsidTr="00227357">
        <w:trPr>
          <w:trHeight w:val="288"/>
          <w:jc w:val="center"/>
        </w:trPr>
        <w:tc>
          <w:tcPr>
            <w:tcW w:w="1236" w:type="dxa"/>
            <w:tcBorders>
              <w:top w:val="single" w:sz="4" w:space="0" w:color="auto"/>
              <w:bottom w:val="single" w:sz="4" w:space="0" w:color="auto"/>
            </w:tcBorders>
            <w:vAlign w:val="center"/>
          </w:tcPr>
          <w:p w14:paraId="73C6B12F" w14:textId="77777777" w:rsidR="00227357" w:rsidRPr="001C0029" w:rsidRDefault="00227357" w:rsidP="00227357">
            <w:pPr>
              <w:pStyle w:val="ExhibitText"/>
              <w:jc w:val="left"/>
              <w:rPr>
                <w:rFonts w:eastAsiaTheme="minorHAnsi"/>
              </w:rPr>
            </w:pPr>
            <w:r w:rsidRPr="001C0029">
              <w:rPr>
                <w:rFonts w:eastAsiaTheme="minorHAnsi"/>
              </w:rPr>
              <w:t xml:space="preserve">Cost+ </w:t>
            </w:r>
          </w:p>
        </w:tc>
        <w:tc>
          <w:tcPr>
            <w:tcW w:w="3979" w:type="dxa"/>
            <w:tcBorders>
              <w:top w:val="single" w:sz="4" w:space="0" w:color="auto"/>
              <w:bottom w:val="single" w:sz="4" w:space="0" w:color="auto"/>
            </w:tcBorders>
            <w:vAlign w:val="center"/>
          </w:tcPr>
          <w:p w14:paraId="288855F5" w14:textId="77777777" w:rsidR="00227357" w:rsidRPr="001C0029" w:rsidRDefault="00227357" w:rsidP="00227357">
            <w:pPr>
              <w:pStyle w:val="ExhibitText"/>
              <w:jc w:val="left"/>
              <w:rPr>
                <w:rFonts w:eastAsiaTheme="minorHAnsi"/>
              </w:rPr>
            </w:pPr>
            <w:r w:rsidRPr="001C0029">
              <w:rPr>
                <w:rFonts w:eastAsiaTheme="minorHAnsi"/>
              </w:rPr>
              <w:t>Return on equity</w:t>
            </w:r>
          </w:p>
        </w:tc>
        <w:tc>
          <w:tcPr>
            <w:tcW w:w="1620" w:type="dxa"/>
            <w:tcBorders>
              <w:top w:val="single" w:sz="4" w:space="0" w:color="auto"/>
              <w:bottom w:val="single" w:sz="4" w:space="0" w:color="auto"/>
            </w:tcBorders>
            <w:vAlign w:val="center"/>
          </w:tcPr>
          <w:p w14:paraId="1156517A" w14:textId="26FB4B6F" w:rsidR="00227357" w:rsidRPr="001C0029" w:rsidRDefault="00227357" w:rsidP="00227357">
            <w:pPr>
              <w:pStyle w:val="ExhibitText"/>
              <w:jc w:val="right"/>
              <w:rPr>
                <w:rFonts w:eastAsiaTheme="minorHAnsi"/>
              </w:rPr>
            </w:pPr>
            <w:r w:rsidRPr="001C0029">
              <w:rPr>
                <w:rFonts w:eastAsiaTheme="minorHAnsi"/>
              </w:rPr>
              <w:t>7.0%</w:t>
            </w:r>
          </w:p>
        </w:tc>
      </w:tr>
      <w:tr w:rsidR="00227357" w:rsidRPr="001C0029" w14:paraId="4CB55D6B" w14:textId="77777777" w:rsidTr="00227357">
        <w:trPr>
          <w:trHeight w:val="288"/>
          <w:jc w:val="center"/>
        </w:trPr>
        <w:tc>
          <w:tcPr>
            <w:tcW w:w="1236" w:type="dxa"/>
            <w:vMerge w:val="restart"/>
            <w:tcBorders>
              <w:top w:val="single" w:sz="4" w:space="0" w:color="auto"/>
              <w:bottom w:val="nil"/>
            </w:tcBorders>
            <w:vAlign w:val="center"/>
          </w:tcPr>
          <w:p w14:paraId="1A0EDD3A" w14:textId="4D0F1AC4" w:rsidR="00227357" w:rsidRPr="001C0029" w:rsidRDefault="009C406F" w:rsidP="00227357">
            <w:pPr>
              <w:pStyle w:val="ExhibitText"/>
              <w:jc w:val="left"/>
              <w:rPr>
                <w:rFonts w:eastAsiaTheme="minorHAnsi"/>
              </w:rPr>
            </w:pPr>
            <w:r w:rsidRPr="001C0029">
              <w:rPr>
                <w:rFonts w:eastAsiaTheme="minorHAnsi"/>
              </w:rPr>
              <w:t xml:space="preserve">Revenue </w:t>
            </w:r>
            <w:r w:rsidR="002A5B0F">
              <w:rPr>
                <w:rFonts w:eastAsiaTheme="minorHAnsi"/>
              </w:rPr>
              <w:t>cap</w:t>
            </w:r>
          </w:p>
        </w:tc>
        <w:tc>
          <w:tcPr>
            <w:tcW w:w="3979" w:type="dxa"/>
            <w:tcBorders>
              <w:top w:val="single" w:sz="4" w:space="0" w:color="auto"/>
              <w:bottom w:val="nil"/>
            </w:tcBorders>
            <w:vAlign w:val="center"/>
          </w:tcPr>
          <w:p w14:paraId="4749B8A3" w14:textId="77777777" w:rsidR="00227357" w:rsidRPr="001C0029" w:rsidRDefault="00227357" w:rsidP="00227357">
            <w:pPr>
              <w:pStyle w:val="ExhibitText"/>
              <w:jc w:val="left"/>
              <w:rPr>
                <w:rFonts w:eastAsiaTheme="minorHAnsi"/>
              </w:rPr>
            </w:pPr>
            <w:r w:rsidRPr="001C0029">
              <w:rPr>
                <w:rFonts w:eastAsiaTheme="minorHAnsi"/>
              </w:rPr>
              <w:t>WACC</w:t>
            </w:r>
          </w:p>
        </w:tc>
        <w:tc>
          <w:tcPr>
            <w:tcW w:w="1620" w:type="dxa"/>
            <w:tcBorders>
              <w:top w:val="single" w:sz="4" w:space="0" w:color="auto"/>
              <w:bottom w:val="nil"/>
            </w:tcBorders>
            <w:vAlign w:val="center"/>
          </w:tcPr>
          <w:p w14:paraId="723D1263" w14:textId="1189A1FE" w:rsidR="00227357" w:rsidRPr="001C0029" w:rsidRDefault="00227357" w:rsidP="00227357">
            <w:pPr>
              <w:pStyle w:val="ExhibitText"/>
              <w:jc w:val="right"/>
              <w:rPr>
                <w:rFonts w:eastAsiaTheme="minorHAnsi"/>
              </w:rPr>
            </w:pPr>
            <w:r w:rsidRPr="001C0029">
              <w:rPr>
                <w:rFonts w:eastAsiaTheme="minorHAnsi"/>
              </w:rPr>
              <w:t>5.0%</w:t>
            </w:r>
          </w:p>
        </w:tc>
      </w:tr>
      <w:tr w:rsidR="00227357" w:rsidRPr="001C0029" w14:paraId="15962676" w14:textId="77777777" w:rsidTr="00227357">
        <w:trPr>
          <w:trHeight w:val="288"/>
          <w:jc w:val="center"/>
        </w:trPr>
        <w:tc>
          <w:tcPr>
            <w:tcW w:w="1236" w:type="dxa"/>
            <w:vMerge/>
            <w:tcBorders>
              <w:top w:val="nil"/>
              <w:bottom w:val="nil"/>
            </w:tcBorders>
            <w:vAlign w:val="center"/>
          </w:tcPr>
          <w:p w14:paraId="64CDB47A" w14:textId="77777777" w:rsidR="00227357" w:rsidRPr="001C0029" w:rsidRDefault="00227357" w:rsidP="00227357">
            <w:pPr>
              <w:pStyle w:val="ExhibitText"/>
              <w:jc w:val="left"/>
              <w:rPr>
                <w:rFonts w:eastAsiaTheme="minorHAnsi"/>
              </w:rPr>
            </w:pPr>
          </w:p>
        </w:tc>
        <w:tc>
          <w:tcPr>
            <w:tcW w:w="3979" w:type="dxa"/>
            <w:tcBorders>
              <w:top w:val="nil"/>
              <w:bottom w:val="nil"/>
            </w:tcBorders>
            <w:vAlign w:val="center"/>
          </w:tcPr>
          <w:p w14:paraId="429187A8" w14:textId="1FF45822" w:rsidR="00227357" w:rsidRPr="001C0029" w:rsidRDefault="00227357" w:rsidP="00227357">
            <w:pPr>
              <w:pStyle w:val="ExhibitText"/>
              <w:jc w:val="left"/>
              <w:rPr>
                <w:rFonts w:eastAsiaTheme="minorHAnsi"/>
              </w:rPr>
            </w:pPr>
            <w:r w:rsidRPr="001C0029">
              <w:rPr>
                <w:rFonts w:eastAsiaTheme="minorHAnsi"/>
              </w:rPr>
              <w:t>Operating expense cap, 2015</w:t>
            </w:r>
          </w:p>
        </w:tc>
        <w:tc>
          <w:tcPr>
            <w:tcW w:w="1620" w:type="dxa"/>
            <w:tcBorders>
              <w:top w:val="nil"/>
              <w:bottom w:val="nil"/>
            </w:tcBorders>
            <w:vAlign w:val="center"/>
          </w:tcPr>
          <w:p w14:paraId="640E21FA" w14:textId="39514872" w:rsidR="00227357" w:rsidRPr="001C0029" w:rsidRDefault="00227357" w:rsidP="00227357">
            <w:pPr>
              <w:pStyle w:val="ExhibitText"/>
              <w:jc w:val="right"/>
              <w:rPr>
                <w:rFonts w:eastAsiaTheme="minorHAnsi"/>
              </w:rPr>
            </w:pPr>
            <w:r w:rsidRPr="001C0029">
              <w:rPr>
                <w:rFonts w:eastAsiaTheme="minorHAnsi"/>
              </w:rPr>
              <w:t>€256 million</w:t>
            </w:r>
          </w:p>
        </w:tc>
      </w:tr>
      <w:tr w:rsidR="00227357" w:rsidRPr="001C0029" w14:paraId="1745B02B" w14:textId="77777777" w:rsidTr="00227357">
        <w:trPr>
          <w:trHeight w:val="288"/>
          <w:jc w:val="center"/>
        </w:trPr>
        <w:tc>
          <w:tcPr>
            <w:tcW w:w="1236" w:type="dxa"/>
            <w:vMerge/>
            <w:tcBorders>
              <w:top w:val="nil"/>
              <w:bottom w:val="single" w:sz="4" w:space="0" w:color="auto"/>
            </w:tcBorders>
            <w:vAlign w:val="center"/>
          </w:tcPr>
          <w:p w14:paraId="3C4E288D" w14:textId="77777777" w:rsidR="00227357" w:rsidRPr="001C0029" w:rsidRDefault="00227357" w:rsidP="00227357">
            <w:pPr>
              <w:pStyle w:val="ExhibitText"/>
              <w:jc w:val="left"/>
              <w:rPr>
                <w:rFonts w:eastAsiaTheme="minorHAnsi"/>
              </w:rPr>
            </w:pPr>
          </w:p>
        </w:tc>
        <w:tc>
          <w:tcPr>
            <w:tcW w:w="3979" w:type="dxa"/>
            <w:tcBorders>
              <w:top w:val="nil"/>
              <w:bottom w:val="single" w:sz="4" w:space="0" w:color="auto"/>
            </w:tcBorders>
            <w:vAlign w:val="center"/>
          </w:tcPr>
          <w:p w14:paraId="1D767F18" w14:textId="593770A8" w:rsidR="00227357" w:rsidRPr="001C0029" w:rsidRDefault="00227357" w:rsidP="00227357">
            <w:pPr>
              <w:pStyle w:val="ExhibitText"/>
              <w:jc w:val="left"/>
              <w:rPr>
                <w:rFonts w:eastAsiaTheme="minorHAnsi"/>
              </w:rPr>
            </w:pPr>
            <w:r w:rsidRPr="001C0029">
              <w:rPr>
                <w:rFonts w:eastAsiaTheme="minorHAnsi"/>
              </w:rPr>
              <w:t>Operating expense cap, increase per year</w:t>
            </w:r>
          </w:p>
        </w:tc>
        <w:tc>
          <w:tcPr>
            <w:tcW w:w="1620" w:type="dxa"/>
            <w:tcBorders>
              <w:top w:val="nil"/>
              <w:bottom w:val="single" w:sz="4" w:space="0" w:color="auto"/>
            </w:tcBorders>
            <w:vAlign w:val="center"/>
          </w:tcPr>
          <w:p w14:paraId="65F67556" w14:textId="7E551AFF" w:rsidR="00227357" w:rsidRPr="001C0029" w:rsidRDefault="00227357" w:rsidP="00227357">
            <w:pPr>
              <w:pStyle w:val="ExhibitText"/>
              <w:jc w:val="right"/>
              <w:rPr>
                <w:rFonts w:eastAsiaTheme="minorHAnsi"/>
              </w:rPr>
            </w:pPr>
            <w:r w:rsidRPr="001C0029">
              <w:rPr>
                <w:rFonts w:eastAsiaTheme="minorHAnsi"/>
              </w:rPr>
              <w:t>2.2%</w:t>
            </w:r>
          </w:p>
        </w:tc>
      </w:tr>
      <w:tr w:rsidR="00227357" w:rsidRPr="001C0029" w14:paraId="697D1E33" w14:textId="77777777" w:rsidTr="00227357">
        <w:trPr>
          <w:trHeight w:val="288"/>
          <w:jc w:val="center"/>
        </w:trPr>
        <w:tc>
          <w:tcPr>
            <w:tcW w:w="1236" w:type="dxa"/>
            <w:vMerge w:val="restart"/>
            <w:tcBorders>
              <w:top w:val="single" w:sz="4" w:space="0" w:color="auto"/>
            </w:tcBorders>
            <w:vAlign w:val="center"/>
          </w:tcPr>
          <w:p w14:paraId="67842834" w14:textId="57829FCD" w:rsidR="00227357" w:rsidRPr="001C0029" w:rsidRDefault="009C406F" w:rsidP="00227357">
            <w:pPr>
              <w:pStyle w:val="ExhibitText"/>
              <w:jc w:val="left"/>
              <w:rPr>
                <w:rFonts w:eastAsiaTheme="minorHAnsi"/>
              </w:rPr>
            </w:pPr>
            <w:r w:rsidRPr="001C0029">
              <w:rPr>
                <w:rFonts w:eastAsiaTheme="minorHAnsi"/>
              </w:rPr>
              <w:t xml:space="preserve">Price </w:t>
            </w:r>
            <w:r w:rsidR="002A5B0F">
              <w:rPr>
                <w:rFonts w:eastAsiaTheme="minorHAnsi"/>
              </w:rPr>
              <w:t>cap</w:t>
            </w:r>
          </w:p>
        </w:tc>
        <w:tc>
          <w:tcPr>
            <w:tcW w:w="3979" w:type="dxa"/>
            <w:tcBorders>
              <w:top w:val="single" w:sz="4" w:space="0" w:color="auto"/>
            </w:tcBorders>
            <w:vAlign w:val="center"/>
          </w:tcPr>
          <w:p w14:paraId="540730C6" w14:textId="252A0426" w:rsidR="00227357" w:rsidRPr="001C0029" w:rsidRDefault="00227357" w:rsidP="00227357">
            <w:pPr>
              <w:pStyle w:val="ExhibitText"/>
              <w:jc w:val="left"/>
              <w:rPr>
                <w:rFonts w:eastAsiaTheme="minorHAnsi"/>
              </w:rPr>
            </w:pPr>
            <w:r w:rsidRPr="001C0029">
              <w:rPr>
                <w:rFonts w:eastAsiaTheme="minorHAnsi"/>
              </w:rPr>
              <w:t>Price cap, 2015</w:t>
            </w:r>
          </w:p>
        </w:tc>
        <w:tc>
          <w:tcPr>
            <w:tcW w:w="1620" w:type="dxa"/>
            <w:tcBorders>
              <w:top w:val="single" w:sz="4" w:space="0" w:color="auto"/>
            </w:tcBorders>
            <w:vAlign w:val="center"/>
          </w:tcPr>
          <w:p w14:paraId="32E70C9F" w14:textId="425D5501" w:rsidR="00227357" w:rsidRPr="001C0029" w:rsidRDefault="00227357" w:rsidP="00227357">
            <w:pPr>
              <w:pStyle w:val="ExhibitText"/>
              <w:jc w:val="right"/>
              <w:rPr>
                <w:rFonts w:eastAsiaTheme="minorHAnsi"/>
              </w:rPr>
            </w:pPr>
            <w:r w:rsidRPr="001C0029">
              <w:rPr>
                <w:rFonts w:eastAsiaTheme="minorHAnsi"/>
              </w:rPr>
              <w:t>€39.9/MWh</w:t>
            </w:r>
          </w:p>
        </w:tc>
      </w:tr>
      <w:tr w:rsidR="00227357" w:rsidRPr="001C0029" w14:paraId="29E72744" w14:textId="77777777" w:rsidTr="00227357">
        <w:trPr>
          <w:trHeight w:val="288"/>
          <w:jc w:val="center"/>
        </w:trPr>
        <w:tc>
          <w:tcPr>
            <w:tcW w:w="1236" w:type="dxa"/>
            <w:vMerge/>
            <w:vAlign w:val="center"/>
          </w:tcPr>
          <w:p w14:paraId="7FFC7E4A" w14:textId="77777777" w:rsidR="00227357" w:rsidRPr="001C0029" w:rsidRDefault="00227357" w:rsidP="00227357">
            <w:pPr>
              <w:pStyle w:val="ExhibitText"/>
              <w:jc w:val="left"/>
              <w:rPr>
                <w:rFonts w:eastAsiaTheme="minorHAnsi"/>
              </w:rPr>
            </w:pPr>
          </w:p>
        </w:tc>
        <w:tc>
          <w:tcPr>
            <w:tcW w:w="3979" w:type="dxa"/>
            <w:vAlign w:val="center"/>
          </w:tcPr>
          <w:p w14:paraId="1485CF14" w14:textId="2757C612" w:rsidR="00227357" w:rsidRPr="001C0029" w:rsidRDefault="00227357" w:rsidP="00227357">
            <w:pPr>
              <w:pStyle w:val="ExhibitText"/>
              <w:jc w:val="left"/>
              <w:rPr>
                <w:rFonts w:eastAsiaTheme="minorHAnsi"/>
              </w:rPr>
            </w:pPr>
            <w:r w:rsidRPr="001C0029">
              <w:rPr>
                <w:rFonts w:eastAsiaTheme="minorHAnsi"/>
              </w:rPr>
              <w:t>Price cap, increase per year</w:t>
            </w:r>
          </w:p>
        </w:tc>
        <w:tc>
          <w:tcPr>
            <w:tcW w:w="1620" w:type="dxa"/>
            <w:vAlign w:val="center"/>
          </w:tcPr>
          <w:p w14:paraId="6C65DED8" w14:textId="1192E181" w:rsidR="00227357" w:rsidRPr="001C0029" w:rsidRDefault="00227357" w:rsidP="00227357">
            <w:pPr>
              <w:pStyle w:val="ExhibitText"/>
              <w:jc w:val="right"/>
              <w:rPr>
                <w:rFonts w:eastAsiaTheme="minorHAnsi"/>
              </w:rPr>
            </w:pPr>
            <w:r w:rsidRPr="001C0029">
              <w:rPr>
                <w:rFonts w:eastAsiaTheme="minorHAnsi"/>
              </w:rPr>
              <w:t>2.0%</w:t>
            </w:r>
          </w:p>
        </w:tc>
      </w:tr>
    </w:tbl>
    <w:p w14:paraId="23DA1566" w14:textId="77777777" w:rsidR="00DC09D8" w:rsidRPr="001C0029" w:rsidRDefault="00DC09D8" w:rsidP="00DC09D8">
      <w:pPr>
        <w:rPr>
          <w:sz w:val="22"/>
          <w:szCs w:val="22"/>
        </w:rPr>
      </w:pPr>
    </w:p>
    <w:p w14:paraId="48EB12EE" w14:textId="77777777" w:rsidR="00227357" w:rsidRPr="001C0029" w:rsidRDefault="00227357" w:rsidP="00227357">
      <w:pPr>
        <w:pStyle w:val="Footnote"/>
      </w:pPr>
      <w:r w:rsidRPr="001C0029">
        <w:t>Note: WACC = weighted average cost of capital.</w:t>
      </w:r>
    </w:p>
    <w:p w14:paraId="08D0B219" w14:textId="28A5A4D3" w:rsidR="002E54B0" w:rsidRPr="001C0029" w:rsidRDefault="002E54B0" w:rsidP="00111E71">
      <w:pPr>
        <w:pStyle w:val="Footnote"/>
        <w:rPr>
          <w:rFonts w:eastAsiaTheme="minorHAnsi"/>
          <w:b/>
          <w:caps/>
        </w:rPr>
      </w:pPr>
      <w:r w:rsidRPr="001C0029">
        <w:t xml:space="preserve">Source: Created by </w:t>
      </w:r>
      <w:r w:rsidR="00227357" w:rsidRPr="001C0029">
        <w:t xml:space="preserve">the case </w:t>
      </w:r>
      <w:r w:rsidRPr="001C0029">
        <w:t>authors.</w:t>
      </w:r>
      <w:r w:rsidRPr="001C0029">
        <w:rPr>
          <w:rFonts w:eastAsiaTheme="minorHAnsi"/>
        </w:rPr>
        <w:br w:type="page"/>
      </w:r>
    </w:p>
    <w:p w14:paraId="4213D4C8" w14:textId="31752E55" w:rsidR="00361573" w:rsidRPr="001C0029" w:rsidRDefault="00DC09D8" w:rsidP="002E54B0">
      <w:pPr>
        <w:pStyle w:val="ExhibitHeading"/>
        <w:rPr>
          <w:rFonts w:eastAsiaTheme="minorHAnsi"/>
        </w:rPr>
      </w:pPr>
      <w:r w:rsidRPr="001C0029">
        <w:rPr>
          <w:rFonts w:eastAsiaTheme="minorHAnsi"/>
        </w:rPr>
        <w:lastRenderedPageBreak/>
        <w:t>Exhibi</w:t>
      </w:r>
      <w:r w:rsidR="00361573" w:rsidRPr="001C0029">
        <w:rPr>
          <w:rFonts w:eastAsiaTheme="minorHAnsi"/>
        </w:rPr>
        <w:t xml:space="preserve">t 4: Expenditures for the Smart </w:t>
      </w:r>
      <w:r w:rsidRPr="001C0029">
        <w:rPr>
          <w:rFonts w:eastAsiaTheme="minorHAnsi"/>
        </w:rPr>
        <w:t>Meter Investment Program</w:t>
      </w:r>
    </w:p>
    <w:p w14:paraId="0CF3F297" w14:textId="77777777" w:rsidR="002E54B0" w:rsidRPr="001C0029" w:rsidRDefault="002E54B0" w:rsidP="002E54B0">
      <w:pPr>
        <w:pStyle w:val="ExhibitHeading"/>
        <w:rPr>
          <w:rFonts w:eastAsiaTheme="minorHAnsi"/>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1483"/>
        <w:gridCol w:w="1328"/>
      </w:tblGrid>
      <w:tr w:rsidR="00361573" w:rsidRPr="001C0029" w14:paraId="2B8B07C8" w14:textId="77777777" w:rsidTr="00361573">
        <w:trPr>
          <w:trHeight w:val="288"/>
          <w:jc w:val="center"/>
        </w:trPr>
        <w:tc>
          <w:tcPr>
            <w:tcW w:w="1339" w:type="dxa"/>
            <w:tcBorders>
              <w:top w:val="single" w:sz="4" w:space="0" w:color="auto"/>
              <w:bottom w:val="single" w:sz="12" w:space="0" w:color="auto"/>
            </w:tcBorders>
            <w:vAlign w:val="center"/>
          </w:tcPr>
          <w:p w14:paraId="7365C2EA" w14:textId="77777777" w:rsidR="00361573" w:rsidRPr="001C0029" w:rsidRDefault="00361573" w:rsidP="00361573">
            <w:pPr>
              <w:pStyle w:val="ExhibitText"/>
              <w:jc w:val="right"/>
              <w:rPr>
                <w:rFonts w:eastAsiaTheme="majorEastAsia"/>
                <w:b/>
              </w:rPr>
            </w:pPr>
          </w:p>
        </w:tc>
        <w:tc>
          <w:tcPr>
            <w:tcW w:w="1483" w:type="dxa"/>
            <w:tcBorders>
              <w:top w:val="single" w:sz="4" w:space="0" w:color="auto"/>
              <w:bottom w:val="single" w:sz="12" w:space="0" w:color="auto"/>
            </w:tcBorders>
            <w:vAlign w:val="center"/>
          </w:tcPr>
          <w:p w14:paraId="4CEBC1EA" w14:textId="7B35D88A" w:rsidR="00361573" w:rsidRPr="001C0029" w:rsidRDefault="00361573" w:rsidP="00361573">
            <w:pPr>
              <w:pStyle w:val="ExhibitText"/>
              <w:jc w:val="center"/>
              <w:rPr>
                <w:rFonts w:eastAsiaTheme="majorEastAsia"/>
                <w:b/>
              </w:rPr>
            </w:pPr>
            <w:r w:rsidRPr="001C0029">
              <w:rPr>
                <w:rFonts w:eastAsiaTheme="majorEastAsia"/>
                <w:b/>
              </w:rPr>
              <w:t>Capital Expenditures</w:t>
            </w:r>
            <w:r w:rsidR="002A5B0F">
              <w:rPr>
                <w:rFonts w:eastAsiaTheme="majorEastAsia"/>
                <w:b/>
              </w:rPr>
              <w:t xml:space="preserve"> (%)</w:t>
            </w:r>
          </w:p>
        </w:tc>
        <w:tc>
          <w:tcPr>
            <w:tcW w:w="1328" w:type="dxa"/>
            <w:tcBorders>
              <w:top w:val="single" w:sz="4" w:space="0" w:color="auto"/>
              <w:bottom w:val="single" w:sz="12" w:space="0" w:color="auto"/>
            </w:tcBorders>
            <w:vAlign w:val="center"/>
          </w:tcPr>
          <w:p w14:paraId="625EDA21" w14:textId="74065F42" w:rsidR="00361573" w:rsidRPr="001C0029" w:rsidRDefault="00361573" w:rsidP="00361573">
            <w:pPr>
              <w:pStyle w:val="ExhibitText"/>
              <w:jc w:val="center"/>
              <w:rPr>
                <w:rFonts w:eastAsiaTheme="majorEastAsia"/>
                <w:b/>
              </w:rPr>
            </w:pPr>
            <w:r w:rsidRPr="001C0029">
              <w:rPr>
                <w:rFonts w:eastAsiaTheme="majorEastAsia"/>
                <w:b/>
              </w:rPr>
              <w:t>Operational Expenses</w:t>
            </w:r>
            <w:r w:rsidR="002A5B0F">
              <w:rPr>
                <w:rFonts w:eastAsiaTheme="majorEastAsia"/>
                <w:b/>
              </w:rPr>
              <w:t xml:space="preserve"> (</w:t>
            </w:r>
            <w:r w:rsidR="002A5B0F" w:rsidRPr="001C0029">
              <w:rPr>
                <w:rFonts w:eastAsiaTheme="minorHAnsi"/>
              </w:rPr>
              <w:t>€</w:t>
            </w:r>
            <w:r w:rsidR="002A5B0F">
              <w:rPr>
                <w:rFonts w:eastAsiaTheme="majorEastAsia"/>
                <w:b/>
              </w:rPr>
              <w:t xml:space="preserve"> millions)</w:t>
            </w:r>
          </w:p>
        </w:tc>
      </w:tr>
      <w:tr w:rsidR="00361573" w:rsidRPr="001C0029" w14:paraId="2C7C5F6A" w14:textId="77777777" w:rsidTr="00361573">
        <w:trPr>
          <w:trHeight w:val="288"/>
          <w:jc w:val="center"/>
        </w:trPr>
        <w:tc>
          <w:tcPr>
            <w:tcW w:w="1339" w:type="dxa"/>
            <w:tcBorders>
              <w:top w:val="single" w:sz="12" w:space="0" w:color="auto"/>
            </w:tcBorders>
            <w:vAlign w:val="center"/>
          </w:tcPr>
          <w:p w14:paraId="0FB64D9D" w14:textId="77777777" w:rsidR="00361573" w:rsidRPr="001C0029" w:rsidRDefault="00361573" w:rsidP="00361573">
            <w:pPr>
              <w:pStyle w:val="ExhibitText"/>
              <w:jc w:val="right"/>
              <w:rPr>
                <w:rFonts w:eastAsiaTheme="minorHAnsi"/>
              </w:rPr>
            </w:pPr>
            <w:r w:rsidRPr="001C0029">
              <w:rPr>
                <w:rFonts w:eastAsiaTheme="minorHAnsi"/>
              </w:rPr>
              <w:t>2015</w:t>
            </w:r>
          </w:p>
        </w:tc>
        <w:tc>
          <w:tcPr>
            <w:tcW w:w="1483" w:type="dxa"/>
            <w:tcBorders>
              <w:top w:val="single" w:sz="12" w:space="0" w:color="auto"/>
            </w:tcBorders>
            <w:vAlign w:val="center"/>
          </w:tcPr>
          <w:p w14:paraId="5FCC3E39" w14:textId="77777777" w:rsidR="00361573" w:rsidRPr="001C0029" w:rsidRDefault="00361573" w:rsidP="00361573">
            <w:pPr>
              <w:pStyle w:val="ExhibitText"/>
              <w:ind w:right="288"/>
              <w:jc w:val="right"/>
              <w:rPr>
                <w:rFonts w:eastAsiaTheme="minorHAnsi"/>
              </w:rPr>
            </w:pPr>
            <w:r w:rsidRPr="001C0029">
              <w:rPr>
                <w:rFonts w:eastAsiaTheme="minorHAnsi"/>
              </w:rPr>
              <w:t>100</w:t>
            </w:r>
          </w:p>
        </w:tc>
        <w:tc>
          <w:tcPr>
            <w:tcW w:w="1328" w:type="dxa"/>
            <w:tcBorders>
              <w:top w:val="single" w:sz="12" w:space="0" w:color="auto"/>
            </w:tcBorders>
            <w:vAlign w:val="center"/>
          </w:tcPr>
          <w:p w14:paraId="6642DC18" w14:textId="77777777" w:rsidR="00361573" w:rsidRPr="001C0029" w:rsidRDefault="00361573" w:rsidP="00361573">
            <w:pPr>
              <w:pStyle w:val="ExhibitText"/>
              <w:ind w:right="288"/>
              <w:jc w:val="right"/>
              <w:rPr>
                <w:rFonts w:eastAsiaTheme="minorHAnsi"/>
              </w:rPr>
            </w:pPr>
            <w:r w:rsidRPr="001C0029">
              <w:rPr>
                <w:rFonts w:eastAsiaTheme="minorHAnsi"/>
              </w:rPr>
              <w:t>0</w:t>
            </w:r>
          </w:p>
        </w:tc>
      </w:tr>
      <w:tr w:rsidR="00361573" w:rsidRPr="001C0029" w14:paraId="1CC07C73" w14:textId="77777777" w:rsidTr="00361573">
        <w:trPr>
          <w:trHeight w:val="288"/>
          <w:jc w:val="center"/>
        </w:trPr>
        <w:tc>
          <w:tcPr>
            <w:tcW w:w="1339" w:type="dxa"/>
            <w:vAlign w:val="center"/>
          </w:tcPr>
          <w:p w14:paraId="3A6538E7" w14:textId="77777777" w:rsidR="00361573" w:rsidRPr="001C0029" w:rsidRDefault="00361573" w:rsidP="00361573">
            <w:pPr>
              <w:pStyle w:val="ExhibitText"/>
              <w:jc w:val="right"/>
              <w:rPr>
                <w:rFonts w:eastAsiaTheme="minorHAnsi"/>
              </w:rPr>
            </w:pPr>
            <w:r w:rsidRPr="001C0029">
              <w:rPr>
                <w:rFonts w:eastAsiaTheme="minorHAnsi"/>
              </w:rPr>
              <w:t>2016</w:t>
            </w:r>
          </w:p>
        </w:tc>
        <w:tc>
          <w:tcPr>
            <w:tcW w:w="1483" w:type="dxa"/>
            <w:vAlign w:val="center"/>
          </w:tcPr>
          <w:p w14:paraId="5844D620" w14:textId="77777777" w:rsidR="00361573" w:rsidRPr="001C0029" w:rsidRDefault="00361573" w:rsidP="00361573">
            <w:pPr>
              <w:pStyle w:val="ExhibitText"/>
              <w:ind w:right="288"/>
              <w:jc w:val="right"/>
              <w:rPr>
                <w:rFonts w:eastAsiaTheme="minorHAnsi"/>
              </w:rPr>
            </w:pPr>
            <w:r w:rsidRPr="001C0029">
              <w:rPr>
                <w:rFonts w:eastAsiaTheme="minorHAnsi"/>
              </w:rPr>
              <w:t>100</w:t>
            </w:r>
          </w:p>
        </w:tc>
        <w:tc>
          <w:tcPr>
            <w:tcW w:w="1328" w:type="dxa"/>
            <w:vAlign w:val="center"/>
          </w:tcPr>
          <w:p w14:paraId="5A5D0EE6" w14:textId="77777777" w:rsidR="00361573" w:rsidRPr="001C0029" w:rsidRDefault="00361573" w:rsidP="00361573">
            <w:pPr>
              <w:pStyle w:val="ExhibitText"/>
              <w:ind w:right="288"/>
              <w:jc w:val="right"/>
              <w:rPr>
                <w:rFonts w:eastAsiaTheme="minorHAnsi"/>
              </w:rPr>
            </w:pPr>
            <w:r w:rsidRPr="001C0029">
              <w:rPr>
                <w:rFonts w:eastAsiaTheme="minorHAnsi"/>
              </w:rPr>
              <w:t>0</w:t>
            </w:r>
          </w:p>
        </w:tc>
      </w:tr>
      <w:tr w:rsidR="00361573" w:rsidRPr="001C0029" w14:paraId="6F4E34ED" w14:textId="77777777" w:rsidTr="00361573">
        <w:trPr>
          <w:trHeight w:val="288"/>
          <w:jc w:val="center"/>
        </w:trPr>
        <w:tc>
          <w:tcPr>
            <w:tcW w:w="1339" w:type="dxa"/>
            <w:vAlign w:val="center"/>
          </w:tcPr>
          <w:p w14:paraId="1F72FAA8" w14:textId="77777777" w:rsidR="00361573" w:rsidRPr="001C0029" w:rsidRDefault="00361573" w:rsidP="00361573">
            <w:pPr>
              <w:pStyle w:val="ExhibitText"/>
              <w:jc w:val="right"/>
              <w:rPr>
                <w:rFonts w:eastAsiaTheme="minorHAnsi"/>
              </w:rPr>
            </w:pPr>
            <w:r w:rsidRPr="001C0029">
              <w:rPr>
                <w:rFonts w:eastAsiaTheme="minorHAnsi"/>
              </w:rPr>
              <w:t>2017</w:t>
            </w:r>
          </w:p>
        </w:tc>
        <w:tc>
          <w:tcPr>
            <w:tcW w:w="1483" w:type="dxa"/>
            <w:vAlign w:val="center"/>
          </w:tcPr>
          <w:p w14:paraId="1906BF53" w14:textId="77777777" w:rsidR="00361573" w:rsidRPr="001C0029" w:rsidRDefault="00361573" w:rsidP="00361573">
            <w:pPr>
              <w:pStyle w:val="ExhibitText"/>
              <w:ind w:right="288"/>
              <w:jc w:val="right"/>
              <w:rPr>
                <w:rFonts w:eastAsiaTheme="minorHAnsi"/>
              </w:rPr>
            </w:pPr>
            <w:r w:rsidRPr="001C0029">
              <w:rPr>
                <w:rFonts w:eastAsiaTheme="minorHAnsi"/>
              </w:rPr>
              <w:t>60</w:t>
            </w:r>
          </w:p>
        </w:tc>
        <w:tc>
          <w:tcPr>
            <w:tcW w:w="1328" w:type="dxa"/>
            <w:vAlign w:val="center"/>
          </w:tcPr>
          <w:p w14:paraId="4FE76A3F" w14:textId="77777777" w:rsidR="00361573" w:rsidRPr="001C0029" w:rsidRDefault="00361573" w:rsidP="00361573">
            <w:pPr>
              <w:pStyle w:val="ExhibitText"/>
              <w:ind w:right="288"/>
              <w:jc w:val="right"/>
              <w:rPr>
                <w:rFonts w:eastAsiaTheme="minorHAnsi"/>
              </w:rPr>
            </w:pPr>
            <w:r w:rsidRPr="001C0029">
              <w:rPr>
                <w:rFonts w:eastAsiaTheme="minorHAnsi"/>
              </w:rPr>
              <w:t>2</w:t>
            </w:r>
          </w:p>
        </w:tc>
      </w:tr>
      <w:tr w:rsidR="00361573" w:rsidRPr="001C0029" w14:paraId="2DBDB964" w14:textId="77777777" w:rsidTr="00361573">
        <w:trPr>
          <w:trHeight w:val="288"/>
          <w:jc w:val="center"/>
        </w:trPr>
        <w:tc>
          <w:tcPr>
            <w:tcW w:w="1339" w:type="dxa"/>
            <w:vAlign w:val="center"/>
          </w:tcPr>
          <w:p w14:paraId="26516082" w14:textId="77777777" w:rsidR="00361573" w:rsidRPr="001C0029" w:rsidRDefault="00361573" w:rsidP="00361573">
            <w:pPr>
              <w:pStyle w:val="ExhibitText"/>
              <w:jc w:val="right"/>
              <w:rPr>
                <w:rFonts w:eastAsiaTheme="minorHAnsi"/>
              </w:rPr>
            </w:pPr>
            <w:r w:rsidRPr="001C0029">
              <w:rPr>
                <w:rFonts w:eastAsiaTheme="minorHAnsi"/>
              </w:rPr>
              <w:t>2018</w:t>
            </w:r>
          </w:p>
        </w:tc>
        <w:tc>
          <w:tcPr>
            <w:tcW w:w="1483" w:type="dxa"/>
            <w:vAlign w:val="center"/>
          </w:tcPr>
          <w:p w14:paraId="1AF0312C" w14:textId="77777777" w:rsidR="00361573" w:rsidRPr="001C0029" w:rsidRDefault="00361573" w:rsidP="00361573">
            <w:pPr>
              <w:pStyle w:val="ExhibitText"/>
              <w:ind w:right="288"/>
              <w:jc w:val="right"/>
              <w:rPr>
                <w:rFonts w:eastAsiaTheme="minorHAnsi"/>
              </w:rPr>
            </w:pPr>
            <w:r w:rsidRPr="001C0029">
              <w:rPr>
                <w:rFonts w:eastAsiaTheme="minorHAnsi"/>
              </w:rPr>
              <w:t>60</w:t>
            </w:r>
          </w:p>
        </w:tc>
        <w:tc>
          <w:tcPr>
            <w:tcW w:w="1328" w:type="dxa"/>
            <w:vAlign w:val="center"/>
          </w:tcPr>
          <w:p w14:paraId="59FD41E8" w14:textId="77777777" w:rsidR="00361573" w:rsidRPr="001C0029" w:rsidRDefault="00361573" w:rsidP="00361573">
            <w:pPr>
              <w:pStyle w:val="ExhibitText"/>
              <w:ind w:right="288"/>
              <w:jc w:val="right"/>
              <w:rPr>
                <w:rFonts w:eastAsiaTheme="minorHAnsi"/>
              </w:rPr>
            </w:pPr>
            <w:r w:rsidRPr="001C0029">
              <w:rPr>
                <w:rFonts w:eastAsiaTheme="minorHAnsi"/>
              </w:rPr>
              <w:t>3</w:t>
            </w:r>
          </w:p>
        </w:tc>
      </w:tr>
      <w:tr w:rsidR="00361573" w:rsidRPr="001C0029" w14:paraId="1E321D7E" w14:textId="77777777" w:rsidTr="00361573">
        <w:trPr>
          <w:trHeight w:val="288"/>
          <w:jc w:val="center"/>
        </w:trPr>
        <w:tc>
          <w:tcPr>
            <w:tcW w:w="1339" w:type="dxa"/>
            <w:vAlign w:val="center"/>
          </w:tcPr>
          <w:p w14:paraId="627DFA9B" w14:textId="77777777" w:rsidR="00361573" w:rsidRPr="001C0029" w:rsidRDefault="00361573" w:rsidP="00361573">
            <w:pPr>
              <w:pStyle w:val="ExhibitText"/>
              <w:jc w:val="right"/>
              <w:rPr>
                <w:rFonts w:eastAsiaTheme="minorHAnsi"/>
              </w:rPr>
            </w:pPr>
            <w:r w:rsidRPr="001C0029">
              <w:rPr>
                <w:rFonts w:eastAsiaTheme="minorHAnsi"/>
              </w:rPr>
              <w:t>2019</w:t>
            </w:r>
          </w:p>
        </w:tc>
        <w:tc>
          <w:tcPr>
            <w:tcW w:w="1483" w:type="dxa"/>
            <w:vAlign w:val="center"/>
          </w:tcPr>
          <w:p w14:paraId="1603FEE0" w14:textId="77777777" w:rsidR="00361573" w:rsidRPr="001C0029" w:rsidRDefault="00361573" w:rsidP="00361573">
            <w:pPr>
              <w:pStyle w:val="ExhibitText"/>
              <w:ind w:right="288"/>
              <w:jc w:val="right"/>
              <w:rPr>
                <w:rFonts w:eastAsiaTheme="minorHAnsi"/>
              </w:rPr>
            </w:pPr>
            <w:r w:rsidRPr="001C0029">
              <w:rPr>
                <w:rFonts w:eastAsiaTheme="minorHAnsi"/>
              </w:rPr>
              <w:t>60</w:t>
            </w:r>
          </w:p>
        </w:tc>
        <w:tc>
          <w:tcPr>
            <w:tcW w:w="1328" w:type="dxa"/>
            <w:vAlign w:val="center"/>
          </w:tcPr>
          <w:p w14:paraId="1AECCEA2" w14:textId="77777777" w:rsidR="00361573" w:rsidRPr="001C0029" w:rsidRDefault="00361573" w:rsidP="00361573">
            <w:pPr>
              <w:pStyle w:val="ExhibitText"/>
              <w:ind w:right="288"/>
              <w:jc w:val="right"/>
              <w:rPr>
                <w:rFonts w:eastAsiaTheme="minorHAnsi"/>
              </w:rPr>
            </w:pPr>
            <w:r w:rsidRPr="001C0029">
              <w:rPr>
                <w:rFonts w:eastAsiaTheme="minorHAnsi"/>
              </w:rPr>
              <w:t>6</w:t>
            </w:r>
          </w:p>
        </w:tc>
      </w:tr>
      <w:tr w:rsidR="00361573" w:rsidRPr="001C0029" w14:paraId="4D00523B" w14:textId="77777777" w:rsidTr="00361573">
        <w:trPr>
          <w:trHeight w:val="288"/>
          <w:jc w:val="center"/>
        </w:trPr>
        <w:tc>
          <w:tcPr>
            <w:tcW w:w="1339" w:type="dxa"/>
            <w:vAlign w:val="center"/>
          </w:tcPr>
          <w:p w14:paraId="03A22D50" w14:textId="77777777" w:rsidR="00361573" w:rsidRPr="001C0029" w:rsidRDefault="00361573" w:rsidP="00361573">
            <w:pPr>
              <w:pStyle w:val="ExhibitText"/>
              <w:jc w:val="right"/>
              <w:rPr>
                <w:rFonts w:eastAsiaTheme="minorHAnsi"/>
              </w:rPr>
            </w:pPr>
            <w:r w:rsidRPr="001C0029">
              <w:rPr>
                <w:rFonts w:eastAsiaTheme="minorHAnsi"/>
              </w:rPr>
              <w:t>2020</w:t>
            </w:r>
          </w:p>
        </w:tc>
        <w:tc>
          <w:tcPr>
            <w:tcW w:w="1483" w:type="dxa"/>
            <w:vAlign w:val="center"/>
          </w:tcPr>
          <w:p w14:paraId="7FB114EC" w14:textId="77777777" w:rsidR="00361573" w:rsidRPr="001C0029" w:rsidRDefault="00361573" w:rsidP="00361573">
            <w:pPr>
              <w:pStyle w:val="ExhibitText"/>
              <w:ind w:right="288"/>
              <w:jc w:val="right"/>
              <w:rPr>
                <w:rFonts w:eastAsiaTheme="minorHAnsi"/>
              </w:rPr>
            </w:pPr>
            <w:r w:rsidRPr="001C0029">
              <w:rPr>
                <w:rFonts w:eastAsiaTheme="minorHAnsi"/>
              </w:rPr>
              <w:t xml:space="preserve">50 </w:t>
            </w:r>
          </w:p>
        </w:tc>
        <w:tc>
          <w:tcPr>
            <w:tcW w:w="1328" w:type="dxa"/>
            <w:vAlign w:val="center"/>
          </w:tcPr>
          <w:p w14:paraId="15A4CBC2" w14:textId="77777777" w:rsidR="00361573" w:rsidRPr="001C0029" w:rsidRDefault="00361573" w:rsidP="00361573">
            <w:pPr>
              <w:pStyle w:val="ExhibitText"/>
              <w:ind w:right="288"/>
              <w:jc w:val="right"/>
              <w:rPr>
                <w:rFonts w:eastAsiaTheme="minorHAnsi"/>
              </w:rPr>
            </w:pPr>
            <w:r w:rsidRPr="001C0029">
              <w:rPr>
                <w:rFonts w:eastAsiaTheme="minorHAnsi"/>
              </w:rPr>
              <w:t>9</w:t>
            </w:r>
          </w:p>
        </w:tc>
      </w:tr>
      <w:tr w:rsidR="00361573" w:rsidRPr="001C0029" w14:paraId="57DB19DF" w14:textId="77777777" w:rsidTr="00361573">
        <w:trPr>
          <w:trHeight w:val="288"/>
          <w:jc w:val="center"/>
        </w:trPr>
        <w:tc>
          <w:tcPr>
            <w:tcW w:w="1339" w:type="dxa"/>
            <w:vAlign w:val="center"/>
          </w:tcPr>
          <w:p w14:paraId="205F7C06" w14:textId="77777777" w:rsidR="00361573" w:rsidRPr="001C0029" w:rsidRDefault="00361573" w:rsidP="00361573">
            <w:pPr>
              <w:pStyle w:val="ExhibitText"/>
              <w:jc w:val="right"/>
              <w:rPr>
                <w:rFonts w:eastAsiaTheme="minorHAnsi"/>
              </w:rPr>
            </w:pPr>
            <w:r w:rsidRPr="001C0029">
              <w:rPr>
                <w:rFonts w:eastAsiaTheme="minorHAnsi"/>
              </w:rPr>
              <w:t>2021</w:t>
            </w:r>
          </w:p>
        </w:tc>
        <w:tc>
          <w:tcPr>
            <w:tcW w:w="1483" w:type="dxa"/>
            <w:vAlign w:val="center"/>
          </w:tcPr>
          <w:p w14:paraId="0A25BCD0" w14:textId="77777777" w:rsidR="00361573" w:rsidRPr="001C0029" w:rsidRDefault="00361573" w:rsidP="00361573">
            <w:pPr>
              <w:pStyle w:val="ExhibitText"/>
              <w:ind w:right="288"/>
              <w:jc w:val="right"/>
              <w:rPr>
                <w:rFonts w:eastAsiaTheme="minorHAnsi"/>
              </w:rPr>
            </w:pPr>
            <w:r w:rsidRPr="001C0029">
              <w:rPr>
                <w:rFonts w:eastAsiaTheme="minorHAnsi"/>
              </w:rPr>
              <w:t>50</w:t>
            </w:r>
          </w:p>
        </w:tc>
        <w:tc>
          <w:tcPr>
            <w:tcW w:w="1328" w:type="dxa"/>
            <w:vAlign w:val="center"/>
          </w:tcPr>
          <w:p w14:paraId="140675FF" w14:textId="77777777" w:rsidR="00361573" w:rsidRPr="001C0029" w:rsidRDefault="00361573" w:rsidP="00361573">
            <w:pPr>
              <w:pStyle w:val="ExhibitText"/>
              <w:ind w:right="288"/>
              <w:jc w:val="right"/>
              <w:rPr>
                <w:rFonts w:eastAsiaTheme="minorHAnsi"/>
              </w:rPr>
            </w:pPr>
            <w:r w:rsidRPr="001C0029">
              <w:rPr>
                <w:rFonts w:eastAsiaTheme="minorHAnsi"/>
              </w:rPr>
              <w:t>12</w:t>
            </w:r>
          </w:p>
        </w:tc>
      </w:tr>
      <w:tr w:rsidR="00361573" w:rsidRPr="001C0029" w14:paraId="070D23B8" w14:textId="77777777" w:rsidTr="00361573">
        <w:trPr>
          <w:trHeight w:val="288"/>
          <w:jc w:val="center"/>
        </w:trPr>
        <w:tc>
          <w:tcPr>
            <w:tcW w:w="1339" w:type="dxa"/>
            <w:vAlign w:val="center"/>
          </w:tcPr>
          <w:p w14:paraId="0B7C73A1" w14:textId="77777777" w:rsidR="00361573" w:rsidRPr="001C0029" w:rsidRDefault="00361573" w:rsidP="00361573">
            <w:pPr>
              <w:pStyle w:val="ExhibitText"/>
              <w:jc w:val="right"/>
              <w:rPr>
                <w:rFonts w:eastAsiaTheme="minorHAnsi"/>
              </w:rPr>
            </w:pPr>
            <w:r w:rsidRPr="001C0029">
              <w:rPr>
                <w:rFonts w:eastAsiaTheme="minorHAnsi"/>
              </w:rPr>
              <w:t>2022</w:t>
            </w:r>
          </w:p>
        </w:tc>
        <w:tc>
          <w:tcPr>
            <w:tcW w:w="1483" w:type="dxa"/>
            <w:vAlign w:val="center"/>
          </w:tcPr>
          <w:p w14:paraId="406CA561" w14:textId="77777777" w:rsidR="00361573" w:rsidRPr="001C0029" w:rsidRDefault="00361573" w:rsidP="00361573">
            <w:pPr>
              <w:pStyle w:val="ExhibitText"/>
              <w:ind w:right="288"/>
              <w:jc w:val="right"/>
              <w:rPr>
                <w:rFonts w:eastAsiaTheme="minorHAnsi"/>
              </w:rPr>
            </w:pPr>
            <w:r w:rsidRPr="001C0029">
              <w:rPr>
                <w:rFonts w:eastAsiaTheme="minorHAnsi"/>
              </w:rPr>
              <w:t>60</w:t>
            </w:r>
          </w:p>
        </w:tc>
        <w:tc>
          <w:tcPr>
            <w:tcW w:w="1328" w:type="dxa"/>
            <w:vAlign w:val="center"/>
          </w:tcPr>
          <w:p w14:paraId="6B07129B" w14:textId="77777777" w:rsidR="00361573" w:rsidRPr="001C0029" w:rsidRDefault="00361573" w:rsidP="00361573">
            <w:pPr>
              <w:pStyle w:val="ExhibitText"/>
              <w:ind w:right="288"/>
              <w:jc w:val="right"/>
              <w:rPr>
                <w:rFonts w:eastAsiaTheme="minorHAnsi"/>
              </w:rPr>
            </w:pPr>
            <w:r w:rsidRPr="001C0029">
              <w:rPr>
                <w:rFonts w:eastAsiaTheme="minorHAnsi"/>
              </w:rPr>
              <w:t>16</w:t>
            </w:r>
          </w:p>
        </w:tc>
      </w:tr>
      <w:tr w:rsidR="00361573" w:rsidRPr="001C0029" w14:paraId="37E84306" w14:textId="77777777" w:rsidTr="00361573">
        <w:trPr>
          <w:trHeight w:val="288"/>
          <w:jc w:val="center"/>
        </w:trPr>
        <w:tc>
          <w:tcPr>
            <w:tcW w:w="1339" w:type="dxa"/>
            <w:vAlign w:val="center"/>
          </w:tcPr>
          <w:p w14:paraId="1E20038A" w14:textId="77777777" w:rsidR="00361573" w:rsidRPr="001C0029" w:rsidRDefault="00361573" w:rsidP="00361573">
            <w:pPr>
              <w:pStyle w:val="ExhibitText"/>
              <w:jc w:val="right"/>
              <w:rPr>
                <w:rFonts w:eastAsiaTheme="minorHAnsi"/>
              </w:rPr>
            </w:pPr>
            <w:r w:rsidRPr="001C0029">
              <w:rPr>
                <w:rFonts w:eastAsiaTheme="minorHAnsi"/>
              </w:rPr>
              <w:t>2023</w:t>
            </w:r>
          </w:p>
        </w:tc>
        <w:tc>
          <w:tcPr>
            <w:tcW w:w="1483" w:type="dxa"/>
            <w:vAlign w:val="center"/>
          </w:tcPr>
          <w:p w14:paraId="4D3499BA" w14:textId="77777777" w:rsidR="00361573" w:rsidRPr="001C0029" w:rsidRDefault="00361573" w:rsidP="00361573">
            <w:pPr>
              <w:pStyle w:val="ExhibitText"/>
              <w:ind w:right="288"/>
              <w:jc w:val="right"/>
              <w:rPr>
                <w:rFonts w:eastAsiaTheme="minorHAnsi"/>
              </w:rPr>
            </w:pPr>
            <w:r w:rsidRPr="001C0029">
              <w:rPr>
                <w:rFonts w:eastAsiaTheme="minorHAnsi"/>
              </w:rPr>
              <w:t>50</w:t>
            </w:r>
          </w:p>
        </w:tc>
        <w:tc>
          <w:tcPr>
            <w:tcW w:w="1328" w:type="dxa"/>
            <w:vAlign w:val="center"/>
          </w:tcPr>
          <w:p w14:paraId="1F093F09" w14:textId="77777777" w:rsidR="00361573" w:rsidRPr="001C0029" w:rsidRDefault="00361573" w:rsidP="00361573">
            <w:pPr>
              <w:pStyle w:val="ExhibitText"/>
              <w:ind w:right="288"/>
              <w:jc w:val="right"/>
              <w:rPr>
                <w:rFonts w:eastAsiaTheme="minorHAnsi"/>
              </w:rPr>
            </w:pPr>
            <w:r w:rsidRPr="001C0029">
              <w:rPr>
                <w:rFonts w:eastAsiaTheme="minorHAnsi"/>
              </w:rPr>
              <w:t>19</w:t>
            </w:r>
          </w:p>
        </w:tc>
      </w:tr>
      <w:tr w:rsidR="00361573" w:rsidRPr="001C0029" w14:paraId="6FFC3088" w14:textId="77777777" w:rsidTr="00361573">
        <w:trPr>
          <w:trHeight w:val="288"/>
          <w:jc w:val="center"/>
        </w:trPr>
        <w:tc>
          <w:tcPr>
            <w:tcW w:w="1339" w:type="dxa"/>
            <w:tcBorders>
              <w:bottom w:val="single" w:sz="4" w:space="0" w:color="auto"/>
            </w:tcBorders>
            <w:vAlign w:val="center"/>
          </w:tcPr>
          <w:p w14:paraId="64601BF6" w14:textId="77777777" w:rsidR="00361573" w:rsidRPr="001C0029" w:rsidRDefault="00361573" w:rsidP="00361573">
            <w:pPr>
              <w:pStyle w:val="ExhibitText"/>
              <w:jc w:val="right"/>
              <w:rPr>
                <w:rFonts w:eastAsiaTheme="minorHAnsi"/>
              </w:rPr>
            </w:pPr>
            <w:r w:rsidRPr="001C0029">
              <w:rPr>
                <w:rFonts w:eastAsiaTheme="minorHAnsi"/>
              </w:rPr>
              <w:t>2024</w:t>
            </w:r>
          </w:p>
        </w:tc>
        <w:tc>
          <w:tcPr>
            <w:tcW w:w="1483" w:type="dxa"/>
            <w:tcBorders>
              <w:bottom w:val="single" w:sz="4" w:space="0" w:color="auto"/>
            </w:tcBorders>
            <w:vAlign w:val="center"/>
          </w:tcPr>
          <w:p w14:paraId="561DA3F4" w14:textId="77777777" w:rsidR="00361573" w:rsidRPr="001C0029" w:rsidRDefault="00361573" w:rsidP="00361573">
            <w:pPr>
              <w:pStyle w:val="ExhibitText"/>
              <w:ind w:right="288"/>
              <w:jc w:val="right"/>
              <w:rPr>
                <w:rFonts w:eastAsiaTheme="minorHAnsi"/>
              </w:rPr>
            </w:pPr>
            <w:r w:rsidRPr="001C0029">
              <w:rPr>
                <w:rFonts w:eastAsiaTheme="minorHAnsi"/>
              </w:rPr>
              <w:t>50</w:t>
            </w:r>
          </w:p>
        </w:tc>
        <w:tc>
          <w:tcPr>
            <w:tcW w:w="1328" w:type="dxa"/>
            <w:tcBorders>
              <w:bottom w:val="single" w:sz="4" w:space="0" w:color="auto"/>
            </w:tcBorders>
            <w:vAlign w:val="center"/>
          </w:tcPr>
          <w:p w14:paraId="6CD54414" w14:textId="77777777" w:rsidR="00361573" w:rsidRPr="001C0029" w:rsidRDefault="00361573" w:rsidP="00361573">
            <w:pPr>
              <w:pStyle w:val="ExhibitText"/>
              <w:ind w:right="288"/>
              <w:jc w:val="right"/>
              <w:rPr>
                <w:rFonts w:eastAsiaTheme="minorHAnsi"/>
              </w:rPr>
            </w:pPr>
            <w:r w:rsidRPr="001C0029">
              <w:rPr>
                <w:rFonts w:eastAsiaTheme="minorHAnsi"/>
              </w:rPr>
              <w:t>22</w:t>
            </w:r>
          </w:p>
        </w:tc>
      </w:tr>
      <w:tr w:rsidR="00361573" w:rsidRPr="001C0029" w14:paraId="61B2D031" w14:textId="77777777" w:rsidTr="00361573">
        <w:trPr>
          <w:trHeight w:val="288"/>
          <w:jc w:val="center"/>
        </w:trPr>
        <w:tc>
          <w:tcPr>
            <w:tcW w:w="1339" w:type="dxa"/>
            <w:tcBorders>
              <w:top w:val="single" w:sz="4" w:space="0" w:color="auto"/>
              <w:bottom w:val="single" w:sz="4" w:space="0" w:color="auto"/>
            </w:tcBorders>
            <w:vAlign w:val="center"/>
          </w:tcPr>
          <w:p w14:paraId="07D5DFE5" w14:textId="77777777" w:rsidR="00361573" w:rsidRPr="001C0029" w:rsidRDefault="00361573" w:rsidP="00361573">
            <w:pPr>
              <w:pStyle w:val="ExhibitText"/>
              <w:jc w:val="right"/>
              <w:rPr>
                <w:rFonts w:eastAsiaTheme="minorHAnsi"/>
              </w:rPr>
            </w:pPr>
            <w:r w:rsidRPr="001C0029">
              <w:rPr>
                <w:rFonts w:eastAsiaTheme="minorHAnsi"/>
              </w:rPr>
              <w:t>Depreciation</w:t>
            </w:r>
          </w:p>
        </w:tc>
        <w:tc>
          <w:tcPr>
            <w:tcW w:w="1483" w:type="dxa"/>
            <w:tcBorders>
              <w:top w:val="single" w:sz="4" w:space="0" w:color="auto"/>
              <w:bottom w:val="single" w:sz="4" w:space="0" w:color="auto"/>
            </w:tcBorders>
            <w:vAlign w:val="center"/>
          </w:tcPr>
          <w:p w14:paraId="4506C6DA" w14:textId="77777777" w:rsidR="00361573" w:rsidRPr="001C0029" w:rsidRDefault="00361573" w:rsidP="00361573">
            <w:pPr>
              <w:pStyle w:val="ExhibitText"/>
              <w:ind w:right="144"/>
              <w:jc w:val="right"/>
              <w:rPr>
                <w:rFonts w:eastAsiaTheme="minorHAnsi"/>
              </w:rPr>
            </w:pPr>
            <w:r w:rsidRPr="001C0029">
              <w:rPr>
                <w:rFonts w:eastAsiaTheme="minorHAnsi"/>
              </w:rPr>
              <w:t>10%</w:t>
            </w:r>
          </w:p>
        </w:tc>
        <w:tc>
          <w:tcPr>
            <w:tcW w:w="1328" w:type="dxa"/>
            <w:tcBorders>
              <w:top w:val="single" w:sz="4" w:space="0" w:color="auto"/>
              <w:bottom w:val="single" w:sz="4" w:space="0" w:color="auto"/>
            </w:tcBorders>
            <w:vAlign w:val="center"/>
          </w:tcPr>
          <w:p w14:paraId="26CF8939" w14:textId="77777777" w:rsidR="00361573" w:rsidRPr="001C0029" w:rsidRDefault="00361573" w:rsidP="00361573">
            <w:pPr>
              <w:pStyle w:val="ExhibitText"/>
              <w:jc w:val="right"/>
              <w:rPr>
                <w:rFonts w:eastAsiaTheme="minorHAnsi"/>
              </w:rPr>
            </w:pPr>
          </w:p>
        </w:tc>
      </w:tr>
    </w:tbl>
    <w:p w14:paraId="23E9C58A" w14:textId="77777777" w:rsidR="007E54A7" w:rsidRPr="001C0029" w:rsidRDefault="007E54A7" w:rsidP="007E54A7">
      <w:pPr>
        <w:pStyle w:val="BodyTextMain"/>
        <w:rPr>
          <w:rFonts w:eastAsiaTheme="majorEastAsia"/>
        </w:rPr>
      </w:pPr>
    </w:p>
    <w:p w14:paraId="67CF0CEB" w14:textId="46094C7F" w:rsidR="002E54B0" w:rsidRPr="001C0029" w:rsidRDefault="002E54B0" w:rsidP="002E54B0">
      <w:pPr>
        <w:pStyle w:val="Footnote"/>
      </w:pPr>
      <w:r w:rsidRPr="001C0029">
        <w:t xml:space="preserve">Source: Created by </w:t>
      </w:r>
      <w:r w:rsidR="00361573" w:rsidRPr="001C0029">
        <w:t xml:space="preserve">the case </w:t>
      </w:r>
      <w:r w:rsidRPr="001C0029">
        <w:t>authors.</w:t>
      </w:r>
    </w:p>
    <w:p w14:paraId="5A4BFB86" w14:textId="77777777" w:rsidR="00F60786" w:rsidRPr="001C0029" w:rsidRDefault="00F60786" w:rsidP="007E54A7">
      <w:pPr>
        <w:pStyle w:val="BodyTextMain"/>
      </w:pPr>
    </w:p>
    <w:sectPr w:rsidR="00F60786" w:rsidRPr="001C0029"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770D9F" w16cid:durableId="1FCF13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50927" w14:textId="77777777" w:rsidR="00C97276" w:rsidRDefault="00C97276" w:rsidP="00D75295">
      <w:r>
        <w:separator/>
      </w:r>
    </w:p>
  </w:endnote>
  <w:endnote w:type="continuationSeparator" w:id="0">
    <w:p w14:paraId="0478D997" w14:textId="77777777" w:rsidR="00C97276" w:rsidRDefault="00C9727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BD7C8" w14:textId="77777777" w:rsidR="00C97276" w:rsidRDefault="00C97276" w:rsidP="00D75295">
      <w:r>
        <w:separator/>
      </w:r>
    </w:p>
  </w:footnote>
  <w:footnote w:type="continuationSeparator" w:id="0">
    <w:p w14:paraId="07C044D9" w14:textId="77777777" w:rsidR="00C97276" w:rsidRDefault="00C97276" w:rsidP="00D75295">
      <w:r>
        <w:continuationSeparator/>
      </w:r>
    </w:p>
  </w:footnote>
  <w:footnote w:id="1">
    <w:p w14:paraId="0E2E3FEE" w14:textId="422AC8E5" w:rsidR="00B24E9B" w:rsidRPr="001C0029" w:rsidRDefault="00B24E9B" w:rsidP="00815503">
      <w:pPr>
        <w:pStyle w:val="Footnote"/>
      </w:pPr>
      <w:r w:rsidRPr="001C0029">
        <w:rPr>
          <w:rStyle w:val="FootnoteReference"/>
          <w:b w:val="0"/>
          <w:color w:val="auto"/>
        </w:rPr>
        <w:footnoteRef/>
      </w:r>
      <w:r w:rsidRPr="001C0029">
        <w:t xml:space="preserve"> CVBA designated an organization as a co-operative limited liability company in Belgium.</w:t>
      </w:r>
    </w:p>
  </w:footnote>
  <w:footnote w:id="2">
    <w:p w14:paraId="14016C38" w14:textId="7EAFFB9F" w:rsidR="00B24E9B" w:rsidRPr="008F4091" w:rsidRDefault="00B24E9B" w:rsidP="001F165C">
      <w:pPr>
        <w:pStyle w:val="Footnote"/>
        <w:jc w:val="both"/>
        <w:rPr>
          <w:spacing w:val="-4"/>
        </w:rPr>
      </w:pPr>
      <w:r w:rsidRPr="008F4091">
        <w:rPr>
          <w:rStyle w:val="FootnoteReference"/>
          <w:b w:val="0"/>
          <w:color w:val="auto"/>
          <w:spacing w:val="-4"/>
        </w:rPr>
        <w:footnoteRef/>
      </w:r>
      <w:r w:rsidRPr="008F4091">
        <w:rPr>
          <w:spacing w:val="-4"/>
        </w:rPr>
        <w:t xml:space="preserve"> </w:t>
      </w:r>
      <w:r w:rsidR="00120CF2" w:rsidRPr="008F4091">
        <w:rPr>
          <w:spacing w:val="-4"/>
        </w:rPr>
        <w:t xml:space="preserve">“Energy Resources,” Confused </w:t>
      </w:r>
      <w:proofErr w:type="gramStart"/>
      <w:r w:rsidR="00120CF2" w:rsidRPr="008F4091">
        <w:rPr>
          <w:spacing w:val="-4"/>
        </w:rPr>
        <w:t>About</w:t>
      </w:r>
      <w:proofErr w:type="gramEnd"/>
      <w:r w:rsidR="00120CF2" w:rsidRPr="008F4091">
        <w:rPr>
          <w:spacing w:val="-4"/>
        </w:rPr>
        <w:t xml:space="preserve"> Energy, accessed August 15, 2018, www.confusedaboutenergy.co.uk/index.php/energy-resources; “Energy Consumption in Belgium,” World Data, accessed August 15, 2018, www.worlddata.info/europe/belgium/energy-consumption.php. </w:t>
      </w:r>
      <w:r w:rsidRPr="008F4091">
        <w:rPr>
          <w:spacing w:val="-4"/>
        </w:rPr>
        <w:t>A watt (W) was a unit of power; a 1W device running for one hour consumed 1 watt per hour (</w:t>
      </w:r>
      <w:proofErr w:type="spellStart"/>
      <w:proofErr w:type="gramStart"/>
      <w:r w:rsidRPr="008F4091">
        <w:rPr>
          <w:spacing w:val="-4"/>
        </w:rPr>
        <w:t>Wh</w:t>
      </w:r>
      <w:proofErr w:type="spellEnd"/>
      <w:proofErr w:type="gramEnd"/>
      <w:r w:rsidRPr="008F4091">
        <w:rPr>
          <w:spacing w:val="-4"/>
        </w:rPr>
        <w:t xml:space="preserve">). A modern LED lightbulb running for one hour consumed approximately 5 </w:t>
      </w:r>
      <w:proofErr w:type="spellStart"/>
      <w:proofErr w:type="gramStart"/>
      <w:r w:rsidRPr="008F4091">
        <w:rPr>
          <w:spacing w:val="-4"/>
        </w:rPr>
        <w:t>Wh</w:t>
      </w:r>
      <w:proofErr w:type="spellEnd"/>
      <w:proofErr w:type="gramEnd"/>
      <w:r w:rsidRPr="008F4091">
        <w:rPr>
          <w:spacing w:val="-4"/>
        </w:rPr>
        <w:t xml:space="preserve">; a high-speed electrical train consumed approximately 25,000 </w:t>
      </w:r>
      <w:proofErr w:type="spellStart"/>
      <w:r w:rsidRPr="008F4091">
        <w:rPr>
          <w:spacing w:val="-4"/>
        </w:rPr>
        <w:t>Wh</w:t>
      </w:r>
      <w:proofErr w:type="spellEnd"/>
      <w:r w:rsidRPr="008F4091">
        <w:rPr>
          <w:spacing w:val="-4"/>
        </w:rPr>
        <w:t xml:space="preserve"> or 25 kilowatt hours (kWh) per kilometre. In 2015, per capita consumption of electricity in Belgium was 7,207 kWh for a total consumption in Belgium of 81.96 billion kWh, or 8.196 terawatt </w:t>
      </w:r>
      <w:r w:rsidR="00374122" w:rsidRPr="008F4091">
        <w:rPr>
          <w:spacing w:val="-4"/>
        </w:rPr>
        <w:t xml:space="preserve">hours (TWh). </w:t>
      </w:r>
    </w:p>
  </w:footnote>
  <w:footnote w:id="3">
    <w:p w14:paraId="4C33D2BC" w14:textId="5DB241A7" w:rsidR="00B24E9B" w:rsidRPr="001C0029" w:rsidRDefault="00B24E9B" w:rsidP="001F165C">
      <w:pPr>
        <w:pStyle w:val="Footnote"/>
        <w:jc w:val="both"/>
      </w:pPr>
      <w:r w:rsidRPr="008F4091">
        <w:rPr>
          <w:rStyle w:val="FootnoteReference"/>
          <w:b w:val="0"/>
          <w:color w:val="auto"/>
        </w:rPr>
        <w:footnoteRef/>
      </w:r>
      <w:r w:rsidRPr="001C0029">
        <w:t xml:space="preserve"> </w:t>
      </w:r>
      <w:r w:rsidR="00EE661C" w:rsidRPr="001C0029">
        <w:t>€</w:t>
      </w:r>
      <w:r w:rsidR="00EE661C" w:rsidRPr="001C0029">
        <w:rPr>
          <w:rFonts w:eastAsiaTheme="minorEastAsia"/>
          <w:spacing w:val="-2"/>
          <w:kern w:val="15"/>
          <w:sz w:val="18"/>
          <w:szCs w:val="18"/>
        </w:rPr>
        <w:t xml:space="preserve"> = EUR = euro; all currency amounts are in </w:t>
      </w:r>
      <w:r w:rsidR="00EE661C" w:rsidRPr="001C0029">
        <w:t>€</w:t>
      </w:r>
      <w:r w:rsidR="00523346" w:rsidRPr="001C0029">
        <w:t>;</w:t>
      </w:r>
      <w:r w:rsidR="00EE661C" w:rsidRPr="001C0029">
        <w:rPr>
          <w:rFonts w:eastAsiaTheme="minorEastAsia"/>
          <w:spacing w:val="-2"/>
          <w:kern w:val="15"/>
          <w:sz w:val="18"/>
          <w:szCs w:val="18"/>
        </w:rPr>
        <w:t xml:space="preserve"> </w:t>
      </w:r>
      <w:r w:rsidR="00523346" w:rsidRPr="001C0029">
        <w:t>the a</w:t>
      </w:r>
      <w:r w:rsidR="00816DF7" w:rsidRPr="001C0029">
        <w:t xml:space="preserve">pproximate exchange rate </w:t>
      </w:r>
      <w:r w:rsidR="00523346" w:rsidRPr="001C0029">
        <w:t>at the end of</w:t>
      </w:r>
      <w:r w:rsidR="00816DF7" w:rsidRPr="001C0029">
        <w:t xml:space="preserve"> 2014 was </w:t>
      </w:r>
      <w:r w:rsidRPr="001C0029">
        <w:t>€</w:t>
      </w:r>
      <w:r w:rsidR="005871A7" w:rsidRPr="001C0029">
        <w:t xml:space="preserve">1 = </w:t>
      </w:r>
      <w:r w:rsidR="00816DF7" w:rsidRPr="001C0029">
        <w:t>US$1.24861</w:t>
      </w:r>
      <w:r w:rsidR="00120CF2">
        <w:t>.</w:t>
      </w:r>
      <w:r w:rsidR="005871A7" w:rsidRPr="001C0029">
        <w:t xml:space="preserve"> </w:t>
      </w:r>
    </w:p>
  </w:footnote>
  <w:footnote w:id="4">
    <w:p w14:paraId="215E0FBE" w14:textId="02F25E77" w:rsidR="00B24E9B" w:rsidRPr="001C0029" w:rsidRDefault="00B24E9B" w:rsidP="001F165C">
      <w:pPr>
        <w:pStyle w:val="Footnote"/>
        <w:jc w:val="both"/>
      </w:pPr>
      <w:r w:rsidRPr="008F4091">
        <w:rPr>
          <w:rStyle w:val="FootnoteReference"/>
          <w:b w:val="0"/>
          <w:color w:val="auto"/>
        </w:rPr>
        <w:footnoteRef/>
      </w:r>
      <w:r w:rsidR="001F165C" w:rsidRPr="001C0029">
        <w:t xml:space="preserve"> </w:t>
      </w:r>
      <w:r w:rsidR="00780C72" w:rsidRPr="001C0029">
        <w:t>The figures and e</w:t>
      </w:r>
      <w:r w:rsidRPr="001C0029">
        <w:t xml:space="preserve">xhibits are based on </w:t>
      </w:r>
      <w:proofErr w:type="spellStart"/>
      <w:r w:rsidRPr="001C0029">
        <w:t>Eandis’s</w:t>
      </w:r>
      <w:proofErr w:type="spellEnd"/>
      <w:r w:rsidRPr="001C0029">
        <w:t xml:space="preserve"> performance, but </w:t>
      </w:r>
      <w:r w:rsidR="00374122" w:rsidRPr="001C0029">
        <w:t xml:space="preserve">they </w:t>
      </w:r>
      <w:r w:rsidRPr="001C0029">
        <w:t>have been modified for illustration.</w:t>
      </w:r>
    </w:p>
  </w:footnote>
  <w:footnote w:id="5">
    <w:p w14:paraId="0939EC09" w14:textId="22F513AE" w:rsidR="00816DF7" w:rsidRPr="001C0029" w:rsidRDefault="00816DF7" w:rsidP="00D953F7">
      <w:pPr>
        <w:pStyle w:val="Footnote"/>
      </w:pPr>
      <w:r w:rsidRPr="001C0029">
        <w:rPr>
          <w:rStyle w:val="FootnoteReference"/>
          <w:b w:val="0"/>
          <w:color w:val="auto"/>
        </w:rPr>
        <w:footnoteRef/>
      </w:r>
      <w:r w:rsidRPr="001C0029">
        <w:t xml:space="preserve"> Regulated asset base, also known as rate base, </w:t>
      </w:r>
      <w:r w:rsidR="00D953F7" w:rsidRPr="001C0029">
        <w:t>was</w:t>
      </w:r>
      <w:r w:rsidRPr="001C0029">
        <w:t xml:space="preserve"> the value of the</w:t>
      </w:r>
      <w:r w:rsidR="007D492F" w:rsidRPr="001C0029">
        <w:t xml:space="preserve"> investment that the network operator</w:t>
      </w:r>
      <w:r w:rsidR="00D953F7" w:rsidRPr="001C0029">
        <w:t xml:space="preserve"> was</w:t>
      </w:r>
      <w:r w:rsidR="007D492F" w:rsidRPr="001C0029">
        <w:t xml:space="preserve"> allowed to earn </w:t>
      </w:r>
      <w:r w:rsidR="001874A7">
        <w:t xml:space="preserve">at </w:t>
      </w:r>
      <w:r w:rsidR="007D492F" w:rsidRPr="001C0029">
        <w:t>a specific rate of return</w:t>
      </w:r>
      <w:r w:rsidR="001874A7">
        <w:t>,</w:t>
      </w:r>
      <w:r w:rsidR="007D492F" w:rsidRPr="001C0029">
        <w:t xml:space="preserve"> in accordance with rules set by a regulatory agency.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49DC140" w:rsidR="00B24E9B" w:rsidRPr="00C92CC4" w:rsidRDefault="00B24E9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30295">
      <w:rPr>
        <w:rFonts w:ascii="Arial" w:hAnsi="Arial"/>
        <w:b/>
        <w:noProof/>
      </w:rPr>
      <w:t>6</w:t>
    </w:r>
    <w:r>
      <w:rPr>
        <w:rFonts w:ascii="Arial" w:hAnsi="Arial"/>
        <w:b/>
      </w:rPr>
      <w:fldChar w:fldCharType="end"/>
    </w:r>
    <w:r>
      <w:rPr>
        <w:rFonts w:ascii="Arial" w:hAnsi="Arial"/>
        <w:b/>
      </w:rPr>
      <w:tab/>
    </w:r>
    <w:r w:rsidR="000D679E">
      <w:rPr>
        <w:rFonts w:ascii="Arial" w:hAnsi="Arial"/>
        <w:b/>
      </w:rPr>
      <w:t>9B19N003</w:t>
    </w:r>
  </w:p>
  <w:p w14:paraId="2B53C0A0" w14:textId="77777777" w:rsidR="00B24E9B" w:rsidRDefault="00B24E9B" w:rsidP="00D13667">
    <w:pPr>
      <w:pStyle w:val="Header"/>
      <w:tabs>
        <w:tab w:val="clear" w:pos="4680"/>
      </w:tabs>
      <w:rPr>
        <w:sz w:val="18"/>
        <w:szCs w:val="18"/>
      </w:rPr>
    </w:pPr>
  </w:p>
  <w:p w14:paraId="47119730" w14:textId="77777777" w:rsidR="00B24E9B" w:rsidRPr="00C92CC4" w:rsidRDefault="00B24E9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C4ACD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B0D7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6AF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CB832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48C1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9625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E04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4CC8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1C63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E801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AD3B2E"/>
    <w:multiLevelType w:val="hybridMultilevel"/>
    <w:tmpl w:val="0DC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57F"/>
    <w:multiLevelType w:val="hybridMultilevel"/>
    <w:tmpl w:val="E9D8A3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BE5799"/>
    <w:multiLevelType w:val="hybridMultilevel"/>
    <w:tmpl w:val="FEBC1D0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A32574"/>
    <w:multiLevelType w:val="hybridMultilevel"/>
    <w:tmpl w:val="F43E7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C078A"/>
    <w:multiLevelType w:val="hybridMultilevel"/>
    <w:tmpl w:val="C38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427D4D"/>
    <w:multiLevelType w:val="hybridMultilevel"/>
    <w:tmpl w:val="6974222C"/>
    <w:lvl w:ilvl="0" w:tplc="6074AAE0">
      <w:start w:val="1"/>
      <w:numFmt w:val="upp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72290"/>
    <w:multiLevelType w:val="hybridMultilevel"/>
    <w:tmpl w:val="F6107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4"/>
  </w:num>
  <w:num w:numId="4">
    <w:abstractNumId w:val="15"/>
  </w:num>
  <w:num w:numId="5">
    <w:abstractNumId w:val="28"/>
  </w:num>
  <w:num w:numId="6">
    <w:abstractNumId w:val="32"/>
  </w:num>
  <w:num w:numId="7">
    <w:abstractNumId w:val="25"/>
  </w:num>
  <w:num w:numId="8">
    <w:abstractNumId w:val="33"/>
  </w:num>
  <w:num w:numId="9">
    <w:abstractNumId w:val="12"/>
  </w:num>
  <w:num w:numId="10">
    <w:abstractNumId w:val="20"/>
  </w:num>
  <w:num w:numId="11">
    <w:abstractNumId w:val="13"/>
  </w:num>
  <w:num w:numId="12">
    <w:abstractNumId w:val="39"/>
  </w:num>
  <w:num w:numId="13">
    <w:abstractNumId w:val="17"/>
  </w:num>
  <w:num w:numId="14">
    <w:abstractNumId w:val="31"/>
  </w:num>
  <w:num w:numId="15">
    <w:abstractNumId w:val="40"/>
  </w:num>
  <w:num w:numId="16">
    <w:abstractNumId w:val="19"/>
  </w:num>
  <w:num w:numId="17">
    <w:abstractNumId w:val="27"/>
  </w:num>
  <w:num w:numId="18">
    <w:abstractNumId w:val="18"/>
  </w:num>
  <w:num w:numId="19">
    <w:abstractNumId w:val="22"/>
  </w:num>
  <w:num w:numId="20">
    <w:abstractNumId w:val="38"/>
  </w:num>
  <w:num w:numId="21">
    <w:abstractNumId w:val="29"/>
  </w:num>
  <w:num w:numId="22">
    <w:abstractNumId w:val="30"/>
  </w:num>
  <w:num w:numId="23">
    <w:abstractNumId w:val="10"/>
  </w:num>
  <w:num w:numId="24">
    <w:abstractNumId w:val="14"/>
  </w:num>
  <w:num w:numId="25">
    <w:abstractNumId w:val="43"/>
  </w:num>
  <w:num w:numId="26">
    <w:abstractNumId w:val="45"/>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6"/>
  </w:num>
  <w:num w:numId="40">
    <w:abstractNumId w:val="23"/>
  </w:num>
  <w:num w:numId="41">
    <w:abstractNumId w:val="42"/>
  </w:num>
  <w:num w:numId="42">
    <w:abstractNumId w:val="44"/>
  </w:num>
  <w:num w:numId="43">
    <w:abstractNumId w:val="16"/>
  </w:num>
  <w:num w:numId="44">
    <w:abstractNumId w:val="37"/>
  </w:num>
  <w:num w:numId="45">
    <w:abstractNumId w:val="41"/>
  </w:num>
  <w:num w:numId="4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409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GB"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D3E"/>
    <w:rsid w:val="00016759"/>
    <w:rsid w:val="000216CE"/>
    <w:rsid w:val="00024ED4"/>
    <w:rsid w:val="00025DC7"/>
    <w:rsid w:val="00035F09"/>
    <w:rsid w:val="00044ECC"/>
    <w:rsid w:val="00050304"/>
    <w:rsid w:val="000531D3"/>
    <w:rsid w:val="0005646B"/>
    <w:rsid w:val="000635E1"/>
    <w:rsid w:val="00076D38"/>
    <w:rsid w:val="0008102D"/>
    <w:rsid w:val="00094C0E"/>
    <w:rsid w:val="000D6668"/>
    <w:rsid w:val="000D679E"/>
    <w:rsid w:val="000D7091"/>
    <w:rsid w:val="000E098A"/>
    <w:rsid w:val="000F0C22"/>
    <w:rsid w:val="000F63DE"/>
    <w:rsid w:val="000F6B09"/>
    <w:rsid w:val="000F6FDC"/>
    <w:rsid w:val="00104567"/>
    <w:rsid w:val="0010476E"/>
    <w:rsid w:val="00104916"/>
    <w:rsid w:val="00104AA7"/>
    <w:rsid w:val="00111E71"/>
    <w:rsid w:val="00116C19"/>
    <w:rsid w:val="00120CF2"/>
    <w:rsid w:val="0012732D"/>
    <w:rsid w:val="0013032D"/>
    <w:rsid w:val="00131F2A"/>
    <w:rsid w:val="00132B2A"/>
    <w:rsid w:val="00143F25"/>
    <w:rsid w:val="001446B8"/>
    <w:rsid w:val="00152682"/>
    <w:rsid w:val="00154FC9"/>
    <w:rsid w:val="0016756E"/>
    <w:rsid w:val="00173796"/>
    <w:rsid w:val="001874A7"/>
    <w:rsid w:val="0019241A"/>
    <w:rsid w:val="00192A18"/>
    <w:rsid w:val="00194D5E"/>
    <w:rsid w:val="001A22D1"/>
    <w:rsid w:val="001A752D"/>
    <w:rsid w:val="001A757E"/>
    <w:rsid w:val="001B501E"/>
    <w:rsid w:val="001B5032"/>
    <w:rsid w:val="001B6858"/>
    <w:rsid w:val="001C0029"/>
    <w:rsid w:val="001C7777"/>
    <w:rsid w:val="001D5114"/>
    <w:rsid w:val="001D5E1D"/>
    <w:rsid w:val="001E364F"/>
    <w:rsid w:val="001F165C"/>
    <w:rsid w:val="001F4222"/>
    <w:rsid w:val="00203AA1"/>
    <w:rsid w:val="00213D79"/>
    <w:rsid w:val="00213E98"/>
    <w:rsid w:val="002243FE"/>
    <w:rsid w:val="00227357"/>
    <w:rsid w:val="0023081A"/>
    <w:rsid w:val="00232F48"/>
    <w:rsid w:val="00265FA8"/>
    <w:rsid w:val="00282501"/>
    <w:rsid w:val="00296737"/>
    <w:rsid w:val="0029777C"/>
    <w:rsid w:val="002A5B0F"/>
    <w:rsid w:val="002A6A96"/>
    <w:rsid w:val="002A728C"/>
    <w:rsid w:val="002B4E96"/>
    <w:rsid w:val="002E38EA"/>
    <w:rsid w:val="002E54B0"/>
    <w:rsid w:val="002F460C"/>
    <w:rsid w:val="002F48D6"/>
    <w:rsid w:val="00317391"/>
    <w:rsid w:val="00317E58"/>
    <w:rsid w:val="00326216"/>
    <w:rsid w:val="00336580"/>
    <w:rsid w:val="00354899"/>
    <w:rsid w:val="00355FD6"/>
    <w:rsid w:val="00361573"/>
    <w:rsid w:val="00364A5C"/>
    <w:rsid w:val="00373FB1"/>
    <w:rsid w:val="00374122"/>
    <w:rsid w:val="00380E84"/>
    <w:rsid w:val="00396C76"/>
    <w:rsid w:val="003A1893"/>
    <w:rsid w:val="003B30D8"/>
    <w:rsid w:val="003B7EF2"/>
    <w:rsid w:val="003C3FA4"/>
    <w:rsid w:val="003D0BA1"/>
    <w:rsid w:val="003D72B6"/>
    <w:rsid w:val="003F2B0C"/>
    <w:rsid w:val="004105B2"/>
    <w:rsid w:val="00412900"/>
    <w:rsid w:val="004221E4"/>
    <w:rsid w:val="004273F8"/>
    <w:rsid w:val="004355A3"/>
    <w:rsid w:val="00446546"/>
    <w:rsid w:val="00452769"/>
    <w:rsid w:val="00465348"/>
    <w:rsid w:val="004979A5"/>
    <w:rsid w:val="004B1CCB"/>
    <w:rsid w:val="004B632F"/>
    <w:rsid w:val="004D3FB1"/>
    <w:rsid w:val="004D6F21"/>
    <w:rsid w:val="004D73A5"/>
    <w:rsid w:val="004D74B4"/>
    <w:rsid w:val="004E5BE8"/>
    <w:rsid w:val="004F1786"/>
    <w:rsid w:val="004F5B5C"/>
    <w:rsid w:val="004F6416"/>
    <w:rsid w:val="00512739"/>
    <w:rsid w:val="00514C8B"/>
    <w:rsid w:val="005160F1"/>
    <w:rsid w:val="00523346"/>
    <w:rsid w:val="00524F2F"/>
    <w:rsid w:val="00527E5C"/>
    <w:rsid w:val="00532CF5"/>
    <w:rsid w:val="00535C82"/>
    <w:rsid w:val="005435FB"/>
    <w:rsid w:val="00550BC6"/>
    <w:rsid w:val="005528CB"/>
    <w:rsid w:val="00566771"/>
    <w:rsid w:val="00581E2E"/>
    <w:rsid w:val="00584F15"/>
    <w:rsid w:val="005871A7"/>
    <w:rsid w:val="0059514B"/>
    <w:rsid w:val="005A1B0F"/>
    <w:rsid w:val="006103AD"/>
    <w:rsid w:val="006163F7"/>
    <w:rsid w:val="006200E9"/>
    <w:rsid w:val="00627C63"/>
    <w:rsid w:val="0063350B"/>
    <w:rsid w:val="00633C03"/>
    <w:rsid w:val="0064500F"/>
    <w:rsid w:val="00652606"/>
    <w:rsid w:val="006530BE"/>
    <w:rsid w:val="00672919"/>
    <w:rsid w:val="00674FB8"/>
    <w:rsid w:val="006853A6"/>
    <w:rsid w:val="0069227F"/>
    <w:rsid w:val="006946EE"/>
    <w:rsid w:val="006A58A9"/>
    <w:rsid w:val="006A606D"/>
    <w:rsid w:val="006A7335"/>
    <w:rsid w:val="006C0371"/>
    <w:rsid w:val="006C08B6"/>
    <w:rsid w:val="006C0B1A"/>
    <w:rsid w:val="006C6065"/>
    <w:rsid w:val="006C7F9F"/>
    <w:rsid w:val="006E2F6D"/>
    <w:rsid w:val="006E58F6"/>
    <w:rsid w:val="006E77E1"/>
    <w:rsid w:val="006F131D"/>
    <w:rsid w:val="00711642"/>
    <w:rsid w:val="00715E65"/>
    <w:rsid w:val="00737C38"/>
    <w:rsid w:val="007479DC"/>
    <w:rsid w:val="007507C6"/>
    <w:rsid w:val="00751E0B"/>
    <w:rsid w:val="007527AD"/>
    <w:rsid w:val="00752BCD"/>
    <w:rsid w:val="00766DA1"/>
    <w:rsid w:val="007702C2"/>
    <w:rsid w:val="00780C72"/>
    <w:rsid w:val="00780D94"/>
    <w:rsid w:val="007866A6"/>
    <w:rsid w:val="007A130D"/>
    <w:rsid w:val="007C77A7"/>
    <w:rsid w:val="007D1A2D"/>
    <w:rsid w:val="007D4102"/>
    <w:rsid w:val="007D492F"/>
    <w:rsid w:val="007E54A7"/>
    <w:rsid w:val="007F0EEE"/>
    <w:rsid w:val="007F43B7"/>
    <w:rsid w:val="00803835"/>
    <w:rsid w:val="0080417C"/>
    <w:rsid w:val="00815503"/>
    <w:rsid w:val="00816DF7"/>
    <w:rsid w:val="00821FFC"/>
    <w:rsid w:val="008271CA"/>
    <w:rsid w:val="008467D5"/>
    <w:rsid w:val="008A1314"/>
    <w:rsid w:val="008A4DC4"/>
    <w:rsid w:val="008B25DD"/>
    <w:rsid w:val="008B438C"/>
    <w:rsid w:val="008D06CA"/>
    <w:rsid w:val="008D23E0"/>
    <w:rsid w:val="008D3A46"/>
    <w:rsid w:val="008F4091"/>
    <w:rsid w:val="0090377B"/>
    <w:rsid w:val="009067A4"/>
    <w:rsid w:val="00912426"/>
    <w:rsid w:val="009203E2"/>
    <w:rsid w:val="00930885"/>
    <w:rsid w:val="00933D68"/>
    <w:rsid w:val="009340DB"/>
    <w:rsid w:val="009459D3"/>
    <w:rsid w:val="0094618C"/>
    <w:rsid w:val="0095507C"/>
    <w:rsid w:val="0095684B"/>
    <w:rsid w:val="00972498"/>
    <w:rsid w:val="0097481F"/>
    <w:rsid w:val="00974CC6"/>
    <w:rsid w:val="00975001"/>
    <w:rsid w:val="00976AD4"/>
    <w:rsid w:val="00995547"/>
    <w:rsid w:val="009A0725"/>
    <w:rsid w:val="009A312F"/>
    <w:rsid w:val="009A5348"/>
    <w:rsid w:val="009A7F62"/>
    <w:rsid w:val="009B0AB7"/>
    <w:rsid w:val="009C406F"/>
    <w:rsid w:val="009C7016"/>
    <w:rsid w:val="009C76D5"/>
    <w:rsid w:val="009F7AA4"/>
    <w:rsid w:val="00A10AD7"/>
    <w:rsid w:val="00A11A6D"/>
    <w:rsid w:val="00A14F5C"/>
    <w:rsid w:val="00A43007"/>
    <w:rsid w:val="00A559DB"/>
    <w:rsid w:val="00A569EA"/>
    <w:rsid w:val="00A575E4"/>
    <w:rsid w:val="00A946F7"/>
    <w:rsid w:val="00AB49CA"/>
    <w:rsid w:val="00AD0D2C"/>
    <w:rsid w:val="00AF2857"/>
    <w:rsid w:val="00AF35FC"/>
    <w:rsid w:val="00AF5556"/>
    <w:rsid w:val="00B020D3"/>
    <w:rsid w:val="00B03639"/>
    <w:rsid w:val="00B05619"/>
    <w:rsid w:val="00B0652A"/>
    <w:rsid w:val="00B2485D"/>
    <w:rsid w:val="00B24E9B"/>
    <w:rsid w:val="00B30295"/>
    <w:rsid w:val="00B40937"/>
    <w:rsid w:val="00B423EF"/>
    <w:rsid w:val="00B453DE"/>
    <w:rsid w:val="00B4570F"/>
    <w:rsid w:val="00B72597"/>
    <w:rsid w:val="00B73822"/>
    <w:rsid w:val="00B901F9"/>
    <w:rsid w:val="00BB479F"/>
    <w:rsid w:val="00BC4D98"/>
    <w:rsid w:val="00BD1A2E"/>
    <w:rsid w:val="00BD6EFB"/>
    <w:rsid w:val="00BF087D"/>
    <w:rsid w:val="00BF5EAB"/>
    <w:rsid w:val="00C1584D"/>
    <w:rsid w:val="00C15BE2"/>
    <w:rsid w:val="00C33712"/>
    <w:rsid w:val="00C3447F"/>
    <w:rsid w:val="00C36A8E"/>
    <w:rsid w:val="00C67102"/>
    <w:rsid w:val="00C73E42"/>
    <w:rsid w:val="00C81491"/>
    <w:rsid w:val="00C81676"/>
    <w:rsid w:val="00C85C5D"/>
    <w:rsid w:val="00C92CC4"/>
    <w:rsid w:val="00C97276"/>
    <w:rsid w:val="00CA0AFB"/>
    <w:rsid w:val="00CA2CE1"/>
    <w:rsid w:val="00CA3976"/>
    <w:rsid w:val="00CA50E3"/>
    <w:rsid w:val="00CA64C5"/>
    <w:rsid w:val="00CA71A1"/>
    <w:rsid w:val="00CA757B"/>
    <w:rsid w:val="00CC1787"/>
    <w:rsid w:val="00CC182C"/>
    <w:rsid w:val="00CD0824"/>
    <w:rsid w:val="00CD2908"/>
    <w:rsid w:val="00D03A82"/>
    <w:rsid w:val="00D1051D"/>
    <w:rsid w:val="00D13667"/>
    <w:rsid w:val="00D15344"/>
    <w:rsid w:val="00D23F57"/>
    <w:rsid w:val="00D2533F"/>
    <w:rsid w:val="00D31BEC"/>
    <w:rsid w:val="00D53922"/>
    <w:rsid w:val="00D54894"/>
    <w:rsid w:val="00D63150"/>
    <w:rsid w:val="00D636BA"/>
    <w:rsid w:val="00D64A32"/>
    <w:rsid w:val="00D64EFC"/>
    <w:rsid w:val="00D75295"/>
    <w:rsid w:val="00D76CE9"/>
    <w:rsid w:val="00D83BA7"/>
    <w:rsid w:val="00D953F7"/>
    <w:rsid w:val="00D97F12"/>
    <w:rsid w:val="00DA6095"/>
    <w:rsid w:val="00DB42E7"/>
    <w:rsid w:val="00DC09D8"/>
    <w:rsid w:val="00DC5B2B"/>
    <w:rsid w:val="00DE01A6"/>
    <w:rsid w:val="00DE2156"/>
    <w:rsid w:val="00DE7A98"/>
    <w:rsid w:val="00DF32C2"/>
    <w:rsid w:val="00DF7B80"/>
    <w:rsid w:val="00E05565"/>
    <w:rsid w:val="00E332BC"/>
    <w:rsid w:val="00E471A7"/>
    <w:rsid w:val="00E635CF"/>
    <w:rsid w:val="00E80891"/>
    <w:rsid w:val="00EA673C"/>
    <w:rsid w:val="00EB57D3"/>
    <w:rsid w:val="00EC1130"/>
    <w:rsid w:val="00EC2E1F"/>
    <w:rsid w:val="00EC6E0A"/>
    <w:rsid w:val="00ED4E18"/>
    <w:rsid w:val="00ED4FA4"/>
    <w:rsid w:val="00EE1F37"/>
    <w:rsid w:val="00EE661C"/>
    <w:rsid w:val="00F0159C"/>
    <w:rsid w:val="00F105B7"/>
    <w:rsid w:val="00F13220"/>
    <w:rsid w:val="00F17A21"/>
    <w:rsid w:val="00F37B27"/>
    <w:rsid w:val="00F46556"/>
    <w:rsid w:val="00F50E91"/>
    <w:rsid w:val="00F57D29"/>
    <w:rsid w:val="00F60786"/>
    <w:rsid w:val="00F6396B"/>
    <w:rsid w:val="00F6547B"/>
    <w:rsid w:val="00F842EA"/>
    <w:rsid w:val="00F91BC7"/>
    <w:rsid w:val="00F96201"/>
    <w:rsid w:val="00FB5F2F"/>
    <w:rsid w:val="00FD0B18"/>
    <w:rsid w:val="00FD14B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9AA937"/>
  <w15:docId w15:val="{F123E80D-46F3-4699-BA26-D22EF3C5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673C"/>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EB57D3"/>
    <w:pPr>
      <w:keepNext/>
    </w:pPr>
    <w:rPr>
      <w:rFonts w:ascii="Arial" w:hAnsi="Arial" w:cs="Arial"/>
      <w:b/>
      <w:caps/>
      <w:sz w:val="20"/>
      <w:szCs w:val="20"/>
    </w:rPr>
  </w:style>
  <w:style w:type="character" w:customStyle="1" w:styleId="Casehead1Char">
    <w:name w:val="Casehead 1 Char"/>
    <w:basedOn w:val="BodyTextMainChar"/>
    <w:link w:val="Casehead1"/>
    <w:rsid w:val="00EA673C"/>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EB57D3"/>
    <w:rPr>
      <w:b/>
      <w:color w:val="FF0000"/>
      <w:vertAlign w:val="superscript"/>
    </w:rPr>
  </w:style>
  <w:style w:type="paragraph" w:customStyle="1" w:styleId="Footnote">
    <w:name w:val="Footnote"/>
    <w:basedOn w:val="FootnoteText"/>
    <w:link w:val="FootnoteChar"/>
    <w:qFormat/>
    <w:rsid w:val="00EB57D3"/>
    <w:rPr>
      <w:rFonts w:ascii="Arial" w:hAnsi="Arial" w:cs="Arial"/>
      <w:sz w:val="17"/>
      <w:szCs w:val="17"/>
    </w:rPr>
  </w:style>
  <w:style w:type="character" w:customStyle="1" w:styleId="FootnoteChar">
    <w:name w:val="Footnote Char"/>
    <w:basedOn w:val="FootnoteTextChar"/>
    <w:link w:val="Footnote"/>
    <w:rsid w:val="00EA673C"/>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EB57D3"/>
  </w:style>
  <w:style w:type="character" w:customStyle="1" w:styleId="apple-converted-space">
    <w:name w:val="apple-converted-space"/>
    <w:basedOn w:val="DefaultParagraphFont"/>
    <w:rsid w:val="00EB57D3"/>
  </w:style>
  <w:style w:type="character" w:customStyle="1" w:styleId="UnresolvedMention">
    <w:name w:val="Unresolved Mention"/>
    <w:basedOn w:val="DefaultParagraphFont"/>
    <w:uiPriority w:val="99"/>
    <w:semiHidden/>
    <w:unhideWhenUsed/>
    <w:rsid w:val="00120C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D9400-B7ED-42CB-A46D-FF887DAC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2015-03-04T20:34:00Z</cp:lastPrinted>
  <dcterms:created xsi:type="dcterms:W3CDTF">2019-01-08T22:14:00Z</dcterms:created>
  <dcterms:modified xsi:type="dcterms:W3CDTF">2019-02-08T22:06:00Z</dcterms:modified>
</cp:coreProperties>
</file>