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049B62" w:rsidR="00C02410" w:rsidRDefault="00BB0709" w:rsidP="00C02410">
      <w:pPr>
        <w:pStyle w:val="ProductNumber"/>
      </w:pPr>
      <w:r>
        <w:t>9B19N004</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45E1B8FA" w:rsidR="00013360" w:rsidRDefault="0064287A" w:rsidP="00013360">
      <w:pPr>
        <w:pStyle w:val="CaseTitle"/>
        <w:spacing w:after="0" w:line="240" w:lineRule="auto"/>
        <w:rPr>
          <w:sz w:val="20"/>
          <w:szCs w:val="20"/>
        </w:rPr>
      </w:pPr>
      <w:r w:rsidRPr="0064287A">
        <w:rPr>
          <w:lang w:val="en-IN"/>
        </w:rPr>
        <w:t>IVTL: ASSESSING PROJECT ECONOMIC VIABILITY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028BB42" w:rsidR="00086B26" w:rsidRPr="00287D6F" w:rsidRDefault="0064287A" w:rsidP="00086B26">
      <w:pPr>
        <w:pStyle w:val="StyleCopyrightStatementAfter0ptBottomSinglesolidline1"/>
        <w:rPr>
          <w:lang w:val="en-GB"/>
        </w:rPr>
      </w:pPr>
      <w:proofErr w:type="spellStart"/>
      <w:r>
        <w:rPr>
          <w:rFonts w:cs="Arial"/>
          <w:szCs w:val="16"/>
          <w:lang w:val="en-CA"/>
        </w:rPr>
        <w:t>Alok</w:t>
      </w:r>
      <w:proofErr w:type="spellEnd"/>
      <w:r>
        <w:rPr>
          <w:rFonts w:cs="Arial"/>
          <w:szCs w:val="16"/>
          <w:lang w:val="en-CA"/>
        </w:rPr>
        <w:t xml:space="preserve"> </w:t>
      </w:r>
      <w:proofErr w:type="spellStart"/>
      <w:r>
        <w:rPr>
          <w:rFonts w:cs="Arial"/>
          <w:szCs w:val="16"/>
          <w:lang w:val="en-CA"/>
        </w:rPr>
        <w:t>Kastia</w:t>
      </w:r>
      <w:proofErr w:type="spellEnd"/>
      <w:r w:rsidR="00ED7922" w:rsidRPr="00FD7E52">
        <w:rPr>
          <w:rFonts w:cs="Arial"/>
          <w:szCs w:val="16"/>
          <w:lang w:val="en-CA"/>
        </w:rPr>
        <w:t xml:space="preserve"> </w:t>
      </w:r>
      <w:r w:rsidR="00086B26" w:rsidRPr="00287D6F">
        <w:rPr>
          <w:lang w:val="en-GB"/>
        </w:rPr>
        <w:t>wrote this case solely to provide material for class discussion. The author do</w:t>
      </w:r>
      <w:r w:rsidR="00926B28">
        <w:rPr>
          <w:lang w:val="en-GB"/>
        </w:rPr>
        <w:t>es</w:t>
      </w:r>
      <w:r w:rsidR="00086B26" w:rsidRPr="00287D6F">
        <w:rPr>
          <w:lang w:val="en-GB"/>
        </w:rPr>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549233B6" w14:textId="247D6FB0" w:rsidR="0064287A" w:rsidRPr="00C02410" w:rsidRDefault="00926B28" w:rsidP="0064287A">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926B28">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07D6BC17" w14:textId="77777777" w:rsidR="0064287A" w:rsidRPr="00C02410" w:rsidRDefault="0064287A" w:rsidP="0064287A">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1DF00E58" w:rsidR="00751E0B" w:rsidRPr="00C02410" w:rsidRDefault="0064287A" w:rsidP="0064287A">
      <w:pPr>
        <w:pStyle w:val="StyleStyleCopyrightStatementAfter0ptBottomSinglesolid"/>
        <w:rPr>
          <w:rFonts w:cs="Arial"/>
          <w:szCs w:val="16"/>
        </w:rPr>
      </w:pPr>
      <w:r w:rsidRPr="00C02410">
        <w:rPr>
          <w:rFonts w:cs="Arial"/>
          <w:iCs w:val="0"/>
          <w:color w:val="auto"/>
          <w:szCs w:val="16"/>
        </w:rPr>
        <w:t>Copyright © 20</w:t>
      </w:r>
      <w:r>
        <w:rPr>
          <w:rFonts w:cs="Arial"/>
          <w:iCs w:val="0"/>
          <w:color w:val="auto"/>
          <w:szCs w:val="16"/>
        </w:rPr>
        <w:t>19</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2019-</w:t>
      </w:r>
      <w:r w:rsidR="00926B28">
        <w:rPr>
          <w:rFonts w:cs="Arial"/>
          <w:iCs w:val="0"/>
          <w:color w:val="auto"/>
          <w:szCs w:val="16"/>
        </w:rPr>
        <w:t>02-11</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4B632F">
      <w:pPr>
        <w:pStyle w:val="StyleCopyrightStatementAfter0ptBottomSinglesolidline1"/>
        <w:rPr>
          <w:rFonts w:ascii="Times New Roman" w:hAnsi="Times New Roman"/>
          <w:sz w:val="20"/>
        </w:rPr>
      </w:pPr>
    </w:p>
    <w:p w14:paraId="33579F4E" w14:textId="77777777" w:rsidR="0064287A" w:rsidRPr="0064287A" w:rsidRDefault="0064287A" w:rsidP="0064287A">
      <w:pPr>
        <w:jc w:val="both"/>
        <w:rPr>
          <w:sz w:val="22"/>
          <w:szCs w:val="22"/>
          <w:lang w:val="en-GB"/>
        </w:rPr>
      </w:pPr>
      <w:r w:rsidRPr="0064287A">
        <w:rPr>
          <w:sz w:val="22"/>
          <w:szCs w:val="22"/>
          <w:lang w:val="en-GB"/>
        </w:rPr>
        <w:t xml:space="preserve">Indus Valley Telecom Ltd. (IVTL) wanted to set up an optical fibre cable (OFC) manufacturing plant at Cosmic Equipment Company Ltd. (CEC), a wholly owned subsidiary of IVTL. The new plant was to have an installed capacity of 114,000 kilometres (km) of OFCs of various specifications. The general manager of IVTL, </w:t>
      </w:r>
      <w:proofErr w:type="spellStart"/>
      <w:r w:rsidRPr="0064287A">
        <w:rPr>
          <w:sz w:val="22"/>
          <w:szCs w:val="22"/>
          <w:lang w:val="en-GB"/>
        </w:rPr>
        <w:t>Mohit</w:t>
      </w:r>
      <w:proofErr w:type="spellEnd"/>
      <w:r w:rsidRPr="0064287A">
        <w:rPr>
          <w:sz w:val="22"/>
          <w:szCs w:val="22"/>
          <w:lang w:val="en-GB"/>
        </w:rPr>
        <w:t xml:space="preserve"> Agarwal, had contracted an outside consulting agency to confirm that the project was technically viable.</w:t>
      </w:r>
    </w:p>
    <w:p w14:paraId="438740E3" w14:textId="77777777" w:rsidR="0064287A" w:rsidRPr="0064287A" w:rsidRDefault="0064287A" w:rsidP="0064287A">
      <w:pPr>
        <w:jc w:val="both"/>
        <w:rPr>
          <w:szCs w:val="22"/>
          <w:lang w:val="en-GB"/>
        </w:rPr>
      </w:pPr>
    </w:p>
    <w:p w14:paraId="36D11E3B" w14:textId="77777777" w:rsidR="0064287A" w:rsidRPr="0064287A" w:rsidRDefault="0064287A" w:rsidP="0064287A">
      <w:pPr>
        <w:jc w:val="both"/>
        <w:rPr>
          <w:sz w:val="22"/>
          <w:szCs w:val="22"/>
          <w:lang w:val="en-GB"/>
        </w:rPr>
      </w:pPr>
      <w:r w:rsidRPr="0064287A">
        <w:rPr>
          <w:sz w:val="22"/>
          <w:szCs w:val="22"/>
          <w:lang w:val="en-GB"/>
        </w:rPr>
        <w:t xml:space="preserve">In January 2016, Agarwal was looking to conduct a comprehensive economic viability study of the project before he presented the proposal to IVTL management for approval. He asked Suneel </w:t>
      </w:r>
      <w:proofErr w:type="spellStart"/>
      <w:r w:rsidRPr="0064287A">
        <w:rPr>
          <w:sz w:val="22"/>
          <w:szCs w:val="22"/>
          <w:lang w:val="en-GB"/>
        </w:rPr>
        <w:t>Saxena</w:t>
      </w:r>
      <w:proofErr w:type="spellEnd"/>
      <w:r w:rsidRPr="0064287A">
        <w:rPr>
          <w:sz w:val="22"/>
          <w:szCs w:val="22"/>
          <w:lang w:val="en-GB"/>
        </w:rPr>
        <w:t xml:space="preserve">, finance manager of IVTL, to forecast financial statements for the project and then do a comprehensive economic viability study. The project had to be both economically and technically viable before management would give consent to proceed. Agarwal had already collected basic data for the study and was wondering whether the project would turn out to be economically viable—after all, the decision to move forward with the project now depended on this. </w:t>
      </w:r>
    </w:p>
    <w:p w14:paraId="0F818824" w14:textId="77777777" w:rsidR="0064287A" w:rsidRPr="0064287A" w:rsidRDefault="0064287A" w:rsidP="0064287A">
      <w:pPr>
        <w:jc w:val="both"/>
        <w:rPr>
          <w:szCs w:val="22"/>
          <w:lang w:val="en-GB"/>
        </w:rPr>
      </w:pPr>
    </w:p>
    <w:p w14:paraId="77508439" w14:textId="77777777" w:rsidR="0064287A" w:rsidRPr="0064287A" w:rsidRDefault="0064287A" w:rsidP="0064287A">
      <w:pPr>
        <w:jc w:val="both"/>
        <w:rPr>
          <w:szCs w:val="22"/>
          <w:lang w:val="en-GB"/>
        </w:rPr>
      </w:pPr>
    </w:p>
    <w:p w14:paraId="66ED72EB"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t>INDUS VALLEY TELECOM LTD.</w:t>
      </w:r>
    </w:p>
    <w:p w14:paraId="3E5E9715" w14:textId="77777777" w:rsidR="0064287A" w:rsidRPr="0064287A" w:rsidRDefault="0064287A" w:rsidP="0064287A">
      <w:pPr>
        <w:jc w:val="both"/>
        <w:rPr>
          <w:szCs w:val="22"/>
          <w:lang w:val="en-GB"/>
        </w:rPr>
      </w:pPr>
    </w:p>
    <w:p w14:paraId="4DD6E82E" w14:textId="77777777" w:rsidR="0064287A" w:rsidRPr="0064287A" w:rsidRDefault="0064287A" w:rsidP="0064287A">
      <w:pPr>
        <w:jc w:val="both"/>
        <w:rPr>
          <w:spacing w:val="-2"/>
          <w:sz w:val="22"/>
          <w:szCs w:val="22"/>
          <w:lang w:val="en-GB"/>
        </w:rPr>
      </w:pPr>
      <w:r w:rsidRPr="0064287A">
        <w:rPr>
          <w:spacing w:val="-2"/>
          <w:sz w:val="22"/>
          <w:szCs w:val="22"/>
          <w:lang w:val="en-GB"/>
        </w:rPr>
        <w:t xml:space="preserve">IVTL was an Indian telecom company incorporated in 1989 with a sales turnover of </w:t>
      </w:r>
      <w:r w:rsidRPr="0064287A">
        <w:rPr>
          <w:rFonts w:ascii="Arial" w:hAnsi="Arial" w:cs="Arial"/>
          <w:bCs/>
          <w:spacing w:val="-2"/>
          <w:shd w:val="clear" w:color="auto" w:fill="FFFFFF"/>
          <w:lang w:val="en-GB"/>
        </w:rPr>
        <w:t>₹</w:t>
      </w:r>
      <w:r w:rsidRPr="0064287A">
        <w:rPr>
          <w:spacing w:val="-2"/>
          <w:sz w:val="22"/>
          <w:szCs w:val="22"/>
          <w:lang w:val="en-GB"/>
        </w:rPr>
        <w:t xml:space="preserve">25.510 billion and net profit of </w:t>
      </w:r>
      <w:r w:rsidRPr="0064287A">
        <w:rPr>
          <w:rFonts w:ascii="Arial" w:hAnsi="Arial" w:cs="Arial"/>
          <w:bCs/>
          <w:spacing w:val="-2"/>
          <w:shd w:val="clear" w:color="auto" w:fill="FFFFFF"/>
          <w:lang w:val="en-GB"/>
        </w:rPr>
        <w:t>₹</w:t>
      </w:r>
      <w:r w:rsidRPr="0064287A">
        <w:rPr>
          <w:spacing w:val="-2"/>
          <w:sz w:val="22"/>
          <w:szCs w:val="22"/>
          <w:lang w:val="en-GB"/>
        </w:rPr>
        <w:t>1.899 billion</w:t>
      </w:r>
      <w:r w:rsidRPr="0064287A">
        <w:rPr>
          <w:spacing w:val="-2"/>
          <w:sz w:val="22"/>
          <w:szCs w:val="22"/>
          <w:vertAlign w:val="superscript"/>
          <w:lang w:val="en-GB"/>
        </w:rPr>
        <w:footnoteReference w:id="1"/>
      </w:r>
      <w:r w:rsidRPr="0064287A">
        <w:rPr>
          <w:spacing w:val="-2"/>
          <w:sz w:val="22"/>
          <w:szCs w:val="22"/>
          <w:lang w:val="en-GB"/>
        </w:rPr>
        <w:t xml:space="preserve"> in fiscal year (FY) 2014/15. IVTL had shown compound annual growth of 89 per cent in sales turnover and 75 per cent in net profit over the last four years (see Exhibit 1). The company had cash and cash equivalent of </w:t>
      </w:r>
      <w:r w:rsidRPr="0064287A">
        <w:rPr>
          <w:rFonts w:ascii="Arial" w:hAnsi="Arial" w:cs="Arial"/>
          <w:bCs/>
          <w:spacing w:val="-2"/>
          <w:shd w:val="clear" w:color="auto" w:fill="FFFFFF"/>
          <w:lang w:val="en-GB"/>
        </w:rPr>
        <w:t>₹</w:t>
      </w:r>
      <w:r w:rsidRPr="0064287A">
        <w:rPr>
          <w:spacing w:val="-2"/>
          <w:sz w:val="22"/>
          <w:szCs w:val="22"/>
          <w:lang w:val="en-GB"/>
        </w:rPr>
        <w:t xml:space="preserve">1.358 billion, and its net worth was </w:t>
      </w:r>
      <w:r w:rsidRPr="0064287A">
        <w:rPr>
          <w:rFonts w:ascii="Arial" w:hAnsi="Arial" w:cs="Arial"/>
          <w:bCs/>
          <w:spacing w:val="-2"/>
          <w:shd w:val="clear" w:color="auto" w:fill="FFFFFF"/>
          <w:lang w:val="en-GB"/>
        </w:rPr>
        <w:t>₹</w:t>
      </w:r>
      <w:r w:rsidRPr="0064287A">
        <w:rPr>
          <w:spacing w:val="-2"/>
          <w:sz w:val="22"/>
          <w:szCs w:val="22"/>
          <w:lang w:val="en-GB"/>
        </w:rPr>
        <w:t xml:space="preserve">9.324 billion as of March 31, 2015. </w:t>
      </w:r>
    </w:p>
    <w:p w14:paraId="48960799" w14:textId="77777777" w:rsidR="0064287A" w:rsidRPr="0064287A" w:rsidRDefault="0064287A" w:rsidP="0064287A">
      <w:pPr>
        <w:jc w:val="both"/>
        <w:rPr>
          <w:szCs w:val="22"/>
          <w:lang w:val="en-GB"/>
        </w:rPr>
      </w:pPr>
    </w:p>
    <w:p w14:paraId="3EAE5F16" w14:textId="77777777" w:rsidR="0064287A" w:rsidRPr="0064287A" w:rsidRDefault="0064287A" w:rsidP="0064287A">
      <w:pPr>
        <w:jc w:val="both"/>
        <w:rPr>
          <w:sz w:val="22"/>
          <w:szCs w:val="22"/>
          <w:lang w:val="en-GB"/>
        </w:rPr>
      </w:pPr>
      <w:r w:rsidRPr="0064287A">
        <w:rPr>
          <w:sz w:val="22"/>
          <w:szCs w:val="22"/>
          <w:lang w:val="en-GB"/>
        </w:rPr>
        <w:t xml:space="preserve">The company’s main businesses were manufacturing telecom equipment and OFC, and implementing turnkey projects to develop telecom infrastructures. The company had been manufacturing and selling OFC in India since FY 2005/06, with manufacturing facilities in </w:t>
      </w:r>
      <w:proofErr w:type="spellStart"/>
      <w:r w:rsidRPr="0064287A">
        <w:rPr>
          <w:sz w:val="22"/>
          <w:szCs w:val="22"/>
          <w:lang w:val="en-GB"/>
        </w:rPr>
        <w:t>Daruhera</w:t>
      </w:r>
      <w:proofErr w:type="spellEnd"/>
      <w:r w:rsidRPr="0064287A">
        <w:rPr>
          <w:sz w:val="22"/>
          <w:szCs w:val="22"/>
          <w:lang w:val="en-GB"/>
        </w:rPr>
        <w:t>, Haryana, and Rajkot, Gujarat.</w:t>
      </w:r>
    </w:p>
    <w:p w14:paraId="4282950D" w14:textId="77777777" w:rsidR="0064287A" w:rsidRPr="0064287A" w:rsidRDefault="0064287A" w:rsidP="0064287A">
      <w:pPr>
        <w:jc w:val="both"/>
        <w:rPr>
          <w:szCs w:val="22"/>
          <w:lang w:val="en-GB"/>
        </w:rPr>
      </w:pPr>
    </w:p>
    <w:p w14:paraId="269CE732" w14:textId="77777777" w:rsidR="0064287A" w:rsidRDefault="0064287A" w:rsidP="0064287A">
      <w:pPr>
        <w:jc w:val="both"/>
        <w:rPr>
          <w:sz w:val="22"/>
          <w:szCs w:val="22"/>
          <w:lang w:val="en-GB"/>
        </w:rPr>
      </w:pPr>
      <w:r w:rsidRPr="0064287A">
        <w:rPr>
          <w:sz w:val="22"/>
          <w:szCs w:val="22"/>
          <w:lang w:val="en-GB"/>
        </w:rPr>
        <w:t xml:space="preserve">IVTL was a professionally managed company with six board directors; one of the directors was an independent director and another had been nominated by bankers. The management team was highly qualified, with extensive experience in the telecom industry. The company had never defaulted on its loan </w:t>
      </w:r>
      <w:r w:rsidRPr="0064287A">
        <w:rPr>
          <w:sz w:val="22"/>
          <w:szCs w:val="22"/>
          <w:lang w:val="en-GB"/>
        </w:rPr>
        <w:lastRenderedPageBreak/>
        <w:t>payments, and its standing with banks was excellent (AAA rating). In the past, IVTL had been able to secure bank loans at an annual interest rate of 8.5 per cent.</w:t>
      </w:r>
    </w:p>
    <w:p w14:paraId="65A4B641" w14:textId="77777777" w:rsidR="00926B28" w:rsidRPr="0064287A" w:rsidRDefault="00926B28" w:rsidP="0064287A">
      <w:pPr>
        <w:jc w:val="both"/>
        <w:rPr>
          <w:sz w:val="22"/>
          <w:szCs w:val="22"/>
          <w:lang w:val="en-GB"/>
        </w:rPr>
      </w:pPr>
    </w:p>
    <w:p w14:paraId="737D3A3A" w14:textId="77777777" w:rsidR="0064287A" w:rsidRPr="0064287A" w:rsidRDefault="0064287A" w:rsidP="0064287A">
      <w:pPr>
        <w:jc w:val="both"/>
        <w:rPr>
          <w:spacing w:val="-2"/>
          <w:sz w:val="22"/>
          <w:szCs w:val="22"/>
          <w:lang w:val="en-GB"/>
        </w:rPr>
      </w:pPr>
      <w:r w:rsidRPr="0064287A">
        <w:rPr>
          <w:spacing w:val="-2"/>
          <w:sz w:val="22"/>
          <w:szCs w:val="22"/>
          <w:lang w:val="en-GB"/>
        </w:rPr>
        <w:t>In late 2015, IVTL decided to establish an OFC project at its subsidiary, CEC. This decision was based on CEC’s location near a port and its existing land and buildings, which could be used for the project. Also, setting up the project in a subsidiary meant that the subsidiary could act as a special purpose vehicle. IVTL wanted to protect its own assets from the project’s lenders in the case of bankruptcy of the subsidiary.</w:t>
      </w:r>
    </w:p>
    <w:p w14:paraId="262FBE2E" w14:textId="77777777" w:rsidR="0064287A" w:rsidRPr="0064287A" w:rsidRDefault="0064287A" w:rsidP="0064287A">
      <w:pPr>
        <w:jc w:val="both"/>
        <w:rPr>
          <w:szCs w:val="22"/>
          <w:lang w:val="en-GB"/>
        </w:rPr>
      </w:pPr>
    </w:p>
    <w:p w14:paraId="109FAEF9" w14:textId="77777777" w:rsidR="0064287A" w:rsidRPr="0064287A" w:rsidRDefault="0064287A" w:rsidP="0064287A">
      <w:pPr>
        <w:jc w:val="both"/>
        <w:rPr>
          <w:sz w:val="22"/>
          <w:szCs w:val="22"/>
          <w:lang w:val="en-GB"/>
        </w:rPr>
      </w:pPr>
      <w:r w:rsidRPr="0064287A">
        <w:rPr>
          <w:sz w:val="22"/>
          <w:szCs w:val="22"/>
          <w:lang w:val="en-GB"/>
        </w:rPr>
        <w:t>All equity in the project would be infused by the parent from its internal accruals. The long-term debt for the project would be secured by a bank based on the cash flows of the project alone, and the lenders of the project would have no recourse to the parent company.</w:t>
      </w:r>
    </w:p>
    <w:p w14:paraId="59084C24" w14:textId="77777777" w:rsidR="0064287A" w:rsidRPr="0064287A" w:rsidRDefault="0064287A" w:rsidP="0064287A">
      <w:pPr>
        <w:jc w:val="both"/>
        <w:rPr>
          <w:szCs w:val="22"/>
          <w:lang w:val="en-GB"/>
        </w:rPr>
      </w:pPr>
    </w:p>
    <w:p w14:paraId="2E5DD812" w14:textId="77777777" w:rsidR="0064287A" w:rsidRPr="0064287A" w:rsidRDefault="0064287A" w:rsidP="0064287A">
      <w:pPr>
        <w:jc w:val="both"/>
        <w:rPr>
          <w:sz w:val="22"/>
          <w:szCs w:val="22"/>
          <w:lang w:val="en-GB"/>
        </w:rPr>
      </w:pPr>
      <w:r w:rsidRPr="0064287A">
        <w:rPr>
          <w:sz w:val="22"/>
          <w:szCs w:val="22"/>
          <w:lang w:val="en-GB"/>
        </w:rPr>
        <w:t>The subsidiary (the special purpose vehicle) would be able to distribute dividends to its parent only after meeting the operating expenses, depreciation, interest on loans (long-term debt and working capital loan), taxes, and annual repayments of the long-term debt. In this arrangement, therefore, the lenders would be more secure than they would be in extending a loan to a typical company.</w:t>
      </w:r>
    </w:p>
    <w:p w14:paraId="6136FFF5" w14:textId="77777777" w:rsidR="0064287A" w:rsidRPr="0064287A" w:rsidRDefault="0064287A" w:rsidP="0064287A">
      <w:pPr>
        <w:jc w:val="both"/>
        <w:rPr>
          <w:szCs w:val="22"/>
          <w:lang w:val="en-GB"/>
        </w:rPr>
      </w:pPr>
    </w:p>
    <w:p w14:paraId="1606368B" w14:textId="77777777" w:rsidR="0064287A" w:rsidRPr="0064287A" w:rsidRDefault="0064287A" w:rsidP="0064287A">
      <w:pPr>
        <w:jc w:val="both"/>
        <w:rPr>
          <w:szCs w:val="22"/>
          <w:lang w:val="en-GB"/>
        </w:rPr>
      </w:pPr>
    </w:p>
    <w:p w14:paraId="0767327D"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t>COSMIC EQUIPMENT COMPANY LTD.</w:t>
      </w:r>
    </w:p>
    <w:p w14:paraId="1D089D89" w14:textId="77777777" w:rsidR="0064287A" w:rsidRPr="0064287A" w:rsidRDefault="0064287A" w:rsidP="0064287A">
      <w:pPr>
        <w:jc w:val="both"/>
        <w:rPr>
          <w:szCs w:val="22"/>
          <w:lang w:val="en-GB"/>
        </w:rPr>
      </w:pPr>
    </w:p>
    <w:p w14:paraId="6E90461E" w14:textId="77777777" w:rsidR="0064287A" w:rsidRPr="0064287A" w:rsidRDefault="0064287A" w:rsidP="0064287A">
      <w:pPr>
        <w:jc w:val="both"/>
        <w:rPr>
          <w:sz w:val="22"/>
          <w:szCs w:val="22"/>
          <w:lang w:val="en-GB"/>
        </w:rPr>
      </w:pPr>
      <w:r w:rsidRPr="0064287A">
        <w:rPr>
          <w:sz w:val="22"/>
          <w:szCs w:val="22"/>
          <w:lang w:val="en-GB"/>
        </w:rPr>
        <w:t>CEC, located in Cochin, was wholly owned by the government when it was incorporated in 1985. The company produced telephone exchanges and transmission equipment for landline telephony until the year 2000. The telecom market switched to mobile telephony in the years that followed, and by 2005, all the products manufactured by CEC had become obsolete. In 2010, the company was left with no business or operations, becoming a dormant</w:t>
      </w:r>
      <w:r w:rsidRPr="0064287A">
        <w:rPr>
          <w:sz w:val="22"/>
          <w:szCs w:val="22"/>
          <w:vertAlign w:val="superscript"/>
          <w:lang w:val="en-GB"/>
        </w:rPr>
        <w:footnoteReference w:id="2"/>
      </w:r>
      <w:r w:rsidRPr="0064287A">
        <w:rPr>
          <w:sz w:val="22"/>
          <w:szCs w:val="22"/>
          <w:lang w:val="en-GB"/>
        </w:rPr>
        <w:t xml:space="preserve"> company with its only assets being five hectares (about 12.5 acres) of land and the 25,000-square-foot building on the land.</w:t>
      </w:r>
    </w:p>
    <w:p w14:paraId="2FDED354" w14:textId="77777777" w:rsidR="0064287A" w:rsidRPr="0064287A" w:rsidRDefault="0064287A" w:rsidP="0064287A">
      <w:pPr>
        <w:jc w:val="both"/>
        <w:rPr>
          <w:szCs w:val="22"/>
          <w:lang w:val="en-GB"/>
        </w:rPr>
      </w:pPr>
    </w:p>
    <w:p w14:paraId="125DFCAF" w14:textId="77777777" w:rsidR="0064287A" w:rsidRPr="0064287A" w:rsidRDefault="0064287A" w:rsidP="0064287A">
      <w:pPr>
        <w:jc w:val="both"/>
        <w:rPr>
          <w:sz w:val="22"/>
          <w:szCs w:val="22"/>
          <w:lang w:val="en-GB"/>
        </w:rPr>
      </w:pPr>
      <w:r w:rsidRPr="0064287A">
        <w:rPr>
          <w:sz w:val="22"/>
          <w:szCs w:val="22"/>
          <w:lang w:val="en-GB"/>
        </w:rPr>
        <w:t xml:space="preserve">In 2014, IVTL bought CEC from the government for </w:t>
      </w:r>
      <w:r w:rsidRPr="0064287A">
        <w:rPr>
          <w:rFonts w:ascii="Arial" w:hAnsi="Arial" w:cs="Arial"/>
          <w:bCs/>
          <w:shd w:val="clear" w:color="auto" w:fill="FFFFFF"/>
          <w:lang w:val="en-GB"/>
        </w:rPr>
        <w:t>₹</w:t>
      </w:r>
      <w:r w:rsidRPr="0064287A">
        <w:rPr>
          <w:sz w:val="22"/>
          <w:szCs w:val="22"/>
          <w:lang w:val="en-GB"/>
        </w:rPr>
        <w:t>20.2 million for the purpose of setting up any new project the company might find suitable for its growth. After taking over CEC, IVTL nominated two of its directors to become board members of CEC.</w:t>
      </w:r>
    </w:p>
    <w:p w14:paraId="3AB37DC5" w14:textId="77777777" w:rsidR="0064287A" w:rsidRPr="0064287A" w:rsidRDefault="0064287A" w:rsidP="0064287A">
      <w:pPr>
        <w:jc w:val="both"/>
        <w:rPr>
          <w:szCs w:val="22"/>
          <w:lang w:val="en-GB"/>
        </w:rPr>
      </w:pPr>
    </w:p>
    <w:p w14:paraId="12ECD140" w14:textId="77777777" w:rsidR="0064287A" w:rsidRPr="0064287A" w:rsidRDefault="0064287A" w:rsidP="0064287A">
      <w:pPr>
        <w:jc w:val="both"/>
        <w:rPr>
          <w:sz w:val="22"/>
          <w:szCs w:val="22"/>
          <w:lang w:val="en-GB"/>
        </w:rPr>
      </w:pPr>
      <w:r w:rsidRPr="0064287A">
        <w:rPr>
          <w:sz w:val="22"/>
          <w:szCs w:val="22"/>
          <w:lang w:val="en-GB"/>
        </w:rPr>
        <w:t>In 2015, IVTL envisaged establishing an OFC plant in CEC, and it entrusted Agarwal with the task of preparing a comprehensive proposal for the project.</w:t>
      </w:r>
    </w:p>
    <w:p w14:paraId="22244032" w14:textId="77777777" w:rsidR="0064287A" w:rsidRPr="0064287A" w:rsidRDefault="0064287A" w:rsidP="0064287A">
      <w:pPr>
        <w:jc w:val="both"/>
        <w:rPr>
          <w:szCs w:val="22"/>
          <w:lang w:val="en-GB"/>
        </w:rPr>
      </w:pPr>
    </w:p>
    <w:p w14:paraId="63BF7DA0" w14:textId="77777777" w:rsidR="0064287A" w:rsidRPr="0064287A" w:rsidRDefault="0064287A" w:rsidP="0064287A">
      <w:pPr>
        <w:jc w:val="both"/>
        <w:rPr>
          <w:szCs w:val="22"/>
          <w:lang w:val="en-GB"/>
        </w:rPr>
      </w:pPr>
    </w:p>
    <w:p w14:paraId="44435D8F"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t>OPTICAL FIBRE CABLE</w:t>
      </w:r>
    </w:p>
    <w:p w14:paraId="67690925" w14:textId="77777777" w:rsidR="0064287A" w:rsidRPr="0064287A" w:rsidRDefault="0064287A" w:rsidP="0064287A">
      <w:pPr>
        <w:jc w:val="both"/>
        <w:rPr>
          <w:szCs w:val="22"/>
          <w:lang w:val="en-GB"/>
        </w:rPr>
      </w:pPr>
    </w:p>
    <w:p w14:paraId="4390B43F" w14:textId="03508812" w:rsidR="0064287A" w:rsidRPr="0064287A" w:rsidRDefault="0064287A" w:rsidP="0064287A">
      <w:pPr>
        <w:jc w:val="both"/>
        <w:rPr>
          <w:sz w:val="22"/>
          <w:szCs w:val="22"/>
          <w:lang w:val="en-GB"/>
        </w:rPr>
      </w:pPr>
      <w:r w:rsidRPr="0064287A">
        <w:rPr>
          <w:sz w:val="22"/>
          <w:szCs w:val="22"/>
          <w:lang w:val="en-GB"/>
        </w:rPr>
        <w:t>An OFC consisted of a bundle of glass threads called optical fibres, each of which was capable of transmitting data that had been converted into light waves. An optical fibre had a core, composed of the light-carrying fibres, and a cladding—a layer of material surrounding the core, selected for its ability to keep the light within the cable by reflecting the light back into the core (a phenomenon known as total internal reflection). An OFC was coated with a plastic film and encased in a protective tube suitable for the environment where the cable would be deployed. An OFC allowed the transmission of voice, data, or video over distances from less than a metre to hundreds of km. See Exhibit 2 for a process flow diagram of the manufacturing of an OFC.</w:t>
      </w:r>
      <w:bookmarkStart w:id="0" w:name="_GoBack"/>
      <w:bookmarkEnd w:id="0"/>
    </w:p>
    <w:p w14:paraId="215FACA1" w14:textId="77777777" w:rsidR="0064287A" w:rsidRPr="0064287A" w:rsidRDefault="0064287A" w:rsidP="0064287A">
      <w:pPr>
        <w:jc w:val="both"/>
        <w:rPr>
          <w:szCs w:val="22"/>
          <w:lang w:val="en-GB"/>
        </w:rPr>
      </w:pPr>
    </w:p>
    <w:p w14:paraId="6E6E6ADC" w14:textId="77777777" w:rsidR="0064287A" w:rsidRPr="0064287A" w:rsidRDefault="0064287A" w:rsidP="0064287A">
      <w:pPr>
        <w:jc w:val="both"/>
        <w:rPr>
          <w:sz w:val="22"/>
          <w:szCs w:val="22"/>
          <w:lang w:val="en-GB"/>
        </w:rPr>
      </w:pPr>
      <w:r w:rsidRPr="0064287A">
        <w:rPr>
          <w:sz w:val="22"/>
          <w:szCs w:val="22"/>
          <w:lang w:val="en-GB"/>
        </w:rPr>
        <w:t xml:space="preserve">An OFC had many advantages over conventional copper wire cable. An OFC offered greater bandwidth to carry more data, allowed digital transmission of data at the speed of light, was thinner and lighter in weight, </w:t>
      </w:r>
      <w:r w:rsidRPr="0064287A">
        <w:rPr>
          <w:sz w:val="22"/>
          <w:szCs w:val="22"/>
          <w:lang w:val="en-GB"/>
        </w:rPr>
        <w:lastRenderedPageBreak/>
        <w:t>and was less susceptible to electromagnetic interference than copper wire cable. In 2016, copper wire cable was used to transmit data for medium distances and covered the last mile to connect homes to a telecom network. Specific types of OFC cables were used for different applications, such as direct burial in trenches, installation in conduits, lashing to aerial telephone poles, and insertion in paved streets.</w:t>
      </w:r>
    </w:p>
    <w:p w14:paraId="1D0679FA" w14:textId="77777777" w:rsidR="0064287A" w:rsidRPr="0064287A" w:rsidRDefault="0064287A" w:rsidP="0064287A">
      <w:pPr>
        <w:jc w:val="both"/>
        <w:rPr>
          <w:szCs w:val="22"/>
          <w:lang w:val="en-GB"/>
        </w:rPr>
      </w:pPr>
    </w:p>
    <w:p w14:paraId="1C822FA2" w14:textId="77777777" w:rsidR="0064287A" w:rsidRPr="0064287A" w:rsidRDefault="0064287A" w:rsidP="0064287A">
      <w:pPr>
        <w:jc w:val="both"/>
        <w:rPr>
          <w:szCs w:val="22"/>
          <w:lang w:val="en-GB"/>
        </w:rPr>
      </w:pPr>
    </w:p>
    <w:p w14:paraId="496A1C17"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t>OPTICAL FIBRE CABLE INDUSTRY IN INDIA</w:t>
      </w:r>
    </w:p>
    <w:p w14:paraId="06C467B7" w14:textId="77777777" w:rsidR="0064287A" w:rsidRPr="0064287A" w:rsidRDefault="0064287A" w:rsidP="0064287A">
      <w:pPr>
        <w:jc w:val="both"/>
        <w:rPr>
          <w:szCs w:val="22"/>
          <w:lang w:val="en-GB"/>
        </w:rPr>
      </w:pPr>
    </w:p>
    <w:p w14:paraId="37CB844A" w14:textId="77777777" w:rsidR="0064287A" w:rsidRPr="0064287A" w:rsidRDefault="0064287A" w:rsidP="0064287A">
      <w:pPr>
        <w:jc w:val="both"/>
        <w:rPr>
          <w:sz w:val="22"/>
          <w:szCs w:val="22"/>
          <w:lang w:val="en-GB"/>
        </w:rPr>
      </w:pPr>
      <w:r w:rsidRPr="0064287A">
        <w:rPr>
          <w:sz w:val="22"/>
          <w:szCs w:val="22"/>
          <w:lang w:val="en-GB"/>
        </w:rPr>
        <w:t xml:space="preserve">The market size of the OFC industry in India was </w:t>
      </w:r>
      <w:r w:rsidRPr="0064287A">
        <w:rPr>
          <w:rFonts w:ascii="Arial" w:hAnsi="Arial" w:cs="Arial"/>
          <w:bCs/>
          <w:shd w:val="clear" w:color="auto" w:fill="FFFFFF"/>
          <w:lang w:val="en-GB"/>
        </w:rPr>
        <w:t>₹</w:t>
      </w:r>
      <w:r w:rsidRPr="0064287A">
        <w:rPr>
          <w:sz w:val="22"/>
          <w:szCs w:val="22"/>
          <w:lang w:val="en-GB"/>
        </w:rPr>
        <w:t xml:space="preserve">12 billion in FY 2014/15. It was expected to grow at a compound annual growth rate of 15 per cent for </w:t>
      </w:r>
      <w:r w:rsidRPr="0064287A">
        <w:rPr>
          <w:sz w:val="22"/>
          <w:szCs w:val="22"/>
          <w:lang w:val="en-CA"/>
        </w:rPr>
        <w:t>the</w:t>
      </w:r>
      <w:r w:rsidRPr="0064287A">
        <w:rPr>
          <w:sz w:val="22"/>
          <w:szCs w:val="22"/>
          <w:lang w:val="en-GB"/>
        </w:rPr>
        <w:t xml:space="preserve"> next five to six years, and was estimated to reach </w:t>
      </w:r>
      <w:r w:rsidRPr="0064287A">
        <w:rPr>
          <w:rFonts w:ascii="Arial" w:hAnsi="Arial" w:cs="Arial"/>
          <w:bCs/>
          <w:shd w:val="clear" w:color="auto" w:fill="FFFFFF"/>
          <w:lang w:val="en-GB"/>
        </w:rPr>
        <w:t>₹</w:t>
      </w:r>
      <w:r w:rsidRPr="0064287A">
        <w:rPr>
          <w:sz w:val="22"/>
          <w:szCs w:val="22"/>
          <w:lang w:val="en-GB"/>
        </w:rPr>
        <w:t>28 billion by 2020.</w:t>
      </w:r>
      <w:r w:rsidRPr="0064287A">
        <w:rPr>
          <w:sz w:val="22"/>
          <w:szCs w:val="22"/>
          <w:vertAlign w:val="superscript"/>
          <w:lang w:val="en-GB"/>
        </w:rPr>
        <w:footnoteReference w:id="3"/>
      </w:r>
      <w:r w:rsidRPr="0064287A">
        <w:rPr>
          <w:sz w:val="22"/>
          <w:szCs w:val="22"/>
          <w:lang w:val="en-GB"/>
        </w:rPr>
        <w:t xml:space="preserve"> Government initiatives like the National Optical Fibre Network envisaged that retail broadband services would be available to all households at very reasonable rates; the budget for this initiative was </w:t>
      </w:r>
      <w:r w:rsidRPr="0064287A">
        <w:rPr>
          <w:rFonts w:ascii="Arial" w:hAnsi="Arial" w:cs="Arial"/>
          <w:bCs/>
          <w:shd w:val="clear" w:color="auto" w:fill="FFFFFF"/>
          <w:lang w:val="en-GB"/>
        </w:rPr>
        <w:t>₹</w:t>
      </w:r>
      <w:r w:rsidRPr="0064287A">
        <w:rPr>
          <w:sz w:val="22"/>
          <w:szCs w:val="22"/>
          <w:lang w:val="en-GB"/>
        </w:rPr>
        <w:t>720 billion over the next 10 years.</w:t>
      </w:r>
      <w:r w:rsidRPr="0064287A">
        <w:rPr>
          <w:sz w:val="22"/>
          <w:szCs w:val="22"/>
          <w:vertAlign w:val="superscript"/>
          <w:lang w:val="en-GB"/>
        </w:rPr>
        <w:footnoteReference w:id="4"/>
      </w:r>
      <w:r w:rsidRPr="0064287A">
        <w:rPr>
          <w:sz w:val="22"/>
          <w:szCs w:val="22"/>
          <w:lang w:val="en-GB"/>
        </w:rPr>
        <w:t xml:space="preserve"> The Network for Spectrum project for the defence sector and the Digital India program, designed to connect all the villages in India through a telecom network, would further boost the demand for OFC in future.</w:t>
      </w:r>
    </w:p>
    <w:p w14:paraId="159ED630" w14:textId="77777777" w:rsidR="0064287A" w:rsidRPr="0064287A" w:rsidRDefault="0064287A" w:rsidP="0064287A">
      <w:pPr>
        <w:jc w:val="both"/>
        <w:rPr>
          <w:szCs w:val="22"/>
          <w:lang w:val="en-GB"/>
        </w:rPr>
      </w:pPr>
    </w:p>
    <w:p w14:paraId="098BB7F9" w14:textId="77777777" w:rsidR="0064287A" w:rsidRPr="0064287A" w:rsidRDefault="0064287A" w:rsidP="0064287A">
      <w:pPr>
        <w:keepNext/>
        <w:jc w:val="both"/>
        <w:rPr>
          <w:spacing w:val="-2"/>
          <w:sz w:val="22"/>
          <w:szCs w:val="22"/>
          <w:lang w:val="en-GB"/>
        </w:rPr>
      </w:pPr>
      <w:r w:rsidRPr="0064287A">
        <w:rPr>
          <w:spacing w:val="-2"/>
          <w:sz w:val="22"/>
          <w:szCs w:val="22"/>
          <w:lang w:val="en-GB"/>
        </w:rPr>
        <w:t>India was the second-largest telecom market in the world, with the third-largest population of Internet users. In FY 2014/15, demand for OFC was generated by telecom service providers (60 per cent), cable television operators (25 per cent), and the government (15 per cent).</w:t>
      </w:r>
      <w:r w:rsidRPr="0064287A">
        <w:rPr>
          <w:spacing w:val="-2"/>
          <w:sz w:val="22"/>
          <w:szCs w:val="22"/>
          <w:vertAlign w:val="superscript"/>
          <w:lang w:val="en-GB"/>
        </w:rPr>
        <w:footnoteReference w:id="5"/>
      </w:r>
      <w:r w:rsidRPr="0064287A">
        <w:rPr>
          <w:spacing w:val="-2"/>
          <w:sz w:val="22"/>
          <w:szCs w:val="22"/>
          <w:lang w:val="en-GB"/>
        </w:rPr>
        <w:t xml:space="preserve"> The main telecom service providers were Reliance </w:t>
      </w:r>
      <w:proofErr w:type="spellStart"/>
      <w:r w:rsidRPr="0064287A">
        <w:rPr>
          <w:spacing w:val="-2"/>
          <w:sz w:val="22"/>
          <w:szCs w:val="22"/>
          <w:lang w:val="en-GB"/>
        </w:rPr>
        <w:t>Jio</w:t>
      </w:r>
      <w:proofErr w:type="spellEnd"/>
      <w:r w:rsidRPr="0064287A">
        <w:rPr>
          <w:spacing w:val="-2"/>
          <w:sz w:val="22"/>
          <w:szCs w:val="22"/>
          <w:lang w:val="en-GB"/>
        </w:rPr>
        <w:t xml:space="preserve"> </w:t>
      </w:r>
      <w:proofErr w:type="spellStart"/>
      <w:r w:rsidRPr="0064287A">
        <w:rPr>
          <w:spacing w:val="-2"/>
          <w:sz w:val="22"/>
          <w:szCs w:val="22"/>
          <w:lang w:val="en-GB"/>
        </w:rPr>
        <w:t>Infocomm</w:t>
      </w:r>
      <w:proofErr w:type="spellEnd"/>
      <w:r w:rsidRPr="0064287A">
        <w:rPr>
          <w:spacing w:val="-2"/>
          <w:sz w:val="22"/>
          <w:szCs w:val="22"/>
          <w:lang w:val="en-GB"/>
        </w:rPr>
        <w:t xml:space="preserve"> Ltd., Vodafone Group Plc, Airtel India, Idea Cellular Ltd., </w:t>
      </w:r>
      <w:proofErr w:type="spellStart"/>
      <w:r w:rsidRPr="0064287A">
        <w:rPr>
          <w:spacing w:val="-2"/>
          <w:sz w:val="22"/>
          <w:szCs w:val="22"/>
          <w:lang w:val="en-GB"/>
        </w:rPr>
        <w:t>Mahanagar</w:t>
      </w:r>
      <w:proofErr w:type="spellEnd"/>
      <w:r w:rsidRPr="0064287A">
        <w:rPr>
          <w:spacing w:val="-2"/>
          <w:sz w:val="22"/>
          <w:szCs w:val="22"/>
          <w:lang w:val="en-GB"/>
        </w:rPr>
        <w:t xml:space="preserve"> Telephone Nigam Ltd. (MTNL), and Bharat Sanchar Nigam Ltd. (BSNL). They used OFC mainly in upgrading their networks from second generation (2G) to third and fourth generation (3G and 4G) data technology.</w:t>
      </w:r>
      <w:r w:rsidRPr="0064287A">
        <w:rPr>
          <w:spacing w:val="-2"/>
          <w:sz w:val="22"/>
          <w:szCs w:val="22"/>
          <w:vertAlign w:val="superscript"/>
          <w:lang w:val="en-GB"/>
        </w:rPr>
        <w:footnoteReference w:id="6"/>
      </w:r>
    </w:p>
    <w:p w14:paraId="501D7857" w14:textId="77777777" w:rsidR="0064287A" w:rsidRPr="0064287A" w:rsidRDefault="0064287A" w:rsidP="0064287A">
      <w:pPr>
        <w:jc w:val="both"/>
        <w:rPr>
          <w:szCs w:val="22"/>
          <w:lang w:val="en-GB"/>
        </w:rPr>
      </w:pPr>
    </w:p>
    <w:p w14:paraId="159E73E1" w14:textId="77777777" w:rsidR="0064287A" w:rsidRPr="0064287A" w:rsidRDefault="0064287A" w:rsidP="0064287A">
      <w:pPr>
        <w:jc w:val="both"/>
        <w:rPr>
          <w:sz w:val="22"/>
          <w:szCs w:val="22"/>
          <w:lang w:val="en-GB"/>
        </w:rPr>
      </w:pPr>
      <w:r w:rsidRPr="0064287A">
        <w:rPr>
          <w:sz w:val="22"/>
          <w:szCs w:val="22"/>
          <w:lang w:val="en-GB"/>
        </w:rPr>
        <w:t>In terms of volume, OFC production showed robust growth of 48 per cent in FY 2014/15 (412,500 km) over FY 2013/14 (279,400 km),—the result of catering to the surging domestic demand for, and growing exports of OFC.</w:t>
      </w:r>
      <w:r w:rsidRPr="0064287A">
        <w:rPr>
          <w:sz w:val="22"/>
          <w:szCs w:val="22"/>
          <w:vertAlign w:val="superscript"/>
          <w:lang w:val="en-GB"/>
        </w:rPr>
        <w:footnoteReference w:id="7"/>
      </w:r>
      <w:r w:rsidRPr="0064287A">
        <w:rPr>
          <w:sz w:val="22"/>
          <w:szCs w:val="22"/>
          <w:lang w:val="en-GB"/>
        </w:rPr>
        <w:t xml:space="preserve"> Domestic demand was expected to grow to 1,000,000 km by 2020.</w:t>
      </w:r>
      <w:r w:rsidRPr="0064287A">
        <w:rPr>
          <w:sz w:val="22"/>
          <w:szCs w:val="22"/>
          <w:vertAlign w:val="superscript"/>
          <w:lang w:val="en-GB"/>
        </w:rPr>
        <w:footnoteReference w:id="8"/>
      </w:r>
      <w:r w:rsidRPr="0064287A">
        <w:rPr>
          <w:sz w:val="22"/>
          <w:szCs w:val="22"/>
          <w:lang w:val="en-GB"/>
        </w:rPr>
        <w:t xml:space="preserve"> This meant there would be a significant gap between supply and demand for OFC in India for the next few years.</w:t>
      </w:r>
    </w:p>
    <w:p w14:paraId="7AD04325" w14:textId="77777777" w:rsidR="0064287A" w:rsidRPr="0064287A" w:rsidRDefault="0064287A" w:rsidP="0064287A">
      <w:pPr>
        <w:jc w:val="both"/>
        <w:rPr>
          <w:i/>
          <w:szCs w:val="22"/>
          <w:lang w:val="en-GB"/>
        </w:rPr>
      </w:pPr>
    </w:p>
    <w:p w14:paraId="22ACDC6D" w14:textId="77777777" w:rsidR="0064287A" w:rsidRPr="0064287A" w:rsidRDefault="0064287A" w:rsidP="0064287A">
      <w:pPr>
        <w:jc w:val="both"/>
        <w:rPr>
          <w:i/>
          <w:szCs w:val="22"/>
          <w:lang w:val="en-GB"/>
        </w:rPr>
      </w:pPr>
    </w:p>
    <w:p w14:paraId="5C911059" w14:textId="77777777" w:rsidR="0064287A" w:rsidRPr="0064287A" w:rsidRDefault="0064287A" w:rsidP="0064287A">
      <w:pPr>
        <w:keepNext/>
        <w:jc w:val="both"/>
        <w:rPr>
          <w:rFonts w:ascii="Arial" w:hAnsi="Arial" w:cs="Arial"/>
          <w:b/>
          <w:lang w:val="en-GB"/>
        </w:rPr>
      </w:pPr>
      <w:r w:rsidRPr="0064287A">
        <w:rPr>
          <w:rFonts w:ascii="Arial" w:hAnsi="Arial" w:cs="Arial"/>
          <w:b/>
          <w:lang w:val="en-GB"/>
        </w:rPr>
        <w:t>Competitive Landscape</w:t>
      </w:r>
    </w:p>
    <w:p w14:paraId="442CFC80" w14:textId="77777777" w:rsidR="0064287A" w:rsidRPr="0064287A" w:rsidRDefault="0064287A" w:rsidP="0064287A">
      <w:pPr>
        <w:jc w:val="both"/>
        <w:rPr>
          <w:szCs w:val="22"/>
          <w:lang w:val="en-GB"/>
        </w:rPr>
      </w:pPr>
    </w:p>
    <w:p w14:paraId="0CDF8FFF" w14:textId="77777777" w:rsidR="0064287A" w:rsidRPr="0064287A" w:rsidRDefault="0064287A" w:rsidP="0064287A">
      <w:pPr>
        <w:jc w:val="both"/>
        <w:rPr>
          <w:sz w:val="22"/>
          <w:szCs w:val="22"/>
          <w:lang w:val="en-GB"/>
        </w:rPr>
      </w:pPr>
      <w:r w:rsidRPr="0064287A">
        <w:rPr>
          <w:sz w:val="22"/>
          <w:szCs w:val="22"/>
          <w:lang w:val="en-GB"/>
        </w:rPr>
        <w:t xml:space="preserve">Fourteen companies were manufacturing OFC in both the organized and the unorganized sectors. According to market share, the major players in the industry were Sterlite Technologies (31 per cent), </w:t>
      </w:r>
      <w:proofErr w:type="spellStart"/>
      <w:r w:rsidRPr="0064287A">
        <w:rPr>
          <w:sz w:val="22"/>
          <w:szCs w:val="22"/>
          <w:lang w:val="en-GB"/>
        </w:rPr>
        <w:t>Finolex</w:t>
      </w:r>
      <w:proofErr w:type="spellEnd"/>
      <w:r w:rsidRPr="0064287A">
        <w:rPr>
          <w:sz w:val="22"/>
          <w:szCs w:val="22"/>
          <w:lang w:val="en-GB"/>
        </w:rPr>
        <w:t xml:space="preserve"> Cables Ltd. (22 per cent), </w:t>
      </w:r>
      <w:proofErr w:type="spellStart"/>
      <w:r w:rsidRPr="0064287A">
        <w:rPr>
          <w:sz w:val="22"/>
          <w:szCs w:val="22"/>
          <w:lang w:val="en-GB"/>
        </w:rPr>
        <w:t>Aksh</w:t>
      </w:r>
      <w:proofErr w:type="spellEnd"/>
      <w:r w:rsidRPr="0064287A">
        <w:rPr>
          <w:sz w:val="22"/>
          <w:szCs w:val="22"/>
          <w:lang w:val="en-GB"/>
        </w:rPr>
        <w:t xml:space="preserve"> </w:t>
      </w:r>
      <w:proofErr w:type="spellStart"/>
      <w:r w:rsidRPr="0064287A">
        <w:rPr>
          <w:sz w:val="22"/>
          <w:szCs w:val="22"/>
          <w:lang w:val="en-GB"/>
        </w:rPr>
        <w:t>OptiFibre</w:t>
      </w:r>
      <w:proofErr w:type="spellEnd"/>
      <w:r w:rsidRPr="0064287A">
        <w:rPr>
          <w:sz w:val="22"/>
          <w:szCs w:val="22"/>
          <w:lang w:val="en-GB"/>
        </w:rPr>
        <w:t xml:space="preserve"> Ltd. (12 per cent), Paramount Communications Ltd. (10 per cent), U M Cables Ltd. (8 per cent), IVTL (7 per cent), and others (10 per cent).</w:t>
      </w:r>
      <w:r w:rsidRPr="0064287A">
        <w:rPr>
          <w:sz w:val="22"/>
          <w:szCs w:val="22"/>
          <w:vertAlign w:val="superscript"/>
          <w:lang w:val="en-GB"/>
        </w:rPr>
        <w:footnoteReference w:id="9"/>
      </w:r>
    </w:p>
    <w:p w14:paraId="77A3E6C6" w14:textId="77777777" w:rsidR="0064287A" w:rsidRPr="0064287A" w:rsidRDefault="0064287A" w:rsidP="0064287A">
      <w:pPr>
        <w:jc w:val="both"/>
        <w:rPr>
          <w:szCs w:val="22"/>
          <w:lang w:val="en-GB"/>
        </w:rPr>
      </w:pPr>
    </w:p>
    <w:p w14:paraId="65D94286" w14:textId="77777777" w:rsidR="0064287A" w:rsidRPr="0064287A" w:rsidRDefault="0064287A" w:rsidP="0064287A">
      <w:pPr>
        <w:jc w:val="both"/>
        <w:rPr>
          <w:sz w:val="22"/>
          <w:szCs w:val="22"/>
          <w:lang w:val="en-GB"/>
        </w:rPr>
      </w:pPr>
      <w:r w:rsidRPr="0064287A">
        <w:rPr>
          <w:sz w:val="22"/>
          <w:szCs w:val="22"/>
          <w:lang w:val="en-GB"/>
        </w:rPr>
        <w:t xml:space="preserve">Indian manufacturers were competitive in terms of both price and quality compared to the global players, so there was considerable scope to export OFC internationally. In FY 2014/15, India exported 40 per cent of its production to other countries, including the United States, the United Kingdom, Poland, Turkey, Germany, and Saudi Arabia. In the same year, imports from countries, including China, the United States, </w:t>
      </w:r>
      <w:r w:rsidRPr="0064287A">
        <w:rPr>
          <w:sz w:val="22"/>
          <w:szCs w:val="22"/>
          <w:lang w:val="en-GB"/>
        </w:rPr>
        <w:lastRenderedPageBreak/>
        <w:t>Japan, South Korea, and Canada, met 20 per cent of India’s total domestic demand.</w:t>
      </w:r>
      <w:r w:rsidRPr="0064287A">
        <w:rPr>
          <w:sz w:val="22"/>
          <w:szCs w:val="22"/>
          <w:vertAlign w:val="superscript"/>
          <w:lang w:val="en-GB"/>
        </w:rPr>
        <w:footnoteReference w:id="10"/>
      </w:r>
      <w:r w:rsidRPr="0064287A">
        <w:rPr>
          <w:sz w:val="22"/>
          <w:szCs w:val="22"/>
          <w:lang w:val="en-GB"/>
        </w:rPr>
        <w:t xml:space="preserve"> Overall, India had become a net exporter of OFC to the rest of the world.</w:t>
      </w:r>
    </w:p>
    <w:p w14:paraId="5AD9ED9D" w14:textId="77777777" w:rsidR="0064287A" w:rsidRPr="0064287A" w:rsidRDefault="0064287A" w:rsidP="0064287A">
      <w:pPr>
        <w:jc w:val="both"/>
        <w:rPr>
          <w:szCs w:val="22"/>
          <w:lang w:val="en-GB"/>
        </w:rPr>
      </w:pPr>
    </w:p>
    <w:p w14:paraId="757D7F31" w14:textId="77777777" w:rsidR="0064287A" w:rsidRPr="0064287A" w:rsidRDefault="0064287A" w:rsidP="0064287A">
      <w:pPr>
        <w:jc w:val="both"/>
        <w:rPr>
          <w:szCs w:val="22"/>
          <w:lang w:val="en-GB"/>
        </w:rPr>
      </w:pPr>
    </w:p>
    <w:p w14:paraId="6A856EDD"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t>THE PROJECT</w:t>
      </w:r>
    </w:p>
    <w:p w14:paraId="1BFAFC10" w14:textId="77777777" w:rsidR="0064287A" w:rsidRPr="0064287A" w:rsidRDefault="0064287A" w:rsidP="0064287A">
      <w:pPr>
        <w:jc w:val="both"/>
        <w:rPr>
          <w:szCs w:val="22"/>
          <w:lang w:val="en-GB"/>
        </w:rPr>
      </w:pPr>
    </w:p>
    <w:p w14:paraId="06A4BB3F" w14:textId="77777777" w:rsidR="0064287A" w:rsidRPr="0064287A" w:rsidRDefault="0064287A" w:rsidP="0064287A">
      <w:pPr>
        <w:jc w:val="both"/>
        <w:rPr>
          <w:sz w:val="22"/>
          <w:szCs w:val="22"/>
          <w:lang w:val="en-GB"/>
        </w:rPr>
      </w:pPr>
      <w:r w:rsidRPr="0064287A">
        <w:rPr>
          <w:sz w:val="22"/>
          <w:szCs w:val="22"/>
          <w:lang w:val="en-GB"/>
        </w:rPr>
        <w:t>IVTL would begin commissioning the proposed project in April 2016, once it had been approved by the company’s top management. The existing building would be modified to accommodate the needed plant and machinery. The necessary clearances from the government regarding land and building were already in place. The project would be completed within one year, and the commercial production of OFC would start by April 2017.</w:t>
      </w:r>
    </w:p>
    <w:p w14:paraId="78B013A9" w14:textId="77777777" w:rsidR="0064287A" w:rsidRPr="0064287A" w:rsidRDefault="0064287A" w:rsidP="0064287A">
      <w:pPr>
        <w:jc w:val="both"/>
        <w:rPr>
          <w:szCs w:val="22"/>
          <w:lang w:val="en-GB"/>
        </w:rPr>
      </w:pPr>
    </w:p>
    <w:p w14:paraId="15EF27F1" w14:textId="77777777" w:rsidR="0064287A" w:rsidRPr="0064287A" w:rsidRDefault="0064287A" w:rsidP="0064287A">
      <w:pPr>
        <w:jc w:val="both"/>
        <w:rPr>
          <w:sz w:val="22"/>
          <w:szCs w:val="22"/>
          <w:lang w:val="en-GB"/>
        </w:rPr>
      </w:pPr>
      <w:r w:rsidRPr="0064287A">
        <w:rPr>
          <w:sz w:val="22"/>
          <w:szCs w:val="22"/>
          <w:lang w:val="en-GB"/>
        </w:rPr>
        <w:t xml:space="preserve">The economic life of the project was estimated at five years because OFC was a high-technology product, and the risk of product obsolescence was huge. Also, the OFC industry in India would mature over the next five years because a major part of laying OFC throughout the country would have been completed by then. Accordingly, the company should use the risk-matched hurdle rate to evaluate the project, and the term of the proposed bank loan for the project should be taken as five years. </w:t>
      </w:r>
    </w:p>
    <w:p w14:paraId="12DC119C" w14:textId="77777777" w:rsidR="0064287A" w:rsidRPr="0064287A" w:rsidRDefault="0064287A" w:rsidP="0064287A">
      <w:pPr>
        <w:jc w:val="both"/>
        <w:rPr>
          <w:szCs w:val="22"/>
          <w:lang w:val="en-GB"/>
        </w:rPr>
      </w:pPr>
    </w:p>
    <w:p w14:paraId="1F9C44F9" w14:textId="77777777" w:rsidR="0064287A" w:rsidRPr="0064287A" w:rsidRDefault="0064287A" w:rsidP="0064287A">
      <w:pPr>
        <w:jc w:val="both"/>
        <w:rPr>
          <w:sz w:val="22"/>
          <w:szCs w:val="22"/>
          <w:lang w:val="en-GB"/>
        </w:rPr>
      </w:pPr>
      <w:r w:rsidRPr="0064287A">
        <w:rPr>
          <w:sz w:val="22"/>
          <w:szCs w:val="22"/>
          <w:lang w:val="en-GB"/>
        </w:rPr>
        <w:t xml:space="preserve">CEC would produce four different kinds of OFC for domestic sale and for export (see Exhibit 3). The product mix of different types of OFC produced and sold would be in the ratio of their installed capacity, and this ratio would remain constant. The average selling price realized for the given product mix would be </w:t>
      </w:r>
      <w:r w:rsidRPr="0064287A">
        <w:rPr>
          <w:rFonts w:ascii="Arial" w:hAnsi="Arial" w:cs="Arial"/>
          <w:bCs/>
          <w:shd w:val="clear" w:color="auto" w:fill="FFFFFF"/>
          <w:lang w:val="en-GB"/>
        </w:rPr>
        <w:t>₹</w:t>
      </w:r>
      <w:r w:rsidRPr="0064287A">
        <w:rPr>
          <w:sz w:val="22"/>
          <w:szCs w:val="22"/>
          <w:lang w:val="en-GB"/>
        </w:rPr>
        <w:t>25,775 per km of cable. The net sales realization of OFC would be the same for both domestic sales and exports because it would be based on the OFC prices prevalent in the international market.</w:t>
      </w:r>
    </w:p>
    <w:p w14:paraId="490EB9E1" w14:textId="77777777" w:rsidR="0064287A" w:rsidRPr="0064287A" w:rsidRDefault="0064287A" w:rsidP="0064287A">
      <w:pPr>
        <w:jc w:val="both"/>
        <w:rPr>
          <w:i/>
          <w:szCs w:val="22"/>
          <w:lang w:val="en-GB"/>
        </w:rPr>
      </w:pPr>
    </w:p>
    <w:p w14:paraId="54FDDA22" w14:textId="77777777" w:rsidR="0064287A" w:rsidRPr="0064287A" w:rsidRDefault="0064287A" w:rsidP="0064287A">
      <w:pPr>
        <w:jc w:val="both"/>
        <w:rPr>
          <w:i/>
          <w:szCs w:val="22"/>
          <w:lang w:val="en-GB"/>
        </w:rPr>
      </w:pPr>
    </w:p>
    <w:p w14:paraId="29A62BAF" w14:textId="77777777" w:rsidR="0064287A" w:rsidRPr="0064287A" w:rsidRDefault="0064287A" w:rsidP="0064287A">
      <w:pPr>
        <w:keepNext/>
        <w:jc w:val="both"/>
        <w:rPr>
          <w:rFonts w:ascii="Arial" w:hAnsi="Arial" w:cs="Arial"/>
          <w:b/>
          <w:lang w:val="en-GB"/>
        </w:rPr>
      </w:pPr>
      <w:r w:rsidRPr="0064287A">
        <w:rPr>
          <w:rFonts w:ascii="Arial" w:hAnsi="Arial" w:cs="Arial"/>
          <w:b/>
          <w:lang w:val="en-GB"/>
        </w:rPr>
        <w:t>Marketing and Selling Arrangement</w:t>
      </w:r>
    </w:p>
    <w:p w14:paraId="66E6B08A" w14:textId="77777777" w:rsidR="0064287A" w:rsidRPr="0064287A" w:rsidRDefault="0064287A" w:rsidP="0064287A">
      <w:pPr>
        <w:jc w:val="both"/>
        <w:rPr>
          <w:szCs w:val="22"/>
          <w:lang w:val="en-GB"/>
        </w:rPr>
      </w:pPr>
    </w:p>
    <w:p w14:paraId="3B0F816A" w14:textId="77777777" w:rsidR="0064287A" w:rsidRPr="0064287A" w:rsidRDefault="0064287A" w:rsidP="0064287A">
      <w:pPr>
        <w:jc w:val="both"/>
        <w:rPr>
          <w:sz w:val="22"/>
          <w:szCs w:val="22"/>
          <w:lang w:val="en-GB"/>
        </w:rPr>
      </w:pPr>
      <w:r w:rsidRPr="0064287A">
        <w:rPr>
          <w:sz w:val="22"/>
          <w:szCs w:val="22"/>
          <w:lang w:val="en-GB"/>
        </w:rPr>
        <w:t>CEC did not envisage any problem in selling the OFC that would be made available by the production department after keeping a buffer stock of work-in-progress and finished goods. The buffer stock would be necessary for avoiding stock-outs—and keeping customers happy.</w:t>
      </w:r>
    </w:p>
    <w:p w14:paraId="5CE48CD5" w14:textId="77777777" w:rsidR="0064287A" w:rsidRPr="0064287A" w:rsidRDefault="0064287A" w:rsidP="0064287A">
      <w:pPr>
        <w:jc w:val="both"/>
        <w:rPr>
          <w:szCs w:val="22"/>
          <w:lang w:val="en-GB"/>
        </w:rPr>
      </w:pPr>
    </w:p>
    <w:p w14:paraId="46FBB29A" w14:textId="77777777" w:rsidR="0064287A" w:rsidRPr="0064287A" w:rsidRDefault="0064287A" w:rsidP="0064287A">
      <w:pPr>
        <w:jc w:val="both"/>
        <w:rPr>
          <w:sz w:val="22"/>
          <w:szCs w:val="22"/>
          <w:lang w:val="en-GB"/>
        </w:rPr>
      </w:pPr>
      <w:r w:rsidRPr="0064287A">
        <w:rPr>
          <w:sz w:val="22"/>
          <w:szCs w:val="22"/>
          <w:lang w:val="en-GB"/>
        </w:rPr>
        <w:t xml:space="preserve">The company had entered into an agreement with Reliance </w:t>
      </w:r>
      <w:proofErr w:type="spellStart"/>
      <w:r w:rsidRPr="0064287A">
        <w:rPr>
          <w:sz w:val="22"/>
          <w:szCs w:val="22"/>
          <w:lang w:val="en-GB"/>
        </w:rPr>
        <w:t>Jio</w:t>
      </w:r>
      <w:proofErr w:type="spellEnd"/>
      <w:r w:rsidRPr="0064287A">
        <w:rPr>
          <w:sz w:val="22"/>
          <w:szCs w:val="22"/>
          <w:lang w:val="en-GB"/>
        </w:rPr>
        <w:t xml:space="preserve"> </w:t>
      </w:r>
      <w:proofErr w:type="spellStart"/>
      <w:r w:rsidRPr="0064287A">
        <w:rPr>
          <w:sz w:val="22"/>
          <w:szCs w:val="22"/>
          <w:lang w:val="en-GB"/>
        </w:rPr>
        <w:t>Infocomm</w:t>
      </w:r>
      <w:proofErr w:type="spellEnd"/>
      <w:r w:rsidRPr="0064287A">
        <w:rPr>
          <w:sz w:val="22"/>
          <w:szCs w:val="22"/>
          <w:lang w:val="en-GB"/>
        </w:rPr>
        <w:t xml:space="preserve"> Ltd. to sell 30 per cent of CEC’s production of OFC on a monthly basis. CEC would also bid for tenders floated by the government, and it would use the parent company’s experience in selling OFC. The company would be able to secure customers without much difficulty because of the gap between supply and demand in the OFC market. The company also planned to export 15 per cent of its production to make inroads in the international market. Because the company was situated near a port, it would not face many logistical problems in exporting its products to countries throughout the world.</w:t>
      </w:r>
    </w:p>
    <w:p w14:paraId="40FF9503" w14:textId="77777777" w:rsidR="0064287A" w:rsidRPr="0064287A" w:rsidRDefault="0064287A" w:rsidP="0064287A">
      <w:pPr>
        <w:jc w:val="both"/>
        <w:rPr>
          <w:i/>
          <w:szCs w:val="22"/>
          <w:lang w:val="en-GB"/>
        </w:rPr>
      </w:pPr>
    </w:p>
    <w:p w14:paraId="2804707A" w14:textId="77777777" w:rsidR="0064287A" w:rsidRPr="0064287A" w:rsidRDefault="0064287A" w:rsidP="0064287A">
      <w:pPr>
        <w:jc w:val="both"/>
        <w:rPr>
          <w:i/>
          <w:szCs w:val="22"/>
          <w:lang w:val="en-GB"/>
        </w:rPr>
      </w:pPr>
    </w:p>
    <w:p w14:paraId="4D5BD0BC" w14:textId="77777777" w:rsidR="0064287A" w:rsidRPr="0064287A" w:rsidRDefault="0064287A" w:rsidP="0064287A">
      <w:pPr>
        <w:jc w:val="both"/>
        <w:rPr>
          <w:rFonts w:ascii="Arial" w:hAnsi="Arial" w:cs="Arial"/>
          <w:b/>
          <w:lang w:val="en-GB"/>
        </w:rPr>
      </w:pPr>
      <w:r w:rsidRPr="0064287A">
        <w:rPr>
          <w:rFonts w:ascii="Arial" w:hAnsi="Arial" w:cs="Arial"/>
          <w:b/>
          <w:lang w:val="en-GB"/>
        </w:rPr>
        <w:t>Raw Materials</w:t>
      </w:r>
    </w:p>
    <w:p w14:paraId="5663A306" w14:textId="77777777" w:rsidR="0064287A" w:rsidRPr="0064287A" w:rsidRDefault="0064287A" w:rsidP="0064287A">
      <w:pPr>
        <w:jc w:val="both"/>
        <w:rPr>
          <w:sz w:val="22"/>
          <w:szCs w:val="22"/>
          <w:lang w:val="en-GB"/>
        </w:rPr>
      </w:pPr>
    </w:p>
    <w:p w14:paraId="4771F824" w14:textId="77777777" w:rsidR="0064287A" w:rsidRPr="0064287A" w:rsidRDefault="0064287A" w:rsidP="0064287A">
      <w:pPr>
        <w:jc w:val="both"/>
        <w:rPr>
          <w:sz w:val="22"/>
          <w:szCs w:val="22"/>
          <w:lang w:val="en-GB"/>
        </w:rPr>
      </w:pPr>
      <w:r w:rsidRPr="0064287A">
        <w:rPr>
          <w:sz w:val="22"/>
          <w:szCs w:val="22"/>
          <w:lang w:val="en-GB"/>
        </w:rPr>
        <w:t xml:space="preserve">CEC would use both imported and domestic raw materials. The main raw materials to be imported were fibre, amorphous nylon, cable filling compounds, and nylon 12. The raw materials to be procured domestically were colouring inks, fibre-reinforced plastic rod, low-density polyethylene granules, high-density polyethylene granules, and wooden drums. The company would not encounter problems in importing raw materials because of its proximity to the port. Both imported and indigenous raw materials were available in sufficient quantities from reputed vendors. </w:t>
      </w:r>
    </w:p>
    <w:p w14:paraId="7A496A8C" w14:textId="77777777" w:rsidR="0064287A" w:rsidRPr="0064287A" w:rsidRDefault="0064287A" w:rsidP="0064287A">
      <w:pPr>
        <w:keepNext/>
        <w:jc w:val="both"/>
        <w:rPr>
          <w:rFonts w:ascii="Arial" w:hAnsi="Arial" w:cs="Arial"/>
          <w:b/>
          <w:caps/>
          <w:lang w:val="en-GB"/>
        </w:rPr>
      </w:pPr>
      <w:r w:rsidRPr="0064287A">
        <w:rPr>
          <w:rFonts w:ascii="Arial" w:hAnsi="Arial" w:cs="Arial"/>
          <w:b/>
          <w:caps/>
          <w:lang w:val="en-GB"/>
        </w:rPr>
        <w:lastRenderedPageBreak/>
        <w:t>BASIC DATA</w:t>
      </w:r>
    </w:p>
    <w:p w14:paraId="6D896528" w14:textId="77777777" w:rsidR="0064287A" w:rsidRPr="0064287A" w:rsidRDefault="0064287A" w:rsidP="0064287A">
      <w:pPr>
        <w:keepNext/>
        <w:jc w:val="both"/>
        <w:rPr>
          <w:szCs w:val="22"/>
          <w:lang w:val="en-GB"/>
        </w:rPr>
      </w:pPr>
    </w:p>
    <w:p w14:paraId="4AFAA9BD" w14:textId="3E966BDF" w:rsidR="0064287A" w:rsidRPr="0064287A" w:rsidRDefault="0064287A" w:rsidP="0064287A">
      <w:pPr>
        <w:jc w:val="both"/>
        <w:rPr>
          <w:sz w:val="22"/>
          <w:szCs w:val="22"/>
          <w:lang w:val="en-GB"/>
        </w:rPr>
      </w:pPr>
      <w:r w:rsidRPr="0064287A">
        <w:rPr>
          <w:sz w:val="22"/>
          <w:szCs w:val="22"/>
          <w:lang w:val="en-GB"/>
        </w:rPr>
        <w:t xml:space="preserve">See Schedule I to Schedule V of the student spreadsheet (see Ivey product no. </w:t>
      </w:r>
      <w:r w:rsidR="00BB0709">
        <w:rPr>
          <w:sz w:val="22"/>
          <w:szCs w:val="22"/>
          <w:lang w:val="en-GB"/>
        </w:rPr>
        <w:t>7B19N004</w:t>
      </w:r>
      <w:r w:rsidRPr="0064287A">
        <w:rPr>
          <w:sz w:val="22"/>
          <w:szCs w:val="22"/>
          <w:lang w:val="en-GB"/>
        </w:rPr>
        <w:t>) for the preliminary data required for forecasting the income statement and the balance sheet for the project.</w:t>
      </w:r>
    </w:p>
    <w:p w14:paraId="0D4E9B65" w14:textId="77777777" w:rsidR="0064287A" w:rsidRPr="0064287A" w:rsidRDefault="0064287A" w:rsidP="0064287A">
      <w:pPr>
        <w:jc w:val="both"/>
        <w:rPr>
          <w:i/>
          <w:szCs w:val="22"/>
          <w:lang w:val="en-GB"/>
        </w:rPr>
      </w:pPr>
    </w:p>
    <w:p w14:paraId="1BAC1C1A" w14:textId="77777777" w:rsidR="0064287A" w:rsidRPr="0064287A" w:rsidRDefault="0064287A" w:rsidP="0064287A">
      <w:pPr>
        <w:jc w:val="both"/>
        <w:rPr>
          <w:i/>
          <w:szCs w:val="22"/>
          <w:lang w:val="en-GB"/>
        </w:rPr>
      </w:pPr>
    </w:p>
    <w:p w14:paraId="34BEE3F1" w14:textId="77777777" w:rsidR="0064287A" w:rsidRPr="0064287A" w:rsidRDefault="0064287A" w:rsidP="0064287A">
      <w:pPr>
        <w:keepNext/>
        <w:jc w:val="both"/>
        <w:rPr>
          <w:rFonts w:ascii="Arial" w:hAnsi="Arial" w:cs="Arial"/>
          <w:b/>
          <w:lang w:val="en-GB"/>
        </w:rPr>
      </w:pPr>
      <w:r w:rsidRPr="0064287A">
        <w:rPr>
          <w:rFonts w:ascii="Arial" w:hAnsi="Arial" w:cs="Arial"/>
          <w:b/>
          <w:lang w:val="en-GB"/>
        </w:rPr>
        <w:t>Other Assumptions</w:t>
      </w:r>
    </w:p>
    <w:p w14:paraId="1A3B6DDE" w14:textId="77777777" w:rsidR="0064287A" w:rsidRPr="0064287A" w:rsidRDefault="0064287A" w:rsidP="0064287A">
      <w:pPr>
        <w:jc w:val="both"/>
        <w:rPr>
          <w:szCs w:val="22"/>
          <w:lang w:val="en-GB"/>
        </w:rPr>
      </w:pPr>
    </w:p>
    <w:p w14:paraId="74F2A4E7" w14:textId="77777777" w:rsidR="0064287A" w:rsidRPr="0064287A" w:rsidRDefault="0064287A" w:rsidP="0064287A">
      <w:pPr>
        <w:numPr>
          <w:ilvl w:val="0"/>
          <w:numId w:val="13"/>
        </w:numPr>
        <w:jc w:val="both"/>
        <w:rPr>
          <w:sz w:val="22"/>
          <w:szCs w:val="22"/>
          <w:lang w:val="en-GB"/>
        </w:rPr>
      </w:pPr>
      <w:r w:rsidRPr="0064287A">
        <w:rPr>
          <w:sz w:val="22"/>
          <w:szCs w:val="22"/>
          <w:lang w:val="en-GB"/>
        </w:rPr>
        <w:t xml:space="preserve">Inflation was not taken into consideration because it was expected that the input cost of raw materials in the high-technology sector would decrease in the international market. The net realization from the sale of the products would also decrease, but the gross margin of the product sold would remain constant. Therefore, there would be no inflationary impact on a net basis when both the selling price of the product and the input cost of the raw materials were considered. </w:t>
      </w:r>
    </w:p>
    <w:p w14:paraId="1BAD2828" w14:textId="77777777" w:rsidR="0064287A" w:rsidRPr="0064287A" w:rsidRDefault="0064287A" w:rsidP="0064287A">
      <w:pPr>
        <w:numPr>
          <w:ilvl w:val="0"/>
          <w:numId w:val="13"/>
        </w:numPr>
        <w:jc w:val="both"/>
        <w:rPr>
          <w:sz w:val="22"/>
          <w:szCs w:val="22"/>
          <w:lang w:val="en-GB"/>
        </w:rPr>
      </w:pPr>
      <w:r w:rsidRPr="0064287A">
        <w:rPr>
          <w:sz w:val="22"/>
          <w:szCs w:val="22"/>
          <w:lang w:val="en-GB"/>
        </w:rPr>
        <w:t>Other operating costs would form a minor portion of the total operating cost when compared to the cost of raw materials. Therefore, the impact of inflation on the other operating costs would not have a significant effect on the total operating cost. Also, it was assumed that increased efficiencies in future operations would offset the impact of inflation on the other operating costs.</w:t>
      </w:r>
    </w:p>
    <w:p w14:paraId="5CEA5248" w14:textId="77777777" w:rsidR="0064287A" w:rsidRPr="0064287A" w:rsidRDefault="0064287A" w:rsidP="0064287A">
      <w:pPr>
        <w:numPr>
          <w:ilvl w:val="0"/>
          <w:numId w:val="13"/>
        </w:numPr>
        <w:jc w:val="both"/>
        <w:rPr>
          <w:sz w:val="22"/>
          <w:szCs w:val="22"/>
          <w:lang w:val="en-GB"/>
        </w:rPr>
      </w:pPr>
      <w:r w:rsidRPr="0064287A">
        <w:rPr>
          <w:sz w:val="22"/>
          <w:szCs w:val="22"/>
          <w:lang w:val="en-GB"/>
        </w:rPr>
        <w:t xml:space="preserve">Depreciation on fixed assets would be calculated on a straight-line method basis at 19 per cent per year, which would amount to </w:t>
      </w:r>
      <w:r w:rsidRPr="0064287A">
        <w:rPr>
          <w:rFonts w:ascii="Arial" w:hAnsi="Arial" w:cs="Arial"/>
          <w:bCs/>
          <w:shd w:val="clear" w:color="auto" w:fill="FFFFFF"/>
          <w:lang w:val="en-GB"/>
        </w:rPr>
        <w:t>₹</w:t>
      </w:r>
      <w:r w:rsidRPr="0064287A">
        <w:rPr>
          <w:sz w:val="22"/>
          <w:szCs w:val="22"/>
          <w:lang w:val="en-GB"/>
        </w:rPr>
        <w:t>79 million for each year.</w:t>
      </w:r>
    </w:p>
    <w:p w14:paraId="24638680" w14:textId="77777777" w:rsidR="0064287A" w:rsidRPr="0064287A" w:rsidRDefault="0064287A" w:rsidP="0064287A">
      <w:pPr>
        <w:numPr>
          <w:ilvl w:val="0"/>
          <w:numId w:val="13"/>
        </w:numPr>
        <w:jc w:val="both"/>
        <w:rPr>
          <w:sz w:val="22"/>
          <w:szCs w:val="22"/>
          <w:lang w:val="en-GB"/>
        </w:rPr>
      </w:pPr>
      <w:r w:rsidRPr="0064287A">
        <w:rPr>
          <w:sz w:val="22"/>
          <w:szCs w:val="22"/>
          <w:lang w:val="en-GB"/>
        </w:rPr>
        <w:t xml:space="preserve">The salvage value of the fixed assets at the end of the project’s life would be </w:t>
      </w:r>
      <w:r w:rsidRPr="0064287A">
        <w:rPr>
          <w:rFonts w:ascii="Arial" w:hAnsi="Arial" w:cs="Arial"/>
          <w:bCs/>
          <w:shd w:val="clear" w:color="auto" w:fill="FFFFFF"/>
          <w:lang w:val="en-GB"/>
        </w:rPr>
        <w:t>₹</w:t>
      </w:r>
      <w:r w:rsidRPr="0064287A">
        <w:rPr>
          <w:sz w:val="22"/>
          <w:szCs w:val="22"/>
          <w:lang w:val="en-GB"/>
        </w:rPr>
        <w:t>20.80 million.</w:t>
      </w:r>
    </w:p>
    <w:p w14:paraId="192B9706" w14:textId="77777777" w:rsidR="0064287A" w:rsidRPr="0064287A" w:rsidRDefault="0064287A" w:rsidP="0064287A">
      <w:pPr>
        <w:numPr>
          <w:ilvl w:val="0"/>
          <w:numId w:val="13"/>
        </w:numPr>
        <w:jc w:val="both"/>
        <w:rPr>
          <w:sz w:val="22"/>
          <w:szCs w:val="22"/>
          <w:lang w:val="en-GB"/>
        </w:rPr>
      </w:pPr>
      <w:r w:rsidRPr="0064287A">
        <w:rPr>
          <w:sz w:val="22"/>
          <w:szCs w:val="22"/>
          <w:lang w:val="en-GB"/>
        </w:rPr>
        <w:t>Working capital would be recovered in full at the end of the project’s life.</w:t>
      </w:r>
    </w:p>
    <w:p w14:paraId="384D6F56" w14:textId="77777777" w:rsidR="0064287A" w:rsidRPr="0064287A" w:rsidRDefault="0064287A" w:rsidP="0064287A">
      <w:pPr>
        <w:numPr>
          <w:ilvl w:val="0"/>
          <w:numId w:val="13"/>
        </w:numPr>
        <w:jc w:val="both"/>
        <w:rPr>
          <w:sz w:val="22"/>
          <w:szCs w:val="22"/>
          <w:lang w:val="en-GB"/>
        </w:rPr>
      </w:pPr>
      <w:r w:rsidRPr="0064287A">
        <w:rPr>
          <w:sz w:val="22"/>
          <w:szCs w:val="22"/>
          <w:lang w:val="en-GB"/>
        </w:rPr>
        <w:t>The effective income tax rate was assumed to be 30 per cent for the company.</w:t>
      </w:r>
    </w:p>
    <w:p w14:paraId="0DB50BE3" w14:textId="77777777" w:rsidR="0064287A" w:rsidRPr="0064287A" w:rsidRDefault="0064287A" w:rsidP="0064287A">
      <w:pPr>
        <w:numPr>
          <w:ilvl w:val="0"/>
          <w:numId w:val="13"/>
        </w:numPr>
        <w:jc w:val="both"/>
        <w:rPr>
          <w:sz w:val="22"/>
          <w:szCs w:val="22"/>
          <w:lang w:val="en-GB"/>
        </w:rPr>
      </w:pPr>
      <w:r w:rsidRPr="0064287A">
        <w:rPr>
          <w:sz w:val="22"/>
          <w:szCs w:val="22"/>
          <w:lang w:val="en-GB"/>
        </w:rPr>
        <w:t xml:space="preserve">The interest rate on long-term debt was assumed to be 12 per cent per year, on a yearly repayment basis. The repayment of principal would be made at the end of each year starting from FY 2017/18. The collateral provided to the bank for the term loan would be fixed assets. </w:t>
      </w:r>
    </w:p>
    <w:p w14:paraId="7595CE8A" w14:textId="77777777" w:rsidR="0064287A" w:rsidRPr="0064287A" w:rsidRDefault="0064287A" w:rsidP="0064287A">
      <w:pPr>
        <w:numPr>
          <w:ilvl w:val="0"/>
          <w:numId w:val="13"/>
        </w:numPr>
        <w:jc w:val="both"/>
        <w:rPr>
          <w:sz w:val="22"/>
          <w:szCs w:val="22"/>
          <w:lang w:val="en-GB"/>
        </w:rPr>
      </w:pPr>
      <w:r w:rsidRPr="0064287A">
        <w:rPr>
          <w:sz w:val="22"/>
          <w:szCs w:val="22"/>
          <w:lang w:val="en-GB"/>
        </w:rPr>
        <w:t>The interest on bank borrowing on working capital was 14 per cent per year, and the collateral provided to the bank would be hypothecation of stocks and debtors.</w:t>
      </w:r>
    </w:p>
    <w:p w14:paraId="0F21847D" w14:textId="77777777" w:rsidR="0064287A" w:rsidRPr="0064287A" w:rsidRDefault="0064287A" w:rsidP="0064287A">
      <w:pPr>
        <w:numPr>
          <w:ilvl w:val="0"/>
          <w:numId w:val="13"/>
        </w:numPr>
        <w:jc w:val="both"/>
        <w:rPr>
          <w:sz w:val="22"/>
          <w:szCs w:val="22"/>
          <w:lang w:val="en-GB"/>
        </w:rPr>
      </w:pPr>
      <w:r w:rsidRPr="0064287A">
        <w:rPr>
          <w:sz w:val="22"/>
          <w:szCs w:val="22"/>
          <w:lang w:val="en-GB"/>
        </w:rPr>
        <w:t>The required rate of return by IVTL (the equity shareholder) was 20 per cent per year, because OFC was a high-technology project. Accordingly, the weighted average cost of capital for the project would be 14.7 per cent per year.</w:t>
      </w:r>
    </w:p>
    <w:p w14:paraId="13E468BC" w14:textId="77777777" w:rsidR="0064287A" w:rsidRPr="0064287A" w:rsidRDefault="0064287A" w:rsidP="0064287A">
      <w:pPr>
        <w:jc w:val="both"/>
        <w:rPr>
          <w:szCs w:val="22"/>
          <w:lang w:val="en-GB"/>
        </w:rPr>
      </w:pPr>
    </w:p>
    <w:p w14:paraId="3C92A60D" w14:textId="77777777" w:rsidR="0064287A" w:rsidRPr="0064287A" w:rsidRDefault="0064287A" w:rsidP="0064287A">
      <w:pPr>
        <w:pStyle w:val="BodyTextMain"/>
      </w:pPr>
      <w:r w:rsidRPr="0064287A">
        <w:rPr>
          <w:lang w:val="en-GB"/>
        </w:rPr>
        <w:t xml:space="preserve">Agarwal had asked a management trainee to do some preliminary groundwork for the project before he called upon </w:t>
      </w:r>
      <w:proofErr w:type="spellStart"/>
      <w:r w:rsidRPr="0064287A">
        <w:rPr>
          <w:lang w:val="en-GB"/>
        </w:rPr>
        <w:t>Saxena</w:t>
      </w:r>
      <w:proofErr w:type="spellEnd"/>
      <w:r w:rsidRPr="0064287A">
        <w:rPr>
          <w:lang w:val="en-GB"/>
        </w:rPr>
        <w:t xml:space="preserve"> to perform the economic viability study. The management trainee had done a strengths, weaknesses, opportunities, and threats (SWOT) analysis of CEC (see Exhibit 4). He had also compiled different ratios for the OFC industry in India (see Exhibit 5) and had collected information on general bank lending norms for term loans in India (see Exhibit 6).</w:t>
      </w:r>
    </w:p>
    <w:p w14:paraId="60F90B93" w14:textId="77777777" w:rsidR="0064287A" w:rsidRPr="0064287A" w:rsidRDefault="0064287A" w:rsidP="0064287A">
      <w:pPr>
        <w:pStyle w:val="BodyTextMain"/>
        <w:rPr>
          <w:sz w:val="20"/>
        </w:rPr>
      </w:pPr>
    </w:p>
    <w:p w14:paraId="237F1B80" w14:textId="76295DDA" w:rsidR="0064287A" w:rsidRDefault="0064287A" w:rsidP="0064287A">
      <w:pPr>
        <w:pStyle w:val="BodyTextMain"/>
      </w:pPr>
      <w:r w:rsidRPr="0064287A">
        <w:t xml:space="preserve">Agarwal wanted to present a proposal to IVTL’s top management that would give an accurate picture of the project so the company could determine whether to go ahead. </w:t>
      </w:r>
      <w:proofErr w:type="spellStart"/>
      <w:r w:rsidRPr="0064287A">
        <w:t>Saxena</w:t>
      </w:r>
      <w:proofErr w:type="spellEnd"/>
      <w:r w:rsidRPr="0064287A">
        <w:t xml:space="preserve"> proceeded with the task entrusted to him by systematically and accurately filling in the information required by Schedules I </w:t>
      </w:r>
      <w:r w:rsidRPr="00BB0709">
        <w:t>to XIV (</w:t>
      </w:r>
      <w:r w:rsidR="00BB0709" w:rsidRPr="00BB0709">
        <w:rPr>
          <w:lang w:val="en-GB"/>
        </w:rPr>
        <w:t>see Ivey product no. 7B19N004</w:t>
      </w:r>
      <w:r w:rsidRPr="00BB0709">
        <w:t>). Because it had already been ascertained that the project was technically viable, the</w:t>
      </w:r>
      <w:r w:rsidRPr="0064287A">
        <w:t xml:space="preserve"> big question now was whether it would also be economically viable.</w:t>
      </w:r>
    </w:p>
    <w:p w14:paraId="13D67DC7" w14:textId="77777777" w:rsidR="0064287A" w:rsidRDefault="0064287A">
      <w:pPr>
        <w:spacing w:after="200" w:line="276" w:lineRule="auto"/>
        <w:rPr>
          <w:sz w:val="22"/>
          <w:szCs w:val="22"/>
        </w:rPr>
      </w:pPr>
      <w:r>
        <w:br w:type="page"/>
      </w:r>
    </w:p>
    <w:p w14:paraId="63A69292" w14:textId="77777777" w:rsidR="0064287A" w:rsidRPr="0064287A" w:rsidRDefault="0064287A" w:rsidP="0064287A">
      <w:pPr>
        <w:jc w:val="center"/>
        <w:rPr>
          <w:rFonts w:ascii="Arial" w:hAnsi="Arial" w:cs="Arial"/>
          <w:b/>
          <w:caps/>
          <w:lang w:val="en-GB"/>
        </w:rPr>
      </w:pPr>
      <w:r w:rsidRPr="0064287A">
        <w:rPr>
          <w:rFonts w:ascii="Arial" w:hAnsi="Arial" w:cs="Arial"/>
          <w:b/>
          <w:caps/>
          <w:lang w:val="en-GB"/>
        </w:rPr>
        <w:lastRenderedPageBreak/>
        <w:t>Exhibit TN-1: IVTL FINANCIAL PERFORMANCE (</w:t>
      </w:r>
      <w:r w:rsidRPr="0064287A">
        <w:rPr>
          <w:rFonts w:ascii="Arial" w:hAnsi="Arial" w:cs="Arial"/>
          <w:b/>
          <w:bCs/>
          <w:caps/>
          <w:shd w:val="clear" w:color="auto" w:fill="FFFFFF"/>
          <w:lang w:val="en-GB"/>
        </w:rPr>
        <w:t>₹</w:t>
      </w:r>
      <w:r w:rsidRPr="0064287A">
        <w:rPr>
          <w:rFonts w:ascii="Arial" w:hAnsi="Arial" w:cs="Arial"/>
          <w:b/>
          <w:caps/>
          <w:lang w:val="en-GB"/>
        </w:rPr>
        <w:t xml:space="preserve"> Millions)</w:t>
      </w:r>
    </w:p>
    <w:p w14:paraId="0851C6C1" w14:textId="77777777" w:rsidR="0064287A" w:rsidRPr="0064287A" w:rsidRDefault="0064287A" w:rsidP="0064287A">
      <w:pPr>
        <w:jc w:val="both"/>
        <w:rPr>
          <w:rFonts w:ascii="Arial" w:hAnsi="Arial" w:cs="Arial"/>
          <w:lang w:val="en-GB"/>
        </w:rPr>
      </w:pPr>
    </w:p>
    <w:tbl>
      <w:tblPr>
        <w:tblW w:w="4897" w:type="pct"/>
        <w:jc w:val="center"/>
        <w:tblBorders>
          <w:top w:val="single" w:sz="4" w:space="0" w:color="auto"/>
          <w:bottom w:val="single" w:sz="4" w:space="0" w:color="auto"/>
        </w:tblBorders>
        <w:tblLayout w:type="fixed"/>
        <w:tblLook w:val="04A0" w:firstRow="1" w:lastRow="0" w:firstColumn="1" w:lastColumn="0" w:noHBand="0" w:noVBand="1"/>
      </w:tblPr>
      <w:tblGrid>
        <w:gridCol w:w="1516"/>
        <w:gridCol w:w="1531"/>
        <w:gridCol w:w="1530"/>
        <w:gridCol w:w="1530"/>
        <w:gridCol w:w="1530"/>
        <w:gridCol w:w="1530"/>
      </w:tblGrid>
      <w:tr w:rsidR="0064287A" w:rsidRPr="0064287A" w14:paraId="126EA5F2" w14:textId="77777777" w:rsidTr="0064287A">
        <w:trPr>
          <w:trHeight w:val="300"/>
          <w:jc w:val="center"/>
        </w:trPr>
        <w:tc>
          <w:tcPr>
            <w:tcW w:w="1552" w:type="dxa"/>
            <w:tcBorders>
              <w:top w:val="single" w:sz="4" w:space="0" w:color="auto"/>
              <w:bottom w:val="single" w:sz="12" w:space="0" w:color="auto"/>
            </w:tcBorders>
            <w:shd w:val="clear" w:color="auto" w:fill="auto"/>
            <w:noWrap/>
            <w:vAlign w:val="center"/>
            <w:hideMark/>
          </w:tcPr>
          <w:p w14:paraId="44429A2D"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Fiscal Year</w:t>
            </w:r>
          </w:p>
        </w:tc>
        <w:tc>
          <w:tcPr>
            <w:tcW w:w="1566" w:type="dxa"/>
            <w:tcBorders>
              <w:top w:val="single" w:sz="4" w:space="0" w:color="auto"/>
              <w:bottom w:val="single" w:sz="12" w:space="0" w:color="auto"/>
            </w:tcBorders>
            <w:shd w:val="clear" w:color="auto" w:fill="auto"/>
            <w:noWrap/>
            <w:vAlign w:val="center"/>
            <w:hideMark/>
          </w:tcPr>
          <w:p w14:paraId="4A2195CD"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Sales</w:t>
            </w:r>
          </w:p>
        </w:tc>
        <w:tc>
          <w:tcPr>
            <w:tcW w:w="1565" w:type="dxa"/>
            <w:tcBorders>
              <w:top w:val="single" w:sz="4" w:space="0" w:color="auto"/>
              <w:bottom w:val="single" w:sz="12" w:space="0" w:color="auto"/>
            </w:tcBorders>
            <w:shd w:val="clear" w:color="auto" w:fill="auto"/>
            <w:noWrap/>
            <w:vAlign w:val="center"/>
            <w:hideMark/>
          </w:tcPr>
          <w:p w14:paraId="057CB111"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Net Profit</w:t>
            </w:r>
          </w:p>
        </w:tc>
        <w:tc>
          <w:tcPr>
            <w:tcW w:w="1565" w:type="dxa"/>
            <w:tcBorders>
              <w:top w:val="single" w:sz="4" w:space="0" w:color="auto"/>
              <w:bottom w:val="single" w:sz="12" w:space="0" w:color="auto"/>
            </w:tcBorders>
            <w:shd w:val="clear" w:color="auto" w:fill="auto"/>
            <w:noWrap/>
            <w:vAlign w:val="center"/>
            <w:hideMark/>
          </w:tcPr>
          <w:p w14:paraId="1BA1999E"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Net Profit Margin</w:t>
            </w:r>
          </w:p>
        </w:tc>
        <w:tc>
          <w:tcPr>
            <w:tcW w:w="1565" w:type="dxa"/>
            <w:tcBorders>
              <w:top w:val="single" w:sz="4" w:space="0" w:color="auto"/>
              <w:bottom w:val="single" w:sz="12" w:space="0" w:color="auto"/>
            </w:tcBorders>
            <w:shd w:val="clear" w:color="auto" w:fill="auto"/>
            <w:noWrap/>
            <w:vAlign w:val="center"/>
            <w:hideMark/>
          </w:tcPr>
          <w:p w14:paraId="218EFDF8"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Sales Growth (YoY)</w:t>
            </w:r>
          </w:p>
        </w:tc>
        <w:tc>
          <w:tcPr>
            <w:tcW w:w="1565" w:type="dxa"/>
            <w:tcBorders>
              <w:top w:val="single" w:sz="4" w:space="0" w:color="auto"/>
              <w:bottom w:val="single" w:sz="12" w:space="0" w:color="auto"/>
            </w:tcBorders>
            <w:shd w:val="clear" w:color="auto" w:fill="auto"/>
            <w:noWrap/>
            <w:vAlign w:val="center"/>
            <w:hideMark/>
          </w:tcPr>
          <w:p w14:paraId="05B1D615" w14:textId="77777777" w:rsidR="0064287A" w:rsidRPr="0064287A" w:rsidRDefault="0064287A" w:rsidP="0064287A">
            <w:pPr>
              <w:jc w:val="center"/>
              <w:rPr>
                <w:rFonts w:ascii="Arial" w:hAnsi="Arial" w:cs="Arial"/>
                <w:b/>
                <w:bCs/>
                <w:color w:val="000000"/>
                <w:lang w:val="en-IN" w:eastAsia="en-IN"/>
              </w:rPr>
            </w:pPr>
            <w:r w:rsidRPr="0064287A">
              <w:rPr>
                <w:rFonts w:ascii="Arial" w:hAnsi="Arial" w:cs="Arial"/>
                <w:b/>
                <w:bCs/>
                <w:color w:val="000000"/>
                <w:lang w:val="en-IN" w:eastAsia="en-IN"/>
              </w:rPr>
              <w:t>Net Profit Growth (YoY)</w:t>
            </w:r>
          </w:p>
        </w:tc>
      </w:tr>
      <w:tr w:rsidR="0064287A" w:rsidRPr="0064287A" w14:paraId="2AB4A2D5" w14:textId="77777777" w:rsidTr="0064287A">
        <w:trPr>
          <w:trHeight w:val="300"/>
          <w:jc w:val="center"/>
        </w:trPr>
        <w:tc>
          <w:tcPr>
            <w:tcW w:w="1552" w:type="dxa"/>
            <w:shd w:val="clear" w:color="auto" w:fill="auto"/>
            <w:noWrap/>
            <w:vAlign w:val="center"/>
            <w:hideMark/>
          </w:tcPr>
          <w:p w14:paraId="39E0DEE0" w14:textId="77777777" w:rsidR="0064287A" w:rsidRPr="0064287A" w:rsidRDefault="0064287A" w:rsidP="0064287A">
            <w:pPr>
              <w:jc w:val="center"/>
              <w:rPr>
                <w:rFonts w:ascii="Arial" w:hAnsi="Arial" w:cs="Arial"/>
                <w:color w:val="000000"/>
                <w:lang w:val="en-IN" w:eastAsia="en-IN"/>
              </w:rPr>
            </w:pPr>
            <w:r w:rsidRPr="0064287A">
              <w:rPr>
                <w:rFonts w:ascii="Arial" w:hAnsi="Arial" w:cs="Arial"/>
                <w:color w:val="000000"/>
                <w:lang w:val="en-IN" w:eastAsia="en-IN"/>
              </w:rPr>
              <w:t>2010/11</w:t>
            </w:r>
          </w:p>
        </w:tc>
        <w:tc>
          <w:tcPr>
            <w:tcW w:w="1566" w:type="dxa"/>
            <w:shd w:val="clear" w:color="auto" w:fill="auto"/>
            <w:noWrap/>
            <w:vAlign w:val="center"/>
            <w:hideMark/>
          </w:tcPr>
          <w:p w14:paraId="02D3066E"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1,989</w:t>
            </w:r>
          </w:p>
        </w:tc>
        <w:tc>
          <w:tcPr>
            <w:tcW w:w="1565" w:type="dxa"/>
            <w:shd w:val="clear" w:color="auto" w:fill="auto"/>
            <w:noWrap/>
            <w:vAlign w:val="center"/>
            <w:hideMark/>
          </w:tcPr>
          <w:p w14:paraId="74AA4F46"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201</w:t>
            </w:r>
          </w:p>
        </w:tc>
        <w:tc>
          <w:tcPr>
            <w:tcW w:w="1565" w:type="dxa"/>
            <w:shd w:val="clear" w:color="auto" w:fill="auto"/>
            <w:noWrap/>
            <w:vAlign w:val="center"/>
            <w:hideMark/>
          </w:tcPr>
          <w:p w14:paraId="44B01BCE"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10.1%</w:t>
            </w:r>
          </w:p>
        </w:tc>
        <w:tc>
          <w:tcPr>
            <w:tcW w:w="1565" w:type="dxa"/>
            <w:shd w:val="clear" w:color="auto" w:fill="auto"/>
            <w:noWrap/>
            <w:vAlign w:val="center"/>
            <w:hideMark/>
          </w:tcPr>
          <w:p w14:paraId="3327837B"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w:t>
            </w:r>
          </w:p>
        </w:tc>
        <w:tc>
          <w:tcPr>
            <w:tcW w:w="1565" w:type="dxa"/>
            <w:shd w:val="clear" w:color="auto" w:fill="auto"/>
            <w:noWrap/>
            <w:vAlign w:val="center"/>
            <w:hideMark/>
          </w:tcPr>
          <w:p w14:paraId="0DEBD0C4"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w:t>
            </w:r>
          </w:p>
        </w:tc>
      </w:tr>
      <w:tr w:rsidR="0064287A" w:rsidRPr="0064287A" w14:paraId="6AB568E4" w14:textId="77777777" w:rsidTr="0064287A">
        <w:trPr>
          <w:trHeight w:val="300"/>
          <w:jc w:val="center"/>
        </w:trPr>
        <w:tc>
          <w:tcPr>
            <w:tcW w:w="1552" w:type="dxa"/>
            <w:shd w:val="clear" w:color="auto" w:fill="auto"/>
            <w:noWrap/>
            <w:vAlign w:val="center"/>
            <w:hideMark/>
          </w:tcPr>
          <w:p w14:paraId="6ED77E9F" w14:textId="77777777" w:rsidR="0064287A" w:rsidRPr="0064287A" w:rsidRDefault="0064287A" w:rsidP="0064287A">
            <w:pPr>
              <w:jc w:val="center"/>
              <w:rPr>
                <w:rFonts w:ascii="Arial" w:hAnsi="Arial" w:cs="Arial"/>
                <w:color w:val="000000"/>
                <w:lang w:val="en-IN" w:eastAsia="en-IN"/>
              </w:rPr>
            </w:pPr>
            <w:r w:rsidRPr="0064287A">
              <w:rPr>
                <w:rFonts w:ascii="Arial" w:hAnsi="Arial" w:cs="Arial"/>
                <w:color w:val="000000"/>
                <w:lang w:val="en-IN" w:eastAsia="en-IN"/>
              </w:rPr>
              <w:t>2011/12</w:t>
            </w:r>
          </w:p>
        </w:tc>
        <w:tc>
          <w:tcPr>
            <w:tcW w:w="1566" w:type="dxa"/>
            <w:shd w:val="clear" w:color="auto" w:fill="auto"/>
            <w:noWrap/>
            <w:vAlign w:val="center"/>
            <w:hideMark/>
          </w:tcPr>
          <w:p w14:paraId="5C219145"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2,607</w:t>
            </w:r>
          </w:p>
        </w:tc>
        <w:tc>
          <w:tcPr>
            <w:tcW w:w="1565" w:type="dxa"/>
            <w:shd w:val="clear" w:color="auto" w:fill="auto"/>
            <w:noWrap/>
            <w:vAlign w:val="center"/>
            <w:hideMark/>
          </w:tcPr>
          <w:p w14:paraId="0ECEF97B"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114</w:t>
            </w:r>
          </w:p>
        </w:tc>
        <w:tc>
          <w:tcPr>
            <w:tcW w:w="1565" w:type="dxa"/>
            <w:shd w:val="clear" w:color="auto" w:fill="auto"/>
            <w:noWrap/>
            <w:vAlign w:val="center"/>
            <w:hideMark/>
          </w:tcPr>
          <w:p w14:paraId="3545AF5D"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4.4%</w:t>
            </w:r>
          </w:p>
        </w:tc>
        <w:tc>
          <w:tcPr>
            <w:tcW w:w="1565" w:type="dxa"/>
            <w:shd w:val="clear" w:color="auto" w:fill="auto"/>
            <w:noWrap/>
            <w:vAlign w:val="center"/>
            <w:hideMark/>
          </w:tcPr>
          <w:p w14:paraId="4D6547CB"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31%</w:t>
            </w:r>
          </w:p>
        </w:tc>
        <w:tc>
          <w:tcPr>
            <w:tcW w:w="1565" w:type="dxa"/>
            <w:shd w:val="clear" w:color="auto" w:fill="auto"/>
            <w:noWrap/>
            <w:vAlign w:val="center"/>
            <w:hideMark/>
          </w:tcPr>
          <w:p w14:paraId="41801BC0"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−43%</w:t>
            </w:r>
          </w:p>
        </w:tc>
      </w:tr>
      <w:tr w:rsidR="0064287A" w:rsidRPr="0064287A" w14:paraId="49CB82A3" w14:textId="77777777" w:rsidTr="0064287A">
        <w:trPr>
          <w:trHeight w:val="300"/>
          <w:jc w:val="center"/>
        </w:trPr>
        <w:tc>
          <w:tcPr>
            <w:tcW w:w="1552" w:type="dxa"/>
            <w:shd w:val="clear" w:color="auto" w:fill="auto"/>
            <w:noWrap/>
            <w:vAlign w:val="center"/>
            <w:hideMark/>
          </w:tcPr>
          <w:p w14:paraId="4C85F25B" w14:textId="77777777" w:rsidR="0064287A" w:rsidRPr="0064287A" w:rsidRDefault="0064287A" w:rsidP="0064287A">
            <w:pPr>
              <w:jc w:val="center"/>
              <w:rPr>
                <w:rFonts w:ascii="Arial" w:hAnsi="Arial" w:cs="Arial"/>
                <w:color w:val="000000"/>
                <w:lang w:val="en-IN" w:eastAsia="en-IN"/>
              </w:rPr>
            </w:pPr>
            <w:r w:rsidRPr="0064287A">
              <w:rPr>
                <w:rFonts w:ascii="Arial" w:hAnsi="Arial" w:cs="Arial"/>
                <w:color w:val="000000"/>
                <w:lang w:val="en-IN" w:eastAsia="en-IN"/>
              </w:rPr>
              <w:t>2012/13</w:t>
            </w:r>
          </w:p>
        </w:tc>
        <w:tc>
          <w:tcPr>
            <w:tcW w:w="1566" w:type="dxa"/>
            <w:shd w:val="clear" w:color="auto" w:fill="auto"/>
            <w:noWrap/>
            <w:vAlign w:val="center"/>
            <w:hideMark/>
          </w:tcPr>
          <w:p w14:paraId="49AF6CBE"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6,053</w:t>
            </w:r>
          </w:p>
        </w:tc>
        <w:tc>
          <w:tcPr>
            <w:tcW w:w="1565" w:type="dxa"/>
            <w:shd w:val="clear" w:color="auto" w:fill="auto"/>
            <w:noWrap/>
            <w:vAlign w:val="center"/>
            <w:hideMark/>
          </w:tcPr>
          <w:p w14:paraId="69EB8D23"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548</w:t>
            </w:r>
          </w:p>
        </w:tc>
        <w:tc>
          <w:tcPr>
            <w:tcW w:w="1565" w:type="dxa"/>
            <w:shd w:val="clear" w:color="auto" w:fill="auto"/>
            <w:noWrap/>
            <w:vAlign w:val="center"/>
            <w:hideMark/>
          </w:tcPr>
          <w:p w14:paraId="0C9268EF"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9.1%</w:t>
            </w:r>
          </w:p>
        </w:tc>
        <w:tc>
          <w:tcPr>
            <w:tcW w:w="1565" w:type="dxa"/>
            <w:shd w:val="clear" w:color="auto" w:fill="auto"/>
            <w:noWrap/>
            <w:vAlign w:val="center"/>
            <w:hideMark/>
          </w:tcPr>
          <w:p w14:paraId="67D05DE8"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132%</w:t>
            </w:r>
          </w:p>
        </w:tc>
        <w:tc>
          <w:tcPr>
            <w:tcW w:w="1565" w:type="dxa"/>
            <w:shd w:val="clear" w:color="auto" w:fill="auto"/>
            <w:noWrap/>
            <w:vAlign w:val="center"/>
            <w:hideMark/>
          </w:tcPr>
          <w:p w14:paraId="3FAF7941"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381%</w:t>
            </w:r>
          </w:p>
        </w:tc>
      </w:tr>
      <w:tr w:rsidR="0064287A" w:rsidRPr="0064287A" w14:paraId="1CF501FF" w14:textId="77777777" w:rsidTr="0064287A">
        <w:trPr>
          <w:trHeight w:val="300"/>
          <w:jc w:val="center"/>
        </w:trPr>
        <w:tc>
          <w:tcPr>
            <w:tcW w:w="1552" w:type="dxa"/>
            <w:tcBorders>
              <w:bottom w:val="nil"/>
            </w:tcBorders>
            <w:shd w:val="clear" w:color="auto" w:fill="auto"/>
            <w:noWrap/>
            <w:vAlign w:val="center"/>
            <w:hideMark/>
          </w:tcPr>
          <w:p w14:paraId="1F5F80C2" w14:textId="77777777" w:rsidR="0064287A" w:rsidRPr="0064287A" w:rsidRDefault="0064287A" w:rsidP="0064287A">
            <w:pPr>
              <w:jc w:val="center"/>
              <w:rPr>
                <w:rFonts w:ascii="Arial" w:hAnsi="Arial" w:cs="Arial"/>
                <w:color w:val="000000"/>
                <w:lang w:val="en-IN" w:eastAsia="en-IN"/>
              </w:rPr>
            </w:pPr>
            <w:r w:rsidRPr="0064287A">
              <w:rPr>
                <w:rFonts w:ascii="Arial" w:hAnsi="Arial" w:cs="Arial"/>
                <w:color w:val="000000"/>
                <w:lang w:val="en-IN" w:eastAsia="en-IN"/>
              </w:rPr>
              <w:t>2013/14</w:t>
            </w:r>
          </w:p>
        </w:tc>
        <w:tc>
          <w:tcPr>
            <w:tcW w:w="1566" w:type="dxa"/>
            <w:tcBorders>
              <w:bottom w:val="nil"/>
            </w:tcBorders>
            <w:shd w:val="clear" w:color="auto" w:fill="auto"/>
            <w:noWrap/>
            <w:vAlign w:val="center"/>
            <w:hideMark/>
          </w:tcPr>
          <w:p w14:paraId="2DDB4847"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20,187</w:t>
            </w:r>
          </w:p>
        </w:tc>
        <w:tc>
          <w:tcPr>
            <w:tcW w:w="1565" w:type="dxa"/>
            <w:tcBorders>
              <w:bottom w:val="nil"/>
            </w:tcBorders>
            <w:shd w:val="clear" w:color="auto" w:fill="auto"/>
            <w:noWrap/>
            <w:vAlign w:val="center"/>
            <w:hideMark/>
          </w:tcPr>
          <w:p w14:paraId="50708F4D"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1,474</w:t>
            </w:r>
          </w:p>
        </w:tc>
        <w:tc>
          <w:tcPr>
            <w:tcW w:w="1565" w:type="dxa"/>
            <w:tcBorders>
              <w:bottom w:val="nil"/>
            </w:tcBorders>
            <w:shd w:val="clear" w:color="auto" w:fill="auto"/>
            <w:noWrap/>
            <w:vAlign w:val="center"/>
            <w:hideMark/>
          </w:tcPr>
          <w:p w14:paraId="09367011"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7.3%</w:t>
            </w:r>
          </w:p>
        </w:tc>
        <w:tc>
          <w:tcPr>
            <w:tcW w:w="1565" w:type="dxa"/>
            <w:tcBorders>
              <w:bottom w:val="nil"/>
            </w:tcBorders>
            <w:shd w:val="clear" w:color="auto" w:fill="auto"/>
            <w:noWrap/>
            <w:vAlign w:val="center"/>
            <w:hideMark/>
          </w:tcPr>
          <w:p w14:paraId="0875EFA8"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234%</w:t>
            </w:r>
          </w:p>
        </w:tc>
        <w:tc>
          <w:tcPr>
            <w:tcW w:w="1565" w:type="dxa"/>
            <w:tcBorders>
              <w:bottom w:val="nil"/>
            </w:tcBorders>
            <w:shd w:val="clear" w:color="auto" w:fill="auto"/>
            <w:noWrap/>
            <w:vAlign w:val="center"/>
            <w:hideMark/>
          </w:tcPr>
          <w:p w14:paraId="2F77AB57"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169%</w:t>
            </w:r>
          </w:p>
        </w:tc>
      </w:tr>
      <w:tr w:rsidR="0064287A" w:rsidRPr="0064287A" w14:paraId="1859A8DE" w14:textId="77777777" w:rsidTr="0064287A">
        <w:trPr>
          <w:trHeight w:val="300"/>
          <w:jc w:val="center"/>
        </w:trPr>
        <w:tc>
          <w:tcPr>
            <w:tcW w:w="1552" w:type="dxa"/>
            <w:tcBorders>
              <w:top w:val="nil"/>
              <w:bottom w:val="single" w:sz="4" w:space="0" w:color="auto"/>
            </w:tcBorders>
            <w:shd w:val="clear" w:color="auto" w:fill="auto"/>
            <w:noWrap/>
            <w:vAlign w:val="center"/>
            <w:hideMark/>
          </w:tcPr>
          <w:p w14:paraId="7E5A61DC" w14:textId="77777777" w:rsidR="0064287A" w:rsidRPr="0064287A" w:rsidRDefault="0064287A" w:rsidP="0064287A">
            <w:pPr>
              <w:jc w:val="center"/>
              <w:rPr>
                <w:rFonts w:ascii="Arial" w:hAnsi="Arial" w:cs="Arial"/>
                <w:color w:val="000000"/>
                <w:lang w:val="en-IN" w:eastAsia="en-IN"/>
              </w:rPr>
            </w:pPr>
            <w:r w:rsidRPr="0064287A">
              <w:rPr>
                <w:rFonts w:ascii="Arial" w:hAnsi="Arial" w:cs="Arial"/>
                <w:color w:val="000000"/>
                <w:lang w:val="en-IN" w:eastAsia="en-IN"/>
              </w:rPr>
              <w:t>2014/15</w:t>
            </w:r>
          </w:p>
        </w:tc>
        <w:tc>
          <w:tcPr>
            <w:tcW w:w="1566" w:type="dxa"/>
            <w:tcBorders>
              <w:top w:val="nil"/>
              <w:bottom w:val="single" w:sz="4" w:space="0" w:color="auto"/>
            </w:tcBorders>
            <w:shd w:val="clear" w:color="auto" w:fill="auto"/>
            <w:noWrap/>
            <w:vAlign w:val="center"/>
            <w:hideMark/>
          </w:tcPr>
          <w:p w14:paraId="6C692709"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25,510</w:t>
            </w:r>
          </w:p>
        </w:tc>
        <w:tc>
          <w:tcPr>
            <w:tcW w:w="1565" w:type="dxa"/>
            <w:tcBorders>
              <w:top w:val="nil"/>
              <w:bottom w:val="single" w:sz="4" w:space="0" w:color="auto"/>
            </w:tcBorders>
            <w:shd w:val="clear" w:color="auto" w:fill="auto"/>
            <w:noWrap/>
            <w:vAlign w:val="center"/>
            <w:hideMark/>
          </w:tcPr>
          <w:p w14:paraId="190B76B0"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1,899</w:t>
            </w:r>
          </w:p>
        </w:tc>
        <w:tc>
          <w:tcPr>
            <w:tcW w:w="1565" w:type="dxa"/>
            <w:tcBorders>
              <w:top w:val="nil"/>
              <w:bottom w:val="single" w:sz="4" w:space="0" w:color="auto"/>
            </w:tcBorders>
            <w:shd w:val="clear" w:color="auto" w:fill="auto"/>
            <w:noWrap/>
            <w:vAlign w:val="center"/>
            <w:hideMark/>
          </w:tcPr>
          <w:p w14:paraId="67D4FF7F"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7.4%</w:t>
            </w:r>
          </w:p>
        </w:tc>
        <w:tc>
          <w:tcPr>
            <w:tcW w:w="1565" w:type="dxa"/>
            <w:tcBorders>
              <w:top w:val="nil"/>
              <w:bottom w:val="single" w:sz="4" w:space="0" w:color="auto"/>
            </w:tcBorders>
            <w:shd w:val="clear" w:color="auto" w:fill="auto"/>
            <w:noWrap/>
            <w:vAlign w:val="center"/>
            <w:hideMark/>
          </w:tcPr>
          <w:p w14:paraId="715AA8DD"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26%</w:t>
            </w:r>
          </w:p>
        </w:tc>
        <w:tc>
          <w:tcPr>
            <w:tcW w:w="1565" w:type="dxa"/>
            <w:tcBorders>
              <w:top w:val="nil"/>
              <w:bottom w:val="single" w:sz="4" w:space="0" w:color="auto"/>
            </w:tcBorders>
            <w:shd w:val="clear" w:color="auto" w:fill="auto"/>
            <w:noWrap/>
            <w:vAlign w:val="center"/>
            <w:hideMark/>
          </w:tcPr>
          <w:p w14:paraId="3E0D1E8C" w14:textId="77777777" w:rsidR="0064287A" w:rsidRPr="0064287A" w:rsidRDefault="0064287A" w:rsidP="0064287A">
            <w:pPr>
              <w:ind w:right="288"/>
              <w:jc w:val="right"/>
              <w:rPr>
                <w:rFonts w:ascii="Arial" w:hAnsi="Arial" w:cs="Arial"/>
                <w:color w:val="000000"/>
                <w:lang w:val="en-IN" w:eastAsia="en-IN"/>
              </w:rPr>
            </w:pPr>
            <w:r w:rsidRPr="0064287A">
              <w:rPr>
                <w:rFonts w:ascii="Arial" w:hAnsi="Arial" w:cs="Arial"/>
                <w:color w:val="000000"/>
                <w:lang w:val="en-IN" w:eastAsia="en-IN"/>
              </w:rPr>
              <w:t>29%</w:t>
            </w:r>
          </w:p>
        </w:tc>
      </w:tr>
      <w:tr w:rsidR="0064287A" w:rsidRPr="0064287A" w14:paraId="5726CCBA" w14:textId="77777777" w:rsidTr="0064287A">
        <w:trPr>
          <w:trHeight w:val="300"/>
          <w:jc w:val="center"/>
        </w:trPr>
        <w:tc>
          <w:tcPr>
            <w:tcW w:w="4683" w:type="dxa"/>
            <w:gridSpan w:val="3"/>
            <w:tcBorders>
              <w:top w:val="single" w:sz="4" w:space="0" w:color="auto"/>
            </w:tcBorders>
            <w:shd w:val="clear" w:color="auto" w:fill="auto"/>
            <w:noWrap/>
            <w:vAlign w:val="center"/>
            <w:hideMark/>
          </w:tcPr>
          <w:p w14:paraId="42B0157B" w14:textId="77777777" w:rsidR="0064287A" w:rsidRPr="0064287A" w:rsidRDefault="0064287A" w:rsidP="0064287A">
            <w:pPr>
              <w:rPr>
                <w:rFonts w:ascii="Arial" w:hAnsi="Arial" w:cs="Arial"/>
                <w:b/>
                <w:bCs/>
                <w:color w:val="000000"/>
                <w:lang w:val="en-IN" w:eastAsia="en-IN"/>
              </w:rPr>
            </w:pPr>
            <w:r w:rsidRPr="0064287A">
              <w:rPr>
                <w:rFonts w:ascii="Arial" w:hAnsi="Arial" w:cs="Arial"/>
                <w:b/>
                <w:bCs/>
                <w:color w:val="000000"/>
                <w:lang w:val="en-IN" w:eastAsia="en-IN"/>
              </w:rPr>
              <w:t>Compound Annual Growth Rate</w:t>
            </w:r>
          </w:p>
        </w:tc>
        <w:tc>
          <w:tcPr>
            <w:tcW w:w="1565" w:type="dxa"/>
            <w:tcBorders>
              <w:top w:val="single" w:sz="4" w:space="0" w:color="auto"/>
            </w:tcBorders>
            <w:shd w:val="clear" w:color="auto" w:fill="auto"/>
            <w:noWrap/>
            <w:vAlign w:val="center"/>
            <w:hideMark/>
          </w:tcPr>
          <w:p w14:paraId="7834D870" w14:textId="77777777" w:rsidR="0064287A" w:rsidRPr="0064287A" w:rsidRDefault="0064287A" w:rsidP="0064287A">
            <w:pPr>
              <w:ind w:right="288"/>
              <w:jc w:val="right"/>
              <w:rPr>
                <w:rFonts w:ascii="Arial" w:hAnsi="Arial" w:cs="Arial"/>
                <w:b/>
                <w:bCs/>
                <w:color w:val="000000"/>
                <w:lang w:val="en-IN" w:eastAsia="en-IN"/>
              </w:rPr>
            </w:pPr>
          </w:p>
        </w:tc>
        <w:tc>
          <w:tcPr>
            <w:tcW w:w="1565" w:type="dxa"/>
            <w:tcBorders>
              <w:top w:val="single" w:sz="4" w:space="0" w:color="auto"/>
            </w:tcBorders>
            <w:shd w:val="clear" w:color="auto" w:fill="auto"/>
            <w:vAlign w:val="center"/>
          </w:tcPr>
          <w:p w14:paraId="1E6028D7" w14:textId="77777777" w:rsidR="0064287A" w:rsidRPr="0064287A" w:rsidRDefault="0064287A" w:rsidP="0064287A">
            <w:pPr>
              <w:ind w:right="288"/>
              <w:jc w:val="right"/>
              <w:rPr>
                <w:rFonts w:ascii="Arial" w:hAnsi="Arial" w:cs="Arial"/>
                <w:b/>
                <w:bCs/>
                <w:color w:val="000000"/>
                <w:lang w:val="en-IN" w:eastAsia="en-IN"/>
              </w:rPr>
            </w:pPr>
            <w:r w:rsidRPr="0064287A">
              <w:rPr>
                <w:rFonts w:ascii="Arial" w:hAnsi="Arial" w:cs="Arial"/>
                <w:b/>
                <w:bCs/>
                <w:color w:val="000000"/>
                <w:lang w:val="en-IN" w:eastAsia="en-IN"/>
              </w:rPr>
              <w:t>89%</w:t>
            </w:r>
          </w:p>
        </w:tc>
        <w:tc>
          <w:tcPr>
            <w:tcW w:w="1565" w:type="dxa"/>
            <w:tcBorders>
              <w:top w:val="single" w:sz="4" w:space="0" w:color="auto"/>
            </w:tcBorders>
            <w:shd w:val="clear" w:color="auto" w:fill="auto"/>
            <w:noWrap/>
            <w:vAlign w:val="center"/>
            <w:hideMark/>
          </w:tcPr>
          <w:p w14:paraId="6A0B8629" w14:textId="77777777" w:rsidR="0064287A" w:rsidRPr="0064287A" w:rsidRDefault="0064287A" w:rsidP="0064287A">
            <w:pPr>
              <w:ind w:right="288"/>
              <w:jc w:val="right"/>
              <w:rPr>
                <w:rFonts w:ascii="Arial" w:hAnsi="Arial" w:cs="Arial"/>
                <w:b/>
                <w:bCs/>
                <w:color w:val="000000"/>
                <w:lang w:val="en-IN" w:eastAsia="en-IN"/>
              </w:rPr>
            </w:pPr>
            <w:r w:rsidRPr="0064287A">
              <w:rPr>
                <w:rFonts w:ascii="Arial" w:hAnsi="Arial" w:cs="Arial"/>
                <w:b/>
                <w:bCs/>
                <w:color w:val="000000"/>
                <w:lang w:val="en-IN" w:eastAsia="en-IN"/>
              </w:rPr>
              <w:t>75%</w:t>
            </w:r>
          </w:p>
        </w:tc>
      </w:tr>
    </w:tbl>
    <w:p w14:paraId="0688E2C0" w14:textId="77777777" w:rsidR="0064287A" w:rsidRPr="0064287A" w:rsidRDefault="0064287A" w:rsidP="0064287A">
      <w:pPr>
        <w:jc w:val="both"/>
        <w:rPr>
          <w:rFonts w:ascii="Arial" w:hAnsi="Arial" w:cs="Arial"/>
          <w:lang w:val="en-GB"/>
        </w:rPr>
      </w:pPr>
    </w:p>
    <w:p w14:paraId="4C6F97CC"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 xml:space="preserve">Note: ₹ = INR = Indian rupee; </w:t>
      </w:r>
      <w:r w:rsidRPr="0064287A">
        <w:rPr>
          <w:rFonts w:ascii="Tahoma" w:hAnsi="Tahoma" w:cs="Tahoma"/>
          <w:sz w:val="17"/>
          <w:szCs w:val="17"/>
          <w:lang w:val="en-GB"/>
        </w:rPr>
        <w:t>₹</w:t>
      </w:r>
      <w:r w:rsidRPr="0064287A">
        <w:rPr>
          <w:rFonts w:ascii="Arial" w:hAnsi="Arial" w:cs="Arial"/>
          <w:sz w:val="17"/>
          <w:szCs w:val="17"/>
          <w:lang w:val="en-GB"/>
        </w:rPr>
        <w:t>1 = US$0.0150 on January 1, 2016; YoY = year over year.</w:t>
      </w:r>
    </w:p>
    <w:p w14:paraId="701F41DA"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Source: Company files.</w:t>
      </w:r>
    </w:p>
    <w:p w14:paraId="7A2E32BD" w14:textId="77777777" w:rsidR="0064287A" w:rsidRPr="0064287A" w:rsidRDefault="0064287A" w:rsidP="0064287A">
      <w:pPr>
        <w:jc w:val="both"/>
        <w:rPr>
          <w:rFonts w:ascii="Arial" w:hAnsi="Arial" w:cs="Arial"/>
          <w:lang w:val="en-GB"/>
        </w:rPr>
      </w:pPr>
    </w:p>
    <w:p w14:paraId="595D8840" w14:textId="77777777" w:rsidR="0064287A" w:rsidRPr="0064287A" w:rsidRDefault="0064287A" w:rsidP="0064287A">
      <w:pPr>
        <w:jc w:val="both"/>
        <w:rPr>
          <w:rFonts w:ascii="Arial" w:hAnsi="Arial" w:cs="Arial"/>
          <w:lang w:val="en-GB"/>
        </w:rPr>
      </w:pPr>
    </w:p>
    <w:p w14:paraId="7440E85F" w14:textId="77777777" w:rsidR="0064287A" w:rsidRPr="0064287A" w:rsidRDefault="0064287A" w:rsidP="0064287A">
      <w:pPr>
        <w:jc w:val="center"/>
        <w:rPr>
          <w:rFonts w:ascii="Arial" w:hAnsi="Arial" w:cs="Arial"/>
          <w:b/>
          <w:caps/>
          <w:lang w:val="en-GB"/>
        </w:rPr>
      </w:pPr>
      <w:r w:rsidRPr="0064287A">
        <w:rPr>
          <w:rFonts w:ascii="Arial" w:hAnsi="Arial" w:cs="Arial"/>
          <w:b/>
          <w:caps/>
          <w:lang w:val="en-GB"/>
        </w:rPr>
        <w:t>Exhibit 2: optical fibre cable Manufacturing Process</w:t>
      </w:r>
    </w:p>
    <w:p w14:paraId="791F7EA4" w14:textId="77777777" w:rsidR="0064287A" w:rsidRPr="0064287A" w:rsidRDefault="0064287A" w:rsidP="0064287A">
      <w:pPr>
        <w:jc w:val="both"/>
        <w:rPr>
          <w:rFonts w:ascii="Arial" w:hAnsi="Arial" w:cs="Arial"/>
          <w:lang w:val="en-GB"/>
        </w:rPr>
      </w:pPr>
    </w:p>
    <w:p w14:paraId="484A5CC7" w14:textId="77777777" w:rsidR="0064287A" w:rsidRPr="0064287A" w:rsidRDefault="0064287A" w:rsidP="0064287A">
      <w:pPr>
        <w:jc w:val="both"/>
        <w:rPr>
          <w:rFonts w:ascii="Arial" w:hAnsi="Arial" w:cs="Arial"/>
          <w:lang w:val="en-GB"/>
        </w:rPr>
      </w:pPr>
      <w:r w:rsidRPr="0064287A">
        <w:rPr>
          <w:rFonts w:ascii="Arial" w:hAnsi="Arial" w:cs="Arial"/>
          <w:noProof/>
        </w:rPr>
        <w:drawing>
          <wp:anchor distT="0" distB="0" distL="114300" distR="114300" simplePos="0" relativeHeight="251659264" behindDoc="1" locked="0" layoutInCell="1" allowOverlap="1" wp14:anchorId="154B96C4" wp14:editId="0FE3AA75">
            <wp:simplePos x="0" y="0"/>
            <wp:positionH relativeFrom="column">
              <wp:posOffset>1295676</wp:posOffset>
            </wp:positionH>
            <wp:positionV relativeFrom="paragraph">
              <wp:posOffset>68580</wp:posOffset>
            </wp:positionV>
            <wp:extent cx="3370580" cy="3200400"/>
            <wp:effectExtent l="38100" t="19050" r="20320" b="38100"/>
            <wp:wrapTight wrapText="bothSides">
              <wp:wrapPolygon edited="0">
                <wp:start x="-244" y="-129"/>
                <wp:lineTo x="-244" y="20314"/>
                <wp:lineTo x="977" y="21729"/>
                <wp:lineTo x="1099" y="21729"/>
                <wp:lineTo x="1587" y="21729"/>
                <wp:lineTo x="1709" y="21729"/>
                <wp:lineTo x="2808" y="20443"/>
                <wp:lineTo x="18678" y="20443"/>
                <wp:lineTo x="21608" y="20186"/>
                <wp:lineTo x="21608" y="10414"/>
                <wp:lineTo x="16359" y="10157"/>
                <wp:lineTo x="21608" y="9643"/>
                <wp:lineTo x="21608" y="-129"/>
                <wp:lineTo x="2930" y="-129"/>
                <wp:lineTo x="-244" y="-129"/>
              </wp:wrapPolygon>
            </wp:wrapTight>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67D61A3A" w14:textId="77777777" w:rsidR="0064287A" w:rsidRPr="0064287A" w:rsidRDefault="0064287A" w:rsidP="0064287A">
      <w:pPr>
        <w:jc w:val="both"/>
        <w:rPr>
          <w:rFonts w:ascii="Arial" w:hAnsi="Arial" w:cs="Arial"/>
          <w:lang w:val="en-GB"/>
        </w:rPr>
      </w:pPr>
    </w:p>
    <w:p w14:paraId="1BB91E68" w14:textId="77777777" w:rsidR="0064287A" w:rsidRPr="0064287A" w:rsidRDefault="0064287A" w:rsidP="0064287A">
      <w:pPr>
        <w:jc w:val="both"/>
        <w:rPr>
          <w:rFonts w:ascii="Arial" w:hAnsi="Arial" w:cs="Arial"/>
          <w:lang w:val="en-GB"/>
        </w:rPr>
      </w:pPr>
    </w:p>
    <w:p w14:paraId="27D02E82" w14:textId="77777777" w:rsidR="0064287A" w:rsidRPr="0064287A" w:rsidRDefault="0064287A" w:rsidP="0064287A">
      <w:pPr>
        <w:jc w:val="both"/>
        <w:rPr>
          <w:rFonts w:ascii="Arial" w:hAnsi="Arial" w:cs="Arial"/>
          <w:lang w:val="en-GB"/>
        </w:rPr>
      </w:pPr>
    </w:p>
    <w:p w14:paraId="789509F0" w14:textId="77777777" w:rsidR="0064287A" w:rsidRPr="0064287A" w:rsidRDefault="0064287A" w:rsidP="0064287A">
      <w:pPr>
        <w:jc w:val="both"/>
        <w:rPr>
          <w:rFonts w:ascii="Arial" w:hAnsi="Arial" w:cs="Arial"/>
          <w:lang w:val="en-GB"/>
        </w:rPr>
      </w:pPr>
    </w:p>
    <w:p w14:paraId="08AB3ECB" w14:textId="77777777" w:rsidR="0064287A" w:rsidRPr="0064287A" w:rsidRDefault="0064287A" w:rsidP="0064287A">
      <w:pPr>
        <w:jc w:val="both"/>
        <w:rPr>
          <w:rFonts w:ascii="Arial" w:hAnsi="Arial" w:cs="Arial"/>
          <w:lang w:val="en-GB"/>
        </w:rPr>
      </w:pPr>
    </w:p>
    <w:p w14:paraId="2C9495F0" w14:textId="77777777" w:rsidR="0064287A" w:rsidRPr="0064287A" w:rsidRDefault="0064287A" w:rsidP="0064287A">
      <w:pPr>
        <w:jc w:val="both"/>
        <w:rPr>
          <w:rFonts w:ascii="Arial" w:hAnsi="Arial" w:cs="Arial"/>
          <w:lang w:val="en-GB"/>
        </w:rPr>
      </w:pPr>
    </w:p>
    <w:p w14:paraId="5B48E7C3" w14:textId="77777777" w:rsidR="0064287A" w:rsidRPr="0064287A" w:rsidRDefault="0064287A" w:rsidP="0064287A">
      <w:pPr>
        <w:jc w:val="both"/>
        <w:rPr>
          <w:rFonts w:ascii="Arial" w:hAnsi="Arial" w:cs="Arial"/>
          <w:lang w:val="en-GB"/>
        </w:rPr>
      </w:pPr>
    </w:p>
    <w:p w14:paraId="16EFF9EF" w14:textId="77777777" w:rsidR="0064287A" w:rsidRPr="0064287A" w:rsidRDefault="0064287A" w:rsidP="0064287A">
      <w:pPr>
        <w:jc w:val="both"/>
        <w:rPr>
          <w:rFonts w:ascii="Arial" w:hAnsi="Arial" w:cs="Arial"/>
          <w:lang w:val="en-GB"/>
        </w:rPr>
      </w:pPr>
    </w:p>
    <w:p w14:paraId="0F54145A" w14:textId="77777777" w:rsidR="0064287A" w:rsidRPr="0064287A" w:rsidRDefault="0064287A" w:rsidP="0064287A">
      <w:pPr>
        <w:jc w:val="both"/>
        <w:rPr>
          <w:rFonts w:ascii="Arial" w:hAnsi="Arial" w:cs="Arial"/>
          <w:lang w:val="en-GB"/>
        </w:rPr>
      </w:pPr>
    </w:p>
    <w:p w14:paraId="279D81F6" w14:textId="77777777" w:rsidR="0064287A" w:rsidRPr="0064287A" w:rsidRDefault="0064287A" w:rsidP="0064287A">
      <w:pPr>
        <w:jc w:val="both"/>
        <w:rPr>
          <w:rFonts w:ascii="Arial" w:hAnsi="Arial" w:cs="Arial"/>
          <w:lang w:val="en-GB"/>
        </w:rPr>
      </w:pPr>
    </w:p>
    <w:p w14:paraId="608F75DC" w14:textId="77777777" w:rsidR="0064287A" w:rsidRPr="0064287A" w:rsidRDefault="0064287A" w:rsidP="0064287A">
      <w:pPr>
        <w:jc w:val="both"/>
        <w:rPr>
          <w:rFonts w:ascii="Arial" w:hAnsi="Arial" w:cs="Arial"/>
          <w:lang w:val="en-GB"/>
        </w:rPr>
      </w:pPr>
    </w:p>
    <w:p w14:paraId="7AA95B4D" w14:textId="77777777" w:rsidR="0064287A" w:rsidRPr="0064287A" w:rsidRDefault="0064287A" w:rsidP="0064287A">
      <w:pPr>
        <w:jc w:val="both"/>
        <w:rPr>
          <w:rFonts w:ascii="Arial" w:hAnsi="Arial" w:cs="Arial"/>
          <w:lang w:val="en-GB"/>
        </w:rPr>
      </w:pPr>
    </w:p>
    <w:p w14:paraId="4E2085C5" w14:textId="77777777" w:rsidR="0064287A" w:rsidRPr="0064287A" w:rsidRDefault="0064287A" w:rsidP="0064287A">
      <w:pPr>
        <w:jc w:val="both"/>
        <w:rPr>
          <w:rFonts w:ascii="Arial" w:hAnsi="Arial" w:cs="Arial"/>
          <w:lang w:val="en-GB"/>
        </w:rPr>
      </w:pPr>
    </w:p>
    <w:p w14:paraId="50B8A684" w14:textId="77777777" w:rsidR="0064287A" w:rsidRPr="0064287A" w:rsidRDefault="0064287A" w:rsidP="0064287A">
      <w:pPr>
        <w:jc w:val="both"/>
        <w:rPr>
          <w:rFonts w:ascii="Arial" w:hAnsi="Arial" w:cs="Arial"/>
          <w:lang w:val="en-GB"/>
        </w:rPr>
      </w:pPr>
    </w:p>
    <w:p w14:paraId="56D8E886" w14:textId="77777777" w:rsidR="0064287A" w:rsidRPr="0064287A" w:rsidRDefault="0064287A" w:rsidP="0064287A">
      <w:pPr>
        <w:jc w:val="both"/>
        <w:rPr>
          <w:rFonts w:ascii="Arial" w:hAnsi="Arial" w:cs="Arial"/>
          <w:lang w:val="en-GB"/>
        </w:rPr>
      </w:pPr>
    </w:p>
    <w:p w14:paraId="5A5D3CF6" w14:textId="77777777" w:rsidR="0064287A" w:rsidRPr="0064287A" w:rsidRDefault="0064287A" w:rsidP="0064287A">
      <w:pPr>
        <w:jc w:val="both"/>
        <w:rPr>
          <w:rFonts w:ascii="Arial" w:hAnsi="Arial" w:cs="Arial"/>
          <w:lang w:val="en-GB"/>
        </w:rPr>
      </w:pPr>
    </w:p>
    <w:p w14:paraId="45F892DE" w14:textId="77777777" w:rsidR="0064287A" w:rsidRPr="0064287A" w:rsidRDefault="0064287A" w:rsidP="0064287A">
      <w:pPr>
        <w:jc w:val="both"/>
        <w:rPr>
          <w:rFonts w:ascii="Arial" w:hAnsi="Arial" w:cs="Arial"/>
          <w:lang w:val="en-GB"/>
        </w:rPr>
      </w:pPr>
    </w:p>
    <w:p w14:paraId="6C271EE5" w14:textId="77777777" w:rsidR="0064287A" w:rsidRPr="0064287A" w:rsidRDefault="0064287A" w:rsidP="0064287A">
      <w:pPr>
        <w:jc w:val="both"/>
        <w:rPr>
          <w:rFonts w:ascii="Arial" w:hAnsi="Arial" w:cs="Arial"/>
          <w:lang w:val="en-GB"/>
        </w:rPr>
      </w:pPr>
    </w:p>
    <w:p w14:paraId="33D925A3" w14:textId="77777777" w:rsidR="0064287A" w:rsidRPr="0064287A" w:rsidRDefault="0064287A" w:rsidP="0064287A">
      <w:pPr>
        <w:jc w:val="both"/>
        <w:rPr>
          <w:rFonts w:ascii="Arial" w:hAnsi="Arial" w:cs="Arial"/>
          <w:lang w:val="en-GB"/>
        </w:rPr>
      </w:pPr>
    </w:p>
    <w:p w14:paraId="2C85AE2A" w14:textId="77777777" w:rsidR="0064287A" w:rsidRPr="0064287A" w:rsidRDefault="0064287A" w:rsidP="0064287A">
      <w:pPr>
        <w:jc w:val="both"/>
        <w:rPr>
          <w:rFonts w:ascii="Arial" w:hAnsi="Arial" w:cs="Arial"/>
          <w:lang w:val="en-GB"/>
        </w:rPr>
      </w:pPr>
    </w:p>
    <w:p w14:paraId="1F7753D5" w14:textId="77777777" w:rsidR="0064287A" w:rsidRPr="0064287A" w:rsidRDefault="0064287A" w:rsidP="0064287A">
      <w:pPr>
        <w:jc w:val="both"/>
        <w:rPr>
          <w:rFonts w:ascii="Arial" w:hAnsi="Arial" w:cs="Arial"/>
          <w:lang w:val="en-GB"/>
        </w:rPr>
      </w:pPr>
    </w:p>
    <w:p w14:paraId="3FD7CC4C" w14:textId="77777777" w:rsidR="0064287A" w:rsidRPr="0064287A" w:rsidRDefault="0064287A" w:rsidP="0064287A">
      <w:pPr>
        <w:jc w:val="both"/>
        <w:rPr>
          <w:rFonts w:ascii="Arial" w:hAnsi="Arial" w:cs="Arial"/>
          <w:lang w:val="en-GB"/>
        </w:rPr>
      </w:pPr>
    </w:p>
    <w:p w14:paraId="54C5691C" w14:textId="77777777" w:rsidR="0064287A" w:rsidRPr="0064287A" w:rsidRDefault="0064287A" w:rsidP="0064287A">
      <w:pPr>
        <w:jc w:val="both"/>
        <w:rPr>
          <w:rFonts w:ascii="Arial" w:hAnsi="Arial" w:cs="Arial"/>
          <w:lang w:val="en-GB"/>
        </w:rPr>
      </w:pPr>
    </w:p>
    <w:p w14:paraId="345E276C"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Source: Company files.</w:t>
      </w:r>
    </w:p>
    <w:p w14:paraId="1B1B2251" w14:textId="77777777" w:rsidR="0064287A" w:rsidRPr="0064287A" w:rsidRDefault="0064287A" w:rsidP="0064287A">
      <w:pPr>
        <w:spacing w:after="200" w:line="276" w:lineRule="auto"/>
        <w:rPr>
          <w:sz w:val="22"/>
          <w:szCs w:val="22"/>
          <w:lang w:val="en-GB"/>
        </w:rPr>
      </w:pPr>
    </w:p>
    <w:p w14:paraId="0BCC723B" w14:textId="77777777" w:rsidR="0064287A" w:rsidRDefault="0064287A">
      <w:pPr>
        <w:spacing w:after="200" w:line="276" w:lineRule="auto"/>
        <w:rPr>
          <w:rFonts w:ascii="Arial" w:hAnsi="Arial" w:cs="Arial"/>
          <w:b/>
          <w:caps/>
          <w:lang w:val="en-GB"/>
        </w:rPr>
      </w:pPr>
      <w:r>
        <w:rPr>
          <w:rFonts w:ascii="Arial" w:hAnsi="Arial" w:cs="Arial"/>
          <w:b/>
          <w:caps/>
          <w:lang w:val="en-GB"/>
        </w:rPr>
        <w:br w:type="page"/>
      </w:r>
    </w:p>
    <w:p w14:paraId="7B004D39" w14:textId="29004E66" w:rsidR="0064287A" w:rsidRPr="0064287A" w:rsidRDefault="0064287A" w:rsidP="0064287A">
      <w:pPr>
        <w:jc w:val="center"/>
        <w:rPr>
          <w:rFonts w:ascii="Arial" w:hAnsi="Arial" w:cs="Arial"/>
          <w:b/>
          <w:caps/>
          <w:lang w:val="en-GB"/>
        </w:rPr>
      </w:pPr>
      <w:r w:rsidRPr="0064287A">
        <w:rPr>
          <w:rFonts w:ascii="Arial" w:hAnsi="Arial" w:cs="Arial"/>
          <w:b/>
          <w:caps/>
          <w:lang w:val="en-GB"/>
        </w:rPr>
        <w:lastRenderedPageBreak/>
        <w:t>Exhibit 3: IVTL PROJECT—PROPOSED INSTALLED CAPACITY AND CAPACITY UTILIZATION FOR DIFFERENT CABLES</w:t>
      </w:r>
    </w:p>
    <w:p w14:paraId="559F6EB4" w14:textId="77777777" w:rsidR="0064287A" w:rsidRPr="0064287A" w:rsidRDefault="0064287A" w:rsidP="0064287A">
      <w:pPr>
        <w:jc w:val="both"/>
        <w:rPr>
          <w:rFonts w:ascii="Arial" w:hAnsi="Arial" w:cs="Arial"/>
          <w:lang w:val="en-GB"/>
        </w:rPr>
      </w:pPr>
    </w:p>
    <w:tbl>
      <w:tblPr>
        <w:tblStyle w:val="TableGrid"/>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8"/>
        <w:gridCol w:w="1833"/>
        <w:gridCol w:w="995"/>
        <w:gridCol w:w="996"/>
        <w:gridCol w:w="996"/>
        <w:gridCol w:w="996"/>
        <w:gridCol w:w="996"/>
      </w:tblGrid>
      <w:tr w:rsidR="0064287A" w:rsidRPr="0064287A" w14:paraId="2B73A97F" w14:textId="77777777" w:rsidTr="00765FAA">
        <w:trPr>
          <w:trHeight w:val="259"/>
          <w:jc w:val="center"/>
        </w:trPr>
        <w:tc>
          <w:tcPr>
            <w:tcW w:w="2548" w:type="dxa"/>
            <w:tcBorders>
              <w:bottom w:val="nil"/>
            </w:tcBorders>
            <w:noWrap/>
            <w:vAlign w:val="center"/>
          </w:tcPr>
          <w:p w14:paraId="6066D7EA" w14:textId="77777777" w:rsidR="0064287A" w:rsidRPr="0064287A" w:rsidRDefault="0064287A" w:rsidP="0064287A">
            <w:pPr>
              <w:rPr>
                <w:rFonts w:ascii="Arial" w:hAnsi="Arial" w:cs="Arial"/>
                <w:b/>
                <w:lang w:val="en-GB"/>
              </w:rPr>
            </w:pPr>
          </w:p>
        </w:tc>
        <w:tc>
          <w:tcPr>
            <w:tcW w:w="1833" w:type="dxa"/>
            <w:tcBorders>
              <w:bottom w:val="nil"/>
            </w:tcBorders>
            <w:noWrap/>
            <w:vAlign w:val="center"/>
          </w:tcPr>
          <w:p w14:paraId="647614C1" w14:textId="77777777" w:rsidR="0064287A" w:rsidRPr="0064287A" w:rsidRDefault="0064287A" w:rsidP="0064287A">
            <w:pPr>
              <w:jc w:val="center"/>
              <w:rPr>
                <w:rFonts w:ascii="Arial" w:hAnsi="Arial" w:cs="Arial"/>
                <w:b/>
                <w:lang w:val="en-GB"/>
              </w:rPr>
            </w:pPr>
          </w:p>
        </w:tc>
        <w:tc>
          <w:tcPr>
            <w:tcW w:w="4979" w:type="dxa"/>
            <w:gridSpan w:val="5"/>
            <w:tcBorders>
              <w:bottom w:val="nil"/>
            </w:tcBorders>
            <w:noWrap/>
            <w:vAlign w:val="center"/>
          </w:tcPr>
          <w:p w14:paraId="21072DC5" w14:textId="77777777" w:rsidR="0064287A" w:rsidRPr="0064287A" w:rsidRDefault="0064287A" w:rsidP="0064287A">
            <w:pPr>
              <w:jc w:val="center"/>
              <w:rPr>
                <w:rFonts w:ascii="Arial" w:hAnsi="Arial" w:cs="Arial"/>
                <w:b/>
                <w:lang w:val="en-GB"/>
              </w:rPr>
            </w:pPr>
            <w:r w:rsidRPr="0064287A">
              <w:rPr>
                <w:rFonts w:ascii="Arial" w:hAnsi="Arial" w:cs="Arial"/>
                <w:b/>
                <w:lang w:val="en-GB"/>
              </w:rPr>
              <w:t>Fiscal Year</w:t>
            </w:r>
          </w:p>
        </w:tc>
      </w:tr>
      <w:tr w:rsidR="0064287A" w:rsidRPr="0064287A" w14:paraId="2CCCF880" w14:textId="77777777" w:rsidTr="00765FAA">
        <w:trPr>
          <w:trHeight w:val="259"/>
          <w:jc w:val="center"/>
        </w:trPr>
        <w:tc>
          <w:tcPr>
            <w:tcW w:w="2548" w:type="dxa"/>
            <w:tcBorders>
              <w:top w:val="nil"/>
              <w:bottom w:val="single" w:sz="12" w:space="0" w:color="auto"/>
            </w:tcBorders>
            <w:noWrap/>
            <w:vAlign w:val="center"/>
            <w:hideMark/>
          </w:tcPr>
          <w:p w14:paraId="0F3A3931" w14:textId="77777777" w:rsidR="0064287A" w:rsidRPr="0064287A" w:rsidRDefault="0064287A" w:rsidP="0064287A">
            <w:pPr>
              <w:rPr>
                <w:rFonts w:ascii="Arial" w:hAnsi="Arial" w:cs="Arial"/>
                <w:b/>
                <w:lang w:val="en-GB"/>
              </w:rPr>
            </w:pPr>
            <w:r w:rsidRPr="0064287A">
              <w:rPr>
                <w:rFonts w:ascii="Arial" w:hAnsi="Arial" w:cs="Arial"/>
                <w:b/>
                <w:lang w:val="en-GB"/>
              </w:rPr>
              <w:t>Description</w:t>
            </w:r>
          </w:p>
        </w:tc>
        <w:tc>
          <w:tcPr>
            <w:tcW w:w="1833" w:type="dxa"/>
            <w:tcBorders>
              <w:top w:val="nil"/>
              <w:bottom w:val="single" w:sz="12" w:space="0" w:color="auto"/>
            </w:tcBorders>
            <w:noWrap/>
            <w:vAlign w:val="center"/>
            <w:hideMark/>
          </w:tcPr>
          <w:p w14:paraId="47B0CE4A" w14:textId="77777777" w:rsidR="0064287A" w:rsidRPr="0064287A" w:rsidRDefault="0064287A" w:rsidP="0064287A">
            <w:pPr>
              <w:jc w:val="center"/>
              <w:rPr>
                <w:rFonts w:ascii="Arial" w:hAnsi="Arial" w:cs="Arial"/>
                <w:b/>
                <w:lang w:val="en-GB"/>
              </w:rPr>
            </w:pPr>
            <w:r w:rsidRPr="0064287A">
              <w:rPr>
                <w:rFonts w:ascii="Arial" w:hAnsi="Arial" w:cs="Arial"/>
                <w:b/>
                <w:iCs/>
                <w:lang w:val="en-GB"/>
              </w:rPr>
              <w:t>Units</w:t>
            </w:r>
          </w:p>
        </w:tc>
        <w:tc>
          <w:tcPr>
            <w:tcW w:w="995" w:type="dxa"/>
            <w:tcBorders>
              <w:top w:val="nil"/>
              <w:bottom w:val="single" w:sz="12" w:space="0" w:color="auto"/>
            </w:tcBorders>
            <w:noWrap/>
            <w:vAlign w:val="center"/>
            <w:hideMark/>
          </w:tcPr>
          <w:p w14:paraId="64E6BD47" w14:textId="77777777" w:rsidR="0064287A" w:rsidRPr="0064287A" w:rsidRDefault="0064287A" w:rsidP="0064287A">
            <w:pPr>
              <w:jc w:val="right"/>
              <w:rPr>
                <w:rFonts w:ascii="Arial" w:hAnsi="Arial" w:cs="Arial"/>
                <w:b/>
                <w:lang w:val="en-GB"/>
              </w:rPr>
            </w:pPr>
            <w:r w:rsidRPr="0064287A">
              <w:rPr>
                <w:rFonts w:ascii="Arial" w:hAnsi="Arial" w:cs="Arial"/>
                <w:b/>
                <w:lang w:val="en-GB"/>
              </w:rPr>
              <w:t>2017/18</w:t>
            </w:r>
          </w:p>
        </w:tc>
        <w:tc>
          <w:tcPr>
            <w:tcW w:w="996" w:type="dxa"/>
            <w:tcBorders>
              <w:top w:val="nil"/>
              <w:bottom w:val="single" w:sz="12" w:space="0" w:color="auto"/>
            </w:tcBorders>
            <w:noWrap/>
            <w:vAlign w:val="center"/>
            <w:hideMark/>
          </w:tcPr>
          <w:p w14:paraId="02F8492E" w14:textId="77777777" w:rsidR="0064287A" w:rsidRPr="0064287A" w:rsidRDefault="0064287A" w:rsidP="0064287A">
            <w:pPr>
              <w:jc w:val="right"/>
              <w:rPr>
                <w:rFonts w:ascii="Arial" w:hAnsi="Arial" w:cs="Arial"/>
                <w:b/>
                <w:lang w:val="en-GB"/>
              </w:rPr>
            </w:pPr>
            <w:r w:rsidRPr="0064287A">
              <w:rPr>
                <w:rFonts w:ascii="Arial" w:hAnsi="Arial" w:cs="Arial"/>
                <w:b/>
                <w:lang w:val="en-GB"/>
              </w:rPr>
              <w:t>2018/19</w:t>
            </w:r>
          </w:p>
        </w:tc>
        <w:tc>
          <w:tcPr>
            <w:tcW w:w="996" w:type="dxa"/>
            <w:tcBorders>
              <w:top w:val="nil"/>
              <w:bottom w:val="single" w:sz="12" w:space="0" w:color="auto"/>
            </w:tcBorders>
            <w:noWrap/>
            <w:vAlign w:val="center"/>
            <w:hideMark/>
          </w:tcPr>
          <w:p w14:paraId="0A1C0AE8" w14:textId="77777777" w:rsidR="0064287A" w:rsidRPr="0064287A" w:rsidRDefault="0064287A" w:rsidP="0064287A">
            <w:pPr>
              <w:jc w:val="right"/>
              <w:rPr>
                <w:rFonts w:ascii="Arial" w:hAnsi="Arial" w:cs="Arial"/>
                <w:b/>
                <w:lang w:val="en-GB"/>
              </w:rPr>
            </w:pPr>
            <w:r w:rsidRPr="0064287A">
              <w:rPr>
                <w:rFonts w:ascii="Arial" w:hAnsi="Arial" w:cs="Arial"/>
                <w:b/>
                <w:lang w:val="en-GB"/>
              </w:rPr>
              <w:t>2019/20</w:t>
            </w:r>
          </w:p>
        </w:tc>
        <w:tc>
          <w:tcPr>
            <w:tcW w:w="996" w:type="dxa"/>
            <w:tcBorders>
              <w:top w:val="nil"/>
              <w:bottom w:val="single" w:sz="12" w:space="0" w:color="auto"/>
            </w:tcBorders>
            <w:noWrap/>
            <w:vAlign w:val="center"/>
            <w:hideMark/>
          </w:tcPr>
          <w:p w14:paraId="70DB2BAA" w14:textId="77777777" w:rsidR="0064287A" w:rsidRPr="0064287A" w:rsidRDefault="0064287A" w:rsidP="0064287A">
            <w:pPr>
              <w:jc w:val="right"/>
              <w:rPr>
                <w:rFonts w:ascii="Arial" w:hAnsi="Arial" w:cs="Arial"/>
                <w:b/>
                <w:lang w:val="en-GB"/>
              </w:rPr>
            </w:pPr>
            <w:r w:rsidRPr="0064287A">
              <w:rPr>
                <w:rFonts w:ascii="Arial" w:hAnsi="Arial" w:cs="Arial"/>
                <w:b/>
                <w:lang w:val="en-GB"/>
              </w:rPr>
              <w:t>2020/21</w:t>
            </w:r>
          </w:p>
        </w:tc>
        <w:tc>
          <w:tcPr>
            <w:tcW w:w="996" w:type="dxa"/>
            <w:tcBorders>
              <w:top w:val="nil"/>
              <w:bottom w:val="single" w:sz="12" w:space="0" w:color="auto"/>
            </w:tcBorders>
            <w:noWrap/>
            <w:vAlign w:val="center"/>
            <w:hideMark/>
          </w:tcPr>
          <w:p w14:paraId="2327113C" w14:textId="77777777" w:rsidR="0064287A" w:rsidRPr="0064287A" w:rsidRDefault="0064287A" w:rsidP="0064287A">
            <w:pPr>
              <w:jc w:val="right"/>
              <w:rPr>
                <w:rFonts w:ascii="Arial" w:hAnsi="Arial" w:cs="Arial"/>
                <w:b/>
                <w:lang w:val="en-GB"/>
              </w:rPr>
            </w:pPr>
            <w:r w:rsidRPr="0064287A">
              <w:rPr>
                <w:rFonts w:ascii="Arial" w:hAnsi="Arial" w:cs="Arial"/>
                <w:b/>
                <w:lang w:val="en-GB"/>
              </w:rPr>
              <w:t>2021/22</w:t>
            </w:r>
          </w:p>
        </w:tc>
      </w:tr>
      <w:tr w:rsidR="0064287A" w:rsidRPr="0064287A" w14:paraId="05C5CBB1" w14:textId="77777777" w:rsidTr="00765FAA">
        <w:trPr>
          <w:trHeight w:val="259"/>
          <w:jc w:val="center"/>
        </w:trPr>
        <w:tc>
          <w:tcPr>
            <w:tcW w:w="2548" w:type="dxa"/>
            <w:tcBorders>
              <w:top w:val="single" w:sz="12" w:space="0" w:color="auto"/>
            </w:tcBorders>
            <w:noWrap/>
            <w:vAlign w:val="center"/>
            <w:hideMark/>
          </w:tcPr>
          <w:p w14:paraId="4E6607D6" w14:textId="77777777" w:rsidR="0064287A" w:rsidRPr="0064287A" w:rsidRDefault="0064287A" w:rsidP="0064287A">
            <w:pPr>
              <w:rPr>
                <w:rFonts w:ascii="Arial" w:hAnsi="Arial" w:cs="Arial"/>
                <w:b/>
                <w:lang w:val="en-GB"/>
              </w:rPr>
            </w:pPr>
            <w:r w:rsidRPr="0064287A">
              <w:rPr>
                <w:rFonts w:ascii="Arial" w:hAnsi="Arial" w:cs="Arial"/>
                <w:b/>
                <w:lang w:val="en-GB"/>
              </w:rPr>
              <w:t>Installed Capacity</w:t>
            </w:r>
          </w:p>
        </w:tc>
        <w:tc>
          <w:tcPr>
            <w:tcW w:w="1833" w:type="dxa"/>
            <w:tcBorders>
              <w:top w:val="single" w:sz="12" w:space="0" w:color="auto"/>
            </w:tcBorders>
            <w:noWrap/>
            <w:vAlign w:val="center"/>
            <w:hideMark/>
          </w:tcPr>
          <w:p w14:paraId="3B478591" w14:textId="77777777" w:rsidR="0064287A" w:rsidRPr="0064287A" w:rsidRDefault="0064287A" w:rsidP="0064287A">
            <w:pPr>
              <w:jc w:val="center"/>
              <w:rPr>
                <w:rFonts w:ascii="Arial" w:hAnsi="Arial" w:cs="Arial"/>
                <w:b/>
                <w:lang w:val="en-GB"/>
              </w:rPr>
            </w:pPr>
          </w:p>
        </w:tc>
        <w:tc>
          <w:tcPr>
            <w:tcW w:w="995" w:type="dxa"/>
            <w:tcBorders>
              <w:top w:val="single" w:sz="12" w:space="0" w:color="auto"/>
            </w:tcBorders>
            <w:noWrap/>
            <w:vAlign w:val="center"/>
            <w:hideMark/>
          </w:tcPr>
          <w:p w14:paraId="41DBE9F0" w14:textId="77777777" w:rsidR="0064287A" w:rsidRPr="0064287A" w:rsidRDefault="0064287A" w:rsidP="0064287A">
            <w:pPr>
              <w:jc w:val="right"/>
              <w:rPr>
                <w:rFonts w:ascii="Arial" w:hAnsi="Arial" w:cs="Arial"/>
                <w:b/>
                <w:lang w:val="en-GB"/>
              </w:rPr>
            </w:pPr>
          </w:p>
        </w:tc>
        <w:tc>
          <w:tcPr>
            <w:tcW w:w="996" w:type="dxa"/>
            <w:tcBorders>
              <w:top w:val="single" w:sz="12" w:space="0" w:color="auto"/>
            </w:tcBorders>
            <w:noWrap/>
            <w:vAlign w:val="center"/>
            <w:hideMark/>
          </w:tcPr>
          <w:p w14:paraId="2CAA62FF" w14:textId="77777777" w:rsidR="0064287A" w:rsidRPr="0064287A" w:rsidRDefault="0064287A" w:rsidP="0064287A">
            <w:pPr>
              <w:jc w:val="right"/>
              <w:rPr>
                <w:rFonts w:ascii="Arial" w:hAnsi="Arial" w:cs="Arial"/>
                <w:b/>
                <w:lang w:val="en-GB"/>
              </w:rPr>
            </w:pPr>
          </w:p>
        </w:tc>
        <w:tc>
          <w:tcPr>
            <w:tcW w:w="996" w:type="dxa"/>
            <w:tcBorders>
              <w:top w:val="single" w:sz="12" w:space="0" w:color="auto"/>
            </w:tcBorders>
            <w:noWrap/>
            <w:vAlign w:val="center"/>
            <w:hideMark/>
          </w:tcPr>
          <w:p w14:paraId="1FA49D11" w14:textId="77777777" w:rsidR="0064287A" w:rsidRPr="0064287A" w:rsidRDefault="0064287A" w:rsidP="0064287A">
            <w:pPr>
              <w:jc w:val="right"/>
              <w:rPr>
                <w:rFonts w:ascii="Arial" w:hAnsi="Arial" w:cs="Arial"/>
                <w:b/>
                <w:lang w:val="en-GB"/>
              </w:rPr>
            </w:pPr>
          </w:p>
        </w:tc>
        <w:tc>
          <w:tcPr>
            <w:tcW w:w="996" w:type="dxa"/>
            <w:tcBorders>
              <w:top w:val="single" w:sz="12" w:space="0" w:color="auto"/>
            </w:tcBorders>
            <w:noWrap/>
            <w:vAlign w:val="center"/>
            <w:hideMark/>
          </w:tcPr>
          <w:p w14:paraId="092A5325" w14:textId="77777777" w:rsidR="0064287A" w:rsidRPr="0064287A" w:rsidRDefault="0064287A" w:rsidP="0064287A">
            <w:pPr>
              <w:jc w:val="right"/>
              <w:rPr>
                <w:rFonts w:ascii="Arial" w:hAnsi="Arial" w:cs="Arial"/>
                <w:b/>
                <w:lang w:val="en-GB"/>
              </w:rPr>
            </w:pPr>
          </w:p>
        </w:tc>
        <w:tc>
          <w:tcPr>
            <w:tcW w:w="996" w:type="dxa"/>
            <w:tcBorders>
              <w:top w:val="single" w:sz="12" w:space="0" w:color="auto"/>
            </w:tcBorders>
            <w:noWrap/>
            <w:vAlign w:val="center"/>
            <w:hideMark/>
          </w:tcPr>
          <w:p w14:paraId="37C46E3C" w14:textId="77777777" w:rsidR="0064287A" w:rsidRPr="0064287A" w:rsidRDefault="0064287A" w:rsidP="0064287A">
            <w:pPr>
              <w:jc w:val="right"/>
              <w:rPr>
                <w:rFonts w:ascii="Arial" w:hAnsi="Arial" w:cs="Arial"/>
                <w:b/>
                <w:lang w:val="en-GB"/>
              </w:rPr>
            </w:pPr>
          </w:p>
        </w:tc>
      </w:tr>
      <w:tr w:rsidR="0064287A" w:rsidRPr="0064287A" w14:paraId="362E4932" w14:textId="77777777" w:rsidTr="00765FAA">
        <w:trPr>
          <w:trHeight w:val="259"/>
          <w:jc w:val="center"/>
        </w:trPr>
        <w:tc>
          <w:tcPr>
            <w:tcW w:w="2548" w:type="dxa"/>
            <w:noWrap/>
            <w:vAlign w:val="center"/>
            <w:hideMark/>
          </w:tcPr>
          <w:p w14:paraId="1023FB41" w14:textId="77777777" w:rsidR="0064287A" w:rsidRPr="0064287A" w:rsidRDefault="0064287A" w:rsidP="0064287A">
            <w:pPr>
              <w:rPr>
                <w:rFonts w:ascii="Arial" w:hAnsi="Arial" w:cs="Arial"/>
                <w:lang w:val="en-GB"/>
              </w:rPr>
            </w:pPr>
            <w:r w:rsidRPr="0064287A">
              <w:rPr>
                <w:rFonts w:ascii="Arial" w:hAnsi="Arial" w:cs="Arial"/>
                <w:lang w:val="en-GB"/>
              </w:rPr>
              <w:t>48 F SS Armoured Cable</w:t>
            </w:r>
          </w:p>
        </w:tc>
        <w:tc>
          <w:tcPr>
            <w:tcW w:w="1833" w:type="dxa"/>
            <w:noWrap/>
            <w:vAlign w:val="center"/>
            <w:hideMark/>
          </w:tcPr>
          <w:p w14:paraId="4F6A97B2" w14:textId="77777777" w:rsidR="0064287A" w:rsidRPr="0064287A" w:rsidRDefault="0064287A" w:rsidP="0064287A">
            <w:pPr>
              <w:jc w:val="center"/>
              <w:rPr>
                <w:rFonts w:ascii="Arial" w:hAnsi="Arial" w:cs="Arial"/>
                <w:lang w:val="en-GB"/>
              </w:rPr>
            </w:pPr>
            <w:r w:rsidRPr="0064287A">
              <w:rPr>
                <w:rFonts w:ascii="Arial" w:hAnsi="Arial" w:cs="Arial"/>
                <w:lang w:val="en-GB"/>
              </w:rPr>
              <w:t>km/per annum</w:t>
            </w:r>
          </w:p>
        </w:tc>
        <w:tc>
          <w:tcPr>
            <w:tcW w:w="995" w:type="dxa"/>
            <w:noWrap/>
            <w:vAlign w:val="center"/>
            <w:hideMark/>
          </w:tcPr>
          <w:p w14:paraId="474A7283"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noWrap/>
            <w:vAlign w:val="center"/>
            <w:hideMark/>
          </w:tcPr>
          <w:p w14:paraId="0E17E62E"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noWrap/>
            <w:vAlign w:val="center"/>
            <w:hideMark/>
          </w:tcPr>
          <w:p w14:paraId="45E63D57"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noWrap/>
            <w:vAlign w:val="center"/>
            <w:hideMark/>
          </w:tcPr>
          <w:p w14:paraId="2CCC0926"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noWrap/>
            <w:vAlign w:val="center"/>
            <w:hideMark/>
          </w:tcPr>
          <w:p w14:paraId="2A87C8C7"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r>
      <w:tr w:rsidR="0064287A" w:rsidRPr="0064287A" w14:paraId="11014F54" w14:textId="77777777" w:rsidTr="00765FAA">
        <w:trPr>
          <w:trHeight w:val="259"/>
          <w:jc w:val="center"/>
        </w:trPr>
        <w:tc>
          <w:tcPr>
            <w:tcW w:w="2548" w:type="dxa"/>
            <w:noWrap/>
            <w:vAlign w:val="center"/>
            <w:hideMark/>
          </w:tcPr>
          <w:p w14:paraId="28BAC0E8" w14:textId="77777777" w:rsidR="0064287A" w:rsidRPr="0064287A" w:rsidRDefault="0064287A" w:rsidP="0064287A">
            <w:pPr>
              <w:rPr>
                <w:rFonts w:ascii="Arial" w:hAnsi="Arial" w:cs="Arial"/>
                <w:lang w:val="en-GB"/>
              </w:rPr>
            </w:pPr>
            <w:r w:rsidRPr="0064287A">
              <w:rPr>
                <w:rFonts w:ascii="Arial" w:hAnsi="Arial" w:cs="Arial"/>
                <w:lang w:val="en-GB"/>
              </w:rPr>
              <w:t>48 F Arial Cable</w:t>
            </w:r>
          </w:p>
        </w:tc>
        <w:tc>
          <w:tcPr>
            <w:tcW w:w="1833" w:type="dxa"/>
            <w:noWrap/>
            <w:vAlign w:val="center"/>
            <w:hideMark/>
          </w:tcPr>
          <w:p w14:paraId="1F875189" w14:textId="77777777" w:rsidR="0064287A" w:rsidRPr="0064287A" w:rsidRDefault="0064287A" w:rsidP="0064287A">
            <w:pPr>
              <w:jc w:val="center"/>
              <w:rPr>
                <w:rFonts w:ascii="Arial" w:hAnsi="Arial" w:cs="Arial"/>
                <w:lang w:val="en-GB"/>
              </w:rPr>
            </w:pPr>
            <w:r w:rsidRPr="0064287A">
              <w:rPr>
                <w:rFonts w:ascii="Arial" w:hAnsi="Arial" w:cs="Arial"/>
                <w:lang w:val="en-GB"/>
              </w:rPr>
              <w:t>km/per annum</w:t>
            </w:r>
          </w:p>
        </w:tc>
        <w:tc>
          <w:tcPr>
            <w:tcW w:w="995" w:type="dxa"/>
            <w:noWrap/>
            <w:vAlign w:val="center"/>
            <w:hideMark/>
          </w:tcPr>
          <w:p w14:paraId="254FB2AA" w14:textId="77777777" w:rsidR="0064287A" w:rsidRPr="0064287A" w:rsidRDefault="0064287A" w:rsidP="0064287A">
            <w:pPr>
              <w:jc w:val="right"/>
              <w:rPr>
                <w:rFonts w:ascii="Arial" w:hAnsi="Arial" w:cs="Arial"/>
                <w:lang w:val="en-GB"/>
              </w:rPr>
            </w:pPr>
            <w:r w:rsidRPr="0064287A">
              <w:rPr>
                <w:rFonts w:ascii="Arial" w:hAnsi="Arial" w:cs="Arial"/>
                <w:lang w:val="en-GB"/>
              </w:rPr>
              <w:t>18,000</w:t>
            </w:r>
          </w:p>
        </w:tc>
        <w:tc>
          <w:tcPr>
            <w:tcW w:w="996" w:type="dxa"/>
            <w:noWrap/>
            <w:vAlign w:val="center"/>
            <w:hideMark/>
          </w:tcPr>
          <w:p w14:paraId="7D85D894" w14:textId="77777777" w:rsidR="0064287A" w:rsidRPr="0064287A" w:rsidRDefault="0064287A" w:rsidP="0064287A">
            <w:pPr>
              <w:jc w:val="right"/>
              <w:rPr>
                <w:rFonts w:ascii="Arial" w:hAnsi="Arial" w:cs="Arial"/>
                <w:lang w:val="en-GB"/>
              </w:rPr>
            </w:pPr>
            <w:r w:rsidRPr="0064287A">
              <w:rPr>
                <w:rFonts w:ascii="Arial" w:hAnsi="Arial" w:cs="Arial"/>
                <w:lang w:val="en-GB"/>
              </w:rPr>
              <w:t>18,000</w:t>
            </w:r>
          </w:p>
        </w:tc>
        <w:tc>
          <w:tcPr>
            <w:tcW w:w="996" w:type="dxa"/>
            <w:noWrap/>
            <w:vAlign w:val="center"/>
            <w:hideMark/>
          </w:tcPr>
          <w:p w14:paraId="12D2A825" w14:textId="77777777" w:rsidR="0064287A" w:rsidRPr="0064287A" w:rsidRDefault="0064287A" w:rsidP="0064287A">
            <w:pPr>
              <w:jc w:val="right"/>
              <w:rPr>
                <w:rFonts w:ascii="Arial" w:hAnsi="Arial" w:cs="Arial"/>
                <w:lang w:val="en-GB"/>
              </w:rPr>
            </w:pPr>
            <w:r w:rsidRPr="0064287A">
              <w:rPr>
                <w:rFonts w:ascii="Arial" w:hAnsi="Arial" w:cs="Arial"/>
                <w:lang w:val="en-GB"/>
              </w:rPr>
              <w:t>18,000</w:t>
            </w:r>
          </w:p>
        </w:tc>
        <w:tc>
          <w:tcPr>
            <w:tcW w:w="996" w:type="dxa"/>
            <w:noWrap/>
            <w:vAlign w:val="center"/>
            <w:hideMark/>
          </w:tcPr>
          <w:p w14:paraId="36894904" w14:textId="77777777" w:rsidR="0064287A" w:rsidRPr="0064287A" w:rsidRDefault="0064287A" w:rsidP="0064287A">
            <w:pPr>
              <w:jc w:val="right"/>
              <w:rPr>
                <w:rFonts w:ascii="Arial" w:hAnsi="Arial" w:cs="Arial"/>
                <w:lang w:val="en-GB"/>
              </w:rPr>
            </w:pPr>
            <w:r w:rsidRPr="0064287A">
              <w:rPr>
                <w:rFonts w:ascii="Arial" w:hAnsi="Arial" w:cs="Arial"/>
                <w:lang w:val="en-GB"/>
              </w:rPr>
              <w:t>18,000</w:t>
            </w:r>
          </w:p>
        </w:tc>
        <w:tc>
          <w:tcPr>
            <w:tcW w:w="996" w:type="dxa"/>
            <w:noWrap/>
            <w:vAlign w:val="center"/>
            <w:hideMark/>
          </w:tcPr>
          <w:p w14:paraId="4BC2F36C" w14:textId="77777777" w:rsidR="0064287A" w:rsidRPr="0064287A" w:rsidRDefault="0064287A" w:rsidP="0064287A">
            <w:pPr>
              <w:jc w:val="right"/>
              <w:rPr>
                <w:rFonts w:ascii="Arial" w:hAnsi="Arial" w:cs="Arial"/>
                <w:lang w:val="en-GB"/>
              </w:rPr>
            </w:pPr>
            <w:r w:rsidRPr="0064287A">
              <w:rPr>
                <w:rFonts w:ascii="Arial" w:hAnsi="Arial" w:cs="Arial"/>
                <w:lang w:val="en-GB"/>
              </w:rPr>
              <w:t>18,000</w:t>
            </w:r>
          </w:p>
        </w:tc>
      </w:tr>
      <w:tr w:rsidR="0064287A" w:rsidRPr="0064287A" w14:paraId="3DC1589D" w14:textId="77777777" w:rsidTr="00765FAA">
        <w:trPr>
          <w:trHeight w:val="259"/>
          <w:jc w:val="center"/>
        </w:trPr>
        <w:tc>
          <w:tcPr>
            <w:tcW w:w="2548" w:type="dxa"/>
            <w:tcBorders>
              <w:bottom w:val="nil"/>
            </w:tcBorders>
            <w:noWrap/>
            <w:vAlign w:val="center"/>
            <w:hideMark/>
          </w:tcPr>
          <w:p w14:paraId="7A4CFBDD" w14:textId="77777777" w:rsidR="0064287A" w:rsidRPr="0064287A" w:rsidRDefault="0064287A" w:rsidP="0064287A">
            <w:pPr>
              <w:rPr>
                <w:rFonts w:ascii="Arial" w:hAnsi="Arial" w:cs="Arial"/>
                <w:lang w:val="en-GB"/>
              </w:rPr>
            </w:pPr>
            <w:r w:rsidRPr="0064287A">
              <w:rPr>
                <w:rFonts w:ascii="Arial" w:hAnsi="Arial" w:cs="Arial"/>
                <w:lang w:val="en-GB"/>
              </w:rPr>
              <w:t>48 F Micro Cable</w:t>
            </w:r>
          </w:p>
        </w:tc>
        <w:tc>
          <w:tcPr>
            <w:tcW w:w="1833" w:type="dxa"/>
            <w:tcBorders>
              <w:bottom w:val="nil"/>
            </w:tcBorders>
            <w:noWrap/>
            <w:vAlign w:val="center"/>
            <w:hideMark/>
          </w:tcPr>
          <w:p w14:paraId="76674FE2" w14:textId="77777777" w:rsidR="0064287A" w:rsidRPr="0064287A" w:rsidRDefault="0064287A" w:rsidP="0064287A">
            <w:pPr>
              <w:jc w:val="center"/>
              <w:rPr>
                <w:rFonts w:ascii="Arial" w:hAnsi="Arial" w:cs="Arial"/>
                <w:lang w:val="en-GB"/>
              </w:rPr>
            </w:pPr>
            <w:r w:rsidRPr="0064287A">
              <w:rPr>
                <w:rFonts w:ascii="Arial" w:hAnsi="Arial" w:cs="Arial"/>
                <w:lang w:val="en-GB"/>
              </w:rPr>
              <w:t>km/per annum</w:t>
            </w:r>
          </w:p>
        </w:tc>
        <w:tc>
          <w:tcPr>
            <w:tcW w:w="995" w:type="dxa"/>
            <w:tcBorders>
              <w:bottom w:val="nil"/>
            </w:tcBorders>
            <w:noWrap/>
            <w:vAlign w:val="center"/>
            <w:hideMark/>
          </w:tcPr>
          <w:p w14:paraId="74708204"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tcBorders>
              <w:bottom w:val="nil"/>
            </w:tcBorders>
            <w:noWrap/>
            <w:vAlign w:val="center"/>
            <w:hideMark/>
          </w:tcPr>
          <w:p w14:paraId="1B38C978"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tcBorders>
              <w:bottom w:val="nil"/>
            </w:tcBorders>
            <w:noWrap/>
            <w:vAlign w:val="center"/>
            <w:hideMark/>
          </w:tcPr>
          <w:p w14:paraId="6C95B75D"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tcBorders>
              <w:bottom w:val="nil"/>
            </w:tcBorders>
            <w:noWrap/>
            <w:vAlign w:val="center"/>
            <w:hideMark/>
          </w:tcPr>
          <w:p w14:paraId="46A86285"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c>
          <w:tcPr>
            <w:tcW w:w="996" w:type="dxa"/>
            <w:tcBorders>
              <w:bottom w:val="nil"/>
            </w:tcBorders>
            <w:noWrap/>
            <w:vAlign w:val="center"/>
            <w:hideMark/>
          </w:tcPr>
          <w:p w14:paraId="44D86C59" w14:textId="77777777" w:rsidR="0064287A" w:rsidRPr="0064287A" w:rsidRDefault="0064287A" w:rsidP="0064287A">
            <w:pPr>
              <w:jc w:val="right"/>
              <w:rPr>
                <w:rFonts w:ascii="Arial" w:hAnsi="Arial" w:cs="Arial"/>
                <w:lang w:val="en-GB"/>
              </w:rPr>
            </w:pPr>
            <w:r w:rsidRPr="0064287A">
              <w:rPr>
                <w:rFonts w:ascii="Arial" w:hAnsi="Arial" w:cs="Arial"/>
                <w:lang w:val="en-GB"/>
              </w:rPr>
              <w:t>24,000</w:t>
            </w:r>
          </w:p>
        </w:tc>
      </w:tr>
      <w:tr w:rsidR="0064287A" w:rsidRPr="0064287A" w14:paraId="4EFE7F2B" w14:textId="77777777" w:rsidTr="00765FAA">
        <w:trPr>
          <w:trHeight w:val="259"/>
          <w:jc w:val="center"/>
        </w:trPr>
        <w:tc>
          <w:tcPr>
            <w:tcW w:w="2548" w:type="dxa"/>
            <w:tcBorders>
              <w:top w:val="nil"/>
              <w:bottom w:val="single" w:sz="4" w:space="0" w:color="auto"/>
            </w:tcBorders>
            <w:noWrap/>
            <w:vAlign w:val="center"/>
            <w:hideMark/>
          </w:tcPr>
          <w:p w14:paraId="3D716769" w14:textId="77777777" w:rsidR="0064287A" w:rsidRPr="0064287A" w:rsidRDefault="0064287A" w:rsidP="0064287A">
            <w:pPr>
              <w:rPr>
                <w:rFonts w:ascii="Arial" w:hAnsi="Arial" w:cs="Arial"/>
                <w:lang w:val="en-GB"/>
              </w:rPr>
            </w:pPr>
            <w:r w:rsidRPr="0064287A">
              <w:rPr>
                <w:rFonts w:ascii="Arial" w:hAnsi="Arial" w:cs="Arial"/>
                <w:lang w:val="en-GB"/>
              </w:rPr>
              <w:t>1 F FTTH Drop Cable</w:t>
            </w:r>
          </w:p>
        </w:tc>
        <w:tc>
          <w:tcPr>
            <w:tcW w:w="1833" w:type="dxa"/>
            <w:tcBorders>
              <w:top w:val="nil"/>
              <w:bottom w:val="single" w:sz="4" w:space="0" w:color="auto"/>
            </w:tcBorders>
            <w:noWrap/>
            <w:vAlign w:val="center"/>
            <w:hideMark/>
          </w:tcPr>
          <w:p w14:paraId="429901F5" w14:textId="77777777" w:rsidR="0064287A" w:rsidRPr="0064287A" w:rsidRDefault="0064287A" w:rsidP="0064287A">
            <w:pPr>
              <w:jc w:val="center"/>
              <w:rPr>
                <w:rFonts w:ascii="Arial" w:hAnsi="Arial" w:cs="Arial"/>
                <w:lang w:val="en-GB"/>
              </w:rPr>
            </w:pPr>
            <w:r w:rsidRPr="0064287A">
              <w:rPr>
                <w:rFonts w:ascii="Arial" w:hAnsi="Arial" w:cs="Arial"/>
                <w:lang w:val="en-GB"/>
              </w:rPr>
              <w:t>km/per annum</w:t>
            </w:r>
          </w:p>
        </w:tc>
        <w:tc>
          <w:tcPr>
            <w:tcW w:w="995" w:type="dxa"/>
            <w:tcBorders>
              <w:top w:val="nil"/>
              <w:bottom w:val="single" w:sz="4" w:space="0" w:color="auto"/>
            </w:tcBorders>
            <w:noWrap/>
            <w:vAlign w:val="center"/>
            <w:hideMark/>
          </w:tcPr>
          <w:p w14:paraId="02ECF38B" w14:textId="77777777" w:rsidR="0064287A" w:rsidRPr="0064287A" w:rsidRDefault="0064287A" w:rsidP="0064287A">
            <w:pPr>
              <w:jc w:val="right"/>
              <w:rPr>
                <w:rFonts w:ascii="Arial" w:hAnsi="Arial" w:cs="Arial"/>
                <w:lang w:val="en-GB"/>
              </w:rPr>
            </w:pPr>
            <w:r w:rsidRPr="0064287A">
              <w:rPr>
                <w:rFonts w:ascii="Arial" w:hAnsi="Arial" w:cs="Arial"/>
                <w:lang w:val="en-GB"/>
              </w:rPr>
              <w:t>48,000</w:t>
            </w:r>
          </w:p>
        </w:tc>
        <w:tc>
          <w:tcPr>
            <w:tcW w:w="996" w:type="dxa"/>
            <w:tcBorders>
              <w:top w:val="nil"/>
              <w:bottom w:val="single" w:sz="4" w:space="0" w:color="auto"/>
            </w:tcBorders>
            <w:noWrap/>
            <w:vAlign w:val="center"/>
            <w:hideMark/>
          </w:tcPr>
          <w:p w14:paraId="5747BF50" w14:textId="77777777" w:rsidR="0064287A" w:rsidRPr="0064287A" w:rsidRDefault="0064287A" w:rsidP="0064287A">
            <w:pPr>
              <w:jc w:val="right"/>
              <w:rPr>
                <w:rFonts w:ascii="Arial" w:hAnsi="Arial" w:cs="Arial"/>
                <w:lang w:val="en-GB"/>
              </w:rPr>
            </w:pPr>
            <w:r w:rsidRPr="0064287A">
              <w:rPr>
                <w:rFonts w:ascii="Arial" w:hAnsi="Arial" w:cs="Arial"/>
                <w:lang w:val="en-GB"/>
              </w:rPr>
              <w:t>48,000</w:t>
            </w:r>
          </w:p>
        </w:tc>
        <w:tc>
          <w:tcPr>
            <w:tcW w:w="996" w:type="dxa"/>
            <w:tcBorders>
              <w:top w:val="nil"/>
              <w:bottom w:val="single" w:sz="4" w:space="0" w:color="auto"/>
            </w:tcBorders>
            <w:noWrap/>
            <w:vAlign w:val="center"/>
            <w:hideMark/>
          </w:tcPr>
          <w:p w14:paraId="76833328" w14:textId="77777777" w:rsidR="0064287A" w:rsidRPr="0064287A" w:rsidRDefault="0064287A" w:rsidP="0064287A">
            <w:pPr>
              <w:jc w:val="right"/>
              <w:rPr>
                <w:rFonts w:ascii="Arial" w:hAnsi="Arial" w:cs="Arial"/>
                <w:lang w:val="en-GB"/>
              </w:rPr>
            </w:pPr>
            <w:r w:rsidRPr="0064287A">
              <w:rPr>
                <w:rFonts w:ascii="Arial" w:hAnsi="Arial" w:cs="Arial"/>
                <w:lang w:val="en-GB"/>
              </w:rPr>
              <w:t>48,000</w:t>
            </w:r>
          </w:p>
        </w:tc>
        <w:tc>
          <w:tcPr>
            <w:tcW w:w="996" w:type="dxa"/>
            <w:tcBorders>
              <w:top w:val="nil"/>
              <w:bottom w:val="single" w:sz="4" w:space="0" w:color="auto"/>
            </w:tcBorders>
            <w:noWrap/>
            <w:vAlign w:val="center"/>
            <w:hideMark/>
          </w:tcPr>
          <w:p w14:paraId="224E873C" w14:textId="77777777" w:rsidR="0064287A" w:rsidRPr="0064287A" w:rsidRDefault="0064287A" w:rsidP="0064287A">
            <w:pPr>
              <w:jc w:val="right"/>
              <w:rPr>
                <w:rFonts w:ascii="Arial" w:hAnsi="Arial" w:cs="Arial"/>
                <w:lang w:val="en-GB"/>
              </w:rPr>
            </w:pPr>
            <w:r w:rsidRPr="0064287A">
              <w:rPr>
                <w:rFonts w:ascii="Arial" w:hAnsi="Arial" w:cs="Arial"/>
                <w:lang w:val="en-GB"/>
              </w:rPr>
              <w:t>48,000</w:t>
            </w:r>
          </w:p>
        </w:tc>
        <w:tc>
          <w:tcPr>
            <w:tcW w:w="996" w:type="dxa"/>
            <w:tcBorders>
              <w:top w:val="nil"/>
              <w:bottom w:val="single" w:sz="4" w:space="0" w:color="auto"/>
            </w:tcBorders>
            <w:noWrap/>
            <w:vAlign w:val="center"/>
            <w:hideMark/>
          </w:tcPr>
          <w:p w14:paraId="39A6CC75" w14:textId="77777777" w:rsidR="0064287A" w:rsidRPr="0064287A" w:rsidRDefault="0064287A" w:rsidP="0064287A">
            <w:pPr>
              <w:jc w:val="right"/>
              <w:rPr>
                <w:rFonts w:ascii="Arial" w:hAnsi="Arial" w:cs="Arial"/>
                <w:lang w:val="en-GB"/>
              </w:rPr>
            </w:pPr>
            <w:r w:rsidRPr="0064287A">
              <w:rPr>
                <w:rFonts w:ascii="Arial" w:hAnsi="Arial" w:cs="Arial"/>
                <w:lang w:val="en-GB"/>
              </w:rPr>
              <w:t>48,000</w:t>
            </w:r>
          </w:p>
        </w:tc>
      </w:tr>
      <w:tr w:rsidR="0064287A" w:rsidRPr="0064287A" w14:paraId="015BA937" w14:textId="77777777" w:rsidTr="00765FAA">
        <w:trPr>
          <w:trHeight w:val="259"/>
          <w:jc w:val="center"/>
        </w:trPr>
        <w:tc>
          <w:tcPr>
            <w:tcW w:w="2548" w:type="dxa"/>
            <w:noWrap/>
            <w:vAlign w:val="center"/>
            <w:hideMark/>
          </w:tcPr>
          <w:p w14:paraId="14616639" w14:textId="77777777" w:rsidR="0064287A" w:rsidRPr="0064287A" w:rsidRDefault="0064287A" w:rsidP="0064287A">
            <w:pPr>
              <w:rPr>
                <w:rFonts w:ascii="Arial" w:hAnsi="Arial" w:cs="Arial"/>
                <w:b/>
                <w:lang w:val="en-GB"/>
              </w:rPr>
            </w:pPr>
            <w:r w:rsidRPr="0064287A">
              <w:rPr>
                <w:rFonts w:ascii="Arial" w:hAnsi="Arial" w:cs="Arial"/>
                <w:b/>
                <w:lang w:val="en-GB"/>
              </w:rPr>
              <w:t>Capacity Utilization</w:t>
            </w:r>
          </w:p>
        </w:tc>
        <w:tc>
          <w:tcPr>
            <w:tcW w:w="1833" w:type="dxa"/>
            <w:noWrap/>
            <w:vAlign w:val="center"/>
            <w:hideMark/>
          </w:tcPr>
          <w:p w14:paraId="779B44C3" w14:textId="77777777" w:rsidR="0064287A" w:rsidRPr="0064287A" w:rsidRDefault="0064287A" w:rsidP="0064287A">
            <w:pPr>
              <w:jc w:val="center"/>
              <w:rPr>
                <w:rFonts w:ascii="Arial" w:hAnsi="Arial" w:cs="Arial"/>
                <w:b/>
                <w:lang w:val="en-GB"/>
              </w:rPr>
            </w:pPr>
          </w:p>
        </w:tc>
        <w:tc>
          <w:tcPr>
            <w:tcW w:w="995" w:type="dxa"/>
            <w:noWrap/>
            <w:vAlign w:val="center"/>
            <w:hideMark/>
          </w:tcPr>
          <w:p w14:paraId="1AA9E58D" w14:textId="77777777" w:rsidR="0064287A" w:rsidRPr="0064287A" w:rsidRDefault="0064287A" w:rsidP="0064287A">
            <w:pPr>
              <w:jc w:val="right"/>
              <w:rPr>
                <w:rFonts w:ascii="Arial" w:hAnsi="Arial" w:cs="Arial"/>
                <w:b/>
                <w:lang w:val="en-GB"/>
              </w:rPr>
            </w:pPr>
          </w:p>
        </w:tc>
        <w:tc>
          <w:tcPr>
            <w:tcW w:w="996" w:type="dxa"/>
            <w:noWrap/>
            <w:vAlign w:val="center"/>
            <w:hideMark/>
          </w:tcPr>
          <w:p w14:paraId="02D81DAE" w14:textId="77777777" w:rsidR="0064287A" w:rsidRPr="0064287A" w:rsidRDefault="0064287A" w:rsidP="0064287A">
            <w:pPr>
              <w:jc w:val="right"/>
              <w:rPr>
                <w:rFonts w:ascii="Arial" w:hAnsi="Arial" w:cs="Arial"/>
                <w:b/>
                <w:lang w:val="en-GB"/>
              </w:rPr>
            </w:pPr>
          </w:p>
        </w:tc>
        <w:tc>
          <w:tcPr>
            <w:tcW w:w="996" w:type="dxa"/>
            <w:noWrap/>
            <w:vAlign w:val="center"/>
            <w:hideMark/>
          </w:tcPr>
          <w:p w14:paraId="37F74C51" w14:textId="77777777" w:rsidR="0064287A" w:rsidRPr="0064287A" w:rsidRDefault="0064287A" w:rsidP="0064287A">
            <w:pPr>
              <w:jc w:val="right"/>
              <w:rPr>
                <w:rFonts w:ascii="Arial" w:hAnsi="Arial" w:cs="Arial"/>
                <w:b/>
                <w:lang w:val="en-GB"/>
              </w:rPr>
            </w:pPr>
          </w:p>
        </w:tc>
        <w:tc>
          <w:tcPr>
            <w:tcW w:w="996" w:type="dxa"/>
            <w:noWrap/>
            <w:vAlign w:val="center"/>
            <w:hideMark/>
          </w:tcPr>
          <w:p w14:paraId="25378A6F" w14:textId="77777777" w:rsidR="0064287A" w:rsidRPr="0064287A" w:rsidRDefault="0064287A" w:rsidP="0064287A">
            <w:pPr>
              <w:jc w:val="right"/>
              <w:rPr>
                <w:rFonts w:ascii="Arial" w:hAnsi="Arial" w:cs="Arial"/>
                <w:b/>
                <w:lang w:val="en-GB"/>
              </w:rPr>
            </w:pPr>
          </w:p>
        </w:tc>
        <w:tc>
          <w:tcPr>
            <w:tcW w:w="996" w:type="dxa"/>
            <w:noWrap/>
            <w:vAlign w:val="center"/>
            <w:hideMark/>
          </w:tcPr>
          <w:p w14:paraId="5EC687FC" w14:textId="77777777" w:rsidR="0064287A" w:rsidRPr="0064287A" w:rsidRDefault="0064287A" w:rsidP="0064287A">
            <w:pPr>
              <w:jc w:val="right"/>
              <w:rPr>
                <w:rFonts w:ascii="Arial" w:hAnsi="Arial" w:cs="Arial"/>
                <w:b/>
                <w:lang w:val="en-GB"/>
              </w:rPr>
            </w:pPr>
          </w:p>
        </w:tc>
      </w:tr>
      <w:tr w:rsidR="0064287A" w:rsidRPr="0064287A" w14:paraId="0D14062E" w14:textId="77777777" w:rsidTr="00765FAA">
        <w:trPr>
          <w:trHeight w:val="259"/>
          <w:jc w:val="center"/>
        </w:trPr>
        <w:tc>
          <w:tcPr>
            <w:tcW w:w="2548" w:type="dxa"/>
            <w:noWrap/>
            <w:vAlign w:val="center"/>
            <w:hideMark/>
          </w:tcPr>
          <w:p w14:paraId="34774E37" w14:textId="77777777" w:rsidR="0064287A" w:rsidRPr="0064287A" w:rsidRDefault="0064287A" w:rsidP="0064287A">
            <w:pPr>
              <w:rPr>
                <w:rFonts w:ascii="Arial" w:hAnsi="Arial" w:cs="Arial"/>
                <w:lang w:val="en-GB"/>
              </w:rPr>
            </w:pPr>
            <w:r w:rsidRPr="0064287A">
              <w:rPr>
                <w:rFonts w:ascii="Arial" w:hAnsi="Arial" w:cs="Arial"/>
                <w:lang w:val="en-GB"/>
              </w:rPr>
              <w:t>48 F SS Armoured Cable</w:t>
            </w:r>
          </w:p>
        </w:tc>
        <w:tc>
          <w:tcPr>
            <w:tcW w:w="1833" w:type="dxa"/>
            <w:noWrap/>
            <w:vAlign w:val="center"/>
            <w:hideMark/>
          </w:tcPr>
          <w:p w14:paraId="60006667" w14:textId="77777777" w:rsidR="0064287A" w:rsidRPr="0064287A" w:rsidRDefault="0064287A" w:rsidP="0064287A">
            <w:pPr>
              <w:jc w:val="center"/>
              <w:rPr>
                <w:rFonts w:ascii="Arial" w:hAnsi="Arial" w:cs="Arial"/>
                <w:lang w:val="en-GB"/>
              </w:rPr>
            </w:pPr>
          </w:p>
        </w:tc>
        <w:tc>
          <w:tcPr>
            <w:tcW w:w="995" w:type="dxa"/>
            <w:noWrap/>
            <w:vAlign w:val="center"/>
            <w:hideMark/>
          </w:tcPr>
          <w:p w14:paraId="0A655B45" w14:textId="77777777" w:rsidR="0064287A" w:rsidRPr="0064287A" w:rsidRDefault="0064287A" w:rsidP="0064287A">
            <w:pPr>
              <w:jc w:val="right"/>
              <w:rPr>
                <w:rFonts w:ascii="Arial" w:hAnsi="Arial" w:cs="Arial"/>
                <w:lang w:val="en-GB"/>
              </w:rPr>
            </w:pPr>
            <w:r w:rsidRPr="0064287A">
              <w:rPr>
                <w:rFonts w:ascii="Arial" w:hAnsi="Arial" w:cs="Arial"/>
                <w:lang w:val="en-GB"/>
              </w:rPr>
              <w:t>60%</w:t>
            </w:r>
          </w:p>
        </w:tc>
        <w:tc>
          <w:tcPr>
            <w:tcW w:w="996" w:type="dxa"/>
            <w:noWrap/>
            <w:vAlign w:val="center"/>
            <w:hideMark/>
          </w:tcPr>
          <w:p w14:paraId="6D6B19C4" w14:textId="77777777" w:rsidR="0064287A" w:rsidRPr="0064287A" w:rsidRDefault="0064287A" w:rsidP="0064287A">
            <w:pPr>
              <w:jc w:val="right"/>
              <w:rPr>
                <w:rFonts w:ascii="Arial" w:hAnsi="Arial" w:cs="Arial"/>
                <w:lang w:val="en-GB"/>
              </w:rPr>
            </w:pPr>
            <w:r w:rsidRPr="0064287A">
              <w:rPr>
                <w:rFonts w:ascii="Arial" w:hAnsi="Arial" w:cs="Arial"/>
                <w:lang w:val="en-GB"/>
              </w:rPr>
              <w:t>70%</w:t>
            </w:r>
          </w:p>
        </w:tc>
        <w:tc>
          <w:tcPr>
            <w:tcW w:w="996" w:type="dxa"/>
            <w:noWrap/>
            <w:vAlign w:val="center"/>
            <w:hideMark/>
          </w:tcPr>
          <w:p w14:paraId="40C85AC8" w14:textId="77777777" w:rsidR="0064287A" w:rsidRPr="0064287A" w:rsidRDefault="0064287A" w:rsidP="0064287A">
            <w:pPr>
              <w:jc w:val="right"/>
              <w:rPr>
                <w:rFonts w:ascii="Arial" w:hAnsi="Arial" w:cs="Arial"/>
                <w:lang w:val="en-GB"/>
              </w:rPr>
            </w:pPr>
            <w:r w:rsidRPr="0064287A">
              <w:rPr>
                <w:rFonts w:ascii="Arial" w:hAnsi="Arial" w:cs="Arial"/>
                <w:lang w:val="en-GB"/>
              </w:rPr>
              <w:t>80%</w:t>
            </w:r>
          </w:p>
        </w:tc>
        <w:tc>
          <w:tcPr>
            <w:tcW w:w="996" w:type="dxa"/>
            <w:noWrap/>
            <w:vAlign w:val="center"/>
            <w:hideMark/>
          </w:tcPr>
          <w:p w14:paraId="614F77C1"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c>
          <w:tcPr>
            <w:tcW w:w="996" w:type="dxa"/>
            <w:noWrap/>
            <w:vAlign w:val="center"/>
            <w:hideMark/>
          </w:tcPr>
          <w:p w14:paraId="40B223CB"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r>
      <w:tr w:rsidR="0064287A" w:rsidRPr="0064287A" w14:paraId="2D5414E2" w14:textId="77777777" w:rsidTr="00765FAA">
        <w:trPr>
          <w:trHeight w:val="259"/>
          <w:jc w:val="center"/>
        </w:trPr>
        <w:tc>
          <w:tcPr>
            <w:tcW w:w="2548" w:type="dxa"/>
            <w:noWrap/>
            <w:vAlign w:val="center"/>
            <w:hideMark/>
          </w:tcPr>
          <w:p w14:paraId="543DC79C" w14:textId="77777777" w:rsidR="0064287A" w:rsidRPr="0064287A" w:rsidRDefault="0064287A" w:rsidP="0064287A">
            <w:pPr>
              <w:rPr>
                <w:rFonts w:ascii="Arial" w:hAnsi="Arial" w:cs="Arial"/>
                <w:lang w:val="en-GB"/>
              </w:rPr>
            </w:pPr>
            <w:r w:rsidRPr="0064287A">
              <w:rPr>
                <w:rFonts w:ascii="Arial" w:hAnsi="Arial" w:cs="Arial"/>
                <w:lang w:val="en-GB"/>
              </w:rPr>
              <w:t>48 F Arial Cable</w:t>
            </w:r>
          </w:p>
        </w:tc>
        <w:tc>
          <w:tcPr>
            <w:tcW w:w="1833" w:type="dxa"/>
            <w:noWrap/>
            <w:vAlign w:val="center"/>
            <w:hideMark/>
          </w:tcPr>
          <w:p w14:paraId="611F8EA7" w14:textId="77777777" w:rsidR="0064287A" w:rsidRPr="0064287A" w:rsidRDefault="0064287A" w:rsidP="0064287A">
            <w:pPr>
              <w:jc w:val="center"/>
              <w:rPr>
                <w:rFonts w:ascii="Arial" w:hAnsi="Arial" w:cs="Arial"/>
                <w:lang w:val="en-GB"/>
              </w:rPr>
            </w:pPr>
          </w:p>
        </w:tc>
        <w:tc>
          <w:tcPr>
            <w:tcW w:w="995" w:type="dxa"/>
            <w:noWrap/>
            <w:vAlign w:val="center"/>
            <w:hideMark/>
          </w:tcPr>
          <w:p w14:paraId="12B0747D" w14:textId="77777777" w:rsidR="0064287A" w:rsidRPr="0064287A" w:rsidRDefault="0064287A" w:rsidP="0064287A">
            <w:pPr>
              <w:jc w:val="right"/>
              <w:rPr>
                <w:rFonts w:ascii="Arial" w:hAnsi="Arial" w:cs="Arial"/>
                <w:lang w:val="en-GB"/>
              </w:rPr>
            </w:pPr>
            <w:r w:rsidRPr="0064287A">
              <w:rPr>
                <w:rFonts w:ascii="Arial" w:hAnsi="Arial" w:cs="Arial"/>
                <w:lang w:val="en-GB"/>
              </w:rPr>
              <w:t>60%</w:t>
            </w:r>
          </w:p>
        </w:tc>
        <w:tc>
          <w:tcPr>
            <w:tcW w:w="996" w:type="dxa"/>
            <w:noWrap/>
            <w:vAlign w:val="center"/>
            <w:hideMark/>
          </w:tcPr>
          <w:p w14:paraId="16718E65" w14:textId="77777777" w:rsidR="0064287A" w:rsidRPr="0064287A" w:rsidRDefault="0064287A" w:rsidP="0064287A">
            <w:pPr>
              <w:jc w:val="right"/>
              <w:rPr>
                <w:rFonts w:ascii="Arial" w:hAnsi="Arial" w:cs="Arial"/>
                <w:lang w:val="en-GB"/>
              </w:rPr>
            </w:pPr>
            <w:r w:rsidRPr="0064287A">
              <w:rPr>
                <w:rFonts w:ascii="Arial" w:hAnsi="Arial" w:cs="Arial"/>
                <w:lang w:val="en-GB"/>
              </w:rPr>
              <w:t>70%</w:t>
            </w:r>
          </w:p>
        </w:tc>
        <w:tc>
          <w:tcPr>
            <w:tcW w:w="996" w:type="dxa"/>
            <w:noWrap/>
            <w:vAlign w:val="center"/>
            <w:hideMark/>
          </w:tcPr>
          <w:p w14:paraId="1D7067E6" w14:textId="77777777" w:rsidR="0064287A" w:rsidRPr="0064287A" w:rsidRDefault="0064287A" w:rsidP="0064287A">
            <w:pPr>
              <w:jc w:val="right"/>
              <w:rPr>
                <w:rFonts w:ascii="Arial" w:hAnsi="Arial" w:cs="Arial"/>
                <w:lang w:val="en-GB"/>
              </w:rPr>
            </w:pPr>
            <w:r w:rsidRPr="0064287A">
              <w:rPr>
                <w:rFonts w:ascii="Arial" w:hAnsi="Arial" w:cs="Arial"/>
                <w:lang w:val="en-GB"/>
              </w:rPr>
              <w:t>80%</w:t>
            </w:r>
          </w:p>
        </w:tc>
        <w:tc>
          <w:tcPr>
            <w:tcW w:w="996" w:type="dxa"/>
            <w:noWrap/>
            <w:vAlign w:val="center"/>
            <w:hideMark/>
          </w:tcPr>
          <w:p w14:paraId="7C4EA6A9"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c>
          <w:tcPr>
            <w:tcW w:w="996" w:type="dxa"/>
            <w:noWrap/>
            <w:vAlign w:val="center"/>
            <w:hideMark/>
          </w:tcPr>
          <w:p w14:paraId="705CA5DD"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r>
      <w:tr w:rsidR="0064287A" w:rsidRPr="0064287A" w14:paraId="0E401FC7" w14:textId="77777777" w:rsidTr="00765FAA">
        <w:trPr>
          <w:trHeight w:val="259"/>
          <w:jc w:val="center"/>
        </w:trPr>
        <w:tc>
          <w:tcPr>
            <w:tcW w:w="2548" w:type="dxa"/>
            <w:noWrap/>
            <w:vAlign w:val="center"/>
            <w:hideMark/>
          </w:tcPr>
          <w:p w14:paraId="0DB1F6D9" w14:textId="77777777" w:rsidR="0064287A" w:rsidRPr="0064287A" w:rsidRDefault="0064287A" w:rsidP="0064287A">
            <w:pPr>
              <w:rPr>
                <w:rFonts w:ascii="Arial" w:hAnsi="Arial" w:cs="Arial"/>
                <w:lang w:val="en-GB"/>
              </w:rPr>
            </w:pPr>
            <w:r w:rsidRPr="0064287A">
              <w:rPr>
                <w:rFonts w:ascii="Arial" w:hAnsi="Arial" w:cs="Arial"/>
                <w:lang w:val="en-GB"/>
              </w:rPr>
              <w:t>48 F Micro Cable</w:t>
            </w:r>
          </w:p>
        </w:tc>
        <w:tc>
          <w:tcPr>
            <w:tcW w:w="1833" w:type="dxa"/>
            <w:noWrap/>
            <w:vAlign w:val="center"/>
            <w:hideMark/>
          </w:tcPr>
          <w:p w14:paraId="7F57A703" w14:textId="77777777" w:rsidR="0064287A" w:rsidRPr="0064287A" w:rsidRDefault="0064287A" w:rsidP="0064287A">
            <w:pPr>
              <w:jc w:val="center"/>
              <w:rPr>
                <w:rFonts w:ascii="Arial" w:hAnsi="Arial" w:cs="Arial"/>
                <w:lang w:val="en-GB"/>
              </w:rPr>
            </w:pPr>
          </w:p>
        </w:tc>
        <w:tc>
          <w:tcPr>
            <w:tcW w:w="995" w:type="dxa"/>
            <w:noWrap/>
            <w:vAlign w:val="center"/>
            <w:hideMark/>
          </w:tcPr>
          <w:p w14:paraId="60AF2988" w14:textId="77777777" w:rsidR="0064287A" w:rsidRPr="0064287A" w:rsidRDefault="0064287A" w:rsidP="0064287A">
            <w:pPr>
              <w:jc w:val="right"/>
              <w:rPr>
                <w:rFonts w:ascii="Arial" w:hAnsi="Arial" w:cs="Arial"/>
                <w:lang w:val="en-GB"/>
              </w:rPr>
            </w:pPr>
            <w:r w:rsidRPr="0064287A">
              <w:rPr>
                <w:rFonts w:ascii="Arial" w:hAnsi="Arial" w:cs="Arial"/>
                <w:lang w:val="en-GB"/>
              </w:rPr>
              <w:t>60%</w:t>
            </w:r>
          </w:p>
        </w:tc>
        <w:tc>
          <w:tcPr>
            <w:tcW w:w="996" w:type="dxa"/>
            <w:noWrap/>
            <w:vAlign w:val="center"/>
            <w:hideMark/>
          </w:tcPr>
          <w:p w14:paraId="3AD92198" w14:textId="77777777" w:rsidR="0064287A" w:rsidRPr="0064287A" w:rsidRDefault="0064287A" w:rsidP="0064287A">
            <w:pPr>
              <w:jc w:val="right"/>
              <w:rPr>
                <w:rFonts w:ascii="Arial" w:hAnsi="Arial" w:cs="Arial"/>
                <w:lang w:val="en-GB"/>
              </w:rPr>
            </w:pPr>
            <w:r w:rsidRPr="0064287A">
              <w:rPr>
                <w:rFonts w:ascii="Arial" w:hAnsi="Arial" w:cs="Arial"/>
                <w:lang w:val="en-GB"/>
              </w:rPr>
              <w:t>70%</w:t>
            </w:r>
          </w:p>
        </w:tc>
        <w:tc>
          <w:tcPr>
            <w:tcW w:w="996" w:type="dxa"/>
            <w:noWrap/>
            <w:vAlign w:val="center"/>
            <w:hideMark/>
          </w:tcPr>
          <w:p w14:paraId="36EAA03B" w14:textId="77777777" w:rsidR="0064287A" w:rsidRPr="0064287A" w:rsidRDefault="0064287A" w:rsidP="0064287A">
            <w:pPr>
              <w:jc w:val="right"/>
              <w:rPr>
                <w:rFonts w:ascii="Arial" w:hAnsi="Arial" w:cs="Arial"/>
                <w:lang w:val="en-GB"/>
              </w:rPr>
            </w:pPr>
            <w:r w:rsidRPr="0064287A">
              <w:rPr>
                <w:rFonts w:ascii="Arial" w:hAnsi="Arial" w:cs="Arial"/>
                <w:lang w:val="en-GB"/>
              </w:rPr>
              <w:t>80%</w:t>
            </w:r>
          </w:p>
        </w:tc>
        <w:tc>
          <w:tcPr>
            <w:tcW w:w="996" w:type="dxa"/>
            <w:noWrap/>
            <w:vAlign w:val="center"/>
            <w:hideMark/>
          </w:tcPr>
          <w:p w14:paraId="6211D35E"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c>
          <w:tcPr>
            <w:tcW w:w="996" w:type="dxa"/>
            <w:noWrap/>
            <w:vAlign w:val="center"/>
            <w:hideMark/>
          </w:tcPr>
          <w:p w14:paraId="60E6B87B"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r>
      <w:tr w:rsidR="0064287A" w:rsidRPr="0064287A" w14:paraId="2209DD55" w14:textId="77777777" w:rsidTr="00765FAA">
        <w:trPr>
          <w:trHeight w:val="259"/>
          <w:jc w:val="center"/>
        </w:trPr>
        <w:tc>
          <w:tcPr>
            <w:tcW w:w="2548" w:type="dxa"/>
            <w:noWrap/>
            <w:vAlign w:val="center"/>
            <w:hideMark/>
          </w:tcPr>
          <w:p w14:paraId="4D0FC7A5" w14:textId="77777777" w:rsidR="0064287A" w:rsidRPr="0064287A" w:rsidRDefault="0064287A" w:rsidP="0064287A">
            <w:pPr>
              <w:rPr>
                <w:rFonts w:ascii="Arial" w:hAnsi="Arial" w:cs="Arial"/>
                <w:lang w:val="en-GB"/>
              </w:rPr>
            </w:pPr>
            <w:r w:rsidRPr="0064287A">
              <w:rPr>
                <w:rFonts w:ascii="Arial" w:hAnsi="Arial" w:cs="Arial"/>
                <w:lang w:val="en-GB"/>
              </w:rPr>
              <w:t>1 F FTTH Drop Cable</w:t>
            </w:r>
          </w:p>
        </w:tc>
        <w:tc>
          <w:tcPr>
            <w:tcW w:w="1833" w:type="dxa"/>
            <w:noWrap/>
            <w:vAlign w:val="center"/>
            <w:hideMark/>
          </w:tcPr>
          <w:p w14:paraId="716AE12D" w14:textId="77777777" w:rsidR="0064287A" w:rsidRPr="0064287A" w:rsidRDefault="0064287A" w:rsidP="0064287A">
            <w:pPr>
              <w:jc w:val="center"/>
              <w:rPr>
                <w:rFonts w:ascii="Arial" w:hAnsi="Arial" w:cs="Arial"/>
                <w:lang w:val="en-GB"/>
              </w:rPr>
            </w:pPr>
          </w:p>
        </w:tc>
        <w:tc>
          <w:tcPr>
            <w:tcW w:w="995" w:type="dxa"/>
            <w:noWrap/>
            <w:vAlign w:val="center"/>
            <w:hideMark/>
          </w:tcPr>
          <w:p w14:paraId="2C4D6C31" w14:textId="77777777" w:rsidR="0064287A" w:rsidRPr="0064287A" w:rsidRDefault="0064287A" w:rsidP="0064287A">
            <w:pPr>
              <w:jc w:val="right"/>
              <w:rPr>
                <w:rFonts w:ascii="Arial" w:hAnsi="Arial" w:cs="Arial"/>
                <w:lang w:val="en-GB"/>
              </w:rPr>
            </w:pPr>
            <w:r w:rsidRPr="0064287A">
              <w:rPr>
                <w:rFonts w:ascii="Arial" w:hAnsi="Arial" w:cs="Arial"/>
                <w:lang w:val="en-GB"/>
              </w:rPr>
              <w:t>60%</w:t>
            </w:r>
          </w:p>
        </w:tc>
        <w:tc>
          <w:tcPr>
            <w:tcW w:w="996" w:type="dxa"/>
            <w:noWrap/>
            <w:vAlign w:val="center"/>
            <w:hideMark/>
          </w:tcPr>
          <w:p w14:paraId="313C5C8F" w14:textId="77777777" w:rsidR="0064287A" w:rsidRPr="0064287A" w:rsidRDefault="0064287A" w:rsidP="0064287A">
            <w:pPr>
              <w:jc w:val="right"/>
              <w:rPr>
                <w:rFonts w:ascii="Arial" w:hAnsi="Arial" w:cs="Arial"/>
                <w:lang w:val="en-GB"/>
              </w:rPr>
            </w:pPr>
            <w:r w:rsidRPr="0064287A">
              <w:rPr>
                <w:rFonts w:ascii="Arial" w:hAnsi="Arial" w:cs="Arial"/>
                <w:lang w:val="en-GB"/>
              </w:rPr>
              <w:t>70%</w:t>
            </w:r>
          </w:p>
        </w:tc>
        <w:tc>
          <w:tcPr>
            <w:tcW w:w="996" w:type="dxa"/>
            <w:noWrap/>
            <w:vAlign w:val="center"/>
            <w:hideMark/>
          </w:tcPr>
          <w:p w14:paraId="73B79BBC" w14:textId="77777777" w:rsidR="0064287A" w:rsidRPr="0064287A" w:rsidRDefault="0064287A" w:rsidP="0064287A">
            <w:pPr>
              <w:jc w:val="right"/>
              <w:rPr>
                <w:rFonts w:ascii="Arial" w:hAnsi="Arial" w:cs="Arial"/>
                <w:lang w:val="en-GB"/>
              </w:rPr>
            </w:pPr>
            <w:r w:rsidRPr="0064287A">
              <w:rPr>
                <w:rFonts w:ascii="Arial" w:hAnsi="Arial" w:cs="Arial"/>
                <w:lang w:val="en-GB"/>
              </w:rPr>
              <w:t>80%</w:t>
            </w:r>
          </w:p>
        </w:tc>
        <w:tc>
          <w:tcPr>
            <w:tcW w:w="996" w:type="dxa"/>
            <w:noWrap/>
            <w:vAlign w:val="center"/>
            <w:hideMark/>
          </w:tcPr>
          <w:p w14:paraId="65DE6791"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c>
          <w:tcPr>
            <w:tcW w:w="996" w:type="dxa"/>
            <w:noWrap/>
            <w:vAlign w:val="center"/>
            <w:hideMark/>
          </w:tcPr>
          <w:p w14:paraId="203811A6" w14:textId="77777777" w:rsidR="0064287A" w:rsidRPr="0064287A" w:rsidRDefault="0064287A" w:rsidP="0064287A">
            <w:pPr>
              <w:jc w:val="right"/>
              <w:rPr>
                <w:rFonts w:ascii="Arial" w:hAnsi="Arial" w:cs="Arial"/>
                <w:lang w:val="en-GB"/>
              </w:rPr>
            </w:pPr>
            <w:r w:rsidRPr="0064287A">
              <w:rPr>
                <w:rFonts w:ascii="Arial" w:hAnsi="Arial" w:cs="Arial"/>
                <w:lang w:val="en-GB"/>
              </w:rPr>
              <w:t>90%</w:t>
            </w:r>
          </w:p>
        </w:tc>
      </w:tr>
    </w:tbl>
    <w:p w14:paraId="6F7CB90D" w14:textId="77777777" w:rsidR="0064287A" w:rsidRPr="0064287A" w:rsidRDefault="0064287A" w:rsidP="0064287A">
      <w:pPr>
        <w:jc w:val="both"/>
        <w:rPr>
          <w:rFonts w:ascii="Arial" w:hAnsi="Arial" w:cs="Arial"/>
          <w:lang w:val="en-GB"/>
        </w:rPr>
      </w:pPr>
    </w:p>
    <w:p w14:paraId="1ED42A40"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Note: F = fibre; F SS = fibre stainless steel; FTTH = fibre to the home; km = kilometre.</w:t>
      </w:r>
    </w:p>
    <w:p w14:paraId="4C659CE9"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Source: Company files.</w:t>
      </w:r>
    </w:p>
    <w:p w14:paraId="7141714E" w14:textId="77777777" w:rsidR="0064287A" w:rsidRPr="0064287A" w:rsidRDefault="0064287A" w:rsidP="0064287A">
      <w:pPr>
        <w:jc w:val="both"/>
        <w:rPr>
          <w:rFonts w:ascii="Arial" w:hAnsi="Arial" w:cs="Arial"/>
          <w:lang w:val="en-GB"/>
        </w:rPr>
      </w:pPr>
    </w:p>
    <w:p w14:paraId="76A4B54B" w14:textId="77777777" w:rsidR="0064287A" w:rsidRPr="0064287A" w:rsidRDefault="0064287A" w:rsidP="0064287A">
      <w:pPr>
        <w:jc w:val="both"/>
        <w:rPr>
          <w:rFonts w:ascii="Arial" w:hAnsi="Arial" w:cs="Arial"/>
          <w:lang w:val="en-GB"/>
        </w:rPr>
      </w:pPr>
    </w:p>
    <w:p w14:paraId="27CBF71B" w14:textId="77777777" w:rsidR="0064287A" w:rsidRPr="0064287A" w:rsidRDefault="0064287A" w:rsidP="0064287A">
      <w:pPr>
        <w:jc w:val="center"/>
        <w:rPr>
          <w:rFonts w:ascii="Arial" w:hAnsi="Arial" w:cs="Arial"/>
          <w:b/>
          <w:caps/>
          <w:lang w:val="en-GB"/>
        </w:rPr>
      </w:pPr>
      <w:r w:rsidRPr="0064287A">
        <w:rPr>
          <w:rFonts w:ascii="Arial" w:hAnsi="Arial" w:cs="Arial"/>
          <w:b/>
          <w:caps/>
          <w:lang w:val="en-GB"/>
        </w:rPr>
        <w:t>Exhibit 4: SWOT Analysis of Cosmic Equipment Company ltd.</w:t>
      </w:r>
    </w:p>
    <w:p w14:paraId="56D3A032" w14:textId="77777777" w:rsidR="0064287A" w:rsidRPr="0064287A" w:rsidRDefault="0064287A" w:rsidP="0064287A">
      <w:pPr>
        <w:jc w:val="both"/>
        <w:rPr>
          <w:rFonts w:ascii="Arial" w:hAnsi="Arial" w:cs="Arial"/>
          <w:lang w:val="en-GB"/>
        </w:rPr>
      </w:pPr>
    </w:p>
    <w:tbl>
      <w:tblPr>
        <w:tblStyle w:val="TableGrid"/>
        <w:tblW w:w="0" w:type="auto"/>
        <w:jc w:val="center"/>
        <w:tblBorders>
          <w:top w:val="none" w:sz="0" w:space="0" w:color="auto"/>
          <w:left w:val="none" w:sz="0" w:space="0" w:color="auto"/>
          <w:bottom w:val="none" w:sz="0" w:space="0" w:color="auto"/>
          <w:right w:val="none" w:sz="0" w:space="0" w:color="auto"/>
        </w:tblBorders>
        <w:tblCellMar>
          <w:top w:w="58" w:type="dxa"/>
          <w:left w:w="115" w:type="dxa"/>
          <w:bottom w:w="58" w:type="dxa"/>
          <w:right w:w="115" w:type="dxa"/>
        </w:tblCellMar>
        <w:tblLook w:val="04A0" w:firstRow="1" w:lastRow="0" w:firstColumn="1" w:lastColumn="0" w:noHBand="0" w:noVBand="1"/>
      </w:tblPr>
      <w:tblGrid>
        <w:gridCol w:w="4675"/>
        <w:gridCol w:w="4675"/>
      </w:tblGrid>
      <w:tr w:rsidR="0064287A" w:rsidRPr="0064287A" w14:paraId="7AD92D9F" w14:textId="77777777" w:rsidTr="00765FAA">
        <w:trPr>
          <w:jc w:val="center"/>
        </w:trPr>
        <w:tc>
          <w:tcPr>
            <w:tcW w:w="4675" w:type="dxa"/>
            <w:tcBorders>
              <w:top w:val="single" w:sz="4" w:space="0" w:color="auto"/>
              <w:bottom w:val="single" w:sz="4" w:space="0" w:color="auto"/>
            </w:tcBorders>
            <w:vAlign w:val="center"/>
          </w:tcPr>
          <w:p w14:paraId="0FB592C1" w14:textId="77777777" w:rsidR="0064287A" w:rsidRPr="0064287A" w:rsidRDefault="0064287A" w:rsidP="0064287A">
            <w:pPr>
              <w:jc w:val="center"/>
              <w:rPr>
                <w:rFonts w:ascii="Arial" w:hAnsi="Arial" w:cs="Arial"/>
                <w:b/>
                <w:sz w:val="19"/>
                <w:szCs w:val="19"/>
                <w:lang w:val="en-GB"/>
              </w:rPr>
            </w:pPr>
            <w:r w:rsidRPr="0064287A">
              <w:rPr>
                <w:rFonts w:ascii="Arial" w:hAnsi="Arial" w:cs="Arial"/>
                <w:b/>
                <w:sz w:val="19"/>
                <w:szCs w:val="19"/>
                <w:lang w:val="en-GB"/>
              </w:rPr>
              <w:t>Strengths</w:t>
            </w:r>
          </w:p>
        </w:tc>
        <w:tc>
          <w:tcPr>
            <w:tcW w:w="4675" w:type="dxa"/>
            <w:tcBorders>
              <w:top w:val="single" w:sz="4" w:space="0" w:color="auto"/>
              <w:bottom w:val="single" w:sz="4" w:space="0" w:color="auto"/>
            </w:tcBorders>
            <w:vAlign w:val="center"/>
          </w:tcPr>
          <w:p w14:paraId="43CBC1DE" w14:textId="77777777" w:rsidR="0064287A" w:rsidRPr="0064287A" w:rsidRDefault="0064287A" w:rsidP="0064287A">
            <w:pPr>
              <w:jc w:val="center"/>
              <w:rPr>
                <w:rFonts w:ascii="Arial" w:hAnsi="Arial" w:cs="Arial"/>
                <w:b/>
                <w:sz w:val="19"/>
                <w:szCs w:val="19"/>
                <w:lang w:val="en-GB"/>
              </w:rPr>
            </w:pPr>
            <w:r w:rsidRPr="0064287A">
              <w:rPr>
                <w:rFonts w:ascii="Arial" w:hAnsi="Arial" w:cs="Arial"/>
                <w:b/>
                <w:sz w:val="19"/>
                <w:szCs w:val="19"/>
                <w:lang w:val="en-GB"/>
              </w:rPr>
              <w:t>Weaknesses</w:t>
            </w:r>
          </w:p>
        </w:tc>
      </w:tr>
      <w:tr w:rsidR="0064287A" w:rsidRPr="0064287A" w14:paraId="4B50C550" w14:textId="77777777" w:rsidTr="00765FAA">
        <w:trPr>
          <w:jc w:val="center"/>
        </w:trPr>
        <w:tc>
          <w:tcPr>
            <w:tcW w:w="4675" w:type="dxa"/>
            <w:tcBorders>
              <w:top w:val="single" w:sz="4" w:space="0" w:color="auto"/>
              <w:bottom w:val="single" w:sz="4" w:space="0" w:color="auto"/>
            </w:tcBorders>
          </w:tcPr>
          <w:p w14:paraId="78B83401" w14:textId="77777777" w:rsidR="0064287A" w:rsidRPr="0064287A" w:rsidRDefault="0064287A" w:rsidP="0064287A">
            <w:pPr>
              <w:numPr>
                <w:ilvl w:val="0"/>
                <w:numId w:val="14"/>
              </w:numPr>
              <w:rPr>
                <w:rFonts w:ascii="Arial" w:hAnsi="Arial" w:cs="Arial"/>
                <w:sz w:val="19"/>
                <w:szCs w:val="19"/>
                <w:lang w:val="en-GB"/>
              </w:rPr>
            </w:pPr>
            <w:r w:rsidRPr="0064287A">
              <w:rPr>
                <w:rFonts w:ascii="Arial" w:hAnsi="Arial" w:cs="Arial"/>
                <w:sz w:val="19"/>
                <w:szCs w:val="19"/>
                <w:lang w:val="en-GB"/>
              </w:rPr>
              <w:t>The company directors had extensive experience in the optical fibre cable (OFC) industry.</w:t>
            </w:r>
          </w:p>
          <w:p w14:paraId="4DB00552" w14:textId="77777777" w:rsidR="0064287A" w:rsidRPr="0064287A" w:rsidRDefault="0064287A" w:rsidP="0064287A">
            <w:pPr>
              <w:numPr>
                <w:ilvl w:val="0"/>
                <w:numId w:val="14"/>
              </w:numPr>
              <w:rPr>
                <w:rFonts w:ascii="Arial" w:hAnsi="Arial" w:cs="Arial"/>
                <w:sz w:val="19"/>
                <w:szCs w:val="19"/>
                <w:lang w:val="en-GB"/>
              </w:rPr>
            </w:pPr>
            <w:r w:rsidRPr="0064287A">
              <w:rPr>
                <w:rFonts w:ascii="Arial" w:hAnsi="Arial" w:cs="Arial"/>
                <w:sz w:val="19"/>
                <w:szCs w:val="19"/>
                <w:lang w:val="en-GB"/>
              </w:rPr>
              <w:t>The holding company, IVTL, was already involved in OFC manufacturing. Thus, CEC would have easy access to both vendors and customers.</w:t>
            </w:r>
          </w:p>
          <w:p w14:paraId="74C8F779" w14:textId="77777777" w:rsidR="0064287A" w:rsidRPr="0064287A" w:rsidRDefault="0064287A" w:rsidP="0064287A">
            <w:pPr>
              <w:numPr>
                <w:ilvl w:val="0"/>
                <w:numId w:val="14"/>
              </w:numPr>
              <w:rPr>
                <w:rFonts w:ascii="Arial" w:hAnsi="Arial" w:cs="Arial"/>
                <w:sz w:val="19"/>
                <w:szCs w:val="19"/>
                <w:lang w:val="en-GB"/>
              </w:rPr>
            </w:pPr>
            <w:r w:rsidRPr="0064287A">
              <w:rPr>
                <w:rFonts w:ascii="Arial" w:hAnsi="Arial" w:cs="Arial"/>
                <w:sz w:val="19"/>
                <w:szCs w:val="19"/>
                <w:lang w:val="en-GB"/>
              </w:rPr>
              <w:t>The plant was proposed to be set up in a factory building already constructed by CEC, thereby reducing the building costs of the project.</w:t>
            </w:r>
          </w:p>
          <w:p w14:paraId="5CCAD13F" w14:textId="77777777" w:rsidR="0064287A" w:rsidRPr="0064287A" w:rsidRDefault="0064287A" w:rsidP="0064287A">
            <w:pPr>
              <w:numPr>
                <w:ilvl w:val="0"/>
                <w:numId w:val="14"/>
              </w:numPr>
              <w:rPr>
                <w:rFonts w:ascii="Arial" w:hAnsi="Arial" w:cs="Arial"/>
                <w:sz w:val="19"/>
                <w:szCs w:val="19"/>
                <w:lang w:val="en-GB"/>
              </w:rPr>
            </w:pPr>
            <w:r w:rsidRPr="0064287A">
              <w:rPr>
                <w:rFonts w:ascii="Arial" w:hAnsi="Arial" w:cs="Arial"/>
                <w:sz w:val="19"/>
                <w:szCs w:val="19"/>
                <w:lang w:val="en-GB"/>
              </w:rPr>
              <w:t>The plant would be located in Cochin, which was a port and well-connected internationally.</w:t>
            </w:r>
          </w:p>
        </w:tc>
        <w:tc>
          <w:tcPr>
            <w:tcW w:w="4675" w:type="dxa"/>
            <w:tcBorders>
              <w:top w:val="single" w:sz="4" w:space="0" w:color="auto"/>
              <w:bottom w:val="single" w:sz="4" w:space="0" w:color="auto"/>
            </w:tcBorders>
          </w:tcPr>
          <w:p w14:paraId="6BCA3420" w14:textId="77777777" w:rsidR="0064287A" w:rsidRPr="0064287A" w:rsidRDefault="0064287A" w:rsidP="0064287A">
            <w:pPr>
              <w:numPr>
                <w:ilvl w:val="0"/>
                <w:numId w:val="15"/>
              </w:numPr>
              <w:rPr>
                <w:rFonts w:ascii="Arial" w:hAnsi="Arial" w:cs="Arial"/>
                <w:sz w:val="19"/>
                <w:szCs w:val="19"/>
                <w:lang w:val="en-GB"/>
              </w:rPr>
            </w:pPr>
            <w:r w:rsidRPr="0064287A">
              <w:rPr>
                <w:rFonts w:ascii="Arial" w:hAnsi="Arial" w:cs="Arial"/>
                <w:sz w:val="19"/>
                <w:szCs w:val="19"/>
                <w:lang w:val="en-GB"/>
              </w:rPr>
              <w:t>Costs of the project could increase due to time overrun and cost overrun.</w:t>
            </w:r>
          </w:p>
          <w:p w14:paraId="473EB273" w14:textId="77777777" w:rsidR="0064287A" w:rsidRPr="0064287A" w:rsidRDefault="0064287A" w:rsidP="0064287A">
            <w:pPr>
              <w:numPr>
                <w:ilvl w:val="0"/>
                <w:numId w:val="15"/>
              </w:numPr>
              <w:rPr>
                <w:rFonts w:ascii="Arial" w:hAnsi="Arial" w:cs="Arial"/>
                <w:sz w:val="19"/>
                <w:szCs w:val="19"/>
                <w:lang w:val="en-GB"/>
              </w:rPr>
            </w:pPr>
            <w:r w:rsidRPr="0064287A">
              <w:rPr>
                <w:rFonts w:ascii="Arial" w:hAnsi="Arial" w:cs="Arial"/>
                <w:sz w:val="19"/>
                <w:szCs w:val="19"/>
                <w:lang w:val="en-GB"/>
              </w:rPr>
              <w:t>The company would import part of the raw materials for OFC manufacturing, exposing the project to foreign exchange fluctuation risk.</w:t>
            </w:r>
          </w:p>
        </w:tc>
      </w:tr>
      <w:tr w:rsidR="0064287A" w:rsidRPr="0064287A" w14:paraId="3656392C" w14:textId="77777777" w:rsidTr="00765FAA">
        <w:trPr>
          <w:jc w:val="center"/>
        </w:trPr>
        <w:tc>
          <w:tcPr>
            <w:tcW w:w="4675" w:type="dxa"/>
            <w:tcBorders>
              <w:top w:val="single" w:sz="4" w:space="0" w:color="auto"/>
              <w:bottom w:val="single" w:sz="4" w:space="0" w:color="auto"/>
            </w:tcBorders>
            <w:vAlign w:val="center"/>
          </w:tcPr>
          <w:p w14:paraId="74AE583D" w14:textId="77777777" w:rsidR="0064287A" w:rsidRPr="0064287A" w:rsidRDefault="0064287A" w:rsidP="0064287A">
            <w:pPr>
              <w:jc w:val="center"/>
              <w:rPr>
                <w:rFonts w:ascii="Arial" w:hAnsi="Arial" w:cs="Arial"/>
                <w:b/>
                <w:sz w:val="19"/>
                <w:szCs w:val="19"/>
                <w:lang w:val="en-GB"/>
              </w:rPr>
            </w:pPr>
            <w:r w:rsidRPr="0064287A">
              <w:rPr>
                <w:rFonts w:ascii="Arial" w:hAnsi="Arial" w:cs="Arial"/>
                <w:b/>
                <w:sz w:val="19"/>
                <w:szCs w:val="19"/>
                <w:lang w:val="en-GB"/>
              </w:rPr>
              <w:t>Opportunities</w:t>
            </w:r>
          </w:p>
        </w:tc>
        <w:tc>
          <w:tcPr>
            <w:tcW w:w="4675" w:type="dxa"/>
            <w:tcBorders>
              <w:top w:val="single" w:sz="4" w:space="0" w:color="auto"/>
              <w:bottom w:val="single" w:sz="4" w:space="0" w:color="auto"/>
            </w:tcBorders>
            <w:vAlign w:val="center"/>
          </w:tcPr>
          <w:p w14:paraId="5F7C159E" w14:textId="77777777" w:rsidR="0064287A" w:rsidRPr="0064287A" w:rsidRDefault="0064287A" w:rsidP="0064287A">
            <w:pPr>
              <w:jc w:val="center"/>
              <w:rPr>
                <w:rFonts w:ascii="Arial" w:hAnsi="Arial" w:cs="Arial"/>
                <w:b/>
                <w:sz w:val="19"/>
                <w:szCs w:val="19"/>
                <w:lang w:val="en-GB"/>
              </w:rPr>
            </w:pPr>
            <w:r w:rsidRPr="0064287A">
              <w:rPr>
                <w:rFonts w:ascii="Arial" w:hAnsi="Arial" w:cs="Arial"/>
                <w:b/>
                <w:sz w:val="19"/>
                <w:szCs w:val="19"/>
                <w:lang w:val="en-GB"/>
              </w:rPr>
              <w:t>Threats</w:t>
            </w:r>
          </w:p>
        </w:tc>
      </w:tr>
      <w:tr w:rsidR="0064287A" w:rsidRPr="0064287A" w14:paraId="037DB5E8" w14:textId="77777777" w:rsidTr="00765FAA">
        <w:trPr>
          <w:jc w:val="center"/>
        </w:trPr>
        <w:tc>
          <w:tcPr>
            <w:tcW w:w="4675" w:type="dxa"/>
            <w:tcBorders>
              <w:top w:val="single" w:sz="4" w:space="0" w:color="auto"/>
            </w:tcBorders>
          </w:tcPr>
          <w:p w14:paraId="24DC209B" w14:textId="77777777" w:rsidR="0064287A" w:rsidRPr="0064287A" w:rsidRDefault="0064287A" w:rsidP="0064287A">
            <w:pPr>
              <w:numPr>
                <w:ilvl w:val="0"/>
                <w:numId w:val="17"/>
              </w:numPr>
              <w:rPr>
                <w:rFonts w:ascii="Arial" w:hAnsi="Arial" w:cs="Arial"/>
                <w:sz w:val="19"/>
                <w:szCs w:val="19"/>
                <w:lang w:val="en-GB"/>
              </w:rPr>
            </w:pPr>
            <w:r w:rsidRPr="0064287A">
              <w:rPr>
                <w:rFonts w:ascii="Arial" w:hAnsi="Arial" w:cs="Arial"/>
                <w:sz w:val="19"/>
                <w:szCs w:val="19"/>
                <w:lang w:val="en-GB"/>
              </w:rPr>
              <w:t>The technology for the project was well-established, and the plant and machinery could be sourced from reputed suppliers with a proven track record.</w:t>
            </w:r>
          </w:p>
          <w:p w14:paraId="2BDBA90F" w14:textId="77777777" w:rsidR="0064287A" w:rsidRPr="0064287A" w:rsidRDefault="0064287A" w:rsidP="0064287A">
            <w:pPr>
              <w:numPr>
                <w:ilvl w:val="0"/>
                <w:numId w:val="17"/>
              </w:numPr>
              <w:rPr>
                <w:rFonts w:ascii="Arial" w:hAnsi="Arial" w:cs="Arial"/>
                <w:sz w:val="19"/>
                <w:szCs w:val="19"/>
                <w:lang w:val="en-GB"/>
              </w:rPr>
            </w:pPr>
            <w:r w:rsidRPr="0064287A">
              <w:rPr>
                <w:rFonts w:ascii="Arial" w:hAnsi="Arial" w:cs="Arial"/>
                <w:sz w:val="19"/>
                <w:szCs w:val="19"/>
                <w:lang w:val="en-GB"/>
              </w:rPr>
              <w:t>Demand for OFC had had a major boost from government projects such as the National Optical Fibre Network, the Network for Spectrum, and the Digital India Program.</w:t>
            </w:r>
          </w:p>
          <w:p w14:paraId="24F17A9E" w14:textId="77777777" w:rsidR="0064287A" w:rsidRPr="0064287A" w:rsidRDefault="0064287A" w:rsidP="0064287A">
            <w:pPr>
              <w:numPr>
                <w:ilvl w:val="0"/>
                <w:numId w:val="17"/>
              </w:numPr>
              <w:rPr>
                <w:rFonts w:ascii="Arial" w:hAnsi="Arial" w:cs="Arial"/>
                <w:sz w:val="19"/>
                <w:szCs w:val="19"/>
                <w:lang w:val="en-GB"/>
              </w:rPr>
            </w:pPr>
            <w:r w:rsidRPr="0064287A">
              <w:rPr>
                <w:rFonts w:ascii="Arial" w:hAnsi="Arial" w:cs="Arial"/>
                <w:sz w:val="19"/>
                <w:szCs w:val="19"/>
                <w:lang w:val="en-GB"/>
              </w:rPr>
              <w:t>OFC manufacturers in India were few in number, although there had been a tremendous increase in demand for OFC.</w:t>
            </w:r>
          </w:p>
        </w:tc>
        <w:tc>
          <w:tcPr>
            <w:tcW w:w="4675" w:type="dxa"/>
            <w:tcBorders>
              <w:top w:val="single" w:sz="4" w:space="0" w:color="auto"/>
            </w:tcBorders>
          </w:tcPr>
          <w:p w14:paraId="5EF9D4E4" w14:textId="77777777" w:rsidR="0064287A" w:rsidRPr="0064287A" w:rsidRDefault="0064287A" w:rsidP="0064287A">
            <w:pPr>
              <w:numPr>
                <w:ilvl w:val="0"/>
                <w:numId w:val="16"/>
              </w:numPr>
              <w:rPr>
                <w:rFonts w:ascii="Arial" w:hAnsi="Arial" w:cs="Arial"/>
                <w:sz w:val="19"/>
                <w:szCs w:val="19"/>
                <w:lang w:val="en-GB"/>
              </w:rPr>
            </w:pPr>
            <w:r w:rsidRPr="0064287A">
              <w:rPr>
                <w:rFonts w:ascii="Arial" w:hAnsi="Arial" w:cs="Arial"/>
                <w:sz w:val="19"/>
                <w:szCs w:val="19"/>
                <w:lang w:val="en-GB"/>
              </w:rPr>
              <w:t>There were few barriers to entry. New entrants in OFC manufacturing could lead to increased competition in the future.</w:t>
            </w:r>
          </w:p>
          <w:p w14:paraId="31691256" w14:textId="77777777" w:rsidR="0064287A" w:rsidRPr="0064287A" w:rsidRDefault="0064287A" w:rsidP="0064287A">
            <w:pPr>
              <w:numPr>
                <w:ilvl w:val="0"/>
                <w:numId w:val="16"/>
              </w:numPr>
              <w:rPr>
                <w:rFonts w:ascii="Arial" w:hAnsi="Arial" w:cs="Arial"/>
                <w:sz w:val="19"/>
                <w:szCs w:val="19"/>
                <w:lang w:val="en-GB"/>
              </w:rPr>
            </w:pPr>
            <w:r w:rsidRPr="0064287A">
              <w:rPr>
                <w:rFonts w:ascii="Arial" w:hAnsi="Arial" w:cs="Arial"/>
                <w:sz w:val="19"/>
                <w:szCs w:val="19"/>
                <w:lang w:val="en-GB"/>
              </w:rPr>
              <w:t>There was a product obsolescence risk because OFC could be replaced by a superior telecommunications technology.</w:t>
            </w:r>
          </w:p>
          <w:p w14:paraId="26F1291D" w14:textId="77777777" w:rsidR="0064287A" w:rsidRPr="0064287A" w:rsidRDefault="0064287A" w:rsidP="0064287A">
            <w:pPr>
              <w:numPr>
                <w:ilvl w:val="0"/>
                <w:numId w:val="16"/>
              </w:numPr>
              <w:rPr>
                <w:rFonts w:ascii="Arial" w:hAnsi="Arial" w:cs="Arial"/>
                <w:sz w:val="19"/>
                <w:szCs w:val="19"/>
                <w:lang w:val="en-GB"/>
              </w:rPr>
            </w:pPr>
            <w:r w:rsidRPr="0064287A">
              <w:rPr>
                <w:rFonts w:ascii="Arial" w:hAnsi="Arial" w:cs="Arial"/>
                <w:sz w:val="19"/>
                <w:szCs w:val="19"/>
                <w:lang w:val="en-GB"/>
              </w:rPr>
              <w:t>The company could fail to capture the forecasted market share and to sell all of its production in the domestic and overseas market together.</w:t>
            </w:r>
          </w:p>
          <w:p w14:paraId="0CC2F609" w14:textId="77777777" w:rsidR="0064287A" w:rsidRPr="0064287A" w:rsidRDefault="0064287A" w:rsidP="0064287A">
            <w:pPr>
              <w:numPr>
                <w:ilvl w:val="0"/>
                <w:numId w:val="16"/>
              </w:numPr>
              <w:rPr>
                <w:rFonts w:ascii="Arial" w:hAnsi="Arial" w:cs="Arial"/>
                <w:sz w:val="19"/>
                <w:szCs w:val="19"/>
                <w:lang w:val="en-GB"/>
              </w:rPr>
            </w:pPr>
            <w:r w:rsidRPr="0064287A">
              <w:rPr>
                <w:rFonts w:ascii="Arial" w:hAnsi="Arial" w:cs="Arial"/>
                <w:sz w:val="19"/>
                <w:szCs w:val="19"/>
                <w:lang w:val="en-GB"/>
              </w:rPr>
              <w:t>The company might not be able to obtain all the statutory clearances from the government.</w:t>
            </w:r>
          </w:p>
          <w:p w14:paraId="2E656919" w14:textId="77777777" w:rsidR="0064287A" w:rsidRPr="0064287A" w:rsidRDefault="0064287A" w:rsidP="0064287A">
            <w:pPr>
              <w:numPr>
                <w:ilvl w:val="0"/>
                <w:numId w:val="16"/>
              </w:numPr>
              <w:rPr>
                <w:rFonts w:ascii="Arial" w:hAnsi="Arial" w:cs="Arial"/>
                <w:sz w:val="19"/>
                <w:szCs w:val="19"/>
                <w:lang w:val="en-GB"/>
              </w:rPr>
            </w:pPr>
            <w:r w:rsidRPr="0064287A">
              <w:rPr>
                <w:rFonts w:ascii="Arial" w:hAnsi="Arial" w:cs="Arial"/>
                <w:sz w:val="19"/>
                <w:szCs w:val="19"/>
                <w:lang w:val="en-GB"/>
              </w:rPr>
              <w:t>The generic threat of economic slowdown existed, which might affect the demand for OFC.</w:t>
            </w:r>
          </w:p>
        </w:tc>
      </w:tr>
    </w:tbl>
    <w:p w14:paraId="08B8463F" w14:textId="77777777" w:rsidR="0064287A" w:rsidRPr="0064287A" w:rsidRDefault="0064287A" w:rsidP="0064287A">
      <w:pPr>
        <w:jc w:val="both"/>
        <w:rPr>
          <w:rFonts w:ascii="Arial" w:hAnsi="Arial" w:cs="Arial"/>
          <w:lang w:val="en-GB"/>
        </w:rPr>
      </w:pPr>
    </w:p>
    <w:p w14:paraId="206BA4DF"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 xml:space="preserve">Note: CEC = Cosmic Equipment Company Ltd.; IVTL = Indus Valley Telecom Ltd.; SWOT = strengths, weaknesses, opportunities, and threats. </w:t>
      </w:r>
    </w:p>
    <w:p w14:paraId="5CA0CB83"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Source: Company files.</w:t>
      </w:r>
    </w:p>
    <w:p w14:paraId="1FAC4BE4" w14:textId="77777777" w:rsidR="0064287A" w:rsidRPr="0064287A" w:rsidRDefault="0064287A" w:rsidP="0064287A">
      <w:pPr>
        <w:spacing w:after="200" w:line="276" w:lineRule="auto"/>
        <w:rPr>
          <w:rFonts w:ascii="Arial" w:hAnsi="Arial" w:cs="Arial"/>
          <w:sz w:val="17"/>
          <w:szCs w:val="17"/>
          <w:lang w:val="en-GB"/>
        </w:rPr>
      </w:pPr>
    </w:p>
    <w:p w14:paraId="2FE82180" w14:textId="77777777" w:rsidR="0064287A" w:rsidRPr="0064287A" w:rsidRDefault="0064287A" w:rsidP="0064287A">
      <w:pPr>
        <w:keepNext/>
        <w:jc w:val="center"/>
        <w:rPr>
          <w:rFonts w:ascii="Arial" w:hAnsi="Arial" w:cs="Arial"/>
          <w:b/>
          <w:caps/>
          <w:lang w:val="en-GB"/>
        </w:rPr>
      </w:pPr>
      <w:r w:rsidRPr="0064287A">
        <w:rPr>
          <w:rFonts w:ascii="Arial" w:hAnsi="Arial" w:cs="Arial"/>
          <w:b/>
          <w:caps/>
          <w:lang w:val="en-GB"/>
        </w:rPr>
        <w:lastRenderedPageBreak/>
        <w:t>Exhibit 5: Optical Fibre Cable industry in India—Selected Ratios (Average)</w:t>
      </w:r>
    </w:p>
    <w:p w14:paraId="775A03C3" w14:textId="77777777" w:rsidR="0064287A" w:rsidRPr="0064287A" w:rsidRDefault="0064287A" w:rsidP="0064287A">
      <w:pPr>
        <w:jc w:val="both"/>
        <w:rPr>
          <w:rFonts w:ascii="Arial" w:hAnsi="Arial" w:cs="Arial"/>
          <w:lang w:val="en-GB"/>
        </w:rPr>
      </w:pPr>
    </w:p>
    <w:tbl>
      <w:tblPr>
        <w:tblStyle w:val="TableGrid"/>
        <w:tblW w:w="3094"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5"/>
        <w:gridCol w:w="1667"/>
      </w:tblGrid>
      <w:tr w:rsidR="0064287A" w:rsidRPr="0064287A" w14:paraId="349099EA" w14:textId="77777777" w:rsidTr="00765FAA">
        <w:trPr>
          <w:trHeight w:val="288"/>
          <w:jc w:val="center"/>
        </w:trPr>
        <w:tc>
          <w:tcPr>
            <w:tcW w:w="4121" w:type="dxa"/>
            <w:tcBorders>
              <w:top w:val="single" w:sz="4" w:space="0" w:color="auto"/>
              <w:bottom w:val="single" w:sz="12" w:space="0" w:color="auto"/>
            </w:tcBorders>
            <w:noWrap/>
            <w:vAlign w:val="center"/>
            <w:hideMark/>
          </w:tcPr>
          <w:p w14:paraId="534F4EFE" w14:textId="77777777" w:rsidR="0064287A" w:rsidRPr="0064287A" w:rsidRDefault="0064287A" w:rsidP="0064287A">
            <w:pPr>
              <w:keepNext/>
              <w:rPr>
                <w:rFonts w:ascii="Arial" w:hAnsi="Arial" w:cs="Arial"/>
                <w:b/>
                <w:lang w:val="en-GB"/>
              </w:rPr>
            </w:pPr>
            <w:r w:rsidRPr="0064287A">
              <w:rPr>
                <w:rFonts w:ascii="Arial" w:hAnsi="Arial" w:cs="Arial"/>
                <w:b/>
                <w:lang w:val="en-GB"/>
              </w:rPr>
              <w:t>Ratio</w:t>
            </w:r>
          </w:p>
        </w:tc>
        <w:tc>
          <w:tcPr>
            <w:tcW w:w="1665" w:type="dxa"/>
            <w:tcBorders>
              <w:top w:val="single" w:sz="4" w:space="0" w:color="auto"/>
              <w:bottom w:val="single" w:sz="12" w:space="0" w:color="auto"/>
            </w:tcBorders>
            <w:noWrap/>
            <w:vAlign w:val="center"/>
            <w:hideMark/>
          </w:tcPr>
          <w:p w14:paraId="2496498E" w14:textId="77777777" w:rsidR="0064287A" w:rsidRPr="0064287A" w:rsidRDefault="0064287A" w:rsidP="0064287A">
            <w:pPr>
              <w:keepNext/>
              <w:jc w:val="center"/>
              <w:rPr>
                <w:rFonts w:ascii="Arial" w:hAnsi="Arial" w:cs="Arial"/>
                <w:b/>
                <w:lang w:val="en-GB"/>
              </w:rPr>
            </w:pPr>
            <w:r w:rsidRPr="0064287A">
              <w:rPr>
                <w:rFonts w:ascii="Arial" w:hAnsi="Arial" w:cs="Arial"/>
                <w:b/>
                <w:lang w:val="en-GB"/>
              </w:rPr>
              <w:t>Average Value</w:t>
            </w:r>
          </w:p>
        </w:tc>
      </w:tr>
      <w:tr w:rsidR="0064287A" w:rsidRPr="0064287A" w14:paraId="001451DF" w14:textId="77777777" w:rsidTr="00765FAA">
        <w:trPr>
          <w:trHeight w:val="288"/>
          <w:jc w:val="center"/>
        </w:trPr>
        <w:tc>
          <w:tcPr>
            <w:tcW w:w="4121" w:type="dxa"/>
            <w:tcBorders>
              <w:top w:val="single" w:sz="12" w:space="0" w:color="auto"/>
            </w:tcBorders>
            <w:noWrap/>
            <w:vAlign w:val="center"/>
            <w:hideMark/>
          </w:tcPr>
          <w:p w14:paraId="2A6D6ADE" w14:textId="77777777" w:rsidR="0064287A" w:rsidRPr="0064287A" w:rsidRDefault="0064287A" w:rsidP="0064287A">
            <w:pPr>
              <w:rPr>
                <w:rFonts w:ascii="Arial" w:hAnsi="Arial" w:cs="Arial"/>
                <w:lang w:val="en-GB"/>
              </w:rPr>
            </w:pPr>
            <w:r w:rsidRPr="0064287A">
              <w:rPr>
                <w:rFonts w:ascii="Arial" w:hAnsi="Arial" w:cs="Arial"/>
                <w:lang w:val="en-GB"/>
              </w:rPr>
              <w:t>Gross Profit Ratio</w:t>
            </w:r>
          </w:p>
        </w:tc>
        <w:tc>
          <w:tcPr>
            <w:tcW w:w="1665" w:type="dxa"/>
            <w:tcBorders>
              <w:top w:val="single" w:sz="12" w:space="0" w:color="auto"/>
            </w:tcBorders>
            <w:noWrap/>
            <w:vAlign w:val="center"/>
            <w:hideMark/>
          </w:tcPr>
          <w:p w14:paraId="42A99DB7"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9.20%</w:t>
            </w:r>
          </w:p>
        </w:tc>
      </w:tr>
      <w:tr w:rsidR="0064287A" w:rsidRPr="0064287A" w14:paraId="5D438CBB" w14:textId="77777777" w:rsidTr="00765FAA">
        <w:trPr>
          <w:trHeight w:val="288"/>
          <w:jc w:val="center"/>
        </w:trPr>
        <w:tc>
          <w:tcPr>
            <w:tcW w:w="4121" w:type="dxa"/>
            <w:noWrap/>
            <w:vAlign w:val="center"/>
            <w:hideMark/>
          </w:tcPr>
          <w:p w14:paraId="26958A11" w14:textId="77777777" w:rsidR="0064287A" w:rsidRPr="0064287A" w:rsidRDefault="0064287A" w:rsidP="0064287A">
            <w:pPr>
              <w:rPr>
                <w:rFonts w:ascii="Arial" w:hAnsi="Arial" w:cs="Arial"/>
                <w:lang w:val="en-GB"/>
              </w:rPr>
            </w:pPr>
            <w:r w:rsidRPr="0064287A">
              <w:rPr>
                <w:rFonts w:ascii="Arial" w:hAnsi="Arial" w:cs="Arial"/>
                <w:lang w:val="en-GB"/>
              </w:rPr>
              <w:t>Net Profit Ratio</w:t>
            </w:r>
          </w:p>
        </w:tc>
        <w:tc>
          <w:tcPr>
            <w:tcW w:w="1665" w:type="dxa"/>
            <w:noWrap/>
            <w:vAlign w:val="center"/>
            <w:hideMark/>
          </w:tcPr>
          <w:p w14:paraId="51DE6E8A"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3.20%</w:t>
            </w:r>
          </w:p>
        </w:tc>
      </w:tr>
      <w:tr w:rsidR="0064287A" w:rsidRPr="0064287A" w14:paraId="6CDDF168" w14:textId="77777777" w:rsidTr="00765FAA">
        <w:trPr>
          <w:trHeight w:val="288"/>
          <w:jc w:val="center"/>
        </w:trPr>
        <w:tc>
          <w:tcPr>
            <w:tcW w:w="4121" w:type="dxa"/>
            <w:noWrap/>
            <w:vAlign w:val="center"/>
            <w:hideMark/>
          </w:tcPr>
          <w:p w14:paraId="037AD1A8" w14:textId="77777777" w:rsidR="0064287A" w:rsidRPr="0064287A" w:rsidRDefault="0064287A" w:rsidP="0064287A">
            <w:pPr>
              <w:rPr>
                <w:rFonts w:ascii="Arial" w:hAnsi="Arial" w:cs="Arial"/>
                <w:lang w:val="en-GB"/>
              </w:rPr>
            </w:pPr>
            <w:r w:rsidRPr="0064287A">
              <w:rPr>
                <w:rFonts w:ascii="Arial" w:hAnsi="Arial" w:cs="Arial"/>
                <w:lang w:val="en-GB"/>
              </w:rPr>
              <w:t>Current Ratio</w:t>
            </w:r>
          </w:p>
        </w:tc>
        <w:tc>
          <w:tcPr>
            <w:tcW w:w="1665" w:type="dxa"/>
            <w:noWrap/>
            <w:vAlign w:val="center"/>
            <w:hideMark/>
          </w:tcPr>
          <w:p w14:paraId="19C9C6D7"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1.62</w:t>
            </w:r>
          </w:p>
        </w:tc>
      </w:tr>
      <w:tr w:rsidR="0064287A" w:rsidRPr="0064287A" w14:paraId="331983FE" w14:textId="77777777" w:rsidTr="00765FAA">
        <w:trPr>
          <w:trHeight w:val="288"/>
          <w:jc w:val="center"/>
        </w:trPr>
        <w:tc>
          <w:tcPr>
            <w:tcW w:w="4121" w:type="dxa"/>
            <w:noWrap/>
            <w:vAlign w:val="center"/>
            <w:hideMark/>
          </w:tcPr>
          <w:p w14:paraId="198311AE" w14:textId="77777777" w:rsidR="0064287A" w:rsidRPr="0064287A" w:rsidRDefault="0064287A" w:rsidP="0064287A">
            <w:pPr>
              <w:rPr>
                <w:rFonts w:ascii="Arial" w:hAnsi="Arial" w:cs="Arial"/>
                <w:lang w:val="en-GB"/>
              </w:rPr>
            </w:pPr>
            <w:r w:rsidRPr="0064287A">
              <w:rPr>
                <w:rFonts w:ascii="Arial" w:hAnsi="Arial" w:cs="Arial"/>
                <w:lang w:val="en-GB"/>
              </w:rPr>
              <w:t>Quick Ratio</w:t>
            </w:r>
          </w:p>
        </w:tc>
        <w:tc>
          <w:tcPr>
            <w:tcW w:w="1665" w:type="dxa"/>
            <w:noWrap/>
            <w:vAlign w:val="center"/>
            <w:hideMark/>
          </w:tcPr>
          <w:p w14:paraId="5449ED18"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1.12</w:t>
            </w:r>
          </w:p>
        </w:tc>
      </w:tr>
      <w:tr w:rsidR="0064287A" w:rsidRPr="0064287A" w14:paraId="387608EA" w14:textId="77777777" w:rsidTr="00765FAA">
        <w:trPr>
          <w:trHeight w:val="288"/>
          <w:jc w:val="center"/>
        </w:trPr>
        <w:tc>
          <w:tcPr>
            <w:tcW w:w="4121" w:type="dxa"/>
            <w:noWrap/>
            <w:vAlign w:val="center"/>
            <w:hideMark/>
          </w:tcPr>
          <w:p w14:paraId="74E96BAE" w14:textId="77777777" w:rsidR="0064287A" w:rsidRPr="0064287A" w:rsidRDefault="0064287A" w:rsidP="0064287A">
            <w:pPr>
              <w:rPr>
                <w:rFonts w:ascii="Arial" w:hAnsi="Arial" w:cs="Arial"/>
                <w:lang w:val="en-GB"/>
              </w:rPr>
            </w:pPr>
            <w:r w:rsidRPr="0064287A">
              <w:rPr>
                <w:rFonts w:ascii="Arial" w:hAnsi="Arial" w:cs="Arial"/>
                <w:lang w:val="en-GB"/>
              </w:rPr>
              <w:t>Return on Net Worth</w:t>
            </w:r>
          </w:p>
        </w:tc>
        <w:tc>
          <w:tcPr>
            <w:tcW w:w="1665" w:type="dxa"/>
            <w:noWrap/>
            <w:vAlign w:val="center"/>
            <w:hideMark/>
          </w:tcPr>
          <w:p w14:paraId="39D4EC32"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7.10%</w:t>
            </w:r>
          </w:p>
        </w:tc>
      </w:tr>
      <w:tr w:rsidR="0064287A" w:rsidRPr="0064287A" w14:paraId="50D1099C" w14:textId="77777777" w:rsidTr="00765FAA">
        <w:trPr>
          <w:trHeight w:val="288"/>
          <w:jc w:val="center"/>
        </w:trPr>
        <w:tc>
          <w:tcPr>
            <w:tcW w:w="4121" w:type="dxa"/>
            <w:noWrap/>
            <w:vAlign w:val="center"/>
            <w:hideMark/>
          </w:tcPr>
          <w:p w14:paraId="2340CF2D" w14:textId="77777777" w:rsidR="0064287A" w:rsidRPr="0064287A" w:rsidRDefault="0064287A" w:rsidP="0064287A">
            <w:pPr>
              <w:rPr>
                <w:rFonts w:ascii="Arial" w:hAnsi="Arial" w:cs="Arial"/>
                <w:lang w:val="en-GB"/>
              </w:rPr>
            </w:pPr>
            <w:r w:rsidRPr="0064287A">
              <w:rPr>
                <w:rFonts w:ascii="Arial" w:hAnsi="Arial" w:cs="Arial"/>
                <w:lang w:val="en-GB"/>
              </w:rPr>
              <w:t>Return on Assets</w:t>
            </w:r>
          </w:p>
        </w:tc>
        <w:tc>
          <w:tcPr>
            <w:tcW w:w="1665" w:type="dxa"/>
            <w:noWrap/>
            <w:vAlign w:val="center"/>
            <w:hideMark/>
          </w:tcPr>
          <w:p w14:paraId="0858C6D8"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10.80%</w:t>
            </w:r>
          </w:p>
        </w:tc>
      </w:tr>
      <w:tr w:rsidR="0064287A" w:rsidRPr="0064287A" w14:paraId="2821B5A3" w14:textId="77777777" w:rsidTr="00765FAA">
        <w:trPr>
          <w:trHeight w:val="288"/>
          <w:jc w:val="center"/>
        </w:trPr>
        <w:tc>
          <w:tcPr>
            <w:tcW w:w="4121" w:type="dxa"/>
            <w:noWrap/>
            <w:vAlign w:val="center"/>
            <w:hideMark/>
          </w:tcPr>
          <w:p w14:paraId="7E6A87E6" w14:textId="77777777" w:rsidR="0064287A" w:rsidRPr="0064287A" w:rsidRDefault="0064287A" w:rsidP="0064287A">
            <w:pPr>
              <w:rPr>
                <w:rFonts w:ascii="Arial" w:hAnsi="Arial" w:cs="Arial"/>
                <w:lang w:val="en-GB"/>
              </w:rPr>
            </w:pPr>
            <w:r w:rsidRPr="0064287A">
              <w:rPr>
                <w:rFonts w:ascii="Arial" w:hAnsi="Arial" w:cs="Arial"/>
                <w:lang w:val="en-GB"/>
              </w:rPr>
              <w:t>Return on Capital Employed</w:t>
            </w:r>
          </w:p>
        </w:tc>
        <w:tc>
          <w:tcPr>
            <w:tcW w:w="1665" w:type="dxa"/>
            <w:noWrap/>
            <w:vAlign w:val="center"/>
            <w:hideMark/>
          </w:tcPr>
          <w:p w14:paraId="57EC87C7"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15.30%</w:t>
            </w:r>
          </w:p>
        </w:tc>
      </w:tr>
      <w:tr w:rsidR="0064287A" w:rsidRPr="0064287A" w14:paraId="3CF81B36" w14:textId="77777777" w:rsidTr="00765FAA">
        <w:trPr>
          <w:trHeight w:val="288"/>
          <w:jc w:val="center"/>
        </w:trPr>
        <w:tc>
          <w:tcPr>
            <w:tcW w:w="4121" w:type="dxa"/>
            <w:noWrap/>
            <w:vAlign w:val="center"/>
            <w:hideMark/>
          </w:tcPr>
          <w:p w14:paraId="3041E79C" w14:textId="77777777" w:rsidR="0064287A" w:rsidRPr="0064287A" w:rsidRDefault="0064287A" w:rsidP="0064287A">
            <w:pPr>
              <w:rPr>
                <w:rFonts w:ascii="Arial" w:hAnsi="Arial" w:cs="Arial"/>
                <w:lang w:val="en-GB"/>
              </w:rPr>
            </w:pPr>
            <w:r w:rsidRPr="0064287A">
              <w:rPr>
                <w:rFonts w:ascii="Arial" w:hAnsi="Arial" w:cs="Arial"/>
                <w:lang w:val="en-GB"/>
              </w:rPr>
              <w:t>Debt–Equity Ratio</w:t>
            </w:r>
          </w:p>
        </w:tc>
        <w:tc>
          <w:tcPr>
            <w:tcW w:w="1665" w:type="dxa"/>
            <w:noWrap/>
            <w:vAlign w:val="center"/>
            <w:hideMark/>
          </w:tcPr>
          <w:p w14:paraId="6B5F2AC1"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0.36</w:t>
            </w:r>
          </w:p>
        </w:tc>
      </w:tr>
      <w:tr w:rsidR="0064287A" w:rsidRPr="0064287A" w14:paraId="1AF4877B" w14:textId="77777777" w:rsidTr="00765FAA">
        <w:trPr>
          <w:trHeight w:val="288"/>
          <w:jc w:val="center"/>
        </w:trPr>
        <w:tc>
          <w:tcPr>
            <w:tcW w:w="4121" w:type="dxa"/>
            <w:noWrap/>
            <w:vAlign w:val="center"/>
            <w:hideMark/>
          </w:tcPr>
          <w:p w14:paraId="1538AC14" w14:textId="77777777" w:rsidR="0064287A" w:rsidRPr="0064287A" w:rsidRDefault="0064287A" w:rsidP="0064287A">
            <w:pPr>
              <w:rPr>
                <w:rFonts w:ascii="Arial" w:hAnsi="Arial" w:cs="Arial"/>
                <w:lang w:val="en-GB"/>
              </w:rPr>
            </w:pPr>
            <w:r w:rsidRPr="0064287A">
              <w:rPr>
                <w:rFonts w:ascii="Arial" w:hAnsi="Arial" w:cs="Arial"/>
                <w:lang w:val="en-GB"/>
              </w:rPr>
              <w:t>Total Outside Liabilities/Tangible Net Worth</w:t>
            </w:r>
          </w:p>
        </w:tc>
        <w:tc>
          <w:tcPr>
            <w:tcW w:w="1665" w:type="dxa"/>
            <w:noWrap/>
            <w:vAlign w:val="center"/>
            <w:hideMark/>
          </w:tcPr>
          <w:p w14:paraId="3A2E3D5A"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2.37</w:t>
            </w:r>
          </w:p>
        </w:tc>
      </w:tr>
      <w:tr w:rsidR="0064287A" w:rsidRPr="0064287A" w14:paraId="481AF6C5" w14:textId="77777777" w:rsidTr="00765FAA">
        <w:trPr>
          <w:trHeight w:val="288"/>
          <w:jc w:val="center"/>
        </w:trPr>
        <w:tc>
          <w:tcPr>
            <w:tcW w:w="4121" w:type="dxa"/>
            <w:noWrap/>
            <w:vAlign w:val="center"/>
            <w:hideMark/>
          </w:tcPr>
          <w:p w14:paraId="31FE2EBC" w14:textId="77777777" w:rsidR="0064287A" w:rsidRPr="0064287A" w:rsidRDefault="0064287A" w:rsidP="0064287A">
            <w:pPr>
              <w:rPr>
                <w:rFonts w:ascii="Arial" w:hAnsi="Arial" w:cs="Arial"/>
                <w:lang w:val="en-GB"/>
              </w:rPr>
            </w:pPr>
            <w:r w:rsidRPr="0064287A">
              <w:rPr>
                <w:rFonts w:ascii="Arial" w:hAnsi="Arial" w:cs="Arial"/>
                <w:lang w:val="en-GB"/>
              </w:rPr>
              <w:t>Interest Coverage Ratio</w:t>
            </w:r>
          </w:p>
        </w:tc>
        <w:tc>
          <w:tcPr>
            <w:tcW w:w="1665" w:type="dxa"/>
            <w:noWrap/>
            <w:vAlign w:val="center"/>
            <w:hideMark/>
          </w:tcPr>
          <w:p w14:paraId="7F53ACD9"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3.15</w:t>
            </w:r>
          </w:p>
        </w:tc>
      </w:tr>
      <w:tr w:rsidR="0064287A" w:rsidRPr="0064287A" w14:paraId="36A430C7" w14:textId="77777777" w:rsidTr="00765FAA">
        <w:trPr>
          <w:trHeight w:val="288"/>
          <w:jc w:val="center"/>
        </w:trPr>
        <w:tc>
          <w:tcPr>
            <w:tcW w:w="4121" w:type="dxa"/>
            <w:noWrap/>
            <w:vAlign w:val="center"/>
            <w:hideMark/>
          </w:tcPr>
          <w:p w14:paraId="4D79B9CF" w14:textId="77777777" w:rsidR="0064287A" w:rsidRPr="0064287A" w:rsidRDefault="0064287A" w:rsidP="0064287A">
            <w:pPr>
              <w:rPr>
                <w:rFonts w:ascii="Arial" w:hAnsi="Arial" w:cs="Arial"/>
                <w:lang w:val="en-GB"/>
              </w:rPr>
            </w:pPr>
            <w:r w:rsidRPr="0064287A">
              <w:rPr>
                <w:rFonts w:ascii="Arial" w:hAnsi="Arial" w:cs="Arial"/>
                <w:lang w:val="en-GB"/>
              </w:rPr>
              <w:t>Fixed Asset Turnover</w:t>
            </w:r>
          </w:p>
        </w:tc>
        <w:tc>
          <w:tcPr>
            <w:tcW w:w="1665" w:type="dxa"/>
            <w:noWrap/>
            <w:vAlign w:val="center"/>
            <w:hideMark/>
          </w:tcPr>
          <w:p w14:paraId="51DA16A9"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3.94</w:t>
            </w:r>
          </w:p>
        </w:tc>
      </w:tr>
      <w:tr w:rsidR="0064287A" w:rsidRPr="0064287A" w14:paraId="0FAC22C8" w14:textId="77777777" w:rsidTr="00765FAA">
        <w:trPr>
          <w:trHeight w:val="288"/>
          <w:jc w:val="center"/>
        </w:trPr>
        <w:tc>
          <w:tcPr>
            <w:tcW w:w="4121" w:type="dxa"/>
            <w:noWrap/>
            <w:vAlign w:val="center"/>
            <w:hideMark/>
          </w:tcPr>
          <w:p w14:paraId="53F024E6" w14:textId="77777777" w:rsidR="0064287A" w:rsidRPr="0064287A" w:rsidRDefault="0064287A" w:rsidP="0064287A">
            <w:pPr>
              <w:rPr>
                <w:rFonts w:ascii="Arial" w:hAnsi="Arial" w:cs="Arial"/>
                <w:lang w:val="en-GB"/>
              </w:rPr>
            </w:pPr>
            <w:r w:rsidRPr="0064287A">
              <w:rPr>
                <w:rFonts w:ascii="Arial" w:hAnsi="Arial" w:cs="Arial"/>
                <w:lang w:val="en-GB"/>
              </w:rPr>
              <w:t>Fixed Assets to Net Worth</w:t>
            </w:r>
          </w:p>
        </w:tc>
        <w:tc>
          <w:tcPr>
            <w:tcW w:w="1665" w:type="dxa"/>
            <w:noWrap/>
            <w:vAlign w:val="center"/>
            <w:hideMark/>
          </w:tcPr>
          <w:p w14:paraId="3EC466E5"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0.56</w:t>
            </w:r>
          </w:p>
        </w:tc>
      </w:tr>
      <w:tr w:rsidR="0064287A" w:rsidRPr="0064287A" w14:paraId="3F278C89" w14:textId="77777777" w:rsidTr="00765FAA">
        <w:trPr>
          <w:trHeight w:val="288"/>
          <w:jc w:val="center"/>
        </w:trPr>
        <w:tc>
          <w:tcPr>
            <w:tcW w:w="4121" w:type="dxa"/>
            <w:noWrap/>
            <w:vAlign w:val="center"/>
            <w:hideMark/>
          </w:tcPr>
          <w:p w14:paraId="59BEFFFD" w14:textId="77777777" w:rsidR="0064287A" w:rsidRPr="0064287A" w:rsidRDefault="0064287A" w:rsidP="0064287A">
            <w:pPr>
              <w:rPr>
                <w:rFonts w:ascii="Arial" w:hAnsi="Arial" w:cs="Arial"/>
                <w:lang w:val="en-GB"/>
              </w:rPr>
            </w:pPr>
            <w:r w:rsidRPr="0064287A">
              <w:rPr>
                <w:rFonts w:ascii="Arial" w:hAnsi="Arial" w:cs="Arial"/>
                <w:lang w:val="en-GB"/>
              </w:rPr>
              <w:t>Sales to Capital Employed</w:t>
            </w:r>
          </w:p>
        </w:tc>
        <w:tc>
          <w:tcPr>
            <w:tcW w:w="1665" w:type="dxa"/>
            <w:noWrap/>
            <w:vAlign w:val="center"/>
            <w:hideMark/>
          </w:tcPr>
          <w:p w14:paraId="0F6F62A2" w14:textId="77777777" w:rsidR="0064287A" w:rsidRPr="0064287A" w:rsidRDefault="0064287A" w:rsidP="0064287A">
            <w:pPr>
              <w:ind w:right="288"/>
              <w:jc w:val="right"/>
              <w:rPr>
                <w:rFonts w:ascii="Arial" w:hAnsi="Arial" w:cs="Arial"/>
                <w:lang w:val="en-GB"/>
              </w:rPr>
            </w:pPr>
            <w:r w:rsidRPr="0064287A">
              <w:rPr>
                <w:rFonts w:ascii="Arial" w:hAnsi="Arial" w:cs="Arial"/>
                <w:lang w:val="en-GB"/>
              </w:rPr>
              <w:t>1.30</w:t>
            </w:r>
          </w:p>
        </w:tc>
      </w:tr>
    </w:tbl>
    <w:p w14:paraId="6B4739A3" w14:textId="77777777" w:rsidR="0064287A" w:rsidRPr="0064287A" w:rsidRDefault="0064287A" w:rsidP="0064287A">
      <w:pPr>
        <w:jc w:val="both"/>
        <w:rPr>
          <w:rFonts w:ascii="Arial" w:hAnsi="Arial" w:cs="Arial"/>
          <w:lang w:val="en-GB"/>
        </w:rPr>
      </w:pPr>
    </w:p>
    <w:p w14:paraId="267B0233"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Note: The industry average was calculated based on nine companies. The ratios were averaged over a period of three years: fiscal years 2012/13, 2013/14, and 2014/15.</w:t>
      </w:r>
    </w:p>
    <w:p w14:paraId="58102C3A"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 xml:space="preserve">Source: “Optical Fibre Cable Industry, India,” Centre for Monitoring Indian Economy </w:t>
      </w:r>
      <w:proofErr w:type="spellStart"/>
      <w:r w:rsidRPr="0064287A">
        <w:rPr>
          <w:rFonts w:ascii="Arial" w:hAnsi="Arial" w:cs="Arial"/>
          <w:sz w:val="17"/>
          <w:szCs w:val="17"/>
          <w:lang w:val="en-GB"/>
        </w:rPr>
        <w:t>Pvt.</w:t>
      </w:r>
      <w:proofErr w:type="spellEnd"/>
      <w:r w:rsidRPr="0064287A">
        <w:rPr>
          <w:rFonts w:ascii="Arial" w:hAnsi="Arial" w:cs="Arial"/>
          <w:sz w:val="17"/>
          <w:szCs w:val="17"/>
          <w:lang w:val="en-GB"/>
        </w:rPr>
        <w:t xml:space="preserve"> Ltd., Prowess Database, accessed December 20, 2017.</w:t>
      </w:r>
    </w:p>
    <w:p w14:paraId="7F7D94C4" w14:textId="77777777" w:rsidR="0064287A" w:rsidRPr="0064287A" w:rsidRDefault="0064287A" w:rsidP="0064287A">
      <w:pPr>
        <w:jc w:val="both"/>
        <w:rPr>
          <w:rFonts w:ascii="Arial" w:hAnsi="Arial" w:cs="Arial"/>
          <w:lang w:val="en-GB"/>
        </w:rPr>
      </w:pPr>
    </w:p>
    <w:p w14:paraId="0FC13265" w14:textId="77777777" w:rsidR="0064287A" w:rsidRPr="0064287A" w:rsidRDefault="0064287A" w:rsidP="0064287A">
      <w:pPr>
        <w:jc w:val="both"/>
        <w:rPr>
          <w:rFonts w:ascii="Arial" w:hAnsi="Arial" w:cs="Arial"/>
          <w:lang w:val="en-GB"/>
        </w:rPr>
      </w:pPr>
    </w:p>
    <w:p w14:paraId="01B704AB" w14:textId="77777777" w:rsidR="0064287A" w:rsidRPr="0064287A" w:rsidRDefault="0064287A" w:rsidP="0064287A">
      <w:pPr>
        <w:jc w:val="center"/>
        <w:rPr>
          <w:rFonts w:ascii="Arial" w:hAnsi="Arial" w:cs="Arial"/>
          <w:b/>
          <w:caps/>
          <w:lang w:val="en-GB"/>
        </w:rPr>
      </w:pPr>
      <w:r w:rsidRPr="0064287A">
        <w:rPr>
          <w:rFonts w:ascii="Arial" w:hAnsi="Arial" w:cs="Arial"/>
          <w:b/>
          <w:caps/>
          <w:lang w:val="en-GB"/>
        </w:rPr>
        <w:t>Exhibit 6: General Bank Lending Norms for Term LoanS in India</w:t>
      </w:r>
    </w:p>
    <w:p w14:paraId="653ABB88" w14:textId="77777777" w:rsidR="0064287A" w:rsidRPr="0064287A" w:rsidRDefault="0064287A" w:rsidP="0064287A">
      <w:pPr>
        <w:jc w:val="both"/>
        <w:rPr>
          <w:rFonts w:ascii="Arial" w:hAnsi="Arial" w:cs="Arial"/>
          <w:lang w:val="en-GB"/>
        </w:rPr>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300"/>
      </w:tblGrid>
      <w:tr w:rsidR="0064287A" w:rsidRPr="0064287A" w14:paraId="5BD1B13D" w14:textId="77777777" w:rsidTr="00765FAA">
        <w:trPr>
          <w:trHeight w:val="288"/>
          <w:jc w:val="center"/>
        </w:trPr>
        <w:tc>
          <w:tcPr>
            <w:tcW w:w="3060" w:type="dxa"/>
            <w:tcBorders>
              <w:top w:val="single" w:sz="4" w:space="0" w:color="auto"/>
              <w:bottom w:val="single" w:sz="12" w:space="0" w:color="auto"/>
            </w:tcBorders>
            <w:vAlign w:val="center"/>
          </w:tcPr>
          <w:p w14:paraId="19393F15" w14:textId="77777777" w:rsidR="0064287A" w:rsidRPr="0064287A" w:rsidRDefault="0064287A" w:rsidP="0064287A">
            <w:pPr>
              <w:rPr>
                <w:rFonts w:ascii="Arial" w:hAnsi="Arial" w:cs="Arial"/>
                <w:b/>
                <w:lang w:val="en-GB"/>
              </w:rPr>
            </w:pPr>
            <w:r w:rsidRPr="0064287A">
              <w:rPr>
                <w:rFonts w:ascii="Arial" w:hAnsi="Arial" w:cs="Arial"/>
                <w:b/>
                <w:lang w:val="en-GB"/>
              </w:rPr>
              <w:t>Criteria</w:t>
            </w:r>
          </w:p>
        </w:tc>
        <w:tc>
          <w:tcPr>
            <w:tcW w:w="6300" w:type="dxa"/>
            <w:tcBorders>
              <w:top w:val="single" w:sz="4" w:space="0" w:color="auto"/>
              <w:bottom w:val="single" w:sz="12" w:space="0" w:color="auto"/>
            </w:tcBorders>
            <w:vAlign w:val="center"/>
          </w:tcPr>
          <w:p w14:paraId="4435B79C" w14:textId="77777777" w:rsidR="0064287A" w:rsidRPr="0064287A" w:rsidRDefault="0064287A" w:rsidP="0064287A">
            <w:pPr>
              <w:rPr>
                <w:rFonts w:ascii="Arial" w:hAnsi="Arial" w:cs="Arial"/>
                <w:b/>
                <w:lang w:val="en-GB"/>
              </w:rPr>
            </w:pPr>
            <w:r w:rsidRPr="0064287A">
              <w:rPr>
                <w:rFonts w:ascii="Arial" w:hAnsi="Arial" w:cs="Arial"/>
                <w:b/>
                <w:lang w:val="en-GB"/>
              </w:rPr>
              <w:t>Lending Norm</w:t>
            </w:r>
          </w:p>
        </w:tc>
      </w:tr>
      <w:tr w:rsidR="0064287A" w:rsidRPr="0064287A" w14:paraId="7A0F4399" w14:textId="77777777" w:rsidTr="00765FAA">
        <w:trPr>
          <w:trHeight w:val="288"/>
          <w:jc w:val="center"/>
        </w:trPr>
        <w:tc>
          <w:tcPr>
            <w:tcW w:w="3060" w:type="dxa"/>
            <w:tcBorders>
              <w:top w:val="single" w:sz="12" w:space="0" w:color="auto"/>
              <w:bottom w:val="dotted" w:sz="4" w:space="0" w:color="808080" w:themeColor="background1" w:themeShade="80"/>
            </w:tcBorders>
            <w:vAlign w:val="center"/>
          </w:tcPr>
          <w:p w14:paraId="16895BA3" w14:textId="77777777" w:rsidR="0064287A" w:rsidRPr="0064287A" w:rsidRDefault="0064287A" w:rsidP="0064287A">
            <w:pPr>
              <w:rPr>
                <w:rFonts w:ascii="Arial" w:hAnsi="Arial" w:cs="Arial"/>
                <w:lang w:val="en-GB"/>
              </w:rPr>
            </w:pPr>
            <w:r w:rsidRPr="0064287A">
              <w:rPr>
                <w:rFonts w:ascii="Arial" w:hAnsi="Arial" w:cs="Arial"/>
                <w:lang w:val="en-GB"/>
              </w:rPr>
              <w:t>Profitability</w:t>
            </w:r>
          </w:p>
        </w:tc>
        <w:tc>
          <w:tcPr>
            <w:tcW w:w="6300" w:type="dxa"/>
            <w:tcBorders>
              <w:top w:val="single" w:sz="12" w:space="0" w:color="auto"/>
              <w:bottom w:val="dotted" w:sz="4" w:space="0" w:color="808080" w:themeColor="background1" w:themeShade="80"/>
            </w:tcBorders>
            <w:vAlign w:val="center"/>
          </w:tcPr>
          <w:p w14:paraId="2E8D33F6" w14:textId="77777777" w:rsidR="0064287A" w:rsidRPr="0064287A" w:rsidRDefault="0064287A" w:rsidP="0064287A">
            <w:pPr>
              <w:rPr>
                <w:rFonts w:ascii="Arial" w:hAnsi="Arial" w:cs="Arial"/>
                <w:lang w:val="en-GB"/>
              </w:rPr>
            </w:pPr>
            <w:r w:rsidRPr="0064287A">
              <w:rPr>
                <w:rFonts w:ascii="Arial" w:hAnsi="Arial" w:cs="Arial"/>
                <w:lang w:val="en-GB"/>
              </w:rPr>
              <w:t>Promoters* should have an impeccable track record</w:t>
            </w:r>
          </w:p>
        </w:tc>
      </w:tr>
      <w:tr w:rsidR="0064287A" w:rsidRPr="0064287A" w14:paraId="503E28FA"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36A13F9D" w14:textId="77777777" w:rsidR="0064287A" w:rsidRPr="0064287A" w:rsidRDefault="0064287A" w:rsidP="0064287A">
            <w:pPr>
              <w:rPr>
                <w:rFonts w:ascii="Arial" w:hAnsi="Arial" w:cs="Arial"/>
                <w:lang w:val="en-GB"/>
              </w:rPr>
            </w:pPr>
            <w:r w:rsidRPr="0064287A">
              <w:rPr>
                <w:rFonts w:ascii="Arial" w:hAnsi="Arial" w:cs="Arial"/>
                <w:lang w:val="en-GB"/>
              </w:rPr>
              <w:t>Credit History</w:t>
            </w:r>
          </w:p>
        </w:tc>
        <w:tc>
          <w:tcPr>
            <w:tcW w:w="6300" w:type="dxa"/>
            <w:tcBorders>
              <w:top w:val="dotted" w:sz="4" w:space="0" w:color="808080" w:themeColor="background1" w:themeShade="80"/>
              <w:bottom w:val="dotted" w:sz="4" w:space="0" w:color="808080" w:themeColor="background1" w:themeShade="80"/>
            </w:tcBorders>
            <w:vAlign w:val="center"/>
          </w:tcPr>
          <w:p w14:paraId="63124DC3" w14:textId="77777777" w:rsidR="0064287A" w:rsidRPr="0064287A" w:rsidRDefault="0064287A" w:rsidP="0064287A">
            <w:pPr>
              <w:rPr>
                <w:rFonts w:ascii="Arial" w:hAnsi="Arial" w:cs="Arial"/>
                <w:lang w:val="en-GB"/>
              </w:rPr>
            </w:pPr>
            <w:r w:rsidRPr="0064287A">
              <w:rPr>
                <w:rFonts w:ascii="Arial" w:hAnsi="Arial" w:cs="Arial"/>
                <w:lang w:val="en-GB"/>
              </w:rPr>
              <w:t>No known default by the company promoters or group</w:t>
            </w:r>
          </w:p>
        </w:tc>
      </w:tr>
      <w:tr w:rsidR="0064287A" w:rsidRPr="0064287A" w14:paraId="327BE548"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7BB6D150" w14:textId="77777777" w:rsidR="0064287A" w:rsidRPr="0064287A" w:rsidRDefault="0064287A" w:rsidP="0064287A">
            <w:pPr>
              <w:rPr>
                <w:rFonts w:ascii="Arial" w:hAnsi="Arial" w:cs="Arial"/>
                <w:lang w:val="en-GB"/>
              </w:rPr>
            </w:pPr>
            <w:r w:rsidRPr="0064287A">
              <w:rPr>
                <w:rFonts w:ascii="Arial" w:hAnsi="Arial" w:cs="Arial"/>
                <w:lang w:val="en-GB"/>
              </w:rPr>
              <w:t>Promoter’s Contribution</w:t>
            </w:r>
          </w:p>
        </w:tc>
        <w:tc>
          <w:tcPr>
            <w:tcW w:w="6300" w:type="dxa"/>
            <w:tcBorders>
              <w:top w:val="dotted" w:sz="4" w:space="0" w:color="808080" w:themeColor="background1" w:themeShade="80"/>
              <w:bottom w:val="dotted" w:sz="4" w:space="0" w:color="808080" w:themeColor="background1" w:themeShade="80"/>
            </w:tcBorders>
            <w:vAlign w:val="center"/>
          </w:tcPr>
          <w:p w14:paraId="2F88E9BE" w14:textId="77777777" w:rsidR="0064287A" w:rsidRPr="0064287A" w:rsidRDefault="0064287A" w:rsidP="0064287A">
            <w:pPr>
              <w:rPr>
                <w:rFonts w:ascii="Arial" w:hAnsi="Arial" w:cs="Arial"/>
                <w:lang w:val="en-GB"/>
              </w:rPr>
            </w:pPr>
            <w:r w:rsidRPr="0064287A">
              <w:rPr>
                <w:rFonts w:ascii="Arial" w:hAnsi="Arial" w:cs="Arial"/>
                <w:lang w:val="en-GB"/>
              </w:rPr>
              <w:t>Minimum 25–30% of the total project cost</w:t>
            </w:r>
          </w:p>
        </w:tc>
      </w:tr>
      <w:tr w:rsidR="0064287A" w:rsidRPr="0064287A" w14:paraId="217708A2"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5617CB07" w14:textId="77777777" w:rsidR="0064287A" w:rsidRPr="0064287A" w:rsidRDefault="0064287A" w:rsidP="0064287A">
            <w:pPr>
              <w:rPr>
                <w:rFonts w:ascii="Arial" w:hAnsi="Arial" w:cs="Arial"/>
                <w:lang w:val="en-GB"/>
              </w:rPr>
            </w:pPr>
            <w:r w:rsidRPr="0064287A">
              <w:rPr>
                <w:rFonts w:ascii="Arial" w:hAnsi="Arial" w:cs="Arial"/>
                <w:lang w:val="en-GB"/>
              </w:rPr>
              <w:t>Interest Coverage Ratio</w:t>
            </w:r>
          </w:p>
        </w:tc>
        <w:tc>
          <w:tcPr>
            <w:tcW w:w="6300" w:type="dxa"/>
            <w:tcBorders>
              <w:top w:val="dotted" w:sz="4" w:space="0" w:color="808080" w:themeColor="background1" w:themeShade="80"/>
              <w:bottom w:val="dotted" w:sz="4" w:space="0" w:color="808080" w:themeColor="background1" w:themeShade="80"/>
            </w:tcBorders>
            <w:vAlign w:val="center"/>
          </w:tcPr>
          <w:p w14:paraId="69D4BD82" w14:textId="77777777" w:rsidR="0064287A" w:rsidRPr="0064287A" w:rsidRDefault="0064287A" w:rsidP="0064287A">
            <w:pPr>
              <w:rPr>
                <w:rFonts w:ascii="Arial" w:hAnsi="Arial" w:cs="Arial"/>
                <w:lang w:val="en-GB"/>
              </w:rPr>
            </w:pPr>
            <w:r w:rsidRPr="0064287A">
              <w:rPr>
                <w:rFonts w:ascii="Arial" w:hAnsi="Arial" w:cs="Arial"/>
                <w:lang w:val="en-GB"/>
              </w:rPr>
              <w:t>Minimum 2:1</w:t>
            </w:r>
          </w:p>
        </w:tc>
      </w:tr>
      <w:tr w:rsidR="0064287A" w:rsidRPr="0064287A" w14:paraId="7908A6AB"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6E92F19C" w14:textId="77777777" w:rsidR="0064287A" w:rsidRPr="0064287A" w:rsidRDefault="0064287A" w:rsidP="0064287A">
            <w:pPr>
              <w:rPr>
                <w:rFonts w:ascii="Arial" w:hAnsi="Arial" w:cs="Arial"/>
                <w:lang w:val="en-GB"/>
              </w:rPr>
            </w:pPr>
            <w:r w:rsidRPr="0064287A">
              <w:rPr>
                <w:rFonts w:ascii="Arial" w:hAnsi="Arial" w:cs="Arial"/>
                <w:lang w:val="en-GB"/>
              </w:rPr>
              <w:t>Debt Service Coverage Ratio</w:t>
            </w:r>
          </w:p>
        </w:tc>
        <w:tc>
          <w:tcPr>
            <w:tcW w:w="6300" w:type="dxa"/>
            <w:tcBorders>
              <w:top w:val="dotted" w:sz="4" w:space="0" w:color="808080" w:themeColor="background1" w:themeShade="80"/>
              <w:bottom w:val="dotted" w:sz="4" w:space="0" w:color="808080" w:themeColor="background1" w:themeShade="80"/>
            </w:tcBorders>
            <w:vAlign w:val="center"/>
          </w:tcPr>
          <w:p w14:paraId="164BE7CF" w14:textId="77777777" w:rsidR="0064287A" w:rsidRPr="0064287A" w:rsidRDefault="0064287A" w:rsidP="0064287A">
            <w:pPr>
              <w:rPr>
                <w:rFonts w:ascii="Arial" w:hAnsi="Arial" w:cs="Arial"/>
                <w:lang w:val="en-GB"/>
              </w:rPr>
            </w:pPr>
            <w:r w:rsidRPr="0064287A">
              <w:rPr>
                <w:rFonts w:ascii="Arial" w:hAnsi="Arial" w:cs="Arial"/>
                <w:lang w:val="en-GB"/>
              </w:rPr>
              <w:t>Average 2× and in each year minimum 1×</w:t>
            </w:r>
          </w:p>
        </w:tc>
      </w:tr>
      <w:tr w:rsidR="0064287A" w:rsidRPr="0064287A" w14:paraId="7AC0DDD4"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5BEEF058" w14:textId="77777777" w:rsidR="0064287A" w:rsidRPr="0064287A" w:rsidRDefault="0064287A" w:rsidP="0064287A">
            <w:pPr>
              <w:rPr>
                <w:rFonts w:ascii="Arial" w:hAnsi="Arial" w:cs="Arial"/>
                <w:lang w:val="en-GB"/>
              </w:rPr>
            </w:pPr>
            <w:r w:rsidRPr="0064287A">
              <w:rPr>
                <w:rFonts w:ascii="Arial" w:hAnsi="Arial" w:cs="Arial"/>
                <w:lang w:val="en-GB"/>
              </w:rPr>
              <w:t>Fixed Assets Coverage Ratio</w:t>
            </w:r>
          </w:p>
        </w:tc>
        <w:tc>
          <w:tcPr>
            <w:tcW w:w="6300" w:type="dxa"/>
            <w:tcBorders>
              <w:top w:val="dotted" w:sz="4" w:space="0" w:color="808080" w:themeColor="background1" w:themeShade="80"/>
              <w:bottom w:val="dotted" w:sz="4" w:space="0" w:color="808080" w:themeColor="background1" w:themeShade="80"/>
            </w:tcBorders>
            <w:vAlign w:val="center"/>
          </w:tcPr>
          <w:p w14:paraId="7887547B" w14:textId="77777777" w:rsidR="0064287A" w:rsidRPr="0064287A" w:rsidRDefault="0064287A" w:rsidP="0064287A">
            <w:pPr>
              <w:rPr>
                <w:rFonts w:ascii="Arial" w:hAnsi="Arial" w:cs="Arial"/>
                <w:lang w:val="en-GB"/>
              </w:rPr>
            </w:pPr>
            <w:r w:rsidRPr="0064287A">
              <w:rPr>
                <w:rFonts w:ascii="Arial" w:hAnsi="Arial" w:cs="Arial"/>
                <w:lang w:val="en-GB"/>
              </w:rPr>
              <w:t>Minimum 1.4:1</w:t>
            </w:r>
          </w:p>
        </w:tc>
      </w:tr>
      <w:tr w:rsidR="0064287A" w:rsidRPr="0064287A" w14:paraId="0C97FCB6"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540B04A0" w14:textId="77777777" w:rsidR="0064287A" w:rsidRPr="0064287A" w:rsidRDefault="0064287A" w:rsidP="0064287A">
            <w:pPr>
              <w:rPr>
                <w:rFonts w:ascii="Arial" w:hAnsi="Arial" w:cs="Arial"/>
                <w:lang w:val="en-GB"/>
              </w:rPr>
            </w:pPr>
            <w:r w:rsidRPr="0064287A">
              <w:rPr>
                <w:rFonts w:ascii="Arial" w:hAnsi="Arial" w:cs="Arial"/>
                <w:lang w:val="en-GB"/>
              </w:rPr>
              <w:t>Debt–Equity Ratio</w:t>
            </w:r>
          </w:p>
        </w:tc>
        <w:tc>
          <w:tcPr>
            <w:tcW w:w="6300" w:type="dxa"/>
            <w:tcBorders>
              <w:top w:val="dotted" w:sz="4" w:space="0" w:color="808080" w:themeColor="background1" w:themeShade="80"/>
              <w:bottom w:val="dotted" w:sz="4" w:space="0" w:color="808080" w:themeColor="background1" w:themeShade="80"/>
            </w:tcBorders>
            <w:vAlign w:val="center"/>
          </w:tcPr>
          <w:p w14:paraId="45BD5CA5" w14:textId="77777777" w:rsidR="0064287A" w:rsidRPr="0064287A" w:rsidRDefault="0064287A" w:rsidP="0064287A">
            <w:pPr>
              <w:rPr>
                <w:rFonts w:ascii="Arial" w:hAnsi="Arial" w:cs="Arial"/>
                <w:lang w:val="en-GB"/>
              </w:rPr>
            </w:pPr>
            <w:r w:rsidRPr="0064287A">
              <w:rPr>
                <w:rFonts w:ascii="Arial" w:hAnsi="Arial" w:cs="Arial"/>
                <w:lang w:val="en-GB"/>
              </w:rPr>
              <w:t>Maximum 1.5:1</w:t>
            </w:r>
          </w:p>
        </w:tc>
      </w:tr>
      <w:tr w:rsidR="0064287A" w:rsidRPr="0064287A" w14:paraId="7F98A230"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3DC692A2" w14:textId="77777777" w:rsidR="0064287A" w:rsidRPr="0064287A" w:rsidRDefault="0064287A" w:rsidP="0064287A">
            <w:pPr>
              <w:rPr>
                <w:rFonts w:ascii="Arial" w:hAnsi="Arial" w:cs="Arial"/>
                <w:lang w:val="en-GB"/>
              </w:rPr>
            </w:pPr>
            <w:r w:rsidRPr="0064287A">
              <w:rPr>
                <w:rFonts w:ascii="Arial" w:hAnsi="Arial" w:cs="Arial"/>
                <w:lang w:val="en-GB"/>
              </w:rPr>
              <w:t>Maximum Total Outside Liabilities/Tangible Net Worth</w:t>
            </w:r>
          </w:p>
        </w:tc>
        <w:tc>
          <w:tcPr>
            <w:tcW w:w="6300" w:type="dxa"/>
            <w:tcBorders>
              <w:top w:val="dotted" w:sz="4" w:space="0" w:color="808080" w:themeColor="background1" w:themeShade="80"/>
              <w:bottom w:val="dotted" w:sz="4" w:space="0" w:color="808080" w:themeColor="background1" w:themeShade="80"/>
            </w:tcBorders>
            <w:vAlign w:val="center"/>
          </w:tcPr>
          <w:p w14:paraId="05F41364" w14:textId="77777777" w:rsidR="0064287A" w:rsidRPr="0064287A" w:rsidRDefault="0064287A" w:rsidP="0064287A">
            <w:pPr>
              <w:rPr>
                <w:rFonts w:ascii="Arial" w:hAnsi="Arial" w:cs="Arial"/>
                <w:lang w:val="en-GB"/>
              </w:rPr>
            </w:pPr>
            <w:r w:rsidRPr="0064287A">
              <w:rPr>
                <w:rFonts w:ascii="Arial" w:hAnsi="Arial" w:cs="Arial"/>
                <w:lang w:val="en-GB"/>
              </w:rPr>
              <w:t>Maximum total outside liabilities/tangible net worth of 3:1</w:t>
            </w:r>
          </w:p>
        </w:tc>
      </w:tr>
      <w:tr w:rsidR="0064287A" w:rsidRPr="0064287A" w14:paraId="73187C2F" w14:textId="77777777" w:rsidTr="00765FAA">
        <w:trPr>
          <w:trHeight w:val="288"/>
          <w:jc w:val="center"/>
        </w:trPr>
        <w:tc>
          <w:tcPr>
            <w:tcW w:w="3060" w:type="dxa"/>
            <w:tcBorders>
              <w:top w:val="dotted" w:sz="4" w:space="0" w:color="808080" w:themeColor="background1" w:themeShade="80"/>
              <w:bottom w:val="dotted" w:sz="4" w:space="0" w:color="808080" w:themeColor="background1" w:themeShade="80"/>
            </w:tcBorders>
            <w:vAlign w:val="center"/>
          </w:tcPr>
          <w:p w14:paraId="1D931ADA" w14:textId="77777777" w:rsidR="0064287A" w:rsidRPr="0064287A" w:rsidRDefault="0064287A" w:rsidP="0064287A">
            <w:pPr>
              <w:rPr>
                <w:rFonts w:ascii="Arial" w:hAnsi="Arial" w:cs="Arial"/>
                <w:lang w:val="en-GB"/>
              </w:rPr>
            </w:pPr>
            <w:r w:rsidRPr="0064287A">
              <w:rPr>
                <w:rFonts w:ascii="Arial" w:hAnsi="Arial" w:cs="Arial"/>
                <w:lang w:val="en-GB"/>
              </w:rPr>
              <w:t>Internal Rate of Return (IRR)</w:t>
            </w:r>
          </w:p>
        </w:tc>
        <w:tc>
          <w:tcPr>
            <w:tcW w:w="6300" w:type="dxa"/>
            <w:tcBorders>
              <w:top w:val="dotted" w:sz="4" w:space="0" w:color="808080" w:themeColor="background1" w:themeShade="80"/>
              <w:bottom w:val="dotted" w:sz="4" w:space="0" w:color="808080" w:themeColor="background1" w:themeShade="80"/>
            </w:tcBorders>
            <w:vAlign w:val="center"/>
          </w:tcPr>
          <w:p w14:paraId="2F79EA26" w14:textId="77777777" w:rsidR="0064287A" w:rsidRPr="0064287A" w:rsidRDefault="0064287A" w:rsidP="0064287A">
            <w:pPr>
              <w:rPr>
                <w:rFonts w:ascii="Arial" w:hAnsi="Arial" w:cs="Arial"/>
                <w:lang w:val="en-GB"/>
              </w:rPr>
            </w:pPr>
            <w:r w:rsidRPr="0064287A">
              <w:rPr>
                <w:rFonts w:ascii="Arial" w:hAnsi="Arial" w:cs="Arial"/>
                <w:lang w:val="en-GB"/>
              </w:rPr>
              <w:t>IRR over and above WACC (IRR spread) should be minimum 4–5%</w:t>
            </w:r>
          </w:p>
        </w:tc>
      </w:tr>
      <w:tr w:rsidR="0064287A" w:rsidRPr="0064287A" w14:paraId="3EDDC873" w14:textId="77777777" w:rsidTr="00765FAA">
        <w:trPr>
          <w:trHeight w:val="288"/>
          <w:jc w:val="center"/>
        </w:trPr>
        <w:tc>
          <w:tcPr>
            <w:tcW w:w="3060" w:type="dxa"/>
            <w:tcBorders>
              <w:top w:val="dotted" w:sz="4" w:space="0" w:color="808080" w:themeColor="background1" w:themeShade="80"/>
              <w:bottom w:val="single" w:sz="4" w:space="0" w:color="auto"/>
            </w:tcBorders>
            <w:vAlign w:val="center"/>
          </w:tcPr>
          <w:p w14:paraId="0D6102C0" w14:textId="77777777" w:rsidR="0064287A" w:rsidRPr="0064287A" w:rsidRDefault="0064287A" w:rsidP="0064287A">
            <w:pPr>
              <w:rPr>
                <w:rFonts w:ascii="Arial" w:hAnsi="Arial" w:cs="Arial"/>
                <w:lang w:val="en-GB"/>
              </w:rPr>
            </w:pPr>
            <w:r w:rsidRPr="0064287A">
              <w:rPr>
                <w:rFonts w:ascii="Arial" w:hAnsi="Arial" w:cs="Arial"/>
                <w:lang w:val="en-GB"/>
              </w:rPr>
              <w:t>Current Ratio</w:t>
            </w:r>
          </w:p>
        </w:tc>
        <w:tc>
          <w:tcPr>
            <w:tcW w:w="6300" w:type="dxa"/>
            <w:tcBorders>
              <w:top w:val="dotted" w:sz="4" w:space="0" w:color="808080" w:themeColor="background1" w:themeShade="80"/>
              <w:bottom w:val="single" w:sz="4" w:space="0" w:color="auto"/>
            </w:tcBorders>
            <w:vAlign w:val="center"/>
          </w:tcPr>
          <w:p w14:paraId="5DB333F9" w14:textId="77777777" w:rsidR="0064287A" w:rsidRPr="0064287A" w:rsidRDefault="0064287A" w:rsidP="0064287A">
            <w:pPr>
              <w:rPr>
                <w:rFonts w:ascii="Arial" w:hAnsi="Arial" w:cs="Arial"/>
                <w:lang w:val="en-GB"/>
              </w:rPr>
            </w:pPr>
            <w:r w:rsidRPr="0064287A">
              <w:rPr>
                <w:rFonts w:ascii="Arial" w:hAnsi="Arial" w:cs="Arial"/>
                <w:lang w:val="en-GB"/>
              </w:rPr>
              <w:t>Minimum 1.33:1</w:t>
            </w:r>
          </w:p>
        </w:tc>
      </w:tr>
    </w:tbl>
    <w:p w14:paraId="5D5FBA51" w14:textId="77777777" w:rsidR="0064287A" w:rsidRPr="0064287A" w:rsidRDefault="0064287A" w:rsidP="0064287A">
      <w:pPr>
        <w:jc w:val="both"/>
        <w:rPr>
          <w:rFonts w:ascii="Arial" w:hAnsi="Arial" w:cs="Arial"/>
          <w:lang w:val="en-GB"/>
        </w:rPr>
      </w:pPr>
    </w:p>
    <w:p w14:paraId="3C7BADC3"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Note: *Promoters were people or entities who had major equity shareholdings in the company and controlling interest in the company’s management. WACC = weighted average cost of capital.</w:t>
      </w:r>
    </w:p>
    <w:p w14:paraId="6FC5E0BD" w14:textId="77777777" w:rsidR="0064287A" w:rsidRPr="0064287A" w:rsidRDefault="0064287A" w:rsidP="0064287A">
      <w:pPr>
        <w:rPr>
          <w:rFonts w:ascii="Arial" w:hAnsi="Arial" w:cs="Arial"/>
          <w:sz w:val="17"/>
          <w:szCs w:val="17"/>
          <w:lang w:val="en-GB"/>
        </w:rPr>
      </w:pPr>
      <w:r w:rsidRPr="0064287A">
        <w:rPr>
          <w:rFonts w:ascii="Arial" w:hAnsi="Arial" w:cs="Arial"/>
          <w:sz w:val="17"/>
          <w:szCs w:val="17"/>
          <w:lang w:val="en-GB"/>
        </w:rPr>
        <w:t>Source: Company files.</w:t>
      </w:r>
    </w:p>
    <w:p w14:paraId="44A1026F" w14:textId="77777777" w:rsidR="0064287A" w:rsidRPr="0064287A" w:rsidRDefault="0064287A" w:rsidP="0064287A">
      <w:pPr>
        <w:pStyle w:val="BodyTextMain"/>
      </w:pPr>
    </w:p>
    <w:sectPr w:rsidR="0064287A" w:rsidRPr="0064287A" w:rsidSect="00751E0B">
      <w:headerReference w:type="default" r:id="rId1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5C73FDCD" w14:textId="77777777" w:rsidR="0064287A" w:rsidRPr="005C0945" w:rsidRDefault="0064287A" w:rsidP="0064287A">
      <w:pPr>
        <w:pStyle w:val="Footnote"/>
        <w:rPr>
          <w:lang w:val="en-CA"/>
        </w:rPr>
      </w:pPr>
      <w:r w:rsidRPr="006E7201">
        <w:rPr>
          <w:rStyle w:val="FootnoteReference"/>
        </w:rPr>
        <w:footnoteRef/>
      </w:r>
      <w:r>
        <w:rPr>
          <w:rStyle w:val="FootnoteChar"/>
        </w:rPr>
        <w:t xml:space="preserve"> </w:t>
      </w:r>
      <w:r w:rsidRPr="005C0945">
        <w:rPr>
          <w:rStyle w:val="FootnoteChar"/>
        </w:rPr>
        <w:t xml:space="preserve">₹ = INR = Indian rupee; </w:t>
      </w:r>
      <w:r w:rsidRPr="00A74F98">
        <w:rPr>
          <w:rFonts w:eastAsiaTheme="minorEastAsia"/>
          <w:spacing w:val="-2"/>
          <w:kern w:val="15"/>
          <w:sz w:val="18"/>
          <w:szCs w:val="18"/>
        </w:rPr>
        <w:t>all currency amounts are in ₹</w:t>
      </w:r>
      <w:r>
        <w:rPr>
          <w:rFonts w:eastAsiaTheme="minorEastAsia"/>
          <w:spacing w:val="-2"/>
          <w:kern w:val="15"/>
          <w:sz w:val="18"/>
          <w:szCs w:val="18"/>
        </w:rPr>
        <w:t xml:space="preserve"> unless otherwise indicated; </w:t>
      </w:r>
      <w:r>
        <w:rPr>
          <w:rStyle w:val="FootnoteChar"/>
          <w:rFonts w:ascii="Tahoma" w:hAnsi="Tahoma" w:cs="Tahoma"/>
        </w:rPr>
        <w:t>₹</w:t>
      </w:r>
      <w:r>
        <w:rPr>
          <w:rStyle w:val="FootnoteChar"/>
        </w:rPr>
        <w:t xml:space="preserve">1 = US$0.0150 </w:t>
      </w:r>
      <w:r w:rsidRPr="005C0945">
        <w:rPr>
          <w:rStyle w:val="FootnoteChar"/>
        </w:rPr>
        <w:t>on January 1, 2016.</w:t>
      </w:r>
    </w:p>
  </w:footnote>
  <w:footnote w:id="2">
    <w:p w14:paraId="68DC97DB" w14:textId="77777777" w:rsidR="0064287A" w:rsidRDefault="0064287A" w:rsidP="0064287A">
      <w:pPr>
        <w:pStyle w:val="Footnote"/>
      </w:pPr>
      <w:r w:rsidRPr="006E7201">
        <w:rPr>
          <w:rStyle w:val="FootnoteReference"/>
        </w:rPr>
        <w:footnoteRef/>
      </w:r>
      <w:r>
        <w:t xml:space="preserve"> A dormant company was a company that had had no business operations for a minimum period of two years but that held an asset or an intellectual property.</w:t>
      </w:r>
    </w:p>
  </w:footnote>
  <w:footnote w:id="3">
    <w:p w14:paraId="71BAAC75" w14:textId="77777777" w:rsidR="0064287A" w:rsidRPr="00245A9A" w:rsidRDefault="0064287A" w:rsidP="0064287A">
      <w:pPr>
        <w:pStyle w:val="Footnote"/>
        <w:rPr>
          <w:noProof/>
        </w:rPr>
      </w:pPr>
      <w:r w:rsidRPr="006E7201">
        <w:rPr>
          <w:rStyle w:val="FootnoteReference"/>
        </w:rPr>
        <w:footnoteRef/>
      </w:r>
      <w:r>
        <w:rPr>
          <w:noProof/>
        </w:rPr>
        <w:t xml:space="preserve"> “</w:t>
      </w:r>
      <w:r w:rsidRPr="00245A9A">
        <w:rPr>
          <w:iCs/>
          <w:noProof/>
        </w:rPr>
        <w:t>Indian Optical Fibe</w:t>
      </w:r>
      <w:r>
        <w:rPr>
          <w:iCs/>
          <w:noProof/>
        </w:rPr>
        <w:t>r</w:t>
      </w:r>
      <w:r w:rsidRPr="00245A9A">
        <w:rPr>
          <w:iCs/>
          <w:noProof/>
        </w:rPr>
        <w:t xml:space="preserve"> Cables (OFC) Market to Reach USD424 Million by 2020</w:t>
      </w:r>
      <w:r>
        <w:rPr>
          <w:iCs/>
          <w:noProof/>
        </w:rPr>
        <w:t xml:space="preserve">,” </w:t>
      </w:r>
      <w:proofErr w:type="spellStart"/>
      <w:r w:rsidRPr="00E52068">
        <w:t>TechSci</w:t>
      </w:r>
      <w:proofErr w:type="spellEnd"/>
      <w:r w:rsidRPr="00E52068">
        <w:t xml:space="preserve"> Research</w:t>
      </w:r>
      <w:r w:rsidRPr="00245A9A">
        <w:t xml:space="preserve">, February 17, 2016, accessed December 15, 2017, </w:t>
      </w:r>
      <w:r w:rsidRPr="00245A9A">
        <w:rPr>
          <w:noProof/>
        </w:rPr>
        <w:t>www.techsciresearch.com/news/298-india-optical-fiber-cables-ofc-market-to-reach-usd424-million-by-2020.html.</w:t>
      </w:r>
    </w:p>
  </w:footnote>
  <w:footnote w:id="4">
    <w:p w14:paraId="21770708" w14:textId="77777777" w:rsidR="0064287A" w:rsidRPr="00245A9A" w:rsidRDefault="0064287A" w:rsidP="0064287A">
      <w:pPr>
        <w:pStyle w:val="Footnote"/>
      </w:pPr>
      <w:r w:rsidRPr="006E7201">
        <w:rPr>
          <w:rStyle w:val="FootnoteReference"/>
        </w:rPr>
        <w:footnoteRef/>
      </w:r>
      <w:r>
        <w:t xml:space="preserve"> </w:t>
      </w:r>
      <w:r w:rsidRPr="00E52068">
        <w:t>Frost &amp; Sullivan,</w:t>
      </w:r>
      <w:r>
        <w:t xml:space="preserve"> </w:t>
      </w:r>
      <w:r w:rsidRPr="00C34A0A">
        <w:rPr>
          <w:i/>
        </w:rPr>
        <w:t>Overview of Telecom Sector in India 2015</w:t>
      </w:r>
      <w:r w:rsidRPr="00245A9A">
        <w:t xml:space="preserve">, February 16, 2016. </w:t>
      </w:r>
    </w:p>
  </w:footnote>
  <w:footnote w:id="5">
    <w:p w14:paraId="6E558190" w14:textId="77777777" w:rsidR="0064287A" w:rsidRPr="00850C33" w:rsidRDefault="0064287A" w:rsidP="0064287A">
      <w:pPr>
        <w:pStyle w:val="Footnote"/>
      </w:pPr>
      <w:r w:rsidRPr="006E7201">
        <w:rPr>
          <w:rStyle w:val="FootnoteReference"/>
        </w:rPr>
        <w:footnoteRef/>
      </w:r>
      <w:r>
        <w:t xml:space="preserve"> Telecom Regulatory Authority of</w:t>
      </w:r>
      <w:r w:rsidRPr="00E52068">
        <w:t xml:space="preserve"> India</w:t>
      </w:r>
      <w:r w:rsidRPr="00245A9A">
        <w:t xml:space="preserve">, </w:t>
      </w:r>
      <w:r w:rsidRPr="00C34A0A">
        <w:rPr>
          <w:i/>
        </w:rPr>
        <w:t xml:space="preserve">Yearly Performance Indicators of Indian Telecom Sector </w:t>
      </w:r>
      <w:r>
        <w:rPr>
          <w:i/>
        </w:rPr>
        <w:t xml:space="preserve">(First Edition) </w:t>
      </w:r>
      <w:r w:rsidRPr="00C34A0A">
        <w:rPr>
          <w:i/>
        </w:rPr>
        <w:t>2016</w:t>
      </w:r>
      <w:r w:rsidRPr="00245A9A">
        <w:t>,</w:t>
      </w:r>
      <w:r>
        <w:t xml:space="preserve"> July 3, </w:t>
      </w:r>
      <w:r w:rsidRPr="00850C33">
        <w:t>2017, accessed December 14, 2017, https://trai.gov.in/sites/default/files/Yearly_PI_Reports_2016.pdf.</w:t>
      </w:r>
    </w:p>
  </w:footnote>
  <w:footnote w:id="6">
    <w:p w14:paraId="61587256" w14:textId="77777777" w:rsidR="0064287A" w:rsidRDefault="0064287A" w:rsidP="0064287A">
      <w:pPr>
        <w:pStyle w:val="Footnote"/>
      </w:pPr>
      <w:r w:rsidRPr="006E7201">
        <w:rPr>
          <w:rStyle w:val="FootnoteReference"/>
        </w:rPr>
        <w:footnoteRef/>
      </w:r>
      <w:r w:rsidRPr="00850C33">
        <w:t xml:space="preserve"> 3G (third</w:t>
      </w:r>
      <w:r>
        <w:t xml:space="preserve"> </w:t>
      </w:r>
      <w:r w:rsidRPr="00850C33">
        <w:t>generation) technology was used to transfer data besides voice</w:t>
      </w:r>
      <w:r>
        <w:t xml:space="preserve"> signals. 4G (fourth generation) technology was more advanced yet and enabled the transmission of video calls and mobile television in addition to the applications available in 3G technology. </w:t>
      </w:r>
    </w:p>
  </w:footnote>
  <w:footnote w:id="7">
    <w:p w14:paraId="1927455B" w14:textId="77777777" w:rsidR="0064287A" w:rsidRDefault="0064287A" w:rsidP="0064287A">
      <w:pPr>
        <w:pStyle w:val="Footnote"/>
      </w:pPr>
      <w:r w:rsidRPr="006E7201">
        <w:rPr>
          <w:rStyle w:val="FootnoteReference"/>
        </w:rPr>
        <w:footnoteRef/>
      </w:r>
      <w:r>
        <w:t xml:space="preserve"> Dun &amp; Bradstreet, “Telecom,” in </w:t>
      </w:r>
      <w:r w:rsidRPr="00C34A0A">
        <w:rPr>
          <w:i/>
        </w:rPr>
        <w:t>Macroeconomic and Sectoral Outlook</w:t>
      </w:r>
      <w:r>
        <w:rPr>
          <w:i/>
        </w:rPr>
        <w:t xml:space="preserve"> </w:t>
      </w:r>
      <w:r w:rsidRPr="00C34A0A">
        <w:rPr>
          <w:i/>
        </w:rPr>
        <w:t>2014</w:t>
      </w:r>
      <w:r>
        <w:rPr>
          <w:i/>
        </w:rPr>
        <w:t>–</w:t>
      </w:r>
      <w:r w:rsidRPr="00C34A0A">
        <w:rPr>
          <w:i/>
        </w:rPr>
        <w:t>15</w:t>
      </w:r>
      <w:r w:rsidRPr="002C10BC">
        <w:t>,</w:t>
      </w:r>
      <w:r>
        <w:t xml:space="preserve"> October 23, 2015.</w:t>
      </w:r>
    </w:p>
  </w:footnote>
  <w:footnote w:id="8">
    <w:p w14:paraId="129C6E0E" w14:textId="77777777" w:rsidR="0064287A" w:rsidRDefault="0064287A" w:rsidP="0064287A">
      <w:pPr>
        <w:pStyle w:val="Footnote"/>
      </w:pPr>
      <w:r w:rsidRPr="006E7201">
        <w:rPr>
          <w:rStyle w:val="FootnoteReference"/>
        </w:rPr>
        <w:footnoteRef/>
      </w:r>
      <w:r>
        <w:t xml:space="preserve"> Ibid. </w:t>
      </w:r>
    </w:p>
  </w:footnote>
  <w:footnote w:id="9">
    <w:p w14:paraId="1636D931" w14:textId="77777777" w:rsidR="0064287A" w:rsidRDefault="0064287A" w:rsidP="0064287A">
      <w:pPr>
        <w:pStyle w:val="Footnote"/>
      </w:pPr>
      <w:r w:rsidRPr="006E7201">
        <w:rPr>
          <w:rStyle w:val="FootnoteReference"/>
        </w:rPr>
        <w:footnoteRef/>
      </w:r>
      <w:r>
        <w:t xml:space="preserve"> Ibid. </w:t>
      </w:r>
    </w:p>
  </w:footnote>
  <w:footnote w:id="10">
    <w:p w14:paraId="5136F8ED" w14:textId="77777777" w:rsidR="0064287A" w:rsidRDefault="0064287A" w:rsidP="0064287A">
      <w:pPr>
        <w:pStyle w:val="Footnote"/>
      </w:pPr>
      <w:r w:rsidRPr="006E7201">
        <w:rPr>
          <w:rStyle w:val="FootnoteReference"/>
        </w:rPr>
        <w:footnoteRef/>
      </w:r>
      <w:r>
        <w:t xml:space="preserve"> Frost &amp; Sullivan, </w:t>
      </w:r>
      <w:r w:rsidRPr="00850C33">
        <w:t>op. cit.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856E5E7"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26B28">
      <w:rPr>
        <w:rFonts w:ascii="Arial" w:hAnsi="Arial"/>
        <w:b/>
        <w:noProof/>
      </w:rPr>
      <w:t>8</w:t>
    </w:r>
    <w:r>
      <w:rPr>
        <w:rFonts w:ascii="Arial" w:hAnsi="Arial"/>
        <w:b/>
      </w:rPr>
      <w:fldChar w:fldCharType="end"/>
    </w:r>
    <w:r>
      <w:rPr>
        <w:rFonts w:ascii="Arial" w:hAnsi="Arial"/>
        <w:b/>
      </w:rPr>
      <w:tab/>
    </w:r>
    <w:r w:rsidR="00BB0709">
      <w:rPr>
        <w:rFonts w:ascii="Arial" w:hAnsi="Arial"/>
        <w:b/>
      </w:rPr>
      <w:t>9B19N004</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154D88"/>
    <w:multiLevelType w:val="hybridMultilevel"/>
    <w:tmpl w:val="1BD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AC2044"/>
    <w:multiLevelType w:val="hybridMultilevel"/>
    <w:tmpl w:val="28B6327E"/>
    <w:lvl w:ilvl="0" w:tplc="F21474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1825C7"/>
    <w:multiLevelType w:val="hybridMultilevel"/>
    <w:tmpl w:val="DA9E5D60"/>
    <w:lvl w:ilvl="0" w:tplc="F21474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7656DB"/>
    <w:multiLevelType w:val="hybridMultilevel"/>
    <w:tmpl w:val="B3F8A278"/>
    <w:lvl w:ilvl="0" w:tplc="F21474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8D5E31"/>
    <w:multiLevelType w:val="hybridMultilevel"/>
    <w:tmpl w:val="90FA2EAC"/>
    <w:lvl w:ilvl="0" w:tplc="F2147470">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6"/>
  </w:num>
  <w:num w:numId="4">
    <w:abstractNumId w:val="14"/>
  </w:num>
  <w:num w:numId="5">
    <w:abstractNumId w:val="7"/>
  </w:num>
  <w:num w:numId="6">
    <w:abstractNumId w:val="12"/>
  </w:num>
  <w:num w:numId="7">
    <w:abstractNumId w:val="0"/>
  </w:num>
  <w:num w:numId="8">
    <w:abstractNumId w:val="16"/>
  </w:num>
  <w:num w:numId="9">
    <w:abstractNumId w:val="13"/>
  </w:num>
  <w:num w:numId="10">
    <w:abstractNumId w:val="5"/>
  </w:num>
  <w:num w:numId="11">
    <w:abstractNumId w:val="10"/>
  </w:num>
  <w:num w:numId="12">
    <w:abstractNumId w:val="11"/>
  </w:num>
  <w:num w:numId="13">
    <w:abstractNumId w:val="1"/>
  </w:num>
  <w:num w:numId="14">
    <w:abstractNumId w:val="2"/>
  </w:num>
  <w:num w:numId="15">
    <w:abstractNumId w:val="4"/>
  </w:num>
  <w:num w:numId="16">
    <w:abstractNumId w:val="3"/>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4287A"/>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E6FCA"/>
    <w:rsid w:val="007F43B7"/>
    <w:rsid w:val="00821FFC"/>
    <w:rsid w:val="008271CA"/>
    <w:rsid w:val="008467D5"/>
    <w:rsid w:val="008A4DC4"/>
    <w:rsid w:val="008B438C"/>
    <w:rsid w:val="008D06CA"/>
    <w:rsid w:val="008D3A46"/>
    <w:rsid w:val="008F2385"/>
    <w:rsid w:val="009067A4"/>
    <w:rsid w:val="00926B28"/>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B070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4CD7FD-9DF0-4250-899B-C9AEDD84A084}" type="doc">
      <dgm:prSet loTypeId="urn:microsoft.com/office/officeart/2005/8/layout/chevron2" loCatId="list" qsTypeId="urn:microsoft.com/office/officeart/2005/8/quickstyle/simple1" qsCatId="simple" csTypeId="urn:microsoft.com/office/officeart/2005/8/colors/accent0_1" csCatId="mainScheme" phldr="1"/>
      <dgm:spPr/>
      <dgm:t>
        <a:bodyPr/>
        <a:lstStyle/>
        <a:p>
          <a:endParaRPr lang="en-US"/>
        </a:p>
      </dgm:t>
    </dgm:pt>
    <dgm:pt modelId="{0C2630E8-64A4-4587-9042-75367AE284FB}">
      <dgm:prSet phldrT="[Text]"/>
      <dgm:spPr>
        <a:xfrm rot="5400000">
          <a:off x="-89425" y="89481"/>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Warehouse</a:t>
          </a:r>
        </a:p>
      </dgm:t>
    </dgm:pt>
    <dgm:pt modelId="{84C9B192-A9CA-4CBA-BAFE-CA14B9BE4968}" type="parTrans" cxnId="{803EF9DE-C1BD-4853-8F5E-1883F93AB9DD}">
      <dgm:prSet/>
      <dgm:spPr/>
      <dgm:t>
        <a:bodyPr/>
        <a:lstStyle/>
        <a:p>
          <a:endParaRPr lang="en-US"/>
        </a:p>
      </dgm:t>
    </dgm:pt>
    <dgm:pt modelId="{54D64D9D-1E6D-4EE5-9C59-741C823DE9F0}" type="sibTrans" cxnId="{803EF9DE-C1BD-4853-8F5E-1883F93AB9DD}">
      <dgm:prSet/>
      <dgm:spPr/>
      <dgm:t>
        <a:bodyPr/>
        <a:lstStyle/>
        <a:p>
          <a:endParaRPr lang="en-US"/>
        </a:p>
      </dgm:t>
    </dgm:pt>
    <dgm:pt modelId="{F509F16C-ECAF-4A15-8416-9414BB0F494F}">
      <dgm:prSet phldrT="[Text]" custT="1"/>
      <dgm:spPr>
        <a:xfrm rot="5400000">
          <a:off x="1700194" y="-1282876"/>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Stock raw material</a:t>
          </a:r>
        </a:p>
      </dgm:t>
    </dgm:pt>
    <dgm:pt modelId="{286D5060-FDF9-492D-AC65-B3B58D098F63}" type="parTrans" cxnId="{EA7AC476-033D-4808-A0B5-94A5718AB169}">
      <dgm:prSet/>
      <dgm:spPr/>
      <dgm:t>
        <a:bodyPr/>
        <a:lstStyle/>
        <a:p>
          <a:endParaRPr lang="en-US"/>
        </a:p>
      </dgm:t>
    </dgm:pt>
    <dgm:pt modelId="{72EF4AC4-AFDA-453B-97CC-F36CB396339B}" type="sibTrans" cxnId="{EA7AC476-033D-4808-A0B5-94A5718AB169}">
      <dgm:prSet/>
      <dgm:spPr/>
      <dgm:t>
        <a:bodyPr/>
        <a:lstStyle/>
        <a:p>
          <a:endParaRPr lang="en-US"/>
        </a:p>
      </dgm:t>
    </dgm:pt>
    <dgm:pt modelId="{C81AD209-E974-424E-9401-9CED14EB1C87}">
      <dgm:prSet phldrT="[Text]" custT="1"/>
      <dgm:spPr>
        <a:xfrm rot="5400000">
          <a:off x="1700194" y="-1282876"/>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Raw material handling</a:t>
          </a:r>
        </a:p>
      </dgm:t>
    </dgm:pt>
    <dgm:pt modelId="{FF8F86A0-CEDC-40FF-9DF8-780803E27505}" type="parTrans" cxnId="{C12CFA30-B683-4B14-8F0B-1A7A9F07BB49}">
      <dgm:prSet/>
      <dgm:spPr/>
      <dgm:t>
        <a:bodyPr/>
        <a:lstStyle/>
        <a:p>
          <a:endParaRPr lang="en-US"/>
        </a:p>
      </dgm:t>
    </dgm:pt>
    <dgm:pt modelId="{83A01108-D42A-4694-ABC5-B3157E7BA2D0}" type="sibTrans" cxnId="{C12CFA30-B683-4B14-8F0B-1A7A9F07BB49}">
      <dgm:prSet/>
      <dgm:spPr/>
      <dgm:t>
        <a:bodyPr/>
        <a:lstStyle/>
        <a:p>
          <a:endParaRPr lang="en-US"/>
        </a:p>
      </dgm:t>
    </dgm:pt>
    <dgm:pt modelId="{3DFB9F43-9B62-4C6D-90BA-2CFA81F1299C}">
      <dgm:prSet phldrT="[Text]"/>
      <dgm:spPr>
        <a:xfrm rot="5400000">
          <a:off x="-89425" y="642748"/>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3699C018-C1A6-455A-8A5A-8841A097A3DE}" type="parTrans" cxnId="{C9F1EB8C-1C70-4D8F-8520-AA0537229358}">
      <dgm:prSet/>
      <dgm:spPr/>
      <dgm:t>
        <a:bodyPr/>
        <a:lstStyle/>
        <a:p>
          <a:endParaRPr lang="en-US"/>
        </a:p>
      </dgm:t>
    </dgm:pt>
    <dgm:pt modelId="{241709FB-8B2D-4F3F-8A81-AC6F05699BA8}" type="sibTrans" cxnId="{C9F1EB8C-1C70-4D8F-8520-AA0537229358}">
      <dgm:prSet/>
      <dgm:spPr/>
      <dgm:t>
        <a:bodyPr/>
        <a:lstStyle/>
        <a:p>
          <a:endParaRPr lang="en-US"/>
        </a:p>
      </dgm:t>
    </dgm:pt>
    <dgm:pt modelId="{429D4E49-4F22-4152-BD21-14CEBCDA9513}">
      <dgm:prSet phldrT="[Text]" custT="1"/>
      <dgm:spPr>
        <a:xfrm rot="5400000">
          <a:off x="1700194" y="-761996"/>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Colouring</a:t>
          </a:r>
        </a:p>
      </dgm:t>
    </dgm:pt>
    <dgm:pt modelId="{A2810EB7-83C4-4BCA-BA06-3CE0CBA05410}" type="parTrans" cxnId="{FD17EAC2-E3B5-490C-87B4-79F2DB5621F9}">
      <dgm:prSet/>
      <dgm:spPr/>
      <dgm:t>
        <a:bodyPr/>
        <a:lstStyle/>
        <a:p>
          <a:endParaRPr lang="en-US"/>
        </a:p>
      </dgm:t>
    </dgm:pt>
    <dgm:pt modelId="{987CE09A-CD24-4B15-B3C7-8078CAAF2523}" type="sibTrans" cxnId="{FD17EAC2-E3B5-490C-87B4-79F2DB5621F9}">
      <dgm:prSet/>
      <dgm:spPr/>
      <dgm:t>
        <a:bodyPr/>
        <a:lstStyle/>
        <a:p>
          <a:endParaRPr lang="en-US"/>
        </a:p>
      </dgm:t>
    </dgm:pt>
    <dgm:pt modelId="{BC566158-F52F-4B44-B99E-C55DF1F3016B}">
      <dgm:prSet phldrT="[Text]"/>
      <dgm:spPr>
        <a:xfrm rot="5400000">
          <a:off x="-89425" y="1131129"/>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1021F3BB-2097-477C-9556-624157D89B72}" type="parTrans" cxnId="{CAD3978C-AD21-4EF2-9D7D-4D900575CF73}">
      <dgm:prSet/>
      <dgm:spPr/>
      <dgm:t>
        <a:bodyPr/>
        <a:lstStyle/>
        <a:p>
          <a:endParaRPr lang="en-US"/>
        </a:p>
      </dgm:t>
    </dgm:pt>
    <dgm:pt modelId="{ACCF78A0-CBA4-4E14-864C-519F995375FE}" type="sibTrans" cxnId="{CAD3978C-AD21-4EF2-9D7D-4D900575CF73}">
      <dgm:prSet/>
      <dgm:spPr/>
      <dgm:t>
        <a:bodyPr/>
        <a:lstStyle/>
        <a:p>
          <a:endParaRPr lang="en-US"/>
        </a:p>
      </dgm:t>
    </dgm:pt>
    <dgm:pt modelId="{BAF0A44D-408B-4766-81FF-0B12C3ED905A}">
      <dgm:prSet phldrT="[Text]" custT="1"/>
      <dgm:spPr>
        <a:xfrm rot="5400000">
          <a:off x="1700194" y="-241172"/>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Secondary coating</a:t>
          </a:r>
        </a:p>
      </dgm:t>
    </dgm:pt>
    <dgm:pt modelId="{53C271A5-2BE1-463A-8886-E6A649BDB514}" type="parTrans" cxnId="{DD2A246F-30A5-464C-9744-01ED0EAACC37}">
      <dgm:prSet/>
      <dgm:spPr/>
      <dgm:t>
        <a:bodyPr/>
        <a:lstStyle/>
        <a:p>
          <a:endParaRPr lang="en-US"/>
        </a:p>
      </dgm:t>
    </dgm:pt>
    <dgm:pt modelId="{7CCA346B-872A-4B0A-AEDF-C1989DF13D24}" type="sibTrans" cxnId="{DD2A246F-30A5-464C-9744-01ED0EAACC37}">
      <dgm:prSet/>
      <dgm:spPr/>
      <dgm:t>
        <a:bodyPr/>
        <a:lstStyle/>
        <a:p>
          <a:endParaRPr lang="en-US"/>
        </a:p>
      </dgm:t>
    </dgm:pt>
    <dgm:pt modelId="{5C80B404-0556-4CA9-A0AA-746DD02C94F7}">
      <dgm:prSet/>
      <dgm:spPr>
        <a:xfrm rot="5400000">
          <a:off x="-89425" y="1651953"/>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E54E58F2-1568-4576-B925-814322956EC9}" type="parTrans" cxnId="{F5F1F247-D700-445D-8B99-381028362E44}">
      <dgm:prSet/>
      <dgm:spPr/>
      <dgm:t>
        <a:bodyPr/>
        <a:lstStyle/>
        <a:p>
          <a:endParaRPr lang="en-US"/>
        </a:p>
      </dgm:t>
    </dgm:pt>
    <dgm:pt modelId="{0470490A-99ED-4502-AD2C-00242EA94B72}" type="sibTrans" cxnId="{F5F1F247-D700-445D-8B99-381028362E44}">
      <dgm:prSet/>
      <dgm:spPr/>
      <dgm:t>
        <a:bodyPr/>
        <a:lstStyle/>
        <a:p>
          <a:endParaRPr lang="en-US"/>
        </a:p>
      </dgm:t>
    </dgm:pt>
    <dgm:pt modelId="{5C015AB1-1111-43B0-B903-C65BEEA62B25}">
      <dgm:prSet/>
      <dgm:spPr>
        <a:xfrm rot="5400000">
          <a:off x="-89425" y="2172777"/>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B71D75EE-8891-42DB-8B0C-1590A44EAA6A}" type="parTrans" cxnId="{3AD664D7-31D7-4192-ADF5-D528F4224C89}">
      <dgm:prSet/>
      <dgm:spPr/>
      <dgm:t>
        <a:bodyPr/>
        <a:lstStyle/>
        <a:p>
          <a:endParaRPr lang="en-US"/>
        </a:p>
      </dgm:t>
    </dgm:pt>
    <dgm:pt modelId="{9B6B4917-422F-4620-B9F3-CA025DB72056}" type="sibTrans" cxnId="{3AD664D7-31D7-4192-ADF5-D528F4224C89}">
      <dgm:prSet/>
      <dgm:spPr/>
      <dgm:t>
        <a:bodyPr/>
        <a:lstStyle/>
        <a:p>
          <a:endParaRPr lang="en-US"/>
        </a:p>
      </dgm:t>
    </dgm:pt>
    <dgm:pt modelId="{CCED0E29-9408-4E13-910A-00943A48482F}">
      <dgm:prSet/>
      <dgm:spPr>
        <a:xfrm rot="5400000">
          <a:off x="-89425" y="2693600"/>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r>
            <a:rPr lang="en-US">
              <a:solidFill>
                <a:sysClr val="windowText" lastClr="000000">
                  <a:hueOff val="0"/>
                  <a:satOff val="0"/>
                  <a:lumOff val="0"/>
                  <a:alphaOff val="0"/>
                </a:sysClr>
              </a:solidFill>
              <a:latin typeface="Calibri"/>
              <a:ea typeface="+mn-ea"/>
              <a:cs typeface="+mn-cs"/>
            </a:rPr>
            <a:t>Process</a:t>
          </a:r>
        </a:p>
      </dgm:t>
    </dgm:pt>
    <dgm:pt modelId="{B1277863-D0EF-4F6E-A1F4-F5CAEBCC86D8}" type="parTrans" cxnId="{B5F17D40-04F3-4DBC-8CBC-4E9925DCCCA1}">
      <dgm:prSet/>
      <dgm:spPr/>
      <dgm:t>
        <a:bodyPr/>
        <a:lstStyle/>
        <a:p>
          <a:endParaRPr lang="en-US"/>
        </a:p>
      </dgm:t>
    </dgm:pt>
    <dgm:pt modelId="{2C66DD88-3113-4333-A1CB-5E7A3F898861}" type="sibTrans" cxnId="{B5F17D40-04F3-4DBC-8CBC-4E9925DCCCA1}">
      <dgm:prSet/>
      <dgm:spPr/>
      <dgm:t>
        <a:bodyPr/>
        <a:lstStyle/>
        <a:p>
          <a:endParaRPr lang="en-US"/>
        </a:p>
      </dgm:t>
    </dgm:pt>
    <dgm:pt modelId="{AB6C0DE9-A515-4076-8C31-B95A4E89890C}">
      <dgm:prSet custT="1"/>
      <dgm:spPr>
        <a:xfrm rot="5400000">
          <a:off x="1700194" y="279651"/>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Cable assembling</a:t>
          </a:r>
        </a:p>
      </dgm:t>
    </dgm:pt>
    <dgm:pt modelId="{0EE0A254-ABF5-4C7C-B31E-26296C0297F7}" type="parTrans" cxnId="{66913A4C-9F6F-4B11-BF20-2DB3A782F870}">
      <dgm:prSet/>
      <dgm:spPr/>
      <dgm:t>
        <a:bodyPr/>
        <a:lstStyle/>
        <a:p>
          <a:endParaRPr lang="en-US"/>
        </a:p>
      </dgm:t>
    </dgm:pt>
    <dgm:pt modelId="{2932F7E9-EE63-4618-8D09-7E8117F4DCAD}" type="sibTrans" cxnId="{66913A4C-9F6F-4B11-BF20-2DB3A782F870}">
      <dgm:prSet/>
      <dgm:spPr/>
      <dgm:t>
        <a:bodyPr/>
        <a:lstStyle/>
        <a:p>
          <a:endParaRPr lang="en-US"/>
        </a:p>
      </dgm:t>
    </dgm:pt>
    <dgm:pt modelId="{C601D748-289B-47A1-8C36-24F903CDB00F}">
      <dgm:prSet custT="1"/>
      <dgm:spPr>
        <a:xfrm rot="5400000">
          <a:off x="1700194" y="800475"/>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Sheathing or armouring</a:t>
          </a:r>
        </a:p>
      </dgm:t>
    </dgm:pt>
    <dgm:pt modelId="{34206158-4BDF-459D-ADFD-BB5E9CD55A9B}" type="parTrans" cxnId="{D9DF0FF4-230B-4037-9867-793117475002}">
      <dgm:prSet/>
      <dgm:spPr/>
      <dgm:t>
        <a:bodyPr/>
        <a:lstStyle/>
        <a:p>
          <a:endParaRPr lang="en-US"/>
        </a:p>
      </dgm:t>
    </dgm:pt>
    <dgm:pt modelId="{5D613304-A4AA-4C24-A364-E663A17985D3}" type="sibTrans" cxnId="{D9DF0FF4-230B-4037-9867-793117475002}">
      <dgm:prSet/>
      <dgm:spPr/>
      <dgm:t>
        <a:bodyPr/>
        <a:lstStyle/>
        <a:p>
          <a:endParaRPr lang="en-US"/>
        </a:p>
      </dgm:t>
    </dgm:pt>
    <dgm:pt modelId="{2132785D-DDCF-43DA-8E0C-169EC5E9F73D}">
      <dgm:prSet custT="1"/>
      <dgm:spPr>
        <a:xfrm rot="5400000">
          <a:off x="1700194" y="800475"/>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Outer sheathing</a:t>
          </a:r>
        </a:p>
      </dgm:t>
    </dgm:pt>
    <dgm:pt modelId="{5712C46F-CCC9-44D0-A624-54AF3461EE07}" type="parTrans" cxnId="{48C479C1-440E-4873-819A-EB9933CCBE63}">
      <dgm:prSet/>
      <dgm:spPr/>
      <dgm:t>
        <a:bodyPr/>
        <a:lstStyle/>
        <a:p>
          <a:endParaRPr lang="en-US"/>
        </a:p>
      </dgm:t>
    </dgm:pt>
    <dgm:pt modelId="{3D2A275B-2FC5-4D96-8C5D-2D06C5657009}" type="sibTrans" cxnId="{48C479C1-440E-4873-819A-EB9933CCBE63}">
      <dgm:prSet/>
      <dgm:spPr/>
      <dgm:t>
        <a:bodyPr/>
        <a:lstStyle/>
        <a:p>
          <a:endParaRPr lang="en-US"/>
        </a:p>
      </dgm:t>
    </dgm:pt>
    <dgm:pt modelId="{A6BF0290-43DF-49F2-AC92-45C085542A3A}">
      <dgm:prSet custT="1"/>
      <dgm:spPr>
        <a:xfrm rot="5400000">
          <a:off x="1700194" y="1321299"/>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gm:spPr>
      <dgm:t>
        <a:bodyPr/>
        <a:lstStyle/>
        <a:p>
          <a:r>
            <a:rPr lang="en-US" sz="10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Inspection and stocking for dispatch</a:t>
          </a:r>
        </a:p>
      </dgm:t>
    </dgm:pt>
    <dgm:pt modelId="{245BDE46-A368-4C48-B360-BB80A9EE8C1F}" type="parTrans" cxnId="{D5709F41-4122-42F3-A130-B178F5525393}">
      <dgm:prSet/>
      <dgm:spPr/>
      <dgm:t>
        <a:bodyPr/>
        <a:lstStyle/>
        <a:p>
          <a:endParaRPr lang="en-US"/>
        </a:p>
      </dgm:t>
    </dgm:pt>
    <dgm:pt modelId="{E63F68A5-B5E3-47BE-A4E7-AE63BFD3AC9D}" type="sibTrans" cxnId="{D5709F41-4122-42F3-A130-B178F5525393}">
      <dgm:prSet/>
      <dgm:spPr/>
      <dgm:t>
        <a:bodyPr/>
        <a:lstStyle/>
        <a:p>
          <a:endParaRPr lang="en-US"/>
        </a:p>
      </dgm:t>
    </dgm:pt>
    <dgm:pt modelId="{9AAF08A0-E0C6-44DC-9686-18422DAECA4A}" type="pres">
      <dgm:prSet presAssocID="{8B4CD7FD-9DF0-4250-899B-C9AEDD84A084}" presName="linearFlow" presStyleCnt="0">
        <dgm:presLayoutVars>
          <dgm:dir/>
          <dgm:animLvl val="lvl"/>
          <dgm:resizeHandles val="exact"/>
        </dgm:presLayoutVars>
      </dgm:prSet>
      <dgm:spPr/>
      <dgm:t>
        <a:bodyPr/>
        <a:lstStyle/>
        <a:p>
          <a:endParaRPr lang="en-US"/>
        </a:p>
      </dgm:t>
    </dgm:pt>
    <dgm:pt modelId="{14EEA24E-EBF7-4BE1-9149-F7D70A1CD5F2}" type="pres">
      <dgm:prSet presAssocID="{0C2630E8-64A4-4587-9042-75367AE284FB}" presName="composite" presStyleCnt="0"/>
      <dgm:spPr/>
    </dgm:pt>
    <dgm:pt modelId="{3D5E2755-413B-4BB7-AFA1-767AEF67CC6D}" type="pres">
      <dgm:prSet presAssocID="{0C2630E8-64A4-4587-9042-75367AE284FB}" presName="parentText" presStyleLbl="alignNode1" presStyleIdx="0" presStyleCnt="6">
        <dgm:presLayoutVars>
          <dgm:chMax val="1"/>
          <dgm:bulletEnabled val="1"/>
        </dgm:presLayoutVars>
      </dgm:prSet>
      <dgm:spPr/>
      <dgm:t>
        <a:bodyPr/>
        <a:lstStyle/>
        <a:p>
          <a:endParaRPr lang="en-US"/>
        </a:p>
      </dgm:t>
    </dgm:pt>
    <dgm:pt modelId="{DBE3B946-4580-4045-B0B0-6A34505BBA92}" type="pres">
      <dgm:prSet presAssocID="{0C2630E8-64A4-4587-9042-75367AE284FB}" presName="descendantText" presStyleLbl="alignAcc1" presStyleIdx="0" presStyleCnt="6" custAng="0" custLinFactNeighborX="47382" custLinFactNeighborY="-18">
        <dgm:presLayoutVars>
          <dgm:bulletEnabled val="1"/>
        </dgm:presLayoutVars>
      </dgm:prSet>
      <dgm:spPr/>
      <dgm:t>
        <a:bodyPr/>
        <a:lstStyle/>
        <a:p>
          <a:endParaRPr lang="en-US"/>
        </a:p>
      </dgm:t>
    </dgm:pt>
    <dgm:pt modelId="{2E302642-A5EF-42CB-A89B-9F0486B2EB86}" type="pres">
      <dgm:prSet presAssocID="{54D64D9D-1E6D-4EE5-9C59-741C823DE9F0}" presName="sp" presStyleCnt="0"/>
      <dgm:spPr/>
    </dgm:pt>
    <dgm:pt modelId="{6A23D46E-3B28-44EA-8CFD-18F2F93B5379}" type="pres">
      <dgm:prSet presAssocID="{3DFB9F43-9B62-4C6D-90BA-2CFA81F1299C}" presName="composite" presStyleCnt="0"/>
      <dgm:spPr/>
    </dgm:pt>
    <dgm:pt modelId="{93F8F7B8-BEE0-4845-B63F-340C7D3F705C}" type="pres">
      <dgm:prSet presAssocID="{3DFB9F43-9B62-4C6D-90BA-2CFA81F1299C}" presName="parentText" presStyleLbl="alignNode1" presStyleIdx="1" presStyleCnt="6" custLinFactNeighborX="0" custLinFactNeighborY="5442">
        <dgm:presLayoutVars>
          <dgm:chMax val="1"/>
          <dgm:bulletEnabled val="1"/>
        </dgm:presLayoutVars>
      </dgm:prSet>
      <dgm:spPr/>
      <dgm:t>
        <a:bodyPr/>
        <a:lstStyle/>
        <a:p>
          <a:endParaRPr lang="en-US"/>
        </a:p>
      </dgm:t>
    </dgm:pt>
    <dgm:pt modelId="{E2281467-359B-4EA9-8F27-A0C0F2586953}" type="pres">
      <dgm:prSet presAssocID="{3DFB9F43-9B62-4C6D-90BA-2CFA81F1299C}" presName="descendantText" presStyleLbl="alignAcc1" presStyleIdx="1" presStyleCnt="6">
        <dgm:presLayoutVars>
          <dgm:bulletEnabled val="1"/>
        </dgm:presLayoutVars>
      </dgm:prSet>
      <dgm:spPr/>
      <dgm:t>
        <a:bodyPr/>
        <a:lstStyle/>
        <a:p>
          <a:endParaRPr lang="en-US"/>
        </a:p>
      </dgm:t>
    </dgm:pt>
    <dgm:pt modelId="{47E39A89-31DE-463D-9995-1CB229457E56}" type="pres">
      <dgm:prSet presAssocID="{241709FB-8B2D-4F3F-8A81-AC6F05699BA8}" presName="sp" presStyleCnt="0"/>
      <dgm:spPr/>
    </dgm:pt>
    <dgm:pt modelId="{BC8AF96D-7354-4D98-8642-B4FD0BA8F397}" type="pres">
      <dgm:prSet presAssocID="{BC566158-F52F-4B44-B99E-C55DF1F3016B}" presName="composite" presStyleCnt="0"/>
      <dgm:spPr/>
    </dgm:pt>
    <dgm:pt modelId="{C08837E2-EB3C-4CBE-94E4-3DF4FC204087}" type="pres">
      <dgm:prSet presAssocID="{BC566158-F52F-4B44-B99E-C55DF1F3016B}" presName="parentText" presStyleLbl="alignNode1" presStyleIdx="2" presStyleCnt="6">
        <dgm:presLayoutVars>
          <dgm:chMax val="1"/>
          <dgm:bulletEnabled val="1"/>
        </dgm:presLayoutVars>
      </dgm:prSet>
      <dgm:spPr/>
      <dgm:t>
        <a:bodyPr/>
        <a:lstStyle/>
        <a:p>
          <a:endParaRPr lang="en-US"/>
        </a:p>
      </dgm:t>
    </dgm:pt>
    <dgm:pt modelId="{97364F79-39F7-4897-B402-B99230E833FF}" type="pres">
      <dgm:prSet presAssocID="{BC566158-F52F-4B44-B99E-C55DF1F3016B}" presName="descendantText" presStyleLbl="alignAcc1" presStyleIdx="2" presStyleCnt="6">
        <dgm:presLayoutVars>
          <dgm:bulletEnabled val="1"/>
        </dgm:presLayoutVars>
      </dgm:prSet>
      <dgm:spPr/>
      <dgm:t>
        <a:bodyPr/>
        <a:lstStyle/>
        <a:p>
          <a:endParaRPr lang="en-US"/>
        </a:p>
      </dgm:t>
    </dgm:pt>
    <dgm:pt modelId="{390626CD-BF9B-4201-B96D-5F07EAD4B833}" type="pres">
      <dgm:prSet presAssocID="{ACCF78A0-CBA4-4E14-864C-519F995375FE}" presName="sp" presStyleCnt="0"/>
      <dgm:spPr/>
    </dgm:pt>
    <dgm:pt modelId="{0E927D11-B734-498A-AD5C-A084681AF685}" type="pres">
      <dgm:prSet presAssocID="{5C80B404-0556-4CA9-A0AA-746DD02C94F7}" presName="composite" presStyleCnt="0"/>
      <dgm:spPr/>
    </dgm:pt>
    <dgm:pt modelId="{52C9ACFE-0259-463A-B8CB-EDB425CD8BD5}" type="pres">
      <dgm:prSet presAssocID="{5C80B404-0556-4CA9-A0AA-746DD02C94F7}" presName="parentText" presStyleLbl="alignNode1" presStyleIdx="3" presStyleCnt="6">
        <dgm:presLayoutVars>
          <dgm:chMax val="1"/>
          <dgm:bulletEnabled val="1"/>
        </dgm:presLayoutVars>
      </dgm:prSet>
      <dgm:spPr/>
      <dgm:t>
        <a:bodyPr/>
        <a:lstStyle/>
        <a:p>
          <a:endParaRPr lang="en-US"/>
        </a:p>
      </dgm:t>
    </dgm:pt>
    <dgm:pt modelId="{65C152AF-5719-4F7C-A5EC-A16F5396EB8F}" type="pres">
      <dgm:prSet presAssocID="{5C80B404-0556-4CA9-A0AA-746DD02C94F7}" presName="descendantText" presStyleLbl="alignAcc1" presStyleIdx="3" presStyleCnt="6">
        <dgm:presLayoutVars>
          <dgm:bulletEnabled val="1"/>
        </dgm:presLayoutVars>
      </dgm:prSet>
      <dgm:spPr/>
      <dgm:t>
        <a:bodyPr/>
        <a:lstStyle/>
        <a:p>
          <a:endParaRPr lang="en-US"/>
        </a:p>
      </dgm:t>
    </dgm:pt>
    <dgm:pt modelId="{583A00D1-58A4-4550-80B6-78523E28506A}" type="pres">
      <dgm:prSet presAssocID="{0470490A-99ED-4502-AD2C-00242EA94B72}" presName="sp" presStyleCnt="0"/>
      <dgm:spPr/>
    </dgm:pt>
    <dgm:pt modelId="{122BD7F0-5B43-4B05-8682-0B83790701CB}" type="pres">
      <dgm:prSet presAssocID="{5C015AB1-1111-43B0-B903-C65BEEA62B25}" presName="composite" presStyleCnt="0"/>
      <dgm:spPr/>
    </dgm:pt>
    <dgm:pt modelId="{810090DA-3D1B-4B30-BCF1-84940376A01C}" type="pres">
      <dgm:prSet presAssocID="{5C015AB1-1111-43B0-B903-C65BEEA62B25}" presName="parentText" presStyleLbl="alignNode1" presStyleIdx="4" presStyleCnt="6">
        <dgm:presLayoutVars>
          <dgm:chMax val="1"/>
          <dgm:bulletEnabled val="1"/>
        </dgm:presLayoutVars>
      </dgm:prSet>
      <dgm:spPr/>
      <dgm:t>
        <a:bodyPr/>
        <a:lstStyle/>
        <a:p>
          <a:endParaRPr lang="en-US"/>
        </a:p>
      </dgm:t>
    </dgm:pt>
    <dgm:pt modelId="{F85D97FE-9D31-4186-9426-69FBE4840822}" type="pres">
      <dgm:prSet presAssocID="{5C015AB1-1111-43B0-B903-C65BEEA62B25}" presName="descendantText" presStyleLbl="alignAcc1" presStyleIdx="4" presStyleCnt="6">
        <dgm:presLayoutVars>
          <dgm:bulletEnabled val="1"/>
        </dgm:presLayoutVars>
      </dgm:prSet>
      <dgm:spPr/>
      <dgm:t>
        <a:bodyPr/>
        <a:lstStyle/>
        <a:p>
          <a:endParaRPr lang="en-US"/>
        </a:p>
      </dgm:t>
    </dgm:pt>
    <dgm:pt modelId="{99967B3C-E871-4C66-ABFC-327662FA36E7}" type="pres">
      <dgm:prSet presAssocID="{9B6B4917-422F-4620-B9F3-CA025DB72056}" presName="sp" presStyleCnt="0"/>
      <dgm:spPr/>
    </dgm:pt>
    <dgm:pt modelId="{F547B454-7A2B-49D1-ADA9-88DA3D4826D2}" type="pres">
      <dgm:prSet presAssocID="{CCED0E29-9408-4E13-910A-00943A48482F}" presName="composite" presStyleCnt="0"/>
      <dgm:spPr/>
    </dgm:pt>
    <dgm:pt modelId="{271D136D-E935-4E5E-9792-987FD5C38B40}" type="pres">
      <dgm:prSet presAssocID="{CCED0E29-9408-4E13-910A-00943A48482F}" presName="parentText" presStyleLbl="alignNode1" presStyleIdx="5" presStyleCnt="6">
        <dgm:presLayoutVars>
          <dgm:chMax val="1"/>
          <dgm:bulletEnabled val="1"/>
        </dgm:presLayoutVars>
      </dgm:prSet>
      <dgm:spPr/>
      <dgm:t>
        <a:bodyPr/>
        <a:lstStyle/>
        <a:p>
          <a:endParaRPr lang="en-US"/>
        </a:p>
      </dgm:t>
    </dgm:pt>
    <dgm:pt modelId="{9A5B0334-1129-433C-902B-E8E44BA2739A}" type="pres">
      <dgm:prSet presAssocID="{CCED0E29-9408-4E13-910A-00943A48482F}" presName="descendantText" presStyleLbl="alignAcc1" presStyleIdx="5" presStyleCnt="6">
        <dgm:presLayoutVars>
          <dgm:bulletEnabled val="1"/>
        </dgm:presLayoutVars>
      </dgm:prSet>
      <dgm:spPr/>
      <dgm:t>
        <a:bodyPr/>
        <a:lstStyle/>
        <a:p>
          <a:endParaRPr lang="en-US"/>
        </a:p>
      </dgm:t>
    </dgm:pt>
  </dgm:ptLst>
  <dgm:cxnLst>
    <dgm:cxn modelId="{3AD664D7-31D7-4192-ADF5-D528F4224C89}" srcId="{8B4CD7FD-9DF0-4250-899B-C9AEDD84A084}" destId="{5C015AB1-1111-43B0-B903-C65BEEA62B25}" srcOrd="4" destOrd="0" parTransId="{B71D75EE-8891-42DB-8B0C-1590A44EAA6A}" sibTransId="{9B6B4917-422F-4620-B9F3-CA025DB72056}"/>
    <dgm:cxn modelId="{A74FD9CD-9314-4094-84A3-99F039528C23}" type="presOf" srcId="{C601D748-289B-47A1-8C36-24F903CDB00F}" destId="{F85D97FE-9D31-4186-9426-69FBE4840822}" srcOrd="0" destOrd="0" presId="urn:microsoft.com/office/officeart/2005/8/layout/chevron2"/>
    <dgm:cxn modelId="{48C479C1-440E-4873-819A-EB9933CCBE63}" srcId="{5C015AB1-1111-43B0-B903-C65BEEA62B25}" destId="{2132785D-DDCF-43DA-8E0C-169EC5E9F73D}" srcOrd="1" destOrd="0" parTransId="{5712C46F-CCC9-44D0-A624-54AF3461EE07}" sibTransId="{3D2A275B-2FC5-4D96-8C5D-2D06C5657009}"/>
    <dgm:cxn modelId="{FD17EAC2-E3B5-490C-87B4-79F2DB5621F9}" srcId="{3DFB9F43-9B62-4C6D-90BA-2CFA81F1299C}" destId="{429D4E49-4F22-4152-BD21-14CEBCDA9513}" srcOrd="0" destOrd="0" parTransId="{A2810EB7-83C4-4BCA-BA06-3CE0CBA05410}" sibTransId="{987CE09A-CD24-4B15-B3C7-8078CAAF2523}"/>
    <dgm:cxn modelId="{803EF9DE-C1BD-4853-8F5E-1883F93AB9DD}" srcId="{8B4CD7FD-9DF0-4250-899B-C9AEDD84A084}" destId="{0C2630E8-64A4-4587-9042-75367AE284FB}" srcOrd="0" destOrd="0" parTransId="{84C9B192-A9CA-4CBA-BAFE-CA14B9BE4968}" sibTransId="{54D64D9D-1E6D-4EE5-9C59-741C823DE9F0}"/>
    <dgm:cxn modelId="{D9DF0FF4-230B-4037-9867-793117475002}" srcId="{5C015AB1-1111-43B0-B903-C65BEEA62B25}" destId="{C601D748-289B-47A1-8C36-24F903CDB00F}" srcOrd="0" destOrd="0" parTransId="{34206158-4BDF-459D-ADFD-BB5E9CD55A9B}" sibTransId="{5D613304-A4AA-4C24-A364-E663A17985D3}"/>
    <dgm:cxn modelId="{CAD3978C-AD21-4EF2-9D7D-4D900575CF73}" srcId="{8B4CD7FD-9DF0-4250-899B-C9AEDD84A084}" destId="{BC566158-F52F-4B44-B99E-C55DF1F3016B}" srcOrd="2" destOrd="0" parTransId="{1021F3BB-2097-477C-9556-624157D89B72}" sibTransId="{ACCF78A0-CBA4-4E14-864C-519F995375FE}"/>
    <dgm:cxn modelId="{3AE6F805-5DB7-4CDD-964C-066147CDA8A2}" type="presOf" srcId="{5C80B404-0556-4CA9-A0AA-746DD02C94F7}" destId="{52C9ACFE-0259-463A-B8CB-EDB425CD8BD5}" srcOrd="0" destOrd="0" presId="urn:microsoft.com/office/officeart/2005/8/layout/chevron2"/>
    <dgm:cxn modelId="{A10CE26C-663D-495B-8F75-647BC89842CC}" type="presOf" srcId="{0C2630E8-64A4-4587-9042-75367AE284FB}" destId="{3D5E2755-413B-4BB7-AFA1-767AEF67CC6D}" srcOrd="0" destOrd="0" presId="urn:microsoft.com/office/officeart/2005/8/layout/chevron2"/>
    <dgm:cxn modelId="{75661583-04B4-42FB-BF8D-56457939DEFE}" type="presOf" srcId="{BC566158-F52F-4B44-B99E-C55DF1F3016B}" destId="{C08837E2-EB3C-4CBE-94E4-3DF4FC204087}" srcOrd="0" destOrd="0" presId="urn:microsoft.com/office/officeart/2005/8/layout/chevron2"/>
    <dgm:cxn modelId="{C3A0B346-BB15-4999-AE2E-513AD8E8FA1A}" type="presOf" srcId="{429D4E49-4F22-4152-BD21-14CEBCDA9513}" destId="{E2281467-359B-4EA9-8F27-A0C0F2586953}" srcOrd="0" destOrd="0" presId="urn:microsoft.com/office/officeart/2005/8/layout/chevron2"/>
    <dgm:cxn modelId="{A0DC7CA9-8A54-4913-823D-17926BA7B704}" type="presOf" srcId="{5C015AB1-1111-43B0-B903-C65BEEA62B25}" destId="{810090DA-3D1B-4B30-BCF1-84940376A01C}" srcOrd="0" destOrd="0" presId="urn:microsoft.com/office/officeart/2005/8/layout/chevron2"/>
    <dgm:cxn modelId="{74FC2154-9D1A-4401-8A37-AAE59DA71A68}" type="presOf" srcId="{BAF0A44D-408B-4766-81FF-0B12C3ED905A}" destId="{97364F79-39F7-4897-B402-B99230E833FF}" srcOrd="0" destOrd="0" presId="urn:microsoft.com/office/officeart/2005/8/layout/chevron2"/>
    <dgm:cxn modelId="{646A7D32-CFE8-4FD9-AF95-E1D29FEE3659}" type="presOf" srcId="{8B4CD7FD-9DF0-4250-899B-C9AEDD84A084}" destId="{9AAF08A0-E0C6-44DC-9686-18422DAECA4A}" srcOrd="0" destOrd="0" presId="urn:microsoft.com/office/officeart/2005/8/layout/chevron2"/>
    <dgm:cxn modelId="{C12CFA30-B683-4B14-8F0B-1A7A9F07BB49}" srcId="{0C2630E8-64A4-4587-9042-75367AE284FB}" destId="{C81AD209-E974-424E-9401-9CED14EB1C87}" srcOrd="1" destOrd="0" parTransId="{FF8F86A0-CEDC-40FF-9DF8-780803E27505}" sibTransId="{83A01108-D42A-4694-ABC5-B3157E7BA2D0}"/>
    <dgm:cxn modelId="{DAE7652B-9C20-4E54-A416-87307D996B08}" type="presOf" srcId="{AB6C0DE9-A515-4076-8C31-B95A4E89890C}" destId="{65C152AF-5719-4F7C-A5EC-A16F5396EB8F}" srcOrd="0" destOrd="0" presId="urn:microsoft.com/office/officeart/2005/8/layout/chevron2"/>
    <dgm:cxn modelId="{395AD62E-E29C-430D-A0A0-6F81046D3299}" type="presOf" srcId="{A6BF0290-43DF-49F2-AC92-45C085542A3A}" destId="{9A5B0334-1129-433C-902B-E8E44BA2739A}" srcOrd="0" destOrd="0" presId="urn:microsoft.com/office/officeart/2005/8/layout/chevron2"/>
    <dgm:cxn modelId="{2C5ADD90-7697-4BB1-AD6D-9BDE7A1D34E9}" type="presOf" srcId="{2132785D-DDCF-43DA-8E0C-169EC5E9F73D}" destId="{F85D97FE-9D31-4186-9426-69FBE4840822}" srcOrd="0" destOrd="1" presId="urn:microsoft.com/office/officeart/2005/8/layout/chevron2"/>
    <dgm:cxn modelId="{B5F17D40-04F3-4DBC-8CBC-4E9925DCCCA1}" srcId="{8B4CD7FD-9DF0-4250-899B-C9AEDD84A084}" destId="{CCED0E29-9408-4E13-910A-00943A48482F}" srcOrd="5" destOrd="0" parTransId="{B1277863-D0EF-4F6E-A1F4-F5CAEBCC86D8}" sibTransId="{2C66DD88-3113-4333-A1CB-5E7A3F898861}"/>
    <dgm:cxn modelId="{836CAD5C-54DF-4147-81C2-5383FB54D249}" type="presOf" srcId="{C81AD209-E974-424E-9401-9CED14EB1C87}" destId="{DBE3B946-4580-4045-B0B0-6A34505BBA92}" srcOrd="0" destOrd="1" presId="urn:microsoft.com/office/officeart/2005/8/layout/chevron2"/>
    <dgm:cxn modelId="{66913A4C-9F6F-4B11-BF20-2DB3A782F870}" srcId="{5C80B404-0556-4CA9-A0AA-746DD02C94F7}" destId="{AB6C0DE9-A515-4076-8C31-B95A4E89890C}" srcOrd="0" destOrd="0" parTransId="{0EE0A254-ABF5-4C7C-B31E-26296C0297F7}" sibTransId="{2932F7E9-EE63-4618-8D09-7E8117F4DCAD}"/>
    <dgm:cxn modelId="{C9F1EB8C-1C70-4D8F-8520-AA0537229358}" srcId="{8B4CD7FD-9DF0-4250-899B-C9AEDD84A084}" destId="{3DFB9F43-9B62-4C6D-90BA-2CFA81F1299C}" srcOrd="1" destOrd="0" parTransId="{3699C018-C1A6-455A-8A5A-8841A097A3DE}" sibTransId="{241709FB-8B2D-4F3F-8A81-AC6F05699BA8}"/>
    <dgm:cxn modelId="{DD2A246F-30A5-464C-9744-01ED0EAACC37}" srcId="{BC566158-F52F-4B44-B99E-C55DF1F3016B}" destId="{BAF0A44D-408B-4766-81FF-0B12C3ED905A}" srcOrd="0" destOrd="0" parTransId="{53C271A5-2BE1-463A-8886-E6A649BDB514}" sibTransId="{7CCA346B-872A-4B0A-AEDF-C1989DF13D24}"/>
    <dgm:cxn modelId="{EA7AC476-033D-4808-A0B5-94A5718AB169}" srcId="{0C2630E8-64A4-4587-9042-75367AE284FB}" destId="{F509F16C-ECAF-4A15-8416-9414BB0F494F}" srcOrd="0" destOrd="0" parTransId="{286D5060-FDF9-492D-AC65-B3B58D098F63}" sibTransId="{72EF4AC4-AFDA-453B-97CC-F36CB396339B}"/>
    <dgm:cxn modelId="{DEDB806F-7551-4638-AA34-B679B4FD526A}" type="presOf" srcId="{3DFB9F43-9B62-4C6D-90BA-2CFA81F1299C}" destId="{93F8F7B8-BEE0-4845-B63F-340C7D3F705C}" srcOrd="0" destOrd="0" presId="urn:microsoft.com/office/officeart/2005/8/layout/chevron2"/>
    <dgm:cxn modelId="{B53E96B0-4D89-444B-9E5B-BB8BBA7770AC}" type="presOf" srcId="{F509F16C-ECAF-4A15-8416-9414BB0F494F}" destId="{DBE3B946-4580-4045-B0B0-6A34505BBA92}" srcOrd="0" destOrd="0" presId="urn:microsoft.com/office/officeart/2005/8/layout/chevron2"/>
    <dgm:cxn modelId="{EF5DAEA3-9438-4E6C-89A9-6C199C7AE403}" type="presOf" srcId="{CCED0E29-9408-4E13-910A-00943A48482F}" destId="{271D136D-E935-4E5E-9792-987FD5C38B40}" srcOrd="0" destOrd="0" presId="urn:microsoft.com/office/officeart/2005/8/layout/chevron2"/>
    <dgm:cxn modelId="{F5F1F247-D700-445D-8B99-381028362E44}" srcId="{8B4CD7FD-9DF0-4250-899B-C9AEDD84A084}" destId="{5C80B404-0556-4CA9-A0AA-746DD02C94F7}" srcOrd="3" destOrd="0" parTransId="{E54E58F2-1568-4576-B925-814322956EC9}" sibTransId="{0470490A-99ED-4502-AD2C-00242EA94B72}"/>
    <dgm:cxn modelId="{D5709F41-4122-42F3-A130-B178F5525393}" srcId="{CCED0E29-9408-4E13-910A-00943A48482F}" destId="{A6BF0290-43DF-49F2-AC92-45C085542A3A}" srcOrd="0" destOrd="0" parTransId="{245BDE46-A368-4C48-B360-BB80A9EE8C1F}" sibTransId="{E63F68A5-B5E3-47BE-A4E7-AE63BFD3AC9D}"/>
    <dgm:cxn modelId="{53C9E48D-FBEA-499E-8080-80EA36A68815}" type="presParOf" srcId="{9AAF08A0-E0C6-44DC-9686-18422DAECA4A}" destId="{14EEA24E-EBF7-4BE1-9149-F7D70A1CD5F2}" srcOrd="0" destOrd="0" presId="urn:microsoft.com/office/officeart/2005/8/layout/chevron2"/>
    <dgm:cxn modelId="{2006CD8A-512B-44E9-950C-2196B0896942}" type="presParOf" srcId="{14EEA24E-EBF7-4BE1-9149-F7D70A1CD5F2}" destId="{3D5E2755-413B-4BB7-AFA1-767AEF67CC6D}" srcOrd="0" destOrd="0" presId="urn:microsoft.com/office/officeart/2005/8/layout/chevron2"/>
    <dgm:cxn modelId="{9D5D516F-16D6-40B9-AB3A-CAFE371F4285}" type="presParOf" srcId="{14EEA24E-EBF7-4BE1-9149-F7D70A1CD5F2}" destId="{DBE3B946-4580-4045-B0B0-6A34505BBA92}" srcOrd="1" destOrd="0" presId="urn:microsoft.com/office/officeart/2005/8/layout/chevron2"/>
    <dgm:cxn modelId="{59CD245D-8AB0-4115-AF2A-76BCB719250E}" type="presParOf" srcId="{9AAF08A0-E0C6-44DC-9686-18422DAECA4A}" destId="{2E302642-A5EF-42CB-A89B-9F0486B2EB86}" srcOrd="1" destOrd="0" presId="urn:microsoft.com/office/officeart/2005/8/layout/chevron2"/>
    <dgm:cxn modelId="{8053EF19-61BE-46AC-8122-F217F21559FF}" type="presParOf" srcId="{9AAF08A0-E0C6-44DC-9686-18422DAECA4A}" destId="{6A23D46E-3B28-44EA-8CFD-18F2F93B5379}" srcOrd="2" destOrd="0" presId="urn:microsoft.com/office/officeart/2005/8/layout/chevron2"/>
    <dgm:cxn modelId="{57806FD6-D86C-40B1-9E2A-83787FB085E1}" type="presParOf" srcId="{6A23D46E-3B28-44EA-8CFD-18F2F93B5379}" destId="{93F8F7B8-BEE0-4845-B63F-340C7D3F705C}" srcOrd="0" destOrd="0" presId="urn:microsoft.com/office/officeart/2005/8/layout/chevron2"/>
    <dgm:cxn modelId="{9F0742F1-3852-40A9-94CA-7B5478F0ADEF}" type="presParOf" srcId="{6A23D46E-3B28-44EA-8CFD-18F2F93B5379}" destId="{E2281467-359B-4EA9-8F27-A0C0F2586953}" srcOrd="1" destOrd="0" presId="urn:microsoft.com/office/officeart/2005/8/layout/chevron2"/>
    <dgm:cxn modelId="{34AB6D42-26BF-46CD-9344-CB6245DAC16E}" type="presParOf" srcId="{9AAF08A0-E0C6-44DC-9686-18422DAECA4A}" destId="{47E39A89-31DE-463D-9995-1CB229457E56}" srcOrd="3" destOrd="0" presId="urn:microsoft.com/office/officeart/2005/8/layout/chevron2"/>
    <dgm:cxn modelId="{EC625E39-76D9-48F3-AA7B-20019AB09EB4}" type="presParOf" srcId="{9AAF08A0-E0C6-44DC-9686-18422DAECA4A}" destId="{BC8AF96D-7354-4D98-8642-B4FD0BA8F397}" srcOrd="4" destOrd="0" presId="urn:microsoft.com/office/officeart/2005/8/layout/chevron2"/>
    <dgm:cxn modelId="{1756F372-2ED0-42C7-8A7D-0AB8284B8204}" type="presParOf" srcId="{BC8AF96D-7354-4D98-8642-B4FD0BA8F397}" destId="{C08837E2-EB3C-4CBE-94E4-3DF4FC204087}" srcOrd="0" destOrd="0" presId="urn:microsoft.com/office/officeart/2005/8/layout/chevron2"/>
    <dgm:cxn modelId="{2EAF7960-CE13-4BF9-8F91-53BB7310FD3C}" type="presParOf" srcId="{BC8AF96D-7354-4D98-8642-B4FD0BA8F397}" destId="{97364F79-39F7-4897-B402-B99230E833FF}" srcOrd="1" destOrd="0" presId="urn:microsoft.com/office/officeart/2005/8/layout/chevron2"/>
    <dgm:cxn modelId="{BAB92637-3FCC-4F59-9F4E-6D4DC76A7F90}" type="presParOf" srcId="{9AAF08A0-E0C6-44DC-9686-18422DAECA4A}" destId="{390626CD-BF9B-4201-B96D-5F07EAD4B833}" srcOrd="5" destOrd="0" presId="urn:microsoft.com/office/officeart/2005/8/layout/chevron2"/>
    <dgm:cxn modelId="{58640265-2521-42D0-A240-D4C850F3DB6D}" type="presParOf" srcId="{9AAF08A0-E0C6-44DC-9686-18422DAECA4A}" destId="{0E927D11-B734-498A-AD5C-A084681AF685}" srcOrd="6" destOrd="0" presId="urn:microsoft.com/office/officeart/2005/8/layout/chevron2"/>
    <dgm:cxn modelId="{0A1E208C-249F-4447-B181-1F4271E774A9}" type="presParOf" srcId="{0E927D11-B734-498A-AD5C-A084681AF685}" destId="{52C9ACFE-0259-463A-B8CB-EDB425CD8BD5}" srcOrd="0" destOrd="0" presId="urn:microsoft.com/office/officeart/2005/8/layout/chevron2"/>
    <dgm:cxn modelId="{C26DAB63-3F26-4016-80E8-726E7183627A}" type="presParOf" srcId="{0E927D11-B734-498A-AD5C-A084681AF685}" destId="{65C152AF-5719-4F7C-A5EC-A16F5396EB8F}" srcOrd="1" destOrd="0" presId="urn:microsoft.com/office/officeart/2005/8/layout/chevron2"/>
    <dgm:cxn modelId="{B536E582-4136-4D90-BA25-B0E7552F2863}" type="presParOf" srcId="{9AAF08A0-E0C6-44DC-9686-18422DAECA4A}" destId="{583A00D1-58A4-4550-80B6-78523E28506A}" srcOrd="7" destOrd="0" presId="urn:microsoft.com/office/officeart/2005/8/layout/chevron2"/>
    <dgm:cxn modelId="{6424C6D6-7727-4D0A-8BBD-FC322F2014F7}" type="presParOf" srcId="{9AAF08A0-E0C6-44DC-9686-18422DAECA4A}" destId="{122BD7F0-5B43-4B05-8682-0B83790701CB}" srcOrd="8" destOrd="0" presId="urn:microsoft.com/office/officeart/2005/8/layout/chevron2"/>
    <dgm:cxn modelId="{75FBD048-6C1C-4226-8974-583BAE91B614}" type="presParOf" srcId="{122BD7F0-5B43-4B05-8682-0B83790701CB}" destId="{810090DA-3D1B-4B30-BCF1-84940376A01C}" srcOrd="0" destOrd="0" presId="urn:microsoft.com/office/officeart/2005/8/layout/chevron2"/>
    <dgm:cxn modelId="{C0EFD3C9-69AB-4E6D-8015-349C5EC3E52C}" type="presParOf" srcId="{122BD7F0-5B43-4B05-8682-0B83790701CB}" destId="{F85D97FE-9D31-4186-9426-69FBE4840822}" srcOrd="1" destOrd="0" presId="urn:microsoft.com/office/officeart/2005/8/layout/chevron2"/>
    <dgm:cxn modelId="{0C295716-3414-40E5-AEAC-CB4A39BA2F58}" type="presParOf" srcId="{9AAF08A0-E0C6-44DC-9686-18422DAECA4A}" destId="{99967B3C-E871-4C66-ABFC-327662FA36E7}" srcOrd="9" destOrd="0" presId="urn:microsoft.com/office/officeart/2005/8/layout/chevron2"/>
    <dgm:cxn modelId="{9A0AD350-9C14-4D49-BAF4-5079328339FD}" type="presParOf" srcId="{9AAF08A0-E0C6-44DC-9686-18422DAECA4A}" destId="{F547B454-7A2B-49D1-ADA9-88DA3D4826D2}" srcOrd="10" destOrd="0" presId="urn:microsoft.com/office/officeart/2005/8/layout/chevron2"/>
    <dgm:cxn modelId="{2B5997C3-BBA3-4351-88EE-C78380341229}" type="presParOf" srcId="{F547B454-7A2B-49D1-ADA9-88DA3D4826D2}" destId="{271D136D-E935-4E5E-9792-987FD5C38B40}" srcOrd="0" destOrd="0" presId="urn:microsoft.com/office/officeart/2005/8/layout/chevron2"/>
    <dgm:cxn modelId="{2AD7D6F9-8B88-439A-87AC-4C6F90B721D5}" type="presParOf" srcId="{F547B454-7A2B-49D1-ADA9-88DA3D4826D2}" destId="{9A5B0334-1129-433C-902B-E8E44BA2739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5E2755-413B-4BB7-AFA1-767AEF67CC6D}">
      <dsp:nvSpPr>
        <dsp:cNvPr id="0" name=""/>
        <dsp:cNvSpPr/>
      </dsp:nvSpPr>
      <dsp:spPr>
        <a:xfrm rot="5400000">
          <a:off x="-89425" y="89481"/>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Warehouse</a:t>
          </a:r>
        </a:p>
      </dsp:txBody>
      <dsp:txXfrm rot="-5400000">
        <a:off x="1" y="208715"/>
        <a:ext cx="417317" cy="178851"/>
      </dsp:txXfrm>
    </dsp:sp>
    <dsp:sp modelId="{DBE3B946-4580-4045-B0B0-6A34505BBA92}">
      <dsp:nvSpPr>
        <dsp:cNvPr id="0" name=""/>
        <dsp:cNvSpPr/>
      </dsp:nvSpPr>
      <dsp:spPr>
        <a:xfrm rot="5400000">
          <a:off x="1700194" y="-1282876"/>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Stock raw material</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Raw material handling</a:t>
          </a:r>
        </a:p>
      </dsp:txBody>
      <dsp:txXfrm rot="-5400000">
        <a:off x="417318" y="18917"/>
        <a:ext cx="2934345" cy="349675"/>
      </dsp:txXfrm>
    </dsp:sp>
    <dsp:sp modelId="{93F8F7B8-BEE0-4845-B63F-340C7D3F705C}">
      <dsp:nvSpPr>
        <dsp:cNvPr id="0" name=""/>
        <dsp:cNvSpPr/>
      </dsp:nvSpPr>
      <dsp:spPr>
        <a:xfrm rot="5400000">
          <a:off x="-89425" y="642748"/>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Process</a:t>
          </a:r>
        </a:p>
      </dsp:txBody>
      <dsp:txXfrm rot="-5400000">
        <a:off x="1" y="761982"/>
        <a:ext cx="417317" cy="178851"/>
      </dsp:txXfrm>
    </dsp:sp>
    <dsp:sp modelId="{E2281467-359B-4EA9-8F27-A0C0F2586953}">
      <dsp:nvSpPr>
        <dsp:cNvPr id="0" name=""/>
        <dsp:cNvSpPr/>
      </dsp:nvSpPr>
      <dsp:spPr>
        <a:xfrm rot="5400000">
          <a:off x="1700194" y="-761996"/>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Colouring</a:t>
          </a:r>
        </a:p>
      </dsp:txBody>
      <dsp:txXfrm rot="-5400000">
        <a:off x="417318" y="539797"/>
        <a:ext cx="2934345" cy="349675"/>
      </dsp:txXfrm>
    </dsp:sp>
    <dsp:sp modelId="{C08837E2-EB3C-4CBE-94E4-3DF4FC204087}">
      <dsp:nvSpPr>
        <dsp:cNvPr id="0" name=""/>
        <dsp:cNvSpPr/>
      </dsp:nvSpPr>
      <dsp:spPr>
        <a:xfrm rot="5400000">
          <a:off x="-89425" y="1131129"/>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Process</a:t>
          </a:r>
        </a:p>
      </dsp:txBody>
      <dsp:txXfrm rot="-5400000">
        <a:off x="1" y="1250363"/>
        <a:ext cx="417317" cy="178851"/>
      </dsp:txXfrm>
    </dsp:sp>
    <dsp:sp modelId="{97364F79-39F7-4897-B402-B99230E833FF}">
      <dsp:nvSpPr>
        <dsp:cNvPr id="0" name=""/>
        <dsp:cNvSpPr/>
      </dsp:nvSpPr>
      <dsp:spPr>
        <a:xfrm rot="5400000">
          <a:off x="1700194" y="-241172"/>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Secondary coating</a:t>
          </a:r>
        </a:p>
      </dsp:txBody>
      <dsp:txXfrm rot="-5400000">
        <a:off x="417318" y="1060621"/>
        <a:ext cx="2934345" cy="349675"/>
      </dsp:txXfrm>
    </dsp:sp>
    <dsp:sp modelId="{52C9ACFE-0259-463A-B8CB-EDB425CD8BD5}">
      <dsp:nvSpPr>
        <dsp:cNvPr id="0" name=""/>
        <dsp:cNvSpPr/>
      </dsp:nvSpPr>
      <dsp:spPr>
        <a:xfrm rot="5400000">
          <a:off x="-89425" y="1651953"/>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Process</a:t>
          </a:r>
        </a:p>
      </dsp:txBody>
      <dsp:txXfrm rot="-5400000">
        <a:off x="1" y="1771187"/>
        <a:ext cx="417317" cy="178851"/>
      </dsp:txXfrm>
    </dsp:sp>
    <dsp:sp modelId="{65C152AF-5719-4F7C-A5EC-A16F5396EB8F}">
      <dsp:nvSpPr>
        <dsp:cNvPr id="0" name=""/>
        <dsp:cNvSpPr/>
      </dsp:nvSpPr>
      <dsp:spPr>
        <a:xfrm rot="5400000">
          <a:off x="1700194" y="279651"/>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Cable assembling</a:t>
          </a:r>
        </a:p>
      </dsp:txBody>
      <dsp:txXfrm rot="-5400000">
        <a:off x="417318" y="1581445"/>
        <a:ext cx="2934345" cy="349675"/>
      </dsp:txXfrm>
    </dsp:sp>
    <dsp:sp modelId="{810090DA-3D1B-4B30-BCF1-84940376A01C}">
      <dsp:nvSpPr>
        <dsp:cNvPr id="0" name=""/>
        <dsp:cNvSpPr/>
      </dsp:nvSpPr>
      <dsp:spPr>
        <a:xfrm rot="5400000">
          <a:off x="-89425" y="2172777"/>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Process</a:t>
          </a:r>
        </a:p>
      </dsp:txBody>
      <dsp:txXfrm rot="-5400000">
        <a:off x="1" y="2292011"/>
        <a:ext cx="417317" cy="178851"/>
      </dsp:txXfrm>
    </dsp:sp>
    <dsp:sp modelId="{F85D97FE-9D31-4186-9426-69FBE4840822}">
      <dsp:nvSpPr>
        <dsp:cNvPr id="0" name=""/>
        <dsp:cNvSpPr/>
      </dsp:nvSpPr>
      <dsp:spPr>
        <a:xfrm rot="5400000">
          <a:off x="1700194" y="800475"/>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Sheathing or armouring</a:t>
          </a:r>
        </a:p>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Outer sheathing</a:t>
          </a:r>
        </a:p>
      </dsp:txBody>
      <dsp:txXfrm rot="-5400000">
        <a:off x="417318" y="2102269"/>
        <a:ext cx="2934345" cy="349675"/>
      </dsp:txXfrm>
    </dsp:sp>
    <dsp:sp modelId="{271D136D-E935-4E5E-9792-987FD5C38B40}">
      <dsp:nvSpPr>
        <dsp:cNvPr id="0" name=""/>
        <dsp:cNvSpPr/>
      </dsp:nvSpPr>
      <dsp:spPr>
        <a:xfrm rot="5400000">
          <a:off x="-89425" y="2693600"/>
          <a:ext cx="596168" cy="417317"/>
        </a:xfrm>
        <a:prstGeom prst="chevron">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solidFill>
                <a:sysClr val="windowText" lastClr="000000">
                  <a:hueOff val="0"/>
                  <a:satOff val="0"/>
                  <a:lumOff val="0"/>
                  <a:alphaOff val="0"/>
                </a:sysClr>
              </a:solidFill>
              <a:latin typeface="Calibri"/>
              <a:ea typeface="+mn-ea"/>
              <a:cs typeface="+mn-cs"/>
            </a:rPr>
            <a:t>Process</a:t>
          </a:r>
        </a:p>
      </dsp:txBody>
      <dsp:txXfrm rot="-5400000">
        <a:off x="1" y="2812834"/>
        <a:ext cx="417317" cy="178851"/>
      </dsp:txXfrm>
    </dsp:sp>
    <dsp:sp modelId="{9A5B0334-1129-433C-902B-E8E44BA2739A}">
      <dsp:nvSpPr>
        <dsp:cNvPr id="0" name=""/>
        <dsp:cNvSpPr/>
      </dsp:nvSpPr>
      <dsp:spPr>
        <a:xfrm rot="5400000">
          <a:off x="1700194" y="1321299"/>
          <a:ext cx="387509" cy="2953262"/>
        </a:xfrm>
        <a:prstGeom prst="round2SameRect">
          <a:avLst/>
        </a:prstGeom>
        <a:solidFill>
          <a:sysClr val="window" lastClr="FFFFFF">
            <a:alpha val="90000"/>
          </a:sysClr>
        </a:solidFill>
        <a:ln w="25400" cap="flat" cmpd="sng" algn="ctr">
          <a:solidFill>
            <a:sysClr val="windowText" lastClr="000000">
              <a:hueOff val="0"/>
              <a:satOff val="0"/>
              <a:lumOff val="0"/>
              <a:alphaOff val="0"/>
            </a:sys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Inspection and stocking for dispatch</a:t>
          </a:r>
        </a:p>
      </dsp:txBody>
      <dsp:txXfrm rot="-5400000">
        <a:off x="417318" y="2623093"/>
        <a:ext cx="2934345" cy="3496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CC17F-6971-437F-9632-4A57B974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2015-03-04T20:34:00Z</cp:lastPrinted>
  <dcterms:created xsi:type="dcterms:W3CDTF">2019-01-18T18:36:00Z</dcterms:created>
  <dcterms:modified xsi:type="dcterms:W3CDTF">2019-02-11T20:59:00Z</dcterms:modified>
</cp:coreProperties>
</file>