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5A4A35" w14:paraId="50B77E2F" w14:textId="77777777" w:rsidTr="006D13C8">
        <w:tc>
          <w:tcPr>
            <w:tcW w:w="4680" w:type="dxa"/>
            <w:shd w:val="clear" w:color="auto" w:fill="auto"/>
          </w:tcPr>
          <w:p w14:paraId="1B4BF8C6" w14:textId="77777777" w:rsidR="005A4A35" w:rsidRPr="00183661" w:rsidRDefault="005A4A35" w:rsidP="006D13C8">
            <w:pPr>
              <w:pStyle w:val="Casehead2"/>
            </w:pPr>
            <w:r w:rsidRPr="00A9392E">
              <w:rPr>
                <w:noProof/>
                <w:lang w:val="en-US"/>
              </w:rPr>
              <w:drawing>
                <wp:inline distT="0" distB="0" distL="0" distR="0" wp14:anchorId="357F65C8" wp14:editId="73708032">
                  <wp:extent cx="2616200" cy="54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4C9379E1" w14:textId="77777777" w:rsidR="005A4A35" w:rsidRPr="00183661" w:rsidRDefault="005A4A35" w:rsidP="006D13C8">
            <w:pPr>
              <w:tabs>
                <w:tab w:val="left" w:pos="-1440"/>
                <w:tab w:val="left" w:pos="-720"/>
                <w:tab w:val="left" w:pos="1"/>
              </w:tabs>
              <w:jc w:val="right"/>
              <w:rPr>
                <w:rFonts w:ascii="Arial" w:hAnsi="Arial" w:cs="Calibri"/>
                <w:b/>
                <w:sz w:val="24"/>
              </w:rPr>
            </w:pPr>
            <w:r>
              <w:rPr>
                <w:noProof/>
                <w:lang w:val="en-US"/>
              </w:rPr>
              <mc:AlternateContent>
                <mc:Choice Requires="wpc">
                  <w:drawing>
                    <wp:inline distT="0" distB="0" distL="0" distR="0" wp14:anchorId="3DF2F680" wp14:editId="2CE75B8D">
                      <wp:extent cx="2063115" cy="431800"/>
                      <wp:effectExtent l="38100" t="76200" r="127635" b="25400"/>
                      <wp:docPr id="50"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9" name="Picture 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CC84D54"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F1DzEAAAA2wAAAA8AAABkcnMvZG93bnJldi54bWxEj0FrAjEUhO+F/ofwCt5q1lpb3RpFBUHw&#10;5Nbq9bF5Zhc3L2ETdeuvbwqFHoeZ+YaZzjvbiCu1oXasYNDPQBCXTtdsFOw/189jECEia2wck4Jv&#10;CjCfPT5MMdfuxju6FtGIBOGQo4IqRp9LGcqKLIa+88TJO7nWYkyyNVK3eEtw28iXLHuTFmtOCxV6&#10;WlVUnouLVWD258N9t6iXh+5rcCyG76OtN16p3lO3+AARqYv/4b/2Rit4ncDvl/Q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F1DzEAAAA2wAAAA8AAAAAAAAAAAAAAAAA&#10;nwIAAGRycy9kb3ducmV2LnhtbFBLBQYAAAAABAAEAPcAAACQAwAAAAA=&#10;">
                        <v:imagedata r:id="rId10" o:title="" grayscale="t"/>
                      </v:shape>
                      <w10:anchorlock/>
                    </v:group>
                  </w:pict>
                </mc:Fallback>
              </mc:AlternateContent>
            </w:r>
          </w:p>
        </w:tc>
      </w:tr>
    </w:tbl>
    <w:p w14:paraId="2A70BBEC" w14:textId="77777777" w:rsidR="005A4A35" w:rsidRPr="005D12A3" w:rsidRDefault="005A4A35" w:rsidP="005A4A35">
      <w:pPr>
        <w:pBdr>
          <w:bottom w:val="single" w:sz="18" w:space="1" w:color="auto"/>
        </w:pBdr>
        <w:tabs>
          <w:tab w:val="left" w:pos="-1440"/>
          <w:tab w:val="left" w:pos="-720"/>
          <w:tab w:val="left" w:pos="1"/>
        </w:tabs>
        <w:jc w:val="both"/>
        <w:rPr>
          <w:rFonts w:ascii="Arial" w:hAnsi="Arial"/>
          <w:b/>
          <w:sz w:val="2"/>
          <w:szCs w:val="2"/>
        </w:rPr>
      </w:pPr>
    </w:p>
    <w:p w14:paraId="41E62753" w14:textId="5085ABAC" w:rsidR="005A4A35" w:rsidRPr="00BE5FBB" w:rsidRDefault="004C49E6" w:rsidP="005A4A35">
      <w:pPr>
        <w:pStyle w:val="ProductNumber"/>
        <w:rPr>
          <w:lang w:val="en-US"/>
        </w:rPr>
      </w:pPr>
      <w:r>
        <w:rPr>
          <w:lang w:val="en-US"/>
        </w:rPr>
        <w:t>9B19N005</w:t>
      </w:r>
    </w:p>
    <w:p w14:paraId="152CE130" w14:textId="77777777" w:rsidR="00D75295" w:rsidRPr="006E7D8F" w:rsidRDefault="00D75295" w:rsidP="00D75295">
      <w:pPr>
        <w:jc w:val="right"/>
        <w:rPr>
          <w:rFonts w:ascii="Arial" w:hAnsi="Arial"/>
          <w:b/>
          <w:sz w:val="28"/>
          <w:szCs w:val="28"/>
        </w:rPr>
      </w:pPr>
    </w:p>
    <w:p w14:paraId="75C79E3D" w14:textId="77777777" w:rsidR="00013360" w:rsidRPr="006E7D8F" w:rsidRDefault="00013360" w:rsidP="00D75295">
      <w:pPr>
        <w:jc w:val="right"/>
        <w:rPr>
          <w:rFonts w:ascii="Arial" w:hAnsi="Arial"/>
          <w:b/>
          <w:sz w:val="28"/>
          <w:szCs w:val="28"/>
        </w:rPr>
      </w:pPr>
    </w:p>
    <w:p w14:paraId="060E8605" w14:textId="29FFC1BC" w:rsidR="00013360" w:rsidRPr="006E7D8F" w:rsidRDefault="00F9623D" w:rsidP="00013360">
      <w:pPr>
        <w:pStyle w:val="CaseTitle"/>
        <w:spacing w:after="0" w:line="240" w:lineRule="auto"/>
        <w:rPr>
          <w:sz w:val="20"/>
          <w:szCs w:val="20"/>
        </w:rPr>
      </w:pPr>
      <w:r w:rsidRPr="006E7D8F">
        <w:rPr>
          <w:rFonts w:eastAsia="Arial"/>
        </w:rPr>
        <w:t>Catholic Syrian Bank: Valuing a Majority Stake in a Commercial Bank</w:t>
      </w:r>
      <w:r w:rsidR="00D97A03">
        <w:rPr>
          <w:rStyle w:val="EndnoteReference"/>
          <w:rFonts w:eastAsia="Arial"/>
        </w:rPr>
        <w:endnoteReference w:id="1"/>
      </w:r>
    </w:p>
    <w:p w14:paraId="76382B08" w14:textId="77777777" w:rsidR="00CA3976" w:rsidRPr="006E7D8F" w:rsidRDefault="00CA3976" w:rsidP="00013360">
      <w:pPr>
        <w:pStyle w:val="CaseTitle"/>
        <w:spacing w:after="0" w:line="240" w:lineRule="auto"/>
        <w:rPr>
          <w:sz w:val="20"/>
          <w:szCs w:val="20"/>
        </w:rPr>
      </w:pPr>
    </w:p>
    <w:p w14:paraId="63D7BB1B" w14:textId="77777777" w:rsidR="00013360" w:rsidRPr="006E7D8F" w:rsidRDefault="00013360" w:rsidP="00013360">
      <w:pPr>
        <w:pStyle w:val="CaseTitle"/>
        <w:spacing w:after="0" w:line="240" w:lineRule="auto"/>
        <w:rPr>
          <w:sz w:val="20"/>
          <w:szCs w:val="20"/>
        </w:rPr>
      </w:pPr>
    </w:p>
    <w:p w14:paraId="6631D58B" w14:textId="77777777" w:rsidR="00086B26" w:rsidRPr="006E7D8F" w:rsidRDefault="001131E6" w:rsidP="00086B26">
      <w:pPr>
        <w:pStyle w:val="StyleCopyrightStatementAfter0ptBottomSinglesolidline1"/>
      </w:pPr>
      <w:r w:rsidRPr="006E7D8F">
        <w:rPr>
          <w:rFonts w:cs="Arial"/>
          <w:szCs w:val="16"/>
        </w:rPr>
        <w:t>S</w:t>
      </w:r>
      <w:r w:rsidR="000218DF" w:rsidRPr="006E7D8F">
        <w:rPr>
          <w:rFonts w:cs="Arial"/>
          <w:szCs w:val="16"/>
        </w:rPr>
        <w:t>.</w:t>
      </w:r>
      <w:r w:rsidRPr="006E7D8F">
        <w:rPr>
          <w:rFonts w:cs="Arial"/>
          <w:szCs w:val="16"/>
        </w:rPr>
        <w:t xml:space="preserve"> </w:t>
      </w:r>
      <w:proofErr w:type="spellStart"/>
      <w:r w:rsidRPr="006E7D8F">
        <w:rPr>
          <w:rFonts w:cs="Arial"/>
          <w:szCs w:val="16"/>
        </w:rPr>
        <w:t>Veena</w:t>
      </w:r>
      <w:proofErr w:type="spellEnd"/>
      <w:r w:rsidRPr="006E7D8F">
        <w:rPr>
          <w:rFonts w:cs="Arial"/>
          <w:szCs w:val="16"/>
        </w:rPr>
        <w:t xml:space="preserve"> </w:t>
      </w:r>
      <w:proofErr w:type="spellStart"/>
      <w:r w:rsidRPr="006E7D8F">
        <w:rPr>
          <w:rFonts w:cs="Arial"/>
          <w:szCs w:val="16"/>
        </w:rPr>
        <w:t>Iyer</w:t>
      </w:r>
      <w:proofErr w:type="spellEnd"/>
      <w:r w:rsidR="00ED7922" w:rsidRPr="006E7D8F">
        <w:rPr>
          <w:rFonts w:cs="Arial"/>
          <w:szCs w:val="16"/>
        </w:rPr>
        <w:t xml:space="preserve"> </w:t>
      </w:r>
      <w:r w:rsidR="00086B26" w:rsidRPr="006E7D8F">
        <w:t>wrote this case solely to provide material for class discussion. The author do</w:t>
      </w:r>
      <w:r w:rsidRPr="006E7D8F">
        <w:t>es</w:t>
      </w:r>
      <w:r w:rsidR="00086B26" w:rsidRPr="006E7D8F">
        <w:t xml:space="preserve"> not intend to illustrate either effective or ineffective handling of a managerial situation. The author may have disguised certain names and other identifying information to protect confidentiality.</w:t>
      </w:r>
    </w:p>
    <w:p w14:paraId="20DA346D" w14:textId="77777777" w:rsidR="00086B26" w:rsidRPr="006E7D8F" w:rsidRDefault="00086B26" w:rsidP="00086B26">
      <w:pPr>
        <w:pStyle w:val="StyleCopyrightStatementAfter0ptBottomSinglesolidline1"/>
      </w:pPr>
    </w:p>
    <w:p w14:paraId="6E1A07E5" w14:textId="77777777" w:rsidR="00887A6D" w:rsidRPr="006E7D8F" w:rsidRDefault="00887A6D" w:rsidP="00887A6D">
      <w:pPr>
        <w:pStyle w:val="StyleStyleCopyrightStatementAfter0ptBottomSinglesolid"/>
      </w:pPr>
      <w:r w:rsidRPr="006E7D8F">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i1v2e5y5pubs</w:t>
      </w:r>
    </w:p>
    <w:p w14:paraId="77ADD546" w14:textId="77777777" w:rsidR="00887A6D" w:rsidRPr="006E7D8F" w:rsidRDefault="00887A6D" w:rsidP="00887A6D">
      <w:pPr>
        <w:pStyle w:val="StyleStyleCopyrightStatementAfter0ptBottomSinglesolid"/>
      </w:pPr>
    </w:p>
    <w:p w14:paraId="62DBCCA6" w14:textId="6A93B2E3" w:rsidR="00751E0B" w:rsidRPr="006E7D8F" w:rsidRDefault="005A4A35" w:rsidP="00887A6D">
      <w:pPr>
        <w:pStyle w:val="StyleStyleCopyrightStatementAfter0ptBottomSinglesolid"/>
        <w:rPr>
          <w:rFonts w:cs="Arial"/>
          <w:szCs w:val="16"/>
        </w:rPr>
      </w:pPr>
      <w:r w:rsidRPr="003C00BC">
        <w:rPr>
          <w:spacing w:val="-6"/>
        </w:rPr>
        <w:t>Copyright © 20</w:t>
      </w:r>
      <w:r>
        <w:rPr>
          <w:spacing w:val="-6"/>
        </w:rPr>
        <w:t>19</w:t>
      </w:r>
      <w:r w:rsidRPr="003C00BC">
        <w:rPr>
          <w:spacing w:val="-6"/>
        </w:rPr>
        <w:t>, Management Development Institute Gurgaon and Ivey School of Business Foundation</w:t>
      </w:r>
      <w:r>
        <w:tab/>
        <w:t>Version: 2019-03-</w:t>
      </w:r>
      <w:r w:rsidR="00D97A03">
        <w:t>14</w:t>
      </w:r>
      <w:bookmarkStart w:id="0" w:name="_GoBack"/>
      <w:bookmarkEnd w:id="0"/>
    </w:p>
    <w:p w14:paraId="2546DDA3" w14:textId="77777777" w:rsidR="00751E0B" w:rsidRPr="006E7D8F" w:rsidRDefault="00751E0B" w:rsidP="003C1683">
      <w:pPr>
        <w:pStyle w:val="StyleCopyrightStatementAfter0ptBottomSinglesolidline1"/>
        <w:pBdr>
          <w:top w:val="single" w:sz="8" w:space="6" w:color="auto"/>
        </w:pBdr>
        <w:rPr>
          <w:rFonts w:ascii="Times New Roman" w:hAnsi="Times New Roman"/>
          <w:sz w:val="20"/>
        </w:rPr>
      </w:pPr>
    </w:p>
    <w:p w14:paraId="2AB18E2F" w14:textId="77777777" w:rsidR="00B87DC0" w:rsidRPr="006E7D8F" w:rsidRDefault="00B87DC0" w:rsidP="003C1683">
      <w:pPr>
        <w:pStyle w:val="StyleCopyrightStatementAfter0ptBottomSinglesolidline1"/>
        <w:pBdr>
          <w:top w:val="single" w:sz="8" w:space="6" w:color="auto"/>
        </w:pBdr>
        <w:rPr>
          <w:rFonts w:ascii="Times New Roman" w:hAnsi="Times New Roman"/>
          <w:sz w:val="20"/>
        </w:rPr>
      </w:pPr>
    </w:p>
    <w:p w14:paraId="78A85DFD" w14:textId="5AD2CC50" w:rsidR="00063B81" w:rsidRPr="006E7D8F" w:rsidRDefault="00AB1BBB" w:rsidP="001131E6">
      <w:pPr>
        <w:pStyle w:val="BodyTextMain"/>
        <w:rPr>
          <w:rFonts w:eastAsiaTheme="minorHAnsi"/>
        </w:rPr>
      </w:pPr>
      <w:r w:rsidRPr="006E7D8F">
        <w:rPr>
          <w:rFonts w:eastAsiaTheme="minorHAnsi"/>
        </w:rPr>
        <w:t xml:space="preserve">The </w:t>
      </w:r>
      <w:r w:rsidR="001131E6" w:rsidRPr="006E7D8F">
        <w:rPr>
          <w:rFonts w:eastAsiaTheme="minorHAnsi"/>
        </w:rPr>
        <w:t xml:space="preserve">Catholic Syrian Bank </w:t>
      </w:r>
      <w:r w:rsidRPr="006E7D8F">
        <w:rPr>
          <w:rFonts w:eastAsiaTheme="minorHAnsi"/>
        </w:rPr>
        <w:t xml:space="preserve">Limited </w:t>
      </w:r>
      <w:r w:rsidR="001131E6" w:rsidRPr="006E7D8F">
        <w:rPr>
          <w:rFonts w:eastAsiaTheme="minorHAnsi"/>
        </w:rPr>
        <w:t>(CSB), a regional player in the Indian commercial banking industry, was urgently looking to raise capital. It was December 2017</w:t>
      </w:r>
      <w:r w:rsidR="000D2707">
        <w:rPr>
          <w:rFonts w:eastAsiaTheme="minorHAnsi"/>
        </w:rPr>
        <w:t>,</w:t>
      </w:r>
      <w:r w:rsidR="001131E6" w:rsidRPr="006E7D8F">
        <w:rPr>
          <w:rFonts w:eastAsiaTheme="minorHAnsi"/>
        </w:rPr>
        <w:t xml:space="preserve"> and the </w:t>
      </w:r>
      <w:r w:rsidR="009F19D7" w:rsidRPr="006E7D8F">
        <w:rPr>
          <w:rFonts w:eastAsiaTheme="minorHAnsi"/>
        </w:rPr>
        <w:t xml:space="preserve">recently declared </w:t>
      </w:r>
      <w:r w:rsidR="001131E6" w:rsidRPr="006E7D8F">
        <w:rPr>
          <w:rFonts w:eastAsiaTheme="minorHAnsi"/>
        </w:rPr>
        <w:t xml:space="preserve">half yearly results of </w:t>
      </w:r>
      <w:r w:rsidR="009F19D7" w:rsidRPr="006E7D8F">
        <w:rPr>
          <w:rFonts w:eastAsiaTheme="minorHAnsi"/>
        </w:rPr>
        <w:t xml:space="preserve">fiscal </w:t>
      </w:r>
      <w:r w:rsidR="001131E6" w:rsidRPr="006E7D8F">
        <w:rPr>
          <w:rFonts w:eastAsiaTheme="minorHAnsi"/>
        </w:rPr>
        <w:t xml:space="preserve">year </w:t>
      </w:r>
      <w:r w:rsidR="009F704E" w:rsidRPr="006E7D8F">
        <w:rPr>
          <w:rFonts w:eastAsiaTheme="minorHAnsi"/>
        </w:rPr>
        <w:t xml:space="preserve">(FY) </w:t>
      </w:r>
      <w:r w:rsidR="001131E6" w:rsidRPr="006E7D8F">
        <w:rPr>
          <w:rFonts w:eastAsiaTheme="minorHAnsi"/>
        </w:rPr>
        <w:t>2017</w:t>
      </w:r>
      <w:r w:rsidR="009F19D7" w:rsidRPr="006E7D8F">
        <w:rPr>
          <w:rFonts w:eastAsiaTheme="minorHAnsi"/>
        </w:rPr>
        <w:t>/</w:t>
      </w:r>
      <w:r w:rsidR="001131E6" w:rsidRPr="006E7D8F">
        <w:rPr>
          <w:rFonts w:eastAsiaTheme="minorHAnsi"/>
        </w:rPr>
        <w:t xml:space="preserve">18 were not encouraging. The </w:t>
      </w:r>
      <w:r w:rsidR="00894653" w:rsidRPr="006E7D8F">
        <w:rPr>
          <w:rFonts w:eastAsiaTheme="minorHAnsi"/>
        </w:rPr>
        <w:t xml:space="preserve">bank’s </w:t>
      </w:r>
      <w:r w:rsidR="001131E6" w:rsidRPr="006E7D8F">
        <w:rPr>
          <w:rFonts w:eastAsiaTheme="minorHAnsi"/>
        </w:rPr>
        <w:t>chairman</w:t>
      </w:r>
      <w:r w:rsidR="00894653" w:rsidRPr="006E7D8F">
        <w:rPr>
          <w:rFonts w:eastAsiaTheme="minorHAnsi"/>
        </w:rPr>
        <w:t xml:space="preserve">, </w:t>
      </w:r>
      <w:r w:rsidR="000D2707">
        <w:rPr>
          <w:rFonts w:eastAsiaTheme="minorHAnsi"/>
        </w:rPr>
        <w:t xml:space="preserve">T. S. </w:t>
      </w:r>
      <w:proofErr w:type="spellStart"/>
      <w:r w:rsidR="00894653" w:rsidRPr="006E7D8F">
        <w:rPr>
          <w:rFonts w:eastAsiaTheme="minorHAnsi"/>
        </w:rPr>
        <w:t>Anantharaman</w:t>
      </w:r>
      <w:proofErr w:type="spellEnd"/>
      <w:r w:rsidR="00894653" w:rsidRPr="006E7D8F">
        <w:rPr>
          <w:rFonts w:eastAsiaTheme="minorHAnsi"/>
        </w:rPr>
        <w:t>,</w:t>
      </w:r>
      <w:r w:rsidR="001131E6" w:rsidRPr="006E7D8F">
        <w:rPr>
          <w:rFonts w:eastAsiaTheme="minorHAnsi"/>
        </w:rPr>
        <w:t xml:space="preserve"> had </w:t>
      </w:r>
      <w:r w:rsidR="00652FA6" w:rsidRPr="006E7D8F">
        <w:rPr>
          <w:rFonts w:eastAsiaTheme="minorHAnsi"/>
        </w:rPr>
        <w:t xml:space="preserve">said </w:t>
      </w:r>
      <w:r w:rsidR="009F19D7" w:rsidRPr="006E7D8F">
        <w:rPr>
          <w:rFonts w:eastAsiaTheme="minorHAnsi"/>
        </w:rPr>
        <w:t xml:space="preserve">a </w:t>
      </w:r>
      <w:r w:rsidR="001131E6" w:rsidRPr="006E7D8F">
        <w:rPr>
          <w:rFonts w:eastAsiaTheme="minorHAnsi"/>
        </w:rPr>
        <w:t xml:space="preserve">couple of months </w:t>
      </w:r>
      <w:r w:rsidR="009F19D7" w:rsidRPr="006E7D8F">
        <w:rPr>
          <w:rFonts w:eastAsiaTheme="minorHAnsi"/>
        </w:rPr>
        <w:t xml:space="preserve">earlier </w:t>
      </w:r>
      <w:r w:rsidR="001131E6" w:rsidRPr="006E7D8F">
        <w:rPr>
          <w:rFonts w:eastAsiaTheme="minorHAnsi"/>
        </w:rPr>
        <w:t xml:space="preserve">that the bank needed </w:t>
      </w:r>
      <w:r w:rsidR="00652FA6" w:rsidRPr="006E7D8F">
        <w:rPr>
          <w:rFonts w:eastAsiaTheme="minorHAnsi"/>
        </w:rPr>
        <w:t xml:space="preserve">a </w:t>
      </w:r>
      <w:r w:rsidR="001131E6" w:rsidRPr="006E7D8F">
        <w:rPr>
          <w:rFonts w:eastAsiaTheme="minorHAnsi"/>
        </w:rPr>
        <w:t xml:space="preserve">capital infusion of </w:t>
      </w:r>
      <w:r w:rsidR="009F19D7" w:rsidRPr="00D97A03">
        <w:rPr>
          <w:rFonts w:eastAsiaTheme="minorHAnsi"/>
          <w:sz w:val="20"/>
          <w:szCs w:val="20"/>
        </w:rPr>
        <w:t>₹</w:t>
      </w:r>
      <w:r w:rsidR="001131E6" w:rsidRPr="006E7D8F">
        <w:rPr>
          <w:rFonts w:eastAsiaTheme="minorHAnsi"/>
        </w:rPr>
        <w:t>4</w:t>
      </w:r>
      <w:r w:rsidR="009F19D7" w:rsidRPr="006E7D8F">
        <w:rPr>
          <w:rFonts w:eastAsiaTheme="minorHAnsi"/>
        </w:rPr>
        <w:t>–</w:t>
      </w:r>
      <w:r w:rsidR="001131E6" w:rsidRPr="006E7D8F">
        <w:rPr>
          <w:rFonts w:eastAsiaTheme="minorHAnsi"/>
        </w:rPr>
        <w:t>6 billion</w:t>
      </w:r>
      <w:r w:rsidR="00063B81" w:rsidRPr="006E7D8F">
        <w:rPr>
          <w:rStyle w:val="EndnoteReference"/>
          <w:rFonts w:eastAsiaTheme="minorHAnsi"/>
        </w:rPr>
        <w:endnoteReference w:id="2"/>
      </w:r>
      <w:r w:rsidR="00063B81" w:rsidRPr="006E7D8F">
        <w:rPr>
          <w:rFonts w:eastAsiaTheme="minorHAnsi"/>
        </w:rPr>
        <w:t xml:space="preserve"> by December 2017 through private placement. The bank would then aim for an initial public offering (IPO) about three years later, once the bank had achieved consistent profitability.</w:t>
      </w:r>
      <w:r w:rsidR="00063B81" w:rsidRPr="006E7D8F">
        <w:rPr>
          <w:rStyle w:val="EndnoteReference"/>
          <w:rFonts w:eastAsiaTheme="minorHAnsi"/>
        </w:rPr>
        <w:endnoteReference w:id="3"/>
      </w:r>
    </w:p>
    <w:p w14:paraId="6E2AA699" w14:textId="77777777" w:rsidR="00063B81" w:rsidRPr="006E7D8F" w:rsidRDefault="00063B81" w:rsidP="001131E6">
      <w:pPr>
        <w:pStyle w:val="BodyTextMain"/>
        <w:rPr>
          <w:rFonts w:eastAsiaTheme="minorHAnsi"/>
        </w:rPr>
      </w:pPr>
    </w:p>
    <w:p w14:paraId="754626CD" w14:textId="63F4EDF4" w:rsidR="00063B81" w:rsidRPr="006E7D8F" w:rsidRDefault="00063B81" w:rsidP="001131E6">
      <w:pPr>
        <w:pStyle w:val="BodyTextMain"/>
        <w:rPr>
          <w:rFonts w:eastAsiaTheme="minorHAnsi"/>
          <w:spacing w:val="-4"/>
        </w:rPr>
      </w:pPr>
      <w:r w:rsidRPr="006E7D8F">
        <w:rPr>
          <w:rFonts w:eastAsiaTheme="minorHAnsi"/>
          <w:spacing w:val="-4"/>
        </w:rPr>
        <w:t xml:space="preserve">Less than a year earlier, Canada’s Fairfax Financial Holdings Limited (Fairfax) had evinced interest in a stake in </w:t>
      </w:r>
      <w:r>
        <w:rPr>
          <w:rFonts w:eastAsiaTheme="minorHAnsi"/>
          <w:spacing w:val="-4"/>
        </w:rPr>
        <w:t xml:space="preserve">the </w:t>
      </w:r>
      <w:r w:rsidRPr="006E7D8F">
        <w:rPr>
          <w:rFonts w:eastAsiaTheme="minorHAnsi"/>
          <w:spacing w:val="-4"/>
        </w:rPr>
        <w:t xml:space="preserve">CSB. </w:t>
      </w:r>
      <w:bookmarkStart w:id="1" w:name="_Hlk2842436"/>
      <w:r w:rsidRPr="006E7D8F">
        <w:rPr>
          <w:rFonts w:eastAsiaTheme="minorHAnsi"/>
          <w:spacing w:val="-4"/>
        </w:rPr>
        <w:t>The Reserve Bank of India (RBI)</w:t>
      </w:r>
      <w:bookmarkEnd w:id="1"/>
      <w:r w:rsidRPr="006E7D8F">
        <w:rPr>
          <w:rFonts w:eastAsiaTheme="minorHAnsi"/>
          <w:spacing w:val="-4"/>
        </w:rPr>
        <w:t xml:space="preserve">, the Indian regulator of banks, had given its approval, but by June 2017, talks between the parties had fallen through on valuation issues. The business media carried contradicting reports on the offer made by Fairfax. Reports ranged from an equity valuation of </w:t>
      </w:r>
      <w:r w:rsidRPr="00D97A03">
        <w:rPr>
          <w:rFonts w:ascii="Tahoma" w:eastAsiaTheme="minorHAnsi" w:hAnsi="Tahoma" w:cs="Tahoma"/>
          <w:spacing w:val="-4"/>
          <w:sz w:val="20"/>
          <w:szCs w:val="20"/>
        </w:rPr>
        <w:t>₹</w:t>
      </w:r>
      <w:r w:rsidRPr="006E7D8F">
        <w:rPr>
          <w:rFonts w:eastAsiaTheme="minorHAnsi"/>
          <w:spacing w:val="-4"/>
        </w:rPr>
        <w:t xml:space="preserve">60 to </w:t>
      </w:r>
      <w:r w:rsidRPr="006E7D8F">
        <w:rPr>
          <w:rFonts w:eastAsiaTheme="minorHAnsi"/>
          <w:spacing w:val="-4"/>
          <w:sz w:val="20"/>
          <w:szCs w:val="20"/>
        </w:rPr>
        <w:t>₹</w:t>
      </w:r>
      <w:r w:rsidRPr="006E7D8F">
        <w:rPr>
          <w:rFonts w:eastAsiaTheme="minorHAnsi"/>
          <w:spacing w:val="-4"/>
        </w:rPr>
        <w:t>100 per share,</w:t>
      </w:r>
      <w:r w:rsidRPr="006E7D8F">
        <w:rPr>
          <w:rStyle w:val="EndnoteReference"/>
          <w:rFonts w:eastAsiaTheme="minorHAnsi"/>
          <w:spacing w:val="-4"/>
        </w:rPr>
        <w:endnoteReference w:id="4"/>
      </w:r>
      <w:r w:rsidRPr="006E7D8F">
        <w:rPr>
          <w:rFonts w:eastAsiaTheme="minorHAnsi"/>
          <w:spacing w:val="-4"/>
        </w:rPr>
        <w:t xml:space="preserve"> and from an equity valuation of </w:t>
      </w:r>
      <w:r w:rsidRPr="006E7D8F">
        <w:rPr>
          <w:rFonts w:eastAsiaTheme="minorHAnsi"/>
          <w:spacing w:val="-4"/>
          <w:sz w:val="20"/>
          <w:szCs w:val="20"/>
        </w:rPr>
        <w:t>₹</w:t>
      </w:r>
      <w:r w:rsidRPr="006E7D8F">
        <w:rPr>
          <w:rFonts w:eastAsiaTheme="minorHAnsi"/>
          <w:spacing w:val="-4"/>
        </w:rPr>
        <w:t>10 billion for the bank</w:t>
      </w:r>
      <w:r w:rsidRPr="006E7D8F">
        <w:rPr>
          <w:rStyle w:val="EndnoteReference"/>
          <w:rFonts w:eastAsiaTheme="minorHAnsi"/>
          <w:spacing w:val="-4"/>
        </w:rPr>
        <w:endnoteReference w:id="5"/>
      </w:r>
      <w:r w:rsidRPr="006E7D8F">
        <w:rPr>
          <w:rFonts w:eastAsiaTheme="minorHAnsi"/>
          <w:spacing w:val="-4"/>
        </w:rPr>
        <w:t xml:space="preserve"> to </w:t>
      </w:r>
      <w:r w:rsidRPr="006E7D8F">
        <w:rPr>
          <w:rFonts w:eastAsiaTheme="minorHAnsi"/>
          <w:spacing w:val="-4"/>
          <w:sz w:val="20"/>
          <w:szCs w:val="20"/>
        </w:rPr>
        <w:t>₹</w:t>
      </w:r>
      <w:r w:rsidRPr="006E7D8F">
        <w:rPr>
          <w:rFonts w:eastAsiaTheme="minorHAnsi"/>
          <w:spacing w:val="-4"/>
        </w:rPr>
        <w:t>10 billion for a 51 per cent stake in the bank.</w:t>
      </w:r>
      <w:r w:rsidRPr="006E7D8F">
        <w:rPr>
          <w:rStyle w:val="EndnoteReference"/>
          <w:rFonts w:eastAsiaTheme="minorHAnsi"/>
          <w:spacing w:val="-4"/>
        </w:rPr>
        <w:endnoteReference w:id="6"/>
      </w:r>
      <w:r w:rsidRPr="006E7D8F">
        <w:rPr>
          <w:rFonts w:eastAsiaTheme="minorHAnsi"/>
          <w:spacing w:val="-4"/>
        </w:rPr>
        <w:t xml:space="preserve"> In any case, the offer was deemed inadequate and was rejected by the CSB board and shareholders</w:t>
      </w:r>
      <w:r>
        <w:rPr>
          <w:rFonts w:eastAsiaTheme="minorHAnsi"/>
          <w:spacing w:val="-4"/>
        </w:rPr>
        <w:t>.</w:t>
      </w:r>
      <w:r w:rsidRPr="006E7D8F">
        <w:rPr>
          <w:rStyle w:val="EndnoteReference"/>
          <w:rFonts w:eastAsiaTheme="minorHAnsi"/>
          <w:spacing w:val="-4"/>
        </w:rPr>
        <w:endnoteReference w:id="7"/>
      </w:r>
      <w:r w:rsidRPr="006E7D8F">
        <w:rPr>
          <w:rFonts w:eastAsiaTheme="minorHAnsi"/>
          <w:spacing w:val="-4"/>
        </w:rPr>
        <w:t xml:space="preserve"> </w:t>
      </w:r>
    </w:p>
    <w:p w14:paraId="1F4B83FB" w14:textId="77777777" w:rsidR="00063B81" w:rsidRPr="006E7D8F" w:rsidRDefault="00063B81" w:rsidP="001131E6">
      <w:pPr>
        <w:pStyle w:val="BodyTextMain"/>
        <w:rPr>
          <w:rFonts w:eastAsiaTheme="minorHAnsi"/>
        </w:rPr>
      </w:pPr>
    </w:p>
    <w:p w14:paraId="2F12F140" w14:textId="0E7CC64E" w:rsidR="00063B81" w:rsidRPr="006E7D8F" w:rsidRDefault="00063B81" w:rsidP="001131E6">
      <w:pPr>
        <w:pStyle w:val="BodyTextMain"/>
        <w:rPr>
          <w:rFonts w:eastAsiaTheme="minorHAnsi"/>
        </w:rPr>
      </w:pPr>
      <w:r w:rsidRPr="006E7D8F">
        <w:rPr>
          <w:rFonts w:eastAsiaTheme="minorHAnsi"/>
        </w:rPr>
        <w:t xml:space="preserve">Subsequently, at the behest of the RBI, </w:t>
      </w:r>
      <w:r>
        <w:rPr>
          <w:rFonts w:eastAsiaTheme="minorHAnsi"/>
        </w:rPr>
        <w:t xml:space="preserve">the </w:t>
      </w:r>
      <w:r w:rsidRPr="006E7D8F">
        <w:rPr>
          <w:rFonts w:eastAsiaTheme="minorHAnsi"/>
        </w:rPr>
        <w:t xml:space="preserve">CSB made a counter-offer to Fairfax with a view to resolve the stalemate over valuation. The counter-offer was for a 51 per cent stake in the bank, valuing </w:t>
      </w:r>
      <w:r>
        <w:rPr>
          <w:rFonts w:eastAsiaTheme="minorHAnsi"/>
        </w:rPr>
        <w:t xml:space="preserve">the </w:t>
      </w:r>
      <w:r w:rsidRPr="006E7D8F">
        <w:rPr>
          <w:rFonts w:eastAsiaTheme="minorHAnsi"/>
        </w:rPr>
        <w:t xml:space="preserve">CSB at </w:t>
      </w:r>
      <w:r w:rsidRPr="006E7D8F">
        <w:rPr>
          <w:rFonts w:eastAsiaTheme="minorHAnsi"/>
          <w:sz w:val="20"/>
          <w:szCs w:val="20"/>
        </w:rPr>
        <w:t>₹</w:t>
      </w:r>
      <w:r w:rsidRPr="006E7D8F">
        <w:rPr>
          <w:rFonts w:eastAsiaTheme="minorHAnsi"/>
        </w:rPr>
        <w:t xml:space="preserve">160 per share (translating to an equity valuation of nearly </w:t>
      </w:r>
      <w:r w:rsidRPr="006E7D8F">
        <w:rPr>
          <w:rFonts w:eastAsiaTheme="minorHAnsi"/>
          <w:sz w:val="20"/>
          <w:szCs w:val="20"/>
        </w:rPr>
        <w:t>₹</w:t>
      </w:r>
      <w:r w:rsidRPr="006E7D8F">
        <w:rPr>
          <w:rFonts w:eastAsiaTheme="minorHAnsi"/>
        </w:rPr>
        <w:t>13 billion)</w:t>
      </w:r>
      <w:r>
        <w:rPr>
          <w:rFonts w:eastAsiaTheme="minorHAnsi"/>
        </w:rPr>
        <w:t>,</w:t>
      </w:r>
      <w:r w:rsidRPr="006E7D8F">
        <w:rPr>
          <w:rFonts w:eastAsiaTheme="minorHAnsi"/>
        </w:rPr>
        <w:t xml:space="preserve"> plus a control premium.</w:t>
      </w:r>
      <w:r w:rsidRPr="006E7D8F">
        <w:rPr>
          <w:rStyle w:val="EndnoteReference"/>
          <w:rFonts w:eastAsiaTheme="minorHAnsi"/>
        </w:rPr>
        <w:endnoteReference w:id="8"/>
      </w:r>
      <w:r w:rsidRPr="006E7D8F">
        <w:rPr>
          <w:rFonts w:eastAsiaTheme="minorHAnsi"/>
        </w:rPr>
        <w:t xml:space="preserve"> The richer valuation came on the back of an improved set of annual results for the year ended March 31, 2017 (see Exhibits 1 and 2</w:t>
      </w:r>
      <w:r w:rsidR="00543269">
        <w:rPr>
          <w:rFonts w:eastAsiaTheme="minorHAnsi"/>
        </w:rPr>
        <w:t xml:space="preserve"> or the student spreadsheet that accompanies this case, Ivey product no</w:t>
      </w:r>
      <w:r w:rsidR="00543269" w:rsidRPr="004C49E6">
        <w:rPr>
          <w:rFonts w:eastAsiaTheme="minorHAnsi"/>
        </w:rPr>
        <w:t xml:space="preserve">. </w:t>
      </w:r>
      <w:r w:rsidR="004C49E6" w:rsidRPr="004C49E6">
        <w:rPr>
          <w:rFonts w:eastAsiaTheme="minorHAnsi"/>
        </w:rPr>
        <w:t>7</w:t>
      </w:r>
      <w:r w:rsidR="00543269" w:rsidRPr="004C49E6">
        <w:rPr>
          <w:rFonts w:eastAsiaTheme="minorHAnsi"/>
        </w:rPr>
        <w:t>B19</w:t>
      </w:r>
      <w:r w:rsidR="004C49E6" w:rsidRPr="004C49E6">
        <w:rPr>
          <w:rFonts w:eastAsiaTheme="minorHAnsi"/>
        </w:rPr>
        <w:t>N005</w:t>
      </w:r>
      <w:r w:rsidRPr="004C49E6">
        <w:rPr>
          <w:rFonts w:eastAsiaTheme="minorHAnsi"/>
        </w:rPr>
        <w:t>).</w:t>
      </w:r>
      <w:r w:rsidRPr="004C49E6">
        <w:rPr>
          <w:rStyle w:val="EndnoteReference"/>
          <w:rFonts w:eastAsiaTheme="minorHAnsi"/>
        </w:rPr>
        <w:endnoteReference w:id="9"/>
      </w:r>
      <w:r w:rsidRPr="006E7D8F">
        <w:rPr>
          <w:rFonts w:eastAsiaTheme="minorHAnsi"/>
        </w:rPr>
        <w:t xml:space="preserve"> What had changed in a mere six months to warrant </w:t>
      </w:r>
      <w:r>
        <w:rPr>
          <w:rFonts w:eastAsiaTheme="minorHAnsi"/>
        </w:rPr>
        <w:t xml:space="preserve">the </w:t>
      </w:r>
      <w:r w:rsidRPr="006E7D8F">
        <w:rPr>
          <w:rFonts w:eastAsiaTheme="minorHAnsi"/>
        </w:rPr>
        <w:t>CSB’s ambitious proposal? Should Fairfax accept the offer?</w:t>
      </w:r>
    </w:p>
    <w:p w14:paraId="04BDFF84" w14:textId="77777777" w:rsidR="00063B81" w:rsidRPr="006E7D8F" w:rsidRDefault="00063B81" w:rsidP="001131E6">
      <w:pPr>
        <w:pStyle w:val="BodyTextMain"/>
        <w:rPr>
          <w:rFonts w:eastAsiaTheme="minorHAnsi"/>
        </w:rPr>
      </w:pPr>
    </w:p>
    <w:p w14:paraId="08002793" w14:textId="77777777" w:rsidR="00063B81" w:rsidRPr="006E7D8F" w:rsidRDefault="00063B81" w:rsidP="001131E6">
      <w:pPr>
        <w:pStyle w:val="BodyTextMain"/>
        <w:rPr>
          <w:rFonts w:eastAsiaTheme="minorHAnsi"/>
        </w:rPr>
      </w:pPr>
    </w:p>
    <w:p w14:paraId="08FAE3DC" w14:textId="72992426" w:rsidR="00063B81" w:rsidRPr="006E7D8F" w:rsidRDefault="00063B81" w:rsidP="001131E6">
      <w:pPr>
        <w:pStyle w:val="Casehead1"/>
        <w:rPr>
          <w:rFonts w:eastAsiaTheme="minorHAnsi"/>
        </w:rPr>
      </w:pPr>
      <w:r>
        <w:rPr>
          <w:rFonts w:eastAsiaTheme="minorHAnsi"/>
        </w:rPr>
        <w:t xml:space="preserve">the </w:t>
      </w:r>
      <w:r w:rsidRPr="006E7D8F">
        <w:rPr>
          <w:rFonts w:eastAsiaTheme="minorHAnsi"/>
        </w:rPr>
        <w:t>CATHOLIC SYRIAN BANK Limited</w:t>
      </w:r>
    </w:p>
    <w:p w14:paraId="1C041DE8" w14:textId="77777777" w:rsidR="00063B81" w:rsidRPr="006E7D8F" w:rsidRDefault="00063B81" w:rsidP="001131E6">
      <w:pPr>
        <w:pStyle w:val="BodyTextMain"/>
        <w:rPr>
          <w:rFonts w:eastAsiaTheme="minorHAnsi"/>
        </w:rPr>
      </w:pPr>
    </w:p>
    <w:p w14:paraId="64FBFC7C" w14:textId="4659A220" w:rsidR="00063B81" w:rsidRPr="006E7D8F" w:rsidRDefault="00063B81" w:rsidP="001131E6">
      <w:pPr>
        <w:pStyle w:val="BodyTextMain"/>
        <w:rPr>
          <w:rFonts w:eastAsiaTheme="minorHAnsi"/>
        </w:rPr>
      </w:pPr>
      <w:r>
        <w:rPr>
          <w:rFonts w:eastAsiaTheme="minorHAnsi"/>
        </w:rPr>
        <w:t xml:space="preserve">The </w:t>
      </w:r>
      <w:r w:rsidRPr="006E7D8F">
        <w:rPr>
          <w:rFonts w:eastAsiaTheme="minorHAnsi"/>
        </w:rPr>
        <w:t xml:space="preserve">CSB was established in 1920 in </w:t>
      </w:r>
      <w:r>
        <w:rPr>
          <w:rFonts w:eastAsiaTheme="minorHAnsi"/>
        </w:rPr>
        <w:t xml:space="preserve">the </w:t>
      </w:r>
      <w:r w:rsidRPr="006E7D8F">
        <w:rPr>
          <w:rFonts w:eastAsiaTheme="minorHAnsi"/>
        </w:rPr>
        <w:t xml:space="preserve">Thrissur district in the southern state of Kerala, India, to serve the region’s Roman Catholic community. The bank maintained its position among the many banks and credit institutions that proliferated and collapsed over the next half century. </w:t>
      </w:r>
      <w:r>
        <w:rPr>
          <w:rFonts w:eastAsiaTheme="minorHAnsi"/>
        </w:rPr>
        <w:t xml:space="preserve">The </w:t>
      </w:r>
      <w:r w:rsidRPr="006E7D8F">
        <w:rPr>
          <w:rFonts w:eastAsiaTheme="minorHAnsi"/>
        </w:rPr>
        <w:t>CSB played an active part in the consolidation that followed and grew by taking over five such failing banks in Kerala</w:t>
      </w:r>
      <w:r>
        <w:rPr>
          <w:rFonts w:eastAsiaTheme="minorHAnsi"/>
        </w:rPr>
        <w:t>.</w:t>
      </w:r>
      <w:r w:rsidRPr="006E7D8F">
        <w:rPr>
          <w:rStyle w:val="EndnoteReference"/>
          <w:rFonts w:eastAsiaTheme="minorHAnsi"/>
        </w:rPr>
        <w:endnoteReference w:id="10"/>
      </w:r>
    </w:p>
    <w:p w14:paraId="32120B85" w14:textId="77777777" w:rsidR="00063B81" w:rsidRPr="006E7D8F" w:rsidRDefault="00063B81" w:rsidP="001131E6">
      <w:pPr>
        <w:pStyle w:val="BodyTextMain"/>
        <w:rPr>
          <w:rFonts w:eastAsiaTheme="minorHAnsi"/>
        </w:rPr>
      </w:pPr>
    </w:p>
    <w:p w14:paraId="7950CB6C" w14:textId="77AD8275" w:rsidR="00063B81" w:rsidRPr="006E7D8F" w:rsidRDefault="00063B81" w:rsidP="001131E6">
      <w:pPr>
        <w:pStyle w:val="BodyTextMain"/>
        <w:rPr>
          <w:rFonts w:eastAsiaTheme="minorHAnsi"/>
          <w:spacing w:val="-2"/>
        </w:rPr>
      </w:pPr>
      <w:r w:rsidRPr="006E7D8F">
        <w:rPr>
          <w:rFonts w:eastAsiaTheme="minorHAnsi"/>
          <w:spacing w:val="-2"/>
        </w:rPr>
        <w:lastRenderedPageBreak/>
        <w:t xml:space="preserve">In 1969, </w:t>
      </w:r>
      <w:r>
        <w:rPr>
          <w:rFonts w:eastAsiaTheme="minorHAnsi"/>
          <w:spacing w:val="-2"/>
        </w:rPr>
        <w:t xml:space="preserve">the </w:t>
      </w:r>
      <w:r w:rsidRPr="006E7D8F">
        <w:rPr>
          <w:rFonts w:eastAsiaTheme="minorHAnsi"/>
          <w:spacing w:val="-2"/>
        </w:rPr>
        <w:t xml:space="preserve">CSB was included in </w:t>
      </w:r>
      <w:r>
        <w:rPr>
          <w:rFonts w:eastAsiaTheme="minorHAnsi"/>
          <w:spacing w:val="-2"/>
        </w:rPr>
        <w:t xml:space="preserve">the </w:t>
      </w:r>
      <w:r w:rsidRPr="006E7D8F">
        <w:rPr>
          <w:rFonts w:eastAsiaTheme="minorHAnsi"/>
          <w:spacing w:val="-2"/>
        </w:rPr>
        <w:t xml:space="preserve">RBI’s list of scheduled commercial banks, and in 1975, when the bank’s deposits exceeded </w:t>
      </w:r>
      <w:r w:rsidRPr="006E7D8F">
        <w:rPr>
          <w:rFonts w:eastAsiaTheme="minorHAnsi"/>
          <w:spacing w:val="-2"/>
          <w:sz w:val="20"/>
          <w:szCs w:val="20"/>
        </w:rPr>
        <w:t>₹</w:t>
      </w:r>
      <w:r w:rsidRPr="006E7D8F">
        <w:rPr>
          <w:rFonts w:eastAsiaTheme="minorHAnsi"/>
          <w:spacing w:val="-2"/>
        </w:rPr>
        <w:t xml:space="preserve">250 million (US$3.73 million), </w:t>
      </w:r>
      <w:r>
        <w:rPr>
          <w:rFonts w:eastAsiaTheme="minorHAnsi"/>
          <w:spacing w:val="-2"/>
        </w:rPr>
        <w:t xml:space="preserve">the </w:t>
      </w:r>
      <w:r w:rsidRPr="006E7D8F">
        <w:rPr>
          <w:rFonts w:eastAsiaTheme="minorHAnsi"/>
          <w:spacing w:val="-2"/>
        </w:rPr>
        <w:t xml:space="preserve">CSB was granted the status of an A-class scheduled commercial bank. Largely confining its operations to the state of Kerala, </w:t>
      </w:r>
      <w:r>
        <w:rPr>
          <w:rFonts w:eastAsiaTheme="minorHAnsi"/>
          <w:spacing w:val="-2"/>
        </w:rPr>
        <w:t xml:space="preserve">the </w:t>
      </w:r>
      <w:r w:rsidRPr="006E7D8F">
        <w:rPr>
          <w:rFonts w:eastAsiaTheme="minorHAnsi"/>
          <w:spacing w:val="-2"/>
        </w:rPr>
        <w:t xml:space="preserve">CSB’s clientele was predominantly the small businesses and individuals with small accounts. This was reflected in the bank’s geographical distribution: at the end of 2017, approximately 80 per cent of </w:t>
      </w:r>
      <w:r>
        <w:rPr>
          <w:rFonts w:eastAsiaTheme="minorHAnsi"/>
          <w:spacing w:val="-2"/>
        </w:rPr>
        <w:t xml:space="preserve">the </w:t>
      </w:r>
      <w:r w:rsidRPr="006E7D8F">
        <w:rPr>
          <w:rFonts w:eastAsiaTheme="minorHAnsi"/>
          <w:spacing w:val="-2"/>
        </w:rPr>
        <w:t xml:space="preserve">CSB’s branches were located in rural and semi-urban areas. Still, </w:t>
      </w:r>
      <w:r>
        <w:rPr>
          <w:rFonts w:eastAsiaTheme="minorHAnsi"/>
          <w:spacing w:val="-2"/>
        </w:rPr>
        <w:t xml:space="preserve">the </w:t>
      </w:r>
      <w:r w:rsidRPr="006E7D8F">
        <w:rPr>
          <w:rFonts w:eastAsiaTheme="minorHAnsi"/>
          <w:spacing w:val="-2"/>
        </w:rPr>
        <w:t>CSB</w:t>
      </w:r>
      <w:r w:rsidRPr="006E7D8F">
        <w:rPr>
          <w:spacing w:val="-2"/>
        </w:rPr>
        <w:t xml:space="preserve"> boasted a strong deposit book because most of its non-resident customers and expatriates in the Persian Gulf region</w:t>
      </w:r>
      <w:r w:rsidRPr="006E7D8F">
        <w:rPr>
          <w:rStyle w:val="EndnoteReference"/>
          <w:spacing w:val="-2"/>
        </w:rPr>
        <w:endnoteReference w:id="11"/>
      </w:r>
      <w:r w:rsidRPr="006E7D8F">
        <w:rPr>
          <w:spacing w:val="-2"/>
        </w:rPr>
        <w:t xml:space="preserve"> sent money home through the bank’s network.</w:t>
      </w:r>
      <w:r w:rsidRPr="006E7D8F">
        <w:rPr>
          <w:rFonts w:eastAsiaTheme="minorHAnsi"/>
          <w:spacing w:val="-2"/>
        </w:rPr>
        <w:t xml:space="preserve"> Over the years, the bank grew its offerings in personal banking and insurance and in corporate banking, which included working capital finance, cash management, and corporate lending, among other services.</w:t>
      </w:r>
      <w:r w:rsidRPr="006E7D8F">
        <w:rPr>
          <w:rStyle w:val="EndnoteReference"/>
          <w:rFonts w:eastAsiaTheme="minorHAnsi"/>
          <w:spacing w:val="-2"/>
        </w:rPr>
        <w:endnoteReference w:id="12"/>
      </w:r>
      <w:r w:rsidRPr="006E7D8F">
        <w:rPr>
          <w:rFonts w:eastAsiaTheme="minorHAnsi"/>
          <w:spacing w:val="-2"/>
        </w:rPr>
        <w:t xml:space="preserve"> </w:t>
      </w:r>
    </w:p>
    <w:p w14:paraId="2B98F3D5" w14:textId="77777777" w:rsidR="00063B81" w:rsidRPr="006E7D8F" w:rsidRDefault="00063B81" w:rsidP="001131E6">
      <w:pPr>
        <w:pStyle w:val="BodyTextMain"/>
        <w:rPr>
          <w:rFonts w:eastAsiaTheme="minorHAnsi"/>
        </w:rPr>
      </w:pPr>
    </w:p>
    <w:p w14:paraId="25CF0720" w14:textId="047EDB69" w:rsidR="00063B81" w:rsidRPr="006E7D8F" w:rsidRDefault="00063B81" w:rsidP="001131E6">
      <w:pPr>
        <w:pStyle w:val="BodyTextMain"/>
        <w:rPr>
          <w:rFonts w:eastAsiaTheme="minorHAnsi"/>
        </w:rPr>
      </w:pPr>
      <w:r w:rsidRPr="006E7D8F">
        <w:rPr>
          <w:rFonts w:eastAsiaTheme="minorHAnsi"/>
        </w:rPr>
        <w:t xml:space="preserve">As of March 31, 2017, </w:t>
      </w:r>
      <w:r>
        <w:rPr>
          <w:rFonts w:eastAsiaTheme="minorHAnsi"/>
        </w:rPr>
        <w:t xml:space="preserve">the </w:t>
      </w:r>
      <w:r w:rsidRPr="006E7D8F">
        <w:rPr>
          <w:rFonts w:eastAsiaTheme="minorHAnsi"/>
        </w:rPr>
        <w:t>CSB had a deposit base of more than ₹149 billion and a loan book of over ₹81 billion. Foreign entities, including institutions, corporate bodies, and individuals, held more than 30 per cent of the bank (see Exhibit 3).</w:t>
      </w:r>
    </w:p>
    <w:p w14:paraId="12511AD0" w14:textId="77777777" w:rsidR="00063B81" w:rsidRPr="006E7D8F" w:rsidRDefault="00063B81" w:rsidP="001131E6">
      <w:pPr>
        <w:pStyle w:val="BodyTextMain"/>
        <w:rPr>
          <w:rFonts w:eastAsiaTheme="minorHAnsi"/>
        </w:rPr>
      </w:pPr>
    </w:p>
    <w:p w14:paraId="4C7E5C47" w14:textId="77777777" w:rsidR="00063B81" w:rsidRPr="006E7D8F" w:rsidRDefault="00063B81" w:rsidP="001131E6">
      <w:pPr>
        <w:pStyle w:val="BodyTextMain"/>
        <w:rPr>
          <w:rFonts w:eastAsiaTheme="minorHAnsi"/>
        </w:rPr>
      </w:pPr>
    </w:p>
    <w:p w14:paraId="26A6EAE8" w14:textId="77777777" w:rsidR="00063B81" w:rsidRPr="006E7D8F" w:rsidRDefault="00063B81" w:rsidP="001131E6">
      <w:pPr>
        <w:pStyle w:val="Casehead1"/>
        <w:rPr>
          <w:rFonts w:eastAsiaTheme="minorHAnsi"/>
        </w:rPr>
      </w:pPr>
      <w:r w:rsidRPr="006E7D8F">
        <w:rPr>
          <w:rFonts w:eastAsiaTheme="minorHAnsi"/>
        </w:rPr>
        <w:t>FAIRFAX Financial HOldings LImited</w:t>
      </w:r>
    </w:p>
    <w:p w14:paraId="6C8E9B53" w14:textId="77777777" w:rsidR="00063B81" w:rsidRPr="006E7D8F" w:rsidRDefault="00063B81" w:rsidP="00155A16">
      <w:pPr>
        <w:pStyle w:val="BodyTextMain"/>
        <w:keepNext/>
        <w:rPr>
          <w:rFonts w:eastAsiaTheme="minorHAnsi"/>
        </w:rPr>
      </w:pPr>
    </w:p>
    <w:p w14:paraId="35E99F36" w14:textId="0BF20816" w:rsidR="00063B81" w:rsidRPr="006E7D8F" w:rsidRDefault="00063B81" w:rsidP="001131E6">
      <w:pPr>
        <w:pStyle w:val="BodyTextMain"/>
        <w:rPr>
          <w:rFonts w:eastAsiaTheme="minorHAnsi"/>
        </w:rPr>
      </w:pPr>
      <w:r w:rsidRPr="006E7D8F">
        <w:rPr>
          <w:rFonts w:eastAsiaTheme="minorHAnsi"/>
        </w:rPr>
        <w:t>Fairfax described itself as a “holding company whose corporate objective is to achieve a high rate of return on invested capital and build long-term shareholder value.”</w:t>
      </w:r>
      <w:r w:rsidRPr="006E7D8F">
        <w:rPr>
          <w:rStyle w:val="EndnoteReference"/>
          <w:rFonts w:eastAsiaTheme="minorHAnsi"/>
        </w:rPr>
        <w:endnoteReference w:id="13"/>
      </w:r>
      <w:r w:rsidRPr="006E7D8F">
        <w:rPr>
          <w:rFonts w:eastAsiaTheme="minorHAnsi"/>
        </w:rPr>
        <w:t xml:space="preserve"> Through its subsidiaries, the firm engaged in property and casualty insurance and investment management.</w:t>
      </w:r>
    </w:p>
    <w:p w14:paraId="5E8DAF5C" w14:textId="77777777" w:rsidR="00063B81" w:rsidRPr="006E7D8F" w:rsidRDefault="00063B81" w:rsidP="001131E6">
      <w:pPr>
        <w:pStyle w:val="BodyTextMain"/>
        <w:rPr>
          <w:rFonts w:eastAsiaTheme="minorHAnsi"/>
        </w:rPr>
      </w:pPr>
    </w:p>
    <w:p w14:paraId="7C8D46F7" w14:textId="69135BDB" w:rsidR="00063B81" w:rsidRPr="006E7D8F" w:rsidRDefault="00063B81" w:rsidP="001131E6">
      <w:pPr>
        <w:pStyle w:val="BodyTextMain"/>
        <w:rPr>
          <w:rFonts w:eastAsiaTheme="minorHAnsi"/>
        </w:rPr>
      </w:pPr>
      <w:r w:rsidRPr="006E7D8F">
        <w:rPr>
          <w:rFonts w:eastAsiaTheme="minorHAnsi"/>
        </w:rPr>
        <w:t xml:space="preserve">Fairfax was founded in 1985 in Toronto, Canada, by </w:t>
      </w:r>
      <w:proofErr w:type="spellStart"/>
      <w:r w:rsidRPr="006E7D8F">
        <w:rPr>
          <w:rFonts w:eastAsiaTheme="minorHAnsi"/>
        </w:rPr>
        <w:t>Prem</w:t>
      </w:r>
      <w:proofErr w:type="spellEnd"/>
      <w:r w:rsidRPr="006E7D8F">
        <w:rPr>
          <w:rFonts w:eastAsiaTheme="minorHAnsi"/>
        </w:rPr>
        <w:t xml:space="preserve"> </w:t>
      </w:r>
      <w:proofErr w:type="spellStart"/>
      <w:r w:rsidRPr="006E7D8F">
        <w:rPr>
          <w:rFonts w:eastAsiaTheme="minorHAnsi"/>
        </w:rPr>
        <w:t>Watsa</w:t>
      </w:r>
      <w:proofErr w:type="spellEnd"/>
      <w:r w:rsidRPr="006E7D8F">
        <w:rPr>
          <w:rFonts w:eastAsiaTheme="minorHAnsi"/>
        </w:rPr>
        <w:t xml:space="preserve">, who was chairman and chief executive officer at the time of negotiations with </w:t>
      </w:r>
      <w:r>
        <w:rPr>
          <w:rFonts w:eastAsiaTheme="minorHAnsi"/>
        </w:rPr>
        <w:t xml:space="preserve">the </w:t>
      </w:r>
      <w:r w:rsidRPr="006E7D8F">
        <w:rPr>
          <w:rFonts w:eastAsiaTheme="minorHAnsi"/>
        </w:rPr>
        <w:t>CSB. Fairfax had grown its revenues from US$12.2 million in 1985, its first year of operations, to US$9.3 billion in 2016—a compounded annual growth rate (CAGR) of close to 24 per cent of its book value. Fairfax’s book value per share and closing share price had also recorded impressive CAGRs, with the CAGR for book value per share at 19.4 per cent and for closing share price at 18.6 per cent over the same period.</w:t>
      </w:r>
      <w:r w:rsidRPr="006E7D8F">
        <w:rPr>
          <w:rStyle w:val="EndnoteReference"/>
          <w:rFonts w:eastAsiaTheme="minorHAnsi"/>
        </w:rPr>
        <w:endnoteReference w:id="14"/>
      </w:r>
    </w:p>
    <w:p w14:paraId="52E87D2C" w14:textId="77777777" w:rsidR="00063B81" w:rsidRPr="006E7D8F" w:rsidRDefault="00063B81" w:rsidP="001131E6">
      <w:pPr>
        <w:pStyle w:val="BodyTextMain"/>
        <w:rPr>
          <w:rFonts w:eastAsiaTheme="minorHAnsi"/>
        </w:rPr>
      </w:pPr>
    </w:p>
    <w:p w14:paraId="3C16DC2C" w14:textId="77777777" w:rsidR="00063B81" w:rsidRPr="006E7D8F" w:rsidRDefault="00063B81" w:rsidP="001131E6">
      <w:pPr>
        <w:pStyle w:val="BodyTextMain"/>
        <w:rPr>
          <w:rFonts w:eastAsiaTheme="minorHAnsi"/>
        </w:rPr>
      </w:pPr>
      <w:r w:rsidRPr="006E7D8F">
        <w:rPr>
          <w:rFonts w:eastAsiaTheme="minorHAnsi"/>
        </w:rPr>
        <w:t>As of December 31, 2016, Fairfax had invested over US$1.2 billion in India through Fairfax’s subsidiary Fairfax India.</w:t>
      </w:r>
      <w:r w:rsidRPr="006E7D8F">
        <w:rPr>
          <w:rStyle w:val="EndnoteReference"/>
          <w:rFonts w:eastAsiaTheme="minorHAnsi"/>
        </w:rPr>
        <w:endnoteReference w:id="15"/>
      </w:r>
    </w:p>
    <w:p w14:paraId="54095FFF" w14:textId="77777777" w:rsidR="00063B81" w:rsidRPr="006E7D8F" w:rsidRDefault="00063B81" w:rsidP="001131E6">
      <w:pPr>
        <w:pStyle w:val="BodyTextMain"/>
        <w:rPr>
          <w:rFonts w:eastAsiaTheme="minorHAnsi"/>
        </w:rPr>
      </w:pPr>
    </w:p>
    <w:p w14:paraId="06B49594" w14:textId="77777777" w:rsidR="00063B81" w:rsidRPr="006E7D8F" w:rsidRDefault="00063B81" w:rsidP="001131E6">
      <w:pPr>
        <w:pStyle w:val="BodyTextMain"/>
        <w:rPr>
          <w:rFonts w:eastAsiaTheme="minorHAnsi"/>
        </w:rPr>
      </w:pPr>
    </w:p>
    <w:p w14:paraId="58DAFD5F" w14:textId="77777777" w:rsidR="00063B81" w:rsidRPr="006E7D8F" w:rsidRDefault="00063B81" w:rsidP="001131E6">
      <w:pPr>
        <w:pStyle w:val="Casehead1"/>
        <w:rPr>
          <w:rFonts w:eastAsiaTheme="minorHAnsi"/>
        </w:rPr>
      </w:pPr>
      <w:r w:rsidRPr="006E7D8F">
        <w:rPr>
          <w:rFonts w:eastAsiaTheme="minorHAnsi"/>
        </w:rPr>
        <w:t>THE BANKING LANDSCAPE IN INDIA</w:t>
      </w:r>
    </w:p>
    <w:p w14:paraId="6436FE99" w14:textId="77777777" w:rsidR="00063B81" w:rsidRPr="006E7D8F" w:rsidRDefault="00063B81" w:rsidP="001131E6">
      <w:pPr>
        <w:pStyle w:val="BodyTextMain"/>
        <w:rPr>
          <w:rFonts w:eastAsiaTheme="minorHAnsi"/>
        </w:rPr>
      </w:pPr>
    </w:p>
    <w:p w14:paraId="2CD232A9" w14:textId="77777777" w:rsidR="00063B81" w:rsidRPr="006E7D8F" w:rsidRDefault="00063B81" w:rsidP="001131E6">
      <w:pPr>
        <w:pStyle w:val="BodyTextMain"/>
        <w:rPr>
          <w:rFonts w:eastAsiaTheme="minorHAnsi"/>
        </w:rPr>
      </w:pPr>
      <w:r w:rsidRPr="006E7D8F">
        <w:rPr>
          <w:rFonts w:eastAsiaTheme="minorHAnsi"/>
        </w:rPr>
        <w:t>At the end of March 2017, India had 27 government-owned banks,</w:t>
      </w:r>
      <w:r w:rsidRPr="006E7D8F">
        <w:rPr>
          <w:rStyle w:val="EndnoteReference"/>
          <w:rFonts w:eastAsiaTheme="minorHAnsi"/>
        </w:rPr>
        <w:endnoteReference w:id="16"/>
      </w:r>
      <w:r w:rsidRPr="006E7D8F">
        <w:rPr>
          <w:rFonts w:eastAsiaTheme="minorHAnsi"/>
        </w:rPr>
        <w:t xml:space="preserve"> 21 private sector banks, and 45 foreign banks operating under commercial banking licences in the country. The government-owned banks accounted for close to 70 per cent of the banking sector’s total book value of assets on March 31, 2017, and the private sector banks accounted for a little over 25 per cent.</w:t>
      </w:r>
      <w:r w:rsidRPr="006E7D8F">
        <w:rPr>
          <w:rStyle w:val="EndnoteReference"/>
          <w:rFonts w:eastAsiaTheme="minorHAnsi"/>
        </w:rPr>
        <w:endnoteReference w:id="17"/>
      </w:r>
      <w:r w:rsidRPr="006E7D8F">
        <w:rPr>
          <w:rFonts w:eastAsiaTheme="minorHAnsi"/>
        </w:rPr>
        <w:t xml:space="preserve"> However, the situation was the reverse with market capitalization.</w:t>
      </w:r>
      <w:r w:rsidRPr="006E7D8F">
        <w:rPr>
          <w:rStyle w:val="EndnoteReference"/>
          <w:rFonts w:eastAsiaTheme="minorHAnsi"/>
        </w:rPr>
        <w:endnoteReference w:id="18"/>
      </w:r>
    </w:p>
    <w:p w14:paraId="16EE59A2" w14:textId="77777777" w:rsidR="00063B81" w:rsidRPr="006E7D8F" w:rsidRDefault="00063B81" w:rsidP="001131E6">
      <w:pPr>
        <w:pStyle w:val="BodyTextMain"/>
        <w:rPr>
          <w:rFonts w:eastAsiaTheme="minorHAnsi"/>
        </w:rPr>
      </w:pPr>
    </w:p>
    <w:p w14:paraId="50F16654" w14:textId="0730B83A" w:rsidR="00063B81" w:rsidRPr="006E7D8F" w:rsidRDefault="00063B81" w:rsidP="001131E6">
      <w:pPr>
        <w:pStyle w:val="BodyTextMain"/>
        <w:rPr>
          <w:rFonts w:eastAsiaTheme="minorHAnsi"/>
          <w:spacing w:val="-2"/>
        </w:rPr>
      </w:pPr>
      <w:r w:rsidRPr="006E7D8F">
        <w:rPr>
          <w:rFonts w:eastAsiaTheme="minorHAnsi"/>
          <w:spacing w:val="-2"/>
        </w:rPr>
        <w:t xml:space="preserve">The private sector group of banks in India consisted of two distinct subgroups: </w:t>
      </w:r>
      <w:bookmarkStart w:id="2" w:name="OLE_LINK2"/>
      <w:bookmarkStart w:id="3" w:name="OLE_LINK3"/>
      <w:r w:rsidRPr="006E7D8F">
        <w:rPr>
          <w:rFonts w:eastAsiaTheme="minorHAnsi"/>
          <w:spacing w:val="-2"/>
        </w:rPr>
        <w:t>the old private sector banks (OPSBs) and the new private sector banks (NPSB</w:t>
      </w:r>
      <w:bookmarkEnd w:id="2"/>
      <w:bookmarkEnd w:id="3"/>
      <w:r w:rsidRPr="006E7D8F">
        <w:rPr>
          <w:rFonts w:eastAsiaTheme="minorHAnsi"/>
          <w:spacing w:val="-2"/>
        </w:rPr>
        <w:t xml:space="preserve">s). The OPSBs primarily originated in a community or region and were formed to serve the needs of members and businesses of that community or region. These banks came into existence in the early to mid-twentieth century. </w:t>
      </w:r>
      <w:r>
        <w:rPr>
          <w:rFonts w:eastAsiaTheme="minorHAnsi"/>
          <w:spacing w:val="-2"/>
        </w:rPr>
        <w:t xml:space="preserve">The </w:t>
      </w:r>
      <w:r w:rsidRPr="006E7D8F">
        <w:rPr>
          <w:rFonts w:eastAsiaTheme="minorHAnsi"/>
          <w:spacing w:val="-2"/>
        </w:rPr>
        <w:t xml:space="preserve">CSB was one of these OPSBs. </w:t>
      </w:r>
    </w:p>
    <w:p w14:paraId="57EF937C" w14:textId="77777777" w:rsidR="00063B81" w:rsidRPr="006E7D8F" w:rsidRDefault="00063B81" w:rsidP="001131E6">
      <w:pPr>
        <w:pStyle w:val="BodyTextMain"/>
        <w:rPr>
          <w:rFonts w:eastAsiaTheme="minorHAnsi"/>
        </w:rPr>
      </w:pPr>
    </w:p>
    <w:p w14:paraId="34B850DC" w14:textId="77777777" w:rsidR="00063B81" w:rsidRDefault="00063B81" w:rsidP="001131E6">
      <w:pPr>
        <w:pStyle w:val="BodyTextMain"/>
        <w:rPr>
          <w:rFonts w:eastAsiaTheme="minorHAnsi"/>
        </w:rPr>
      </w:pPr>
      <w:r w:rsidRPr="006E7D8F">
        <w:rPr>
          <w:rFonts w:eastAsiaTheme="minorHAnsi"/>
        </w:rPr>
        <w:t xml:space="preserve">The NPSBs were promoted by professionals, financial institutions, and other commercial organizations when, in 1994, </w:t>
      </w:r>
      <w:r>
        <w:rPr>
          <w:rFonts w:eastAsiaTheme="minorHAnsi"/>
        </w:rPr>
        <w:t xml:space="preserve">the </w:t>
      </w:r>
      <w:r w:rsidRPr="006E7D8F">
        <w:rPr>
          <w:rFonts w:eastAsiaTheme="minorHAnsi"/>
        </w:rPr>
        <w:t>RBI issued new licences for the first time for private sector banks. The idea was to bring a competitive spirit and efficiency to the banking sector. Among other features, these banks would be spread geographically, leverage technology in their operations, adhere to prudential norms from the start, and have greater autonomy in recruitment and remuneration</w:t>
      </w:r>
      <w:r>
        <w:rPr>
          <w:rFonts w:eastAsiaTheme="minorHAnsi"/>
        </w:rPr>
        <w:t>.</w:t>
      </w:r>
      <w:r w:rsidRPr="006E7D8F">
        <w:rPr>
          <w:rStyle w:val="EndnoteReference"/>
          <w:rFonts w:eastAsiaTheme="minorHAnsi"/>
        </w:rPr>
        <w:endnoteReference w:id="19"/>
      </w:r>
    </w:p>
    <w:p w14:paraId="379D967E" w14:textId="77777777" w:rsidR="00063B81" w:rsidRPr="006E7D8F" w:rsidRDefault="00063B81" w:rsidP="001131E6">
      <w:pPr>
        <w:pStyle w:val="BodyTextMain"/>
        <w:rPr>
          <w:rFonts w:eastAsiaTheme="minorHAnsi"/>
          <w:spacing w:val="-2"/>
        </w:rPr>
      </w:pPr>
      <w:r w:rsidRPr="006E7D8F">
        <w:rPr>
          <w:rFonts w:eastAsiaTheme="minorHAnsi"/>
          <w:spacing w:val="-2"/>
        </w:rPr>
        <w:lastRenderedPageBreak/>
        <w:t>Clearly, the NPSBs were different from the OPSBs, right from their vision and mission to the way they conducted the business of banking. While OPSBs were defined by their need to serve a circumscribed, concentrated clientele, the NPSBs were more universal in scale, scope, and diversity. Among private sector banks, the OPSBs accounted for about 16 per cent of the total assets. While their small size and regional focus helped them manage credit risk better due to familiarity and greater control of local information, their size and focus also led to lesser diversification and economies of scale. The difference in equity beta between the OPSBs (1.29) and NPSBs (1.15) perhaps reflected these conflicting considerations.</w:t>
      </w:r>
      <w:r w:rsidRPr="006E7D8F">
        <w:rPr>
          <w:rStyle w:val="EndnoteReference"/>
          <w:rFonts w:eastAsiaTheme="minorHAnsi"/>
          <w:spacing w:val="-2"/>
        </w:rPr>
        <w:endnoteReference w:id="20"/>
      </w:r>
    </w:p>
    <w:p w14:paraId="33A3248F" w14:textId="77777777" w:rsidR="00063B81" w:rsidRPr="006E7D8F" w:rsidRDefault="00063B81" w:rsidP="001131E6">
      <w:pPr>
        <w:pStyle w:val="BodyTextMain"/>
        <w:rPr>
          <w:rFonts w:eastAsiaTheme="minorHAnsi"/>
        </w:rPr>
      </w:pPr>
    </w:p>
    <w:p w14:paraId="14BE520D" w14:textId="5ACAFD89" w:rsidR="00063B81" w:rsidRPr="006E7D8F" w:rsidRDefault="00063B81" w:rsidP="001131E6">
      <w:pPr>
        <w:pStyle w:val="BodyTextMain"/>
        <w:rPr>
          <w:rFonts w:eastAsiaTheme="minorHAnsi"/>
        </w:rPr>
      </w:pPr>
      <w:r w:rsidRPr="006E7D8F">
        <w:rPr>
          <w:rFonts w:eastAsiaTheme="minorHAnsi"/>
        </w:rPr>
        <w:t>FY 2015/16 was a turning point in the business trajectory of Indian banks. The RBI denounced the banks for not having provisioned sufficiently for bad loans and, in many cases, for converting these bad loans to renewed loans or lines of credit to avoid declaring them as non-performing assets (NPA).</w:t>
      </w:r>
      <w:r w:rsidRPr="006E7D8F">
        <w:rPr>
          <w:rStyle w:val="EndnoteReference"/>
          <w:rFonts w:eastAsiaTheme="minorHAnsi"/>
        </w:rPr>
        <w:endnoteReference w:id="21"/>
      </w:r>
      <w:r w:rsidRPr="006E7D8F">
        <w:rPr>
          <w:rFonts w:eastAsiaTheme="minorHAnsi"/>
        </w:rPr>
        <w:t xml:space="preserve"> Over the next two years, NPA were stripped of their disguises, increasing the gross NPA ratio—the gross amount of loans recognized as NPA divided by the total loans outstanding—to 9.32 per cent for the Indian banking system by March 31, 2017.</w:t>
      </w:r>
      <w:r w:rsidRPr="006E7D8F">
        <w:rPr>
          <w:rStyle w:val="EndnoteReference"/>
          <w:rFonts w:eastAsiaTheme="minorHAnsi"/>
        </w:rPr>
        <w:endnoteReference w:id="22"/>
      </w:r>
    </w:p>
    <w:p w14:paraId="645E76DD" w14:textId="77777777" w:rsidR="00063B81" w:rsidRPr="006E7D8F" w:rsidRDefault="00063B81" w:rsidP="001131E6">
      <w:pPr>
        <w:pStyle w:val="BodyTextMain"/>
        <w:rPr>
          <w:rFonts w:eastAsiaTheme="minorHAnsi"/>
        </w:rPr>
      </w:pPr>
    </w:p>
    <w:p w14:paraId="1702FAB1" w14:textId="778A0F21" w:rsidR="00063B81" w:rsidRPr="006E7D8F" w:rsidRDefault="00063B81" w:rsidP="001131E6">
      <w:pPr>
        <w:pStyle w:val="BodyTextMain"/>
        <w:rPr>
          <w:rFonts w:eastAsiaTheme="minorHAnsi"/>
        </w:rPr>
      </w:pPr>
      <w:r w:rsidRPr="006E7D8F">
        <w:rPr>
          <w:rFonts w:eastAsiaTheme="minorHAnsi"/>
        </w:rPr>
        <w:t>The bulk of the NPA belonged to government-owned banks (also known as public sector banks) because their advances were largely directed toward large corporate and infrastructure borrowings. To a significant extent, the NPA problem was caused by the global commodity market meltdown in the early part of the decade. The majority of the Indian firms that were affected and defaulted on their repayments were from the metals and mining industry. The OPSBs remained relatively insulated from this crisis, however, because they focused on small and medium sector firms and community-based and geographically concentrated lending.</w:t>
      </w:r>
      <w:r w:rsidRPr="006E7D8F">
        <w:rPr>
          <w:rStyle w:val="EndnoteReference"/>
          <w:rFonts w:eastAsiaTheme="minorHAnsi"/>
        </w:rPr>
        <w:endnoteReference w:id="23"/>
      </w:r>
    </w:p>
    <w:p w14:paraId="68581C2F" w14:textId="77777777" w:rsidR="00063B81" w:rsidRPr="006E7D8F" w:rsidRDefault="00063B81" w:rsidP="001131E6">
      <w:pPr>
        <w:pStyle w:val="BodyTextMain"/>
        <w:rPr>
          <w:rFonts w:eastAsiaTheme="minorHAnsi"/>
        </w:rPr>
      </w:pPr>
    </w:p>
    <w:p w14:paraId="173E26A5" w14:textId="2A8DF09B" w:rsidR="00063B81" w:rsidRPr="006E7D8F" w:rsidRDefault="00063B81" w:rsidP="001131E6">
      <w:pPr>
        <w:pStyle w:val="BodyTextMain"/>
        <w:rPr>
          <w:rFonts w:eastAsiaTheme="minorHAnsi"/>
        </w:rPr>
      </w:pPr>
      <w:r w:rsidRPr="006E7D8F">
        <w:rPr>
          <w:rFonts w:eastAsiaTheme="minorHAnsi"/>
        </w:rPr>
        <w:t xml:space="preserve">Over those two years, the RBI announced many restructuring packages for distressed borrowers to help them manage their debt and avoid insolvency while minimizing losses for the lending banks. These measures finally culminated in the introduction of the </w:t>
      </w:r>
      <w:r w:rsidRPr="006E7D8F">
        <w:rPr>
          <w:rFonts w:eastAsiaTheme="minorHAnsi"/>
          <w:i/>
        </w:rPr>
        <w:t>Insolvency and Bankruptcy Code, 2016</w:t>
      </w:r>
      <w:r w:rsidRPr="006E7D8F">
        <w:rPr>
          <w:rFonts w:eastAsiaTheme="minorHAnsi"/>
        </w:rPr>
        <w:t xml:space="preserve"> (amended in 2017) under which lenders could take defaulting companies to the National Company Law Tribunal for restructuring. Companies were granted a fixed period of time for resolution, failing which</w:t>
      </w:r>
      <w:r>
        <w:rPr>
          <w:rFonts w:eastAsiaTheme="minorHAnsi"/>
        </w:rPr>
        <w:t>,</w:t>
      </w:r>
      <w:r w:rsidRPr="006E7D8F">
        <w:rPr>
          <w:rFonts w:eastAsiaTheme="minorHAnsi"/>
        </w:rPr>
        <w:t xml:space="preserve"> the company would be forced into liquidation</w:t>
      </w:r>
      <w:r>
        <w:rPr>
          <w:rFonts w:eastAsiaTheme="minorHAnsi"/>
        </w:rPr>
        <w:t>.</w:t>
      </w:r>
      <w:r w:rsidRPr="006E7D8F">
        <w:rPr>
          <w:rStyle w:val="EndnoteReference"/>
          <w:rFonts w:eastAsiaTheme="minorHAnsi"/>
        </w:rPr>
        <w:endnoteReference w:id="24"/>
      </w:r>
    </w:p>
    <w:p w14:paraId="465D4D2D" w14:textId="77777777" w:rsidR="00063B81" w:rsidRPr="006E7D8F" w:rsidRDefault="00063B81" w:rsidP="001131E6">
      <w:pPr>
        <w:pStyle w:val="BodyTextMain"/>
        <w:rPr>
          <w:rFonts w:eastAsiaTheme="minorHAnsi"/>
        </w:rPr>
      </w:pPr>
    </w:p>
    <w:p w14:paraId="04668AE6" w14:textId="22543E15" w:rsidR="00063B81" w:rsidRPr="006E7D8F" w:rsidRDefault="00063B81" w:rsidP="001131E6">
      <w:pPr>
        <w:pStyle w:val="BodyTextMain"/>
        <w:rPr>
          <w:rFonts w:eastAsiaTheme="minorHAnsi"/>
        </w:rPr>
      </w:pPr>
      <w:r w:rsidRPr="006E7D8F">
        <w:rPr>
          <w:rFonts w:eastAsiaTheme="minorHAnsi"/>
        </w:rPr>
        <w:t>In May 2016, in the midst of the NPA crisis, the RBI made a radical shift in its policy on ownership of foreign entities in private sector banks. With other limits, the change allowed non-promoter foreign entities to acquire more than a 40 per cent stake in Indian banks with RBI approval, granted on a case by case basis.</w:t>
      </w:r>
      <w:r w:rsidRPr="006E7D8F">
        <w:rPr>
          <w:rStyle w:val="EndnoteReference"/>
          <w:rFonts w:eastAsiaTheme="minorHAnsi"/>
        </w:rPr>
        <w:endnoteReference w:id="25"/>
      </w:r>
      <w:r w:rsidRPr="006E7D8F">
        <w:rPr>
          <w:rFonts w:eastAsiaTheme="minorHAnsi"/>
        </w:rPr>
        <w:t xml:space="preserve"> All approval for ownership came with the rider that irrespective of shareholding, the voting rights of these foreign entities would be capped at 15 per cent. Within one month, in June 2016, Fairfax first showed its interest in taking an equity stake in </w:t>
      </w:r>
      <w:r>
        <w:rPr>
          <w:rFonts w:eastAsiaTheme="minorHAnsi"/>
        </w:rPr>
        <w:t xml:space="preserve">the </w:t>
      </w:r>
      <w:r w:rsidRPr="006E7D8F">
        <w:rPr>
          <w:rFonts w:eastAsiaTheme="minorHAnsi"/>
        </w:rPr>
        <w:t>CSB, albeit a minority interest.</w:t>
      </w:r>
      <w:r w:rsidRPr="006E7D8F">
        <w:rPr>
          <w:rStyle w:val="EndnoteReference"/>
          <w:rFonts w:eastAsiaTheme="minorHAnsi"/>
        </w:rPr>
        <w:endnoteReference w:id="26"/>
      </w:r>
    </w:p>
    <w:p w14:paraId="6CEB3AF8" w14:textId="77777777" w:rsidR="00063B81" w:rsidRPr="006E7D8F" w:rsidRDefault="00063B81" w:rsidP="001131E6">
      <w:pPr>
        <w:pStyle w:val="BodyTextMain"/>
        <w:rPr>
          <w:rFonts w:eastAsiaTheme="minorHAnsi"/>
        </w:rPr>
      </w:pPr>
    </w:p>
    <w:p w14:paraId="17423CC0" w14:textId="77777777" w:rsidR="00063B81" w:rsidRPr="006E7D8F" w:rsidRDefault="00063B81" w:rsidP="001131E6">
      <w:pPr>
        <w:pStyle w:val="BodyTextMain"/>
        <w:rPr>
          <w:rFonts w:eastAsiaTheme="minorHAnsi"/>
        </w:rPr>
      </w:pPr>
    </w:p>
    <w:p w14:paraId="63214094" w14:textId="2E36ABAD" w:rsidR="00063B81" w:rsidRPr="006E7D8F" w:rsidRDefault="00063B81" w:rsidP="001131E6">
      <w:pPr>
        <w:pStyle w:val="Casehead1"/>
        <w:rPr>
          <w:rFonts w:eastAsiaTheme="minorHAnsi"/>
        </w:rPr>
      </w:pPr>
      <w:r w:rsidRPr="006E7D8F">
        <w:rPr>
          <w:rFonts w:eastAsiaTheme="minorHAnsi"/>
        </w:rPr>
        <w:t xml:space="preserve">FAIRFAX’S INTEREST IN </w:t>
      </w:r>
      <w:r>
        <w:rPr>
          <w:rFonts w:eastAsiaTheme="minorHAnsi"/>
        </w:rPr>
        <w:t xml:space="preserve">the </w:t>
      </w:r>
      <w:r w:rsidRPr="006E7D8F">
        <w:rPr>
          <w:rFonts w:eastAsiaTheme="minorHAnsi"/>
        </w:rPr>
        <w:t>CSB</w:t>
      </w:r>
    </w:p>
    <w:p w14:paraId="0DB75BC4" w14:textId="77777777" w:rsidR="00063B81" w:rsidRPr="006E7D8F" w:rsidRDefault="00063B81" w:rsidP="001131E6">
      <w:pPr>
        <w:pStyle w:val="BodyTextMain"/>
        <w:rPr>
          <w:rFonts w:eastAsiaTheme="minorHAnsi"/>
        </w:rPr>
      </w:pPr>
    </w:p>
    <w:p w14:paraId="4E481431" w14:textId="0BB3DEE5" w:rsidR="00063B81" w:rsidRPr="006E7D8F" w:rsidRDefault="00063B81" w:rsidP="001131E6">
      <w:pPr>
        <w:pStyle w:val="BodyTextMain"/>
        <w:rPr>
          <w:rFonts w:eastAsiaTheme="minorHAnsi"/>
        </w:rPr>
      </w:pPr>
      <w:r w:rsidRPr="006E7D8F">
        <w:rPr>
          <w:rFonts w:eastAsiaTheme="minorHAnsi"/>
        </w:rPr>
        <w:t xml:space="preserve">Having launched an India-dedicated investment company in 2014, </w:t>
      </w:r>
      <w:proofErr w:type="spellStart"/>
      <w:r w:rsidRPr="006E7D8F">
        <w:rPr>
          <w:rFonts w:eastAsiaTheme="minorHAnsi"/>
        </w:rPr>
        <w:t>Watsa</w:t>
      </w:r>
      <w:proofErr w:type="spellEnd"/>
      <w:r w:rsidRPr="006E7D8F">
        <w:rPr>
          <w:rFonts w:eastAsiaTheme="minorHAnsi"/>
        </w:rPr>
        <w:t xml:space="preserve">, known as “Canada’s Warren Buffet,” had already pumped over a billion dollars into India. In November 2016, Fairfax made an offer for a 51 per cent stake in </w:t>
      </w:r>
      <w:r>
        <w:rPr>
          <w:rFonts w:eastAsiaTheme="minorHAnsi"/>
        </w:rPr>
        <w:t xml:space="preserve">the </w:t>
      </w:r>
      <w:r w:rsidRPr="006E7D8F">
        <w:rPr>
          <w:rFonts w:eastAsiaTheme="minorHAnsi"/>
        </w:rPr>
        <w:t xml:space="preserve">CSB. This was </w:t>
      </w:r>
      <w:proofErr w:type="spellStart"/>
      <w:r w:rsidRPr="006E7D8F">
        <w:rPr>
          <w:rFonts w:eastAsiaTheme="minorHAnsi"/>
        </w:rPr>
        <w:t>Watsa’s</w:t>
      </w:r>
      <w:proofErr w:type="spellEnd"/>
      <w:r w:rsidRPr="006E7D8F">
        <w:rPr>
          <w:rFonts w:eastAsiaTheme="minorHAnsi"/>
        </w:rPr>
        <w:t xml:space="preserve"> boldest bet in the country thus far. </w:t>
      </w:r>
      <w:r>
        <w:rPr>
          <w:rFonts w:eastAsiaTheme="minorHAnsi"/>
        </w:rPr>
        <w:t xml:space="preserve">The </w:t>
      </w:r>
      <w:r w:rsidRPr="006E7D8F">
        <w:rPr>
          <w:rFonts w:eastAsiaTheme="minorHAnsi"/>
        </w:rPr>
        <w:t xml:space="preserve">CSB’s management was enthusiastic about the prospect of Fairfax’s fund infusion and applied to </w:t>
      </w:r>
      <w:r>
        <w:rPr>
          <w:rFonts w:eastAsiaTheme="minorHAnsi"/>
        </w:rPr>
        <w:t xml:space="preserve">the </w:t>
      </w:r>
      <w:r w:rsidRPr="006E7D8F">
        <w:rPr>
          <w:rFonts w:eastAsiaTheme="minorHAnsi"/>
        </w:rPr>
        <w:t>RBI for approval.</w:t>
      </w:r>
      <w:r w:rsidRPr="006E7D8F">
        <w:rPr>
          <w:rStyle w:val="EndnoteReference"/>
          <w:rFonts w:eastAsiaTheme="minorHAnsi"/>
        </w:rPr>
        <w:endnoteReference w:id="27"/>
      </w:r>
    </w:p>
    <w:p w14:paraId="3E3B7929" w14:textId="77777777" w:rsidR="00063B81" w:rsidRPr="006E7D8F" w:rsidRDefault="00063B81" w:rsidP="001131E6">
      <w:pPr>
        <w:pStyle w:val="BodyTextMain"/>
        <w:rPr>
          <w:rFonts w:eastAsiaTheme="minorHAnsi"/>
        </w:rPr>
      </w:pPr>
    </w:p>
    <w:p w14:paraId="0AA4002D" w14:textId="6E0E1F77" w:rsidR="00063B81" w:rsidRPr="006E7D8F" w:rsidRDefault="00063B81" w:rsidP="001131E6">
      <w:pPr>
        <w:pStyle w:val="BodyTextMain"/>
        <w:rPr>
          <w:rFonts w:eastAsiaTheme="minorHAnsi"/>
          <w:spacing w:val="-2"/>
        </w:rPr>
      </w:pPr>
      <w:r w:rsidRPr="006E7D8F">
        <w:rPr>
          <w:rFonts w:eastAsiaTheme="minorHAnsi"/>
          <w:spacing w:val="-2"/>
        </w:rPr>
        <w:t xml:space="preserve">The outgoing chairman of </w:t>
      </w:r>
      <w:r>
        <w:rPr>
          <w:rFonts w:eastAsiaTheme="minorHAnsi"/>
          <w:spacing w:val="-2"/>
        </w:rPr>
        <w:t xml:space="preserve">the </w:t>
      </w:r>
      <w:r w:rsidRPr="006E7D8F">
        <w:rPr>
          <w:rFonts w:eastAsiaTheme="minorHAnsi"/>
          <w:spacing w:val="-2"/>
        </w:rPr>
        <w:t xml:space="preserve">CSB announced that the funds would be a primary infusion into the bank rather than a sale of a secondary stake. The funds would be used for growth, with a focus on the small and medium enterprises, gold, and retail. Corporate lending was not an area of significant interest. The chairman added that the bank would appoint an independent evaluator for valuation once </w:t>
      </w:r>
      <w:r>
        <w:rPr>
          <w:rFonts w:eastAsiaTheme="minorHAnsi"/>
          <w:spacing w:val="-2"/>
        </w:rPr>
        <w:t xml:space="preserve">the </w:t>
      </w:r>
      <w:r w:rsidRPr="006E7D8F">
        <w:rPr>
          <w:rFonts w:eastAsiaTheme="minorHAnsi"/>
          <w:spacing w:val="-2"/>
        </w:rPr>
        <w:t>RBI approved the transaction.</w:t>
      </w:r>
      <w:r w:rsidRPr="006E7D8F">
        <w:rPr>
          <w:rStyle w:val="EndnoteReference"/>
          <w:rFonts w:eastAsiaTheme="minorHAnsi"/>
          <w:spacing w:val="-2"/>
        </w:rPr>
        <w:endnoteReference w:id="28"/>
      </w:r>
    </w:p>
    <w:p w14:paraId="50A76F80" w14:textId="49B6274B" w:rsidR="00063B81" w:rsidRPr="006E7D8F" w:rsidRDefault="00063B81" w:rsidP="001131E6">
      <w:pPr>
        <w:pStyle w:val="BodyTextMain"/>
        <w:rPr>
          <w:rFonts w:eastAsiaTheme="minorHAnsi"/>
        </w:rPr>
      </w:pPr>
      <w:r>
        <w:rPr>
          <w:rFonts w:eastAsiaTheme="minorHAnsi"/>
        </w:rPr>
        <w:t xml:space="preserve">The </w:t>
      </w:r>
      <w:r w:rsidRPr="006E7D8F">
        <w:rPr>
          <w:rFonts w:eastAsiaTheme="minorHAnsi"/>
        </w:rPr>
        <w:t>CSB had been scouting for funds since 2015</w:t>
      </w:r>
      <w:r>
        <w:rPr>
          <w:rFonts w:eastAsiaTheme="minorHAnsi"/>
        </w:rPr>
        <w:t>,</w:t>
      </w:r>
      <w:r w:rsidRPr="006E7D8F">
        <w:rPr>
          <w:rFonts w:eastAsiaTheme="minorHAnsi"/>
        </w:rPr>
        <w:t xml:space="preserve"> when it had plans to raise ₹4 billion through an IPO. However, it had deferred that plan due to volatile market conditions and raised approximately ₹1 billion through a privately placed equity issue in September 2016 instead.</w:t>
      </w:r>
      <w:r w:rsidRPr="006E7D8F">
        <w:rPr>
          <w:rStyle w:val="EndnoteReference"/>
          <w:rFonts w:eastAsiaTheme="minorHAnsi"/>
        </w:rPr>
        <w:endnoteReference w:id="29"/>
      </w:r>
      <w:r w:rsidRPr="006E7D8F">
        <w:rPr>
          <w:rFonts w:eastAsiaTheme="minorHAnsi"/>
        </w:rPr>
        <w:t xml:space="preserve"> The deal with Fairfax would help augment these funds and enable </w:t>
      </w:r>
      <w:r>
        <w:rPr>
          <w:rFonts w:eastAsiaTheme="minorHAnsi"/>
        </w:rPr>
        <w:t xml:space="preserve">the </w:t>
      </w:r>
      <w:r w:rsidRPr="006E7D8F">
        <w:rPr>
          <w:rFonts w:eastAsiaTheme="minorHAnsi"/>
        </w:rPr>
        <w:t xml:space="preserve">CSB </w:t>
      </w:r>
      <w:r>
        <w:rPr>
          <w:rFonts w:eastAsiaTheme="minorHAnsi"/>
        </w:rPr>
        <w:t xml:space="preserve">to </w:t>
      </w:r>
      <w:r w:rsidRPr="006E7D8F">
        <w:rPr>
          <w:rFonts w:eastAsiaTheme="minorHAnsi"/>
        </w:rPr>
        <w:t>implement its growth plans.</w:t>
      </w:r>
    </w:p>
    <w:p w14:paraId="426D6155" w14:textId="77777777" w:rsidR="00063B81" w:rsidRPr="006E7D8F" w:rsidRDefault="00063B81" w:rsidP="001131E6">
      <w:pPr>
        <w:pStyle w:val="BodyTextMain"/>
        <w:rPr>
          <w:rFonts w:eastAsiaTheme="minorHAnsi"/>
        </w:rPr>
      </w:pPr>
    </w:p>
    <w:p w14:paraId="793BDFEE" w14:textId="14DE61F4" w:rsidR="00063B81" w:rsidRPr="006E7D8F" w:rsidRDefault="00063B81" w:rsidP="001131E6">
      <w:pPr>
        <w:pStyle w:val="BodyTextMain"/>
        <w:rPr>
          <w:rFonts w:eastAsiaTheme="minorHAnsi"/>
          <w:spacing w:val="-2"/>
        </w:rPr>
      </w:pPr>
      <w:r w:rsidRPr="006E7D8F">
        <w:rPr>
          <w:rFonts w:eastAsiaTheme="minorHAnsi"/>
          <w:spacing w:val="-2"/>
        </w:rPr>
        <w:t xml:space="preserve">However, by the middle of 2017, the anticipated deal with Fairfax had fallen through, the parties citing differences in valuation. Fairfax attributed its lower valuation of </w:t>
      </w:r>
      <w:r>
        <w:rPr>
          <w:rFonts w:eastAsiaTheme="minorHAnsi"/>
          <w:spacing w:val="-2"/>
        </w:rPr>
        <w:t xml:space="preserve">the </w:t>
      </w:r>
      <w:r w:rsidRPr="006E7D8F">
        <w:rPr>
          <w:rFonts w:eastAsiaTheme="minorHAnsi"/>
          <w:spacing w:val="-2"/>
        </w:rPr>
        <w:t xml:space="preserve">CSB to the bank’s poor asset quality, evidenced by a steady increase in the gross NPA ratio (see Exhibit 4). </w:t>
      </w:r>
      <w:r>
        <w:rPr>
          <w:rFonts w:eastAsiaTheme="minorHAnsi"/>
          <w:spacing w:val="-2"/>
        </w:rPr>
        <w:t xml:space="preserve">The </w:t>
      </w:r>
      <w:r w:rsidRPr="006E7D8F">
        <w:rPr>
          <w:rFonts w:eastAsiaTheme="minorHAnsi"/>
          <w:spacing w:val="-2"/>
        </w:rPr>
        <w:t>CSB, on the other hand, set its higher valuation betting on a turnaround under the guardianship of the newly appointed managing director, C.</w:t>
      </w:r>
      <w:r>
        <w:rPr>
          <w:rFonts w:eastAsiaTheme="minorHAnsi"/>
          <w:spacing w:val="-2"/>
        </w:rPr>
        <w:t xml:space="preserve"> </w:t>
      </w:r>
      <w:r w:rsidRPr="006E7D8F">
        <w:rPr>
          <w:rFonts w:eastAsiaTheme="minorHAnsi"/>
          <w:spacing w:val="-2"/>
        </w:rPr>
        <w:t>V.</w:t>
      </w:r>
      <w:r>
        <w:rPr>
          <w:rFonts w:eastAsiaTheme="minorHAnsi"/>
          <w:spacing w:val="-2"/>
        </w:rPr>
        <w:t xml:space="preserve"> </w:t>
      </w:r>
      <w:r w:rsidRPr="006E7D8F">
        <w:rPr>
          <w:rFonts w:eastAsiaTheme="minorHAnsi"/>
          <w:spacing w:val="-2"/>
        </w:rPr>
        <w:t xml:space="preserve">R. </w:t>
      </w:r>
      <w:proofErr w:type="spellStart"/>
      <w:r w:rsidRPr="006E7D8F">
        <w:rPr>
          <w:rFonts w:eastAsiaTheme="minorHAnsi"/>
          <w:spacing w:val="-2"/>
        </w:rPr>
        <w:t>Rajendran</w:t>
      </w:r>
      <w:proofErr w:type="spellEnd"/>
      <w:r w:rsidRPr="006E7D8F">
        <w:rPr>
          <w:rFonts w:eastAsiaTheme="minorHAnsi"/>
          <w:spacing w:val="-2"/>
        </w:rPr>
        <w:t>. The bank was also buoyed by its 2017 year-end performance: it had successfully converted losses at the operating and net levels from the previous year to profits in FY 2016/17</w:t>
      </w:r>
      <w:r>
        <w:rPr>
          <w:rFonts w:eastAsiaTheme="minorHAnsi"/>
          <w:spacing w:val="-2"/>
        </w:rPr>
        <w:t>.</w:t>
      </w:r>
      <w:r w:rsidRPr="006E7D8F">
        <w:rPr>
          <w:rStyle w:val="EndnoteReference"/>
          <w:rFonts w:eastAsiaTheme="minorHAnsi"/>
          <w:spacing w:val="-2"/>
        </w:rPr>
        <w:endnoteReference w:id="30"/>
      </w:r>
      <w:r w:rsidRPr="006E7D8F">
        <w:rPr>
          <w:rFonts w:eastAsiaTheme="minorHAnsi"/>
          <w:spacing w:val="-2"/>
        </w:rPr>
        <w:t xml:space="preserve"> </w:t>
      </w:r>
    </w:p>
    <w:p w14:paraId="090A9670" w14:textId="77777777" w:rsidR="00063B81" w:rsidRPr="006E7D8F" w:rsidRDefault="00063B81" w:rsidP="001131E6">
      <w:pPr>
        <w:pStyle w:val="BodyTextMain"/>
        <w:rPr>
          <w:rFonts w:eastAsiaTheme="minorHAnsi"/>
          <w:spacing w:val="-2"/>
        </w:rPr>
      </w:pPr>
    </w:p>
    <w:p w14:paraId="763A0C98" w14:textId="1D6716D6" w:rsidR="00063B81" w:rsidRPr="006E7D8F" w:rsidRDefault="00063B81" w:rsidP="001131E6">
      <w:pPr>
        <w:pStyle w:val="BodyTextMain"/>
        <w:rPr>
          <w:rFonts w:eastAsiaTheme="minorHAnsi"/>
          <w:spacing w:val="-2"/>
        </w:rPr>
      </w:pPr>
      <w:r w:rsidRPr="006E7D8F">
        <w:rPr>
          <w:rFonts w:eastAsiaTheme="minorHAnsi"/>
          <w:spacing w:val="-2"/>
        </w:rPr>
        <w:t xml:space="preserve">The bank’s chairman asserted that the bank was doing everything it could to strengthen its financial position. This included strengthening its delivery channels, leveraging technology, and reducing the cost of funds by focusing on </w:t>
      </w:r>
      <w:r>
        <w:rPr>
          <w:rFonts w:eastAsiaTheme="minorHAnsi"/>
          <w:spacing w:val="-2"/>
        </w:rPr>
        <w:t>lower-cost</w:t>
      </w:r>
      <w:r w:rsidRPr="006E7D8F">
        <w:rPr>
          <w:rFonts w:eastAsiaTheme="minorHAnsi"/>
          <w:spacing w:val="-2"/>
        </w:rPr>
        <w:t xml:space="preserve"> demand deposits (</w:t>
      </w:r>
      <w:bookmarkStart w:id="4" w:name="_Hlk2844923"/>
      <w:r w:rsidRPr="006E7D8F">
        <w:rPr>
          <w:rFonts w:eastAsiaTheme="minorHAnsi"/>
          <w:spacing w:val="-2"/>
        </w:rPr>
        <w:t xml:space="preserve">current </w:t>
      </w:r>
      <w:r>
        <w:rPr>
          <w:rFonts w:eastAsiaTheme="minorHAnsi"/>
          <w:spacing w:val="-2"/>
        </w:rPr>
        <w:t>account</w:t>
      </w:r>
      <w:r w:rsidRPr="006E7D8F">
        <w:rPr>
          <w:rFonts w:eastAsiaTheme="minorHAnsi"/>
          <w:spacing w:val="-2"/>
        </w:rPr>
        <w:t xml:space="preserve"> savings accounts</w:t>
      </w:r>
      <w:bookmarkEnd w:id="4"/>
      <w:r w:rsidRPr="006E7D8F">
        <w:rPr>
          <w:rFonts w:eastAsiaTheme="minorHAnsi"/>
          <w:spacing w:val="-2"/>
        </w:rPr>
        <w:t xml:space="preserve">, popularly termed </w:t>
      </w:r>
      <w:r>
        <w:rPr>
          <w:rFonts w:eastAsiaTheme="minorHAnsi"/>
          <w:spacing w:val="-2"/>
        </w:rPr>
        <w:t>CASAs</w:t>
      </w:r>
      <w:r w:rsidRPr="006E7D8F">
        <w:rPr>
          <w:rFonts w:eastAsiaTheme="minorHAnsi"/>
          <w:spacing w:val="-2"/>
        </w:rPr>
        <w:t>), in addition to increasing capital adequacy by raising capital from multiple sources.</w:t>
      </w:r>
      <w:r w:rsidRPr="006E7D8F">
        <w:rPr>
          <w:rStyle w:val="EndnoteReference"/>
          <w:rFonts w:eastAsiaTheme="minorHAnsi"/>
          <w:spacing w:val="-2"/>
        </w:rPr>
        <w:endnoteReference w:id="31"/>
      </w:r>
      <w:r w:rsidRPr="006E7D8F">
        <w:rPr>
          <w:rFonts w:eastAsiaTheme="minorHAnsi"/>
          <w:spacing w:val="-2"/>
        </w:rPr>
        <w:t xml:space="preserve"> The results showed in the lower cost of funds and lower cost-to-income ratio for FY 2016/17, although the results for the half-year ended September 30, 2017, showed a slight increase in the cost-to-income ratio (see Exhibit 4). </w:t>
      </w:r>
    </w:p>
    <w:p w14:paraId="2C020F1E" w14:textId="77777777" w:rsidR="00063B81" w:rsidRPr="006E7D8F" w:rsidRDefault="00063B81" w:rsidP="001131E6">
      <w:pPr>
        <w:pStyle w:val="BodyTextMain"/>
        <w:rPr>
          <w:rFonts w:eastAsiaTheme="minorHAnsi"/>
        </w:rPr>
      </w:pPr>
    </w:p>
    <w:p w14:paraId="660ABAF4" w14:textId="16E3C8C4" w:rsidR="00063B81" w:rsidRPr="006E7D8F" w:rsidRDefault="00063B81" w:rsidP="001131E6">
      <w:pPr>
        <w:pStyle w:val="BodyTextMain"/>
        <w:rPr>
          <w:rFonts w:eastAsiaTheme="minorHAnsi"/>
        </w:rPr>
      </w:pPr>
      <w:r w:rsidRPr="006E7D8F">
        <w:rPr>
          <w:rFonts w:eastAsiaTheme="minorHAnsi"/>
        </w:rPr>
        <w:t>Going forward, management was aiming to improve profitability at the operating level without the benefit of treasury gains; the goal was to close FY 2017/18 with net profits higher than in the previous year.</w:t>
      </w:r>
      <w:r w:rsidRPr="006E7D8F">
        <w:rPr>
          <w:rStyle w:val="EndnoteReference"/>
          <w:rFonts w:eastAsiaTheme="minorHAnsi"/>
        </w:rPr>
        <w:endnoteReference w:id="32"/>
      </w:r>
      <w:r w:rsidRPr="006E7D8F">
        <w:rPr>
          <w:rFonts w:eastAsiaTheme="minorHAnsi"/>
        </w:rPr>
        <w:t xml:space="preserve"> Ten-year government yields had been declining since April 2014, reaching a low of 6.24 per cent in December 2016, then slowly increasing, likely in tandem with increasing interest rates in the U.S. market. By September 2017, the yields had reached 6.66 per cent. Treasury profits were going to be difficult to achieve with interest rates on the rise.</w:t>
      </w:r>
      <w:r w:rsidRPr="006E7D8F">
        <w:rPr>
          <w:rStyle w:val="EndnoteReference"/>
          <w:rFonts w:eastAsiaTheme="minorHAnsi"/>
        </w:rPr>
        <w:endnoteReference w:id="33"/>
      </w:r>
    </w:p>
    <w:p w14:paraId="44B3004D" w14:textId="77777777" w:rsidR="00063B81" w:rsidRPr="006E7D8F" w:rsidRDefault="00063B81" w:rsidP="001131E6">
      <w:pPr>
        <w:pStyle w:val="BodyTextMain"/>
        <w:rPr>
          <w:rFonts w:eastAsiaTheme="minorHAnsi"/>
        </w:rPr>
      </w:pPr>
    </w:p>
    <w:p w14:paraId="221F65C3" w14:textId="68D331F7" w:rsidR="00063B81" w:rsidRPr="006E7D8F" w:rsidRDefault="00063B81" w:rsidP="001131E6">
      <w:pPr>
        <w:pStyle w:val="BodyTextMain"/>
        <w:rPr>
          <w:rFonts w:eastAsiaTheme="minorHAnsi"/>
          <w:spacing w:val="-2"/>
        </w:rPr>
      </w:pPr>
      <w:r w:rsidRPr="006E7D8F">
        <w:rPr>
          <w:rFonts w:eastAsiaTheme="minorHAnsi"/>
          <w:spacing w:val="-2"/>
        </w:rPr>
        <w:t>The bank needed capital for growth. With the Fairfax deal gone, the bank’s board of directors approved a proposal to raise ₹4 billion by issuing a qualified institutional placement (QIP) before the end of 2017 to fund the bank’s growth for the next 18 months. The managing director set a target of 27 per cent growth in advances during FY 2017/18.</w:t>
      </w:r>
      <w:r w:rsidRPr="006E7D8F">
        <w:rPr>
          <w:rStyle w:val="EndnoteReference"/>
          <w:rFonts w:eastAsiaTheme="minorHAnsi"/>
          <w:spacing w:val="-2"/>
        </w:rPr>
        <w:endnoteReference w:id="34"/>
      </w:r>
      <w:r w:rsidRPr="006E7D8F">
        <w:rPr>
          <w:rFonts w:eastAsiaTheme="minorHAnsi"/>
          <w:spacing w:val="-2"/>
        </w:rPr>
        <w:t xml:space="preserve"> The market was ripe for the QIP</w:t>
      </w:r>
      <w:r>
        <w:rPr>
          <w:rFonts w:eastAsiaTheme="minorHAnsi"/>
          <w:spacing w:val="-2"/>
        </w:rPr>
        <w:t>,</w:t>
      </w:r>
      <w:r w:rsidRPr="006E7D8F">
        <w:rPr>
          <w:rFonts w:eastAsiaTheme="minorHAnsi"/>
          <w:spacing w:val="-2"/>
        </w:rPr>
        <w:t xml:space="preserve"> with more than 18 such issues already floated during the year, mostly by financial services companies, including banks. </w:t>
      </w:r>
      <w:r>
        <w:rPr>
          <w:rFonts w:eastAsiaTheme="minorHAnsi"/>
          <w:spacing w:val="-2"/>
        </w:rPr>
        <w:t xml:space="preserve">The </w:t>
      </w:r>
      <w:r w:rsidRPr="006E7D8F">
        <w:rPr>
          <w:rFonts w:eastAsiaTheme="minorHAnsi"/>
          <w:spacing w:val="-2"/>
        </w:rPr>
        <w:t>CSB’s managing director declared that the bank would defer an IPO until it saw at least three consecutive years of profitability.</w:t>
      </w:r>
      <w:r w:rsidRPr="006E7D8F">
        <w:rPr>
          <w:rStyle w:val="EndnoteReference"/>
          <w:rFonts w:eastAsiaTheme="minorHAnsi"/>
          <w:spacing w:val="-2"/>
        </w:rPr>
        <w:endnoteReference w:id="35"/>
      </w:r>
    </w:p>
    <w:p w14:paraId="298FB0E0" w14:textId="77777777" w:rsidR="00063B81" w:rsidRPr="006E7D8F" w:rsidRDefault="00063B81" w:rsidP="001131E6">
      <w:pPr>
        <w:pStyle w:val="BodyTextMain"/>
        <w:rPr>
          <w:rFonts w:eastAsiaTheme="minorHAnsi"/>
          <w:spacing w:val="-2"/>
        </w:rPr>
      </w:pPr>
    </w:p>
    <w:p w14:paraId="08813C59" w14:textId="2EFD5E4E" w:rsidR="00063B81" w:rsidRPr="006E7D8F" w:rsidRDefault="00063B81" w:rsidP="001131E6">
      <w:pPr>
        <w:pStyle w:val="BodyTextMain"/>
        <w:rPr>
          <w:rFonts w:eastAsiaTheme="minorHAnsi"/>
        </w:rPr>
      </w:pPr>
      <w:r w:rsidRPr="006E7D8F">
        <w:rPr>
          <w:rFonts w:eastAsiaTheme="minorHAnsi"/>
        </w:rPr>
        <w:t xml:space="preserve">As if on cue, more than 20 investors, including private equity investors such as AION Capital Partners Limited, the </w:t>
      </w:r>
      <w:proofErr w:type="spellStart"/>
      <w:r w:rsidRPr="006E7D8F">
        <w:rPr>
          <w:rFonts w:eastAsiaTheme="minorHAnsi"/>
        </w:rPr>
        <w:t>Everstone</w:t>
      </w:r>
      <w:proofErr w:type="spellEnd"/>
      <w:r w:rsidRPr="006E7D8F">
        <w:rPr>
          <w:rFonts w:eastAsiaTheme="minorHAnsi"/>
        </w:rPr>
        <w:t xml:space="preserve"> Group, and </w:t>
      </w:r>
      <w:proofErr w:type="spellStart"/>
      <w:r w:rsidRPr="006E7D8F">
        <w:rPr>
          <w:rFonts w:eastAsiaTheme="minorHAnsi"/>
        </w:rPr>
        <w:t>InCred</w:t>
      </w:r>
      <w:proofErr w:type="spellEnd"/>
      <w:r w:rsidRPr="006E7D8F">
        <w:rPr>
          <w:rFonts w:eastAsiaTheme="minorHAnsi"/>
        </w:rPr>
        <w:t xml:space="preserve"> Finance, and distressed asset investors like SSG Capital Management Limited, showed interest in acquiring a stake in</w:t>
      </w:r>
      <w:r>
        <w:rPr>
          <w:rFonts w:eastAsiaTheme="minorHAnsi"/>
        </w:rPr>
        <w:t xml:space="preserve"> the</w:t>
      </w:r>
      <w:r w:rsidRPr="006E7D8F">
        <w:rPr>
          <w:rFonts w:eastAsiaTheme="minorHAnsi"/>
        </w:rPr>
        <w:t xml:space="preserve"> CSB, although just a minority interest.</w:t>
      </w:r>
      <w:r w:rsidRPr="006E7D8F">
        <w:rPr>
          <w:rStyle w:val="EndnoteReference"/>
          <w:rFonts w:eastAsiaTheme="minorHAnsi"/>
        </w:rPr>
        <w:endnoteReference w:id="36"/>
      </w:r>
      <w:r w:rsidRPr="006E7D8F">
        <w:rPr>
          <w:rFonts w:eastAsiaTheme="minorHAnsi"/>
        </w:rPr>
        <w:t xml:space="preserve"> The bank’s management decided to seek RBI approval only once the parties agreed on valuations.</w:t>
      </w:r>
      <w:r w:rsidRPr="006E7D8F">
        <w:rPr>
          <w:rStyle w:val="EndnoteReference"/>
          <w:rFonts w:eastAsiaTheme="minorHAnsi"/>
        </w:rPr>
        <w:endnoteReference w:id="37"/>
      </w:r>
    </w:p>
    <w:p w14:paraId="60F4D3EF" w14:textId="77777777" w:rsidR="00063B81" w:rsidRPr="006E7D8F" w:rsidRDefault="00063B81" w:rsidP="001131E6">
      <w:pPr>
        <w:pStyle w:val="BodyTextMain"/>
        <w:rPr>
          <w:rFonts w:eastAsiaTheme="minorHAnsi"/>
        </w:rPr>
      </w:pPr>
    </w:p>
    <w:p w14:paraId="2B735B1B" w14:textId="10656BFC" w:rsidR="00063B81" w:rsidRPr="006E7D8F" w:rsidRDefault="00063B81" w:rsidP="001131E6">
      <w:pPr>
        <w:pStyle w:val="BodyTextMain"/>
        <w:rPr>
          <w:rFonts w:eastAsiaTheme="minorHAnsi"/>
        </w:rPr>
      </w:pPr>
      <w:r w:rsidRPr="006E7D8F">
        <w:rPr>
          <w:rFonts w:eastAsiaTheme="minorHAnsi"/>
        </w:rPr>
        <w:t>In the meantime, there were reports that</w:t>
      </w:r>
      <w:r>
        <w:rPr>
          <w:rFonts w:eastAsiaTheme="minorHAnsi"/>
        </w:rPr>
        <w:t xml:space="preserve"> the</w:t>
      </w:r>
      <w:r w:rsidRPr="006E7D8F">
        <w:rPr>
          <w:rFonts w:eastAsiaTheme="minorHAnsi"/>
        </w:rPr>
        <w:t xml:space="preserve"> CSB’s shares were trading on the grey market at a premium of approximately 25 per cent, ostensibly in response to the increased interest from prospective bidders. This spike in share prices was expected to affect the deal prices that would be negotiated and possibly sealed. Speculation was rife that a large transaction would happen at a discount, although at a price significantly higher than the spurned offer from Fairfax.</w:t>
      </w:r>
      <w:r w:rsidRPr="006E7D8F">
        <w:rPr>
          <w:rStyle w:val="EndnoteReference"/>
          <w:rFonts w:eastAsiaTheme="minorHAnsi"/>
        </w:rPr>
        <w:endnoteReference w:id="38"/>
      </w:r>
      <w:r w:rsidRPr="006E7D8F">
        <w:rPr>
          <w:rFonts w:eastAsiaTheme="minorHAnsi"/>
        </w:rPr>
        <w:t xml:space="preserve"> </w:t>
      </w:r>
    </w:p>
    <w:p w14:paraId="037AE823" w14:textId="77777777" w:rsidR="00063B81" w:rsidRPr="006E7D8F" w:rsidRDefault="00063B81" w:rsidP="001131E6">
      <w:pPr>
        <w:pStyle w:val="BodyTextMain"/>
        <w:rPr>
          <w:rFonts w:eastAsiaTheme="minorHAnsi"/>
        </w:rPr>
      </w:pPr>
    </w:p>
    <w:p w14:paraId="1D284B94" w14:textId="3B99C372" w:rsidR="00063B81" w:rsidRPr="006E7D8F" w:rsidRDefault="00063B81" w:rsidP="001131E6">
      <w:pPr>
        <w:pStyle w:val="BodyTextMain"/>
        <w:rPr>
          <w:rFonts w:eastAsiaTheme="minorHAnsi"/>
          <w:spacing w:val="-2"/>
        </w:rPr>
      </w:pPr>
      <w:r w:rsidRPr="006E7D8F">
        <w:rPr>
          <w:rFonts w:eastAsiaTheme="minorHAnsi"/>
          <w:spacing w:val="-2"/>
        </w:rPr>
        <w:t xml:space="preserve">An investment by </w:t>
      </w:r>
      <w:proofErr w:type="spellStart"/>
      <w:r w:rsidRPr="006E7D8F">
        <w:rPr>
          <w:rFonts w:eastAsiaTheme="minorHAnsi"/>
          <w:spacing w:val="-2"/>
        </w:rPr>
        <w:t>Vallabh</w:t>
      </w:r>
      <w:proofErr w:type="spellEnd"/>
      <w:r w:rsidRPr="006E7D8F">
        <w:rPr>
          <w:rFonts w:eastAsiaTheme="minorHAnsi"/>
          <w:spacing w:val="-2"/>
        </w:rPr>
        <w:t xml:space="preserve"> </w:t>
      </w:r>
      <w:proofErr w:type="spellStart"/>
      <w:r w:rsidRPr="006E7D8F">
        <w:rPr>
          <w:rFonts w:eastAsiaTheme="minorHAnsi"/>
          <w:spacing w:val="-2"/>
        </w:rPr>
        <w:t>Bhansali</w:t>
      </w:r>
      <w:proofErr w:type="spellEnd"/>
      <w:r w:rsidRPr="006E7D8F">
        <w:rPr>
          <w:rFonts w:eastAsiaTheme="minorHAnsi"/>
          <w:spacing w:val="-2"/>
        </w:rPr>
        <w:t xml:space="preserve">, chairman of ENAM Group, gave some indication of what to expect with the bank’s valuation. </w:t>
      </w:r>
      <w:proofErr w:type="spellStart"/>
      <w:r w:rsidRPr="006E7D8F">
        <w:rPr>
          <w:rFonts w:eastAsiaTheme="minorHAnsi"/>
          <w:spacing w:val="-2"/>
        </w:rPr>
        <w:t>Bhansali</w:t>
      </w:r>
      <w:proofErr w:type="spellEnd"/>
      <w:r w:rsidRPr="006E7D8F">
        <w:rPr>
          <w:rFonts w:eastAsiaTheme="minorHAnsi"/>
          <w:spacing w:val="-2"/>
        </w:rPr>
        <w:t xml:space="preserve"> picked up a 4 per cent stake in the bank on May 23, 2017, at ₹160 per share. The price was a 30 per cent premium on CSB’s per share book value of ₹123.5 at the end of March 2017</w:t>
      </w:r>
      <w:r>
        <w:rPr>
          <w:rFonts w:eastAsiaTheme="minorHAnsi"/>
          <w:spacing w:val="-2"/>
        </w:rPr>
        <w:t>.</w:t>
      </w:r>
      <w:r w:rsidRPr="006E7D8F">
        <w:rPr>
          <w:rStyle w:val="EndnoteReference"/>
          <w:rFonts w:eastAsiaTheme="minorHAnsi"/>
          <w:spacing w:val="-2"/>
        </w:rPr>
        <w:endnoteReference w:id="39"/>
      </w:r>
      <w:r w:rsidRPr="006E7D8F">
        <w:rPr>
          <w:rFonts w:eastAsiaTheme="minorHAnsi"/>
          <w:spacing w:val="-2"/>
        </w:rPr>
        <w:t xml:space="preserve"> </w:t>
      </w:r>
      <w:proofErr w:type="spellStart"/>
      <w:r w:rsidRPr="006E7D8F">
        <w:rPr>
          <w:rFonts w:eastAsiaTheme="minorHAnsi"/>
          <w:spacing w:val="-2"/>
        </w:rPr>
        <w:t>Bhansali’s</w:t>
      </w:r>
      <w:proofErr w:type="spellEnd"/>
      <w:r w:rsidRPr="006E7D8F">
        <w:rPr>
          <w:rFonts w:eastAsiaTheme="minorHAnsi"/>
          <w:spacing w:val="-2"/>
        </w:rPr>
        <w:t xml:space="preserve"> investment was at a lower price-to-book value ratio than the average ratio at which OPSBs had been trading since April 2017; however, the high variance in the trading multiples across individual banks made it difficult to simply apply the group average to any individual bank (see Exhibit 5).</w:t>
      </w:r>
    </w:p>
    <w:p w14:paraId="2DE81D78" w14:textId="77777777" w:rsidR="00063B81" w:rsidRPr="006E7D8F" w:rsidRDefault="00063B81" w:rsidP="001131E6">
      <w:pPr>
        <w:pStyle w:val="BodyTextMain"/>
        <w:rPr>
          <w:rFonts w:eastAsiaTheme="minorHAnsi"/>
        </w:rPr>
      </w:pPr>
    </w:p>
    <w:p w14:paraId="3CBF60FB" w14:textId="77777777" w:rsidR="00063B81" w:rsidRPr="006E7D8F" w:rsidRDefault="00063B81" w:rsidP="001131E6">
      <w:pPr>
        <w:pStyle w:val="BodyTextMain"/>
        <w:rPr>
          <w:rFonts w:eastAsiaTheme="minorHAnsi"/>
        </w:rPr>
      </w:pPr>
    </w:p>
    <w:p w14:paraId="14F8559A" w14:textId="77777777" w:rsidR="00063B81" w:rsidRPr="006E7D8F" w:rsidRDefault="00063B81" w:rsidP="001131E6">
      <w:pPr>
        <w:pStyle w:val="Casehead1"/>
        <w:rPr>
          <w:rFonts w:eastAsiaTheme="minorHAnsi"/>
        </w:rPr>
      </w:pPr>
      <w:r w:rsidRPr="006E7D8F">
        <w:rPr>
          <w:rFonts w:eastAsiaTheme="minorHAnsi"/>
        </w:rPr>
        <w:t>STRATEGIZING FOR THE FUTURE</w:t>
      </w:r>
      <w:r w:rsidRPr="006E7D8F">
        <w:rPr>
          <w:rStyle w:val="EndnoteReference"/>
          <w:rFonts w:eastAsiaTheme="minorHAnsi"/>
        </w:rPr>
        <w:endnoteReference w:id="40"/>
      </w:r>
    </w:p>
    <w:p w14:paraId="15F8B550" w14:textId="77777777" w:rsidR="00972E98" w:rsidRPr="006E7D8F" w:rsidRDefault="00972E98" w:rsidP="00155A16">
      <w:pPr>
        <w:pStyle w:val="BodyTextMain"/>
        <w:rPr>
          <w:rFonts w:eastAsiaTheme="minorHAnsi"/>
        </w:rPr>
      </w:pPr>
    </w:p>
    <w:p w14:paraId="015072AB" w14:textId="5EABB3EC" w:rsidR="00972E98" w:rsidRPr="006E7D8F" w:rsidRDefault="0056669C" w:rsidP="00155A16">
      <w:pPr>
        <w:pStyle w:val="BodyTextMain"/>
        <w:rPr>
          <w:rFonts w:eastAsiaTheme="minorHAnsi"/>
        </w:rPr>
      </w:pPr>
      <w:r>
        <w:rPr>
          <w:rFonts w:eastAsiaTheme="minorHAnsi"/>
        </w:rPr>
        <w:t xml:space="preserve">The </w:t>
      </w:r>
      <w:r w:rsidR="00972E98" w:rsidRPr="006E7D8F">
        <w:rPr>
          <w:rFonts w:eastAsiaTheme="minorHAnsi"/>
        </w:rPr>
        <w:t>CSB’s results for the six months ending September 30, 2017</w:t>
      </w:r>
      <w:r>
        <w:rPr>
          <w:rFonts w:eastAsiaTheme="minorHAnsi"/>
        </w:rPr>
        <w:t>,</w:t>
      </w:r>
      <w:r w:rsidR="00972E98" w:rsidRPr="006E7D8F">
        <w:rPr>
          <w:rFonts w:eastAsiaTheme="minorHAnsi"/>
        </w:rPr>
        <w:t xml:space="preserve"> showed improvements in operating profits despite high employee costs; the improvements were without the support of treasury profits, which accounted for only ₹20 million as against ₹1,959 million for </w:t>
      </w:r>
      <w:r>
        <w:rPr>
          <w:rFonts w:eastAsiaTheme="minorHAnsi"/>
        </w:rPr>
        <w:t>FY</w:t>
      </w:r>
      <w:r w:rsidR="00972E98" w:rsidRPr="006E7D8F">
        <w:rPr>
          <w:rFonts w:eastAsiaTheme="minorHAnsi"/>
        </w:rPr>
        <w:t xml:space="preserve"> </w:t>
      </w:r>
      <w:r>
        <w:rPr>
          <w:rFonts w:eastAsiaTheme="minorHAnsi"/>
        </w:rPr>
        <w:t>2016</w:t>
      </w:r>
      <w:r w:rsidR="00960EC7">
        <w:rPr>
          <w:rFonts w:eastAsiaTheme="minorHAnsi"/>
        </w:rPr>
        <w:t>/</w:t>
      </w:r>
      <w:r>
        <w:rPr>
          <w:rFonts w:eastAsiaTheme="minorHAnsi"/>
        </w:rPr>
        <w:t>17</w:t>
      </w:r>
      <w:r w:rsidR="00972E98" w:rsidRPr="006E7D8F">
        <w:rPr>
          <w:rFonts w:eastAsiaTheme="minorHAnsi"/>
        </w:rPr>
        <w:t xml:space="preserve"> (indicated as </w:t>
      </w:r>
      <w:r>
        <w:rPr>
          <w:rFonts w:eastAsiaTheme="minorHAnsi"/>
        </w:rPr>
        <w:t>net</w:t>
      </w:r>
      <w:r w:rsidRPr="006E7D8F">
        <w:rPr>
          <w:rFonts w:eastAsiaTheme="minorHAnsi"/>
        </w:rPr>
        <w:t xml:space="preserve"> </w:t>
      </w:r>
      <w:r w:rsidR="00972E98" w:rsidRPr="006E7D8F">
        <w:rPr>
          <w:rFonts w:eastAsiaTheme="minorHAnsi"/>
        </w:rPr>
        <w:t xml:space="preserve">profit </w:t>
      </w:r>
      <w:r>
        <w:rPr>
          <w:rFonts w:eastAsiaTheme="minorHAnsi"/>
        </w:rPr>
        <w:t>[</w:t>
      </w:r>
      <w:r w:rsidR="00972E98" w:rsidRPr="006E7D8F">
        <w:rPr>
          <w:rFonts w:eastAsiaTheme="minorHAnsi"/>
        </w:rPr>
        <w:t>loss</w:t>
      </w:r>
      <w:r>
        <w:rPr>
          <w:rFonts w:eastAsiaTheme="minorHAnsi"/>
        </w:rPr>
        <w:t>]</w:t>
      </w:r>
      <w:r w:rsidR="00972E98" w:rsidRPr="006E7D8F">
        <w:rPr>
          <w:rFonts w:eastAsiaTheme="minorHAnsi"/>
        </w:rPr>
        <w:t xml:space="preserve"> on sale of investments in Exhibit 1). However, the market was disconcerted by the large net loss posted by the bank for the </w:t>
      </w:r>
      <w:r>
        <w:rPr>
          <w:rFonts w:eastAsiaTheme="minorHAnsi"/>
        </w:rPr>
        <w:t>half-year</w:t>
      </w:r>
      <w:r w:rsidR="00972E98" w:rsidRPr="006E7D8F">
        <w:rPr>
          <w:rFonts w:eastAsiaTheme="minorHAnsi"/>
        </w:rPr>
        <w:t xml:space="preserve"> period. The small net profit of ₹16 million posted for </w:t>
      </w:r>
      <w:r>
        <w:rPr>
          <w:rFonts w:eastAsiaTheme="minorHAnsi"/>
        </w:rPr>
        <w:t>FY</w:t>
      </w:r>
      <w:r w:rsidRPr="006E7D8F">
        <w:rPr>
          <w:rFonts w:eastAsiaTheme="minorHAnsi"/>
        </w:rPr>
        <w:t xml:space="preserve"> </w:t>
      </w:r>
      <w:r>
        <w:rPr>
          <w:rFonts w:eastAsiaTheme="minorHAnsi"/>
        </w:rPr>
        <w:t>2016</w:t>
      </w:r>
      <w:r w:rsidR="00960EC7">
        <w:rPr>
          <w:rFonts w:eastAsiaTheme="minorHAnsi"/>
        </w:rPr>
        <w:t>/</w:t>
      </w:r>
      <w:r>
        <w:rPr>
          <w:rFonts w:eastAsiaTheme="minorHAnsi"/>
        </w:rPr>
        <w:t xml:space="preserve">17 </w:t>
      </w:r>
      <w:r w:rsidR="00972E98" w:rsidRPr="006E7D8F">
        <w:rPr>
          <w:rFonts w:eastAsiaTheme="minorHAnsi"/>
        </w:rPr>
        <w:t>had seemed like the bank was finally recovering.</w:t>
      </w:r>
    </w:p>
    <w:p w14:paraId="064BAADE" w14:textId="77777777" w:rsidR="00972E98" w:rsidRPr="006E7D8F" w:rsidRDefault="00972E98" w:rsidP="00155A16">
      <w:pPr>
        <w:pStyle w:val="BodyTextMain"/>
        <w:rPr>
          <w:rFonts w:eastAsiaTheme="minorHAnsi"/>
        </w:rPr>
      </w:pPr>
    </w:p>
    <w:p w14:paraId="1FE6C897" w14:textId="77777777" w:rsidR="00972E98" w:rsidRPr="006E7D8F" w:rsidRDefault="00972E98" w:rsidP="001131E6">
      <w:pPr>
        <w:pStyle w:val="BodyTextMain"/>
        <w:rPr>
          <w:rFonts w:eastAsiaTheme="minorHAnsi"/>
        </w:rPr>
      </w:pPr>
      <w:r w:rsidRPr="006E7D8F">
        <w:rPr>
          <w:rFonts w:eastAsiaTheme="minorHAnsi"/>
        </w:rPr>
        <w:t xml:space="preserve">The managing director attributed the financial decline to three main problems: high employee costs, high provisioning for bad assets, and a low credit–deposit ratio resulting in a negative carry for the bank. Management planned to reduce the average cost per employee by making fresh lateral recruitments and moving toward a performance-based pay system. A focus on recoveries and stemming bad loans seemed to be meeting with success; the bank had recovered ₹1.4 billion in bad loans in just the first half of FY 2017/18—more than the recoveries made in the whole of FY 2016/17. </w:t>
      </w:r>
    </w:p>
    <w:p w14:paraId="73AA01D5" w14:textId="77777777" w:rsidR="00972E98" w:rsidRPr="006E7D8F" w:rsidRDefault="00972E98">
      <w:pPr>
        <w:pStyle w:val="BodyTextMain"/>
        <w:rPr>
          <w:rFonts w:eastAsiaTheme="minorHAnsi"/>
        </w:rPr>
      </w:pPr>
    </w:p>
    <w:p w14:paraId="5C15330A" w14:textId="77777777" w:rsidR="001131E6" w:rsidRPr="006E7D8F" w:rsidRDefault="00972E98" w:rsidP="001131E6">
      <w:pPr>
        <w:pStyle w:val="BodyTextMain"/>
        <w:rPr>
          <w:rFonts w:eastAsiaTheme="minorHAnsi"/>
        </w:rPr>
      </w:pPr>
      <w:r w:rsidRPr="006E7D8F">
        <w:rPr>
          <w:rFonts w:eastAsiaTheme="minorHAnsi"/>
        </w:rPr>
        <w:t xml:space="preserve">The low credit–deposit ratio meant more than ₹25 billion was invested in low-margin, short-term treasury assets. Management aimed to move a sizable portion of these funds into highly rated corporate lending, while keeping an eye on capital requirements. The bank was going to remain focused on small and medium businesses rather than on large corporations for lending, and it was working on making its credit appraisal and rating systems more robust. </w:t>
      </w:r>
      <w:r w:rsidR="001131E6" w:rsidRPr="006E7D8F">
        <w:rPr>
          <w:rFonts w:eastAsiaTheme="minorHAnsi"/>
        </w:rPr>
        <w:t>These plans were expected to reflect in the bank’s vital parameters over the next three to five years (</w:t>
      </w:r>
      <w:r w:rsidR="00BF3F68" w:rsidRPr="006E7D8F">
        <w:rPr>
          <w:rFonts w:eastAsiaTheme="minorHAnsi"/>
        </w:rPr>
        <w:t xml:space="preserve">see </w:t>
      </w:r>
      <w:r w:rsidR="001131E6" w:rsidRPr="006E7D8F">
        <w:rPr>
          <w:rFonts w:eastAsiaTheme="minorHAnsi"/>
        </w:rPr>
        <w:t>Exhibit 6).</w:t>
      </w:r>
    </w:p>
    <w:p w14:paraId="3453E305" w14:textId="77777777" w:rsidR="001131E6" w:rsidRPr="006E7D8F" w:rsidRDefault="001131E6" w:rsidP="001131E6">
      <w:pPr>
        <w:pStyle w:val="BodyTextMain"/>
        <w:rPr>
          <w:rFonts w:eastAsiaTheme="minorHAnsi"/>
        </w:rPr>
      </w:pPr>
    </w:p>
    <w:p w14:paraId="11390F3C" w14:textId="2CFD376C" w:rsidR="001131E6" w:rsidRPr="006E7D8F" w:rsidRDefault="00BF3F68" w:rsidP="001131E6">
      <w:pPr>
        <w:pStyle w:val="BodyTextMain"/>
      </w:pPr>
      <w:r w:rsidRPr="006E7D8F">
        <w:t xml:space="preserve">The bank had ambitious growth aspirations and needed funds to execute them. There were enough investors in the market looking to invest in the bank for at least a minority stake, and </w:t>
      </w:r>
      <w:r w:rsidR="00C24447">
        <w:t xml:space="preserve">the </w:t>
      </w:r>
      <w:r w:rsidR="001131E6" w:rsidRPr="006E7D8F">
        <w:t xml:space="preserve">CSB’s </w:t>
      </w:r>
      <w:r w:rsidR="00C24447">
        <w:t>counter-offer</w:t>
      </w:r>
      <w:r w:rsidR="00C24447" w:rsidRPr="006E7D8F">
        <w:t xml:space="preserve"> </w:t>
      </w:r>
      <w:r w:rsidR="001131E6" w:rsidRPr="006E7D8F">
        <w:t>to Fairfax was still on the table</w:t>
      </w:r>
      <w:r w:rsidRPr="006E7D8F">
        <w:t xml:space="preserve">. </w:t>
      </w:r>
      <w:r w:rsidR="001131E6" w:rsidRPr="006E7D8F">
        <w:t xml:space="preserve">Fairfax had had a successful run with investments in India so far and believed </w:t>
      </w:r>
      <w:r w:rsidR="00C24447">
        <w:t xml:space="preserve">the </w:t>
      </w:r>
      <w:r w:rsidR="001131E6" w:rsidRPr="006E7D8F">
        <w:t>CSB was a good candidate for investment</w:t>
      </w:r>
      <w:r w:rsidR="009B6981">
        <w:t>.</w:t>
      </w:r>
      <w:r w:rsidR="001131E6" w:rsidRPr="006E7D8F">
        <w:t xml:space="preserve"> </w:t>
      </w:r>
      <w:r w:rsidR="009B6981">
        <w:t>But at</w:t>
      </w:r>
      <w:r w:rsidR="009B6981" w:rsidRPr="006E7D8F">
        <w:t xml:space="preserve"> </w:t>
      </w:r>
      <w:r w:rsidR="001131E6" w:rsidRPr="006E7D8F">
        <w:t>what price</w:t>
      </w:r>
      <w:r w:rsidR="00BA656F" w:rsidRPr="006E7D8F">
        <w:t xml:space="preserve"> </w:t>
      </w:r>
      <w:r w:rsidR="009B6981">
        <w:t xml:space="preserve">could </w:t>
      </w:r>
      <w:r w:rsidR="00BA656F" w:rsidRPr="006E7D8F">
        <w:t>a deal</w:t>
      </w:r>
      <w:r w:rsidR="009B6981">
        <w:t xml:space="preserve"> be sealed</w:t>
      </w:r>
      <w:r w:rsidR="001131E6" w:rsidRPr="006E7D8F">
        <w:t>?</w:t>
      </w:r>
    </w:p>
    <w:p w14:paraId="550A3129" w14:textId="77777777" w:rsidR="001131E6" w:rsidRPr="006E7D8F" w:rsidRDefault="001131E6">
      <w:pPr>
        <w:spacing w:after="200" w:line="276" w:lineRule="auto"/>
        <w:rPr>
          <w:sz w:val="22"/>
          <w:szCs w:val="22"/>
        </w:rPr>
      </w:pPr>
      <w:r w:rsidRPr="006E7D8F">
        <w:br w:type="page"/>
      </w:r>
    </w:p>
    <w:p w14:paraId="030CCCDD" w14:textId="73A9E156" w:rsidR="001131E6" w:rsidRPr="006E7D8F" w:rsidRDefault="001131E6" w:rsidP="001131E6">
      <w:pPr>
        <w:pStyle w:val="ExhibitHeading"/>
      </w:pPr>
      <w:r w:rsidRPr="006E7D8F">
        <w:t>EXHIBIT 1: CATHOLIC SYRIAN BANK</w:t>
      </w:r>
      <w:r w:rsidR="00BA656F" w:rsidRPr="006E7D8F">
        <w:t>, Profit and Loss Statements</w:t>
      </w:r>
      <w:r w:rsidR="00705B73">
        <w:t xml:space="preserve"> (₹ Million)</w:t>
      </w:r>
    </w:p>
    <w:p w14:paraId="1D1BDB08" w14:textId="77777777" w:rsidR="001131E6" w:rsidRPr="006E7D8F" w:rsidRDefault="001131E6" w:rsidP="001131E6">
      <w:pPr>
        <w:pStyle w:val="BodyTextMain"/>
      </w:pPr>
    </w:p>
    <w:tbl>
      <w:tblPr>
        <w:tblW w:w="4944" w:type="pct"/>
        <w:jc w:val="center"/>
        <w:tblLayout w:type="fixed"/>
        <w:tblLook w:val="04A0" w:firstRow="1" w:lastRow="0" w:firstColumn="1" w:lastColumn="0" w:noHBand="0" w:noVBand="1"/>
      </w:tblPr>
      <w:tblGrid>
        <w:gridCol w:w="316"/>
        <w:gridCol w:w="1034"/>
        <w:gridCol w:w="2880"/>
        <w:gridCol w:w="990"/>
        <w:gridCol w:w="90"/>
        <w:gridCol w:w="810"/>
        <w:gridCol w:w="810"/>
        <w:gridCol w:w="810"/>
        <w:gridCol w:w="810"/>
        <w:gridCol w:w="34"/>
        <w:gridCol w:w="671"/>
      </w:tblGrid>
      <w:tr w:rsidR="002911B6" w:rsidRPr="006E7D8F" w14:paraId="6DB4E56E" w14:textId="77777777" w:rsidTr="002E3873">
        <w:trPr>
          <w:gridBefore w:val="1"/>
          <w:wBefore w:w="316" w:type="dxa"/>
          <w:trHeight w:val="288"/>
          <w:jc w:val="center"/>
        </w:trPr>
        <w:tc>
          <w:tcPr>
            <w:tcW w:w="3914" w:type="dxa"/>
            <w:gridSpan w:val="2"/>
            <w:tcBorders>
              <w:top w:val="single" w:sz="4" w:space="0" w:color="auto"/>
              <w:left w:val="nil"/>
              <w:bottom w:val="single" w:sz="12" w:space="0" w:color="auto"/>
              <w:right w:val="nil"/>
            </w:tcBorders>
            <w:shd w:val="clear" w:color="auto" w:fill="auto"/>
            <w:noWrap/>
            <w:vAlign w:val="center"/>
            <w:hideMark/>
          </w:tcPr>
          <w:p w14:paraId="50AE83D8" w14:textId="43DD2650" w:rsidR="002911B6" w:rsidRPr="006E7D8F" w:rsidRDefault="002911B6" w:rsidP="00155A16">
            <w:pPr>
              <w:pStyle w:val="ExhibitText"/>
              <w:jc w:val="right"/>
              <w:rPr>
                <w:b/>
                <w:i/>
                <w:sz w:val="18"/>
                <w:szCs w:val="18"/>
              </w:rPr>
            </w:pPr>
          </w:p>
        </w:tc>
        <w:tc>
          <w:tcPr>
            <w:tcW w:w="1080" w:type="dxa"/>
            <w:gridSpan w:val="2"/>
            <w:tcBorders>
              <w:top w:val="single" w:sz="4" w:space="0" w:color="auto"/>
              <w:left w:val="nil"/>
              <w:bottom w:val="single" w:sz="12" w:space="0" w:color="auto"/>
              <w:right w:val="nil"/>
            </w:tcBorders>
            <w:shd w:val="clear" w:color="auto" w:fill="auto"/>
            <w:noWrap/>
            <w:vAlign w:val="bottom"/>
            <w:hideMark/>
          </w:tcPr>
          <w:p w14:paraId="5204E051" w14:textId="77777777" w:rsidR="002911B6" w:rsidRPr="006E7D8F" w:rsidRDefault="002911B6" w:rsidP="002E3873">
            <w:pPr>
              <w:pStyle w:val="ExhibitText"/>
              <w:jc w:val="center"/>
              <w:rPr>
                <w:b/>
                <w:bCs/>
                <w:sz w:val="18"/>
                <w:szCs w:val="18"/>
              </w:rPr>
            </w:pPr>
            <w:r w:rsidRPr="006E7D8F">
              <w:rPr>
                <w:b/>
                <w:bCs/>
                <w:sz w:val="18"/>
                <w:szCs w:val="18"/>
              </w:rPr>
              <w:t>FY</w:t>
            </w:r>
            <w:r w:rsidR="000C151F" w:rsidRPr="006E7D8F">
              <w:rPr>
                <w:b/>
                <w:bCs/>
                <w:sz w:val="18"/>
                <w:szCs w:val="18"/>
              </w:rPr>
              <w:t xml:space="preserve"> </w:t>
            </w:r>
            <w:r w:rsidRPr="006E7D8F">
              <w:rPr>
                <w:b/>
                <w:bCs/>
                <w:sz w:val="18"/>
                <w:szCs w:val="18"/>
              </w:rPr>
              <w:t>2013</w:t>
            </w:r>
          </w:p>
        </w:tc>
        <w:tc>
          <w:tcPr>
            <w:tcW w:w="810" w:type="dxa"/>
            <w:tcBorders>
              <w:top w:val="single" w:sz="4" w:space="0" w:color="auto"/>
              <w:left w:val="nil"/>
              <w:bottom w:val="single" w:sz="12" w:space="0" w:color="auto"/>
              <w:right w:val="nil"/>
            </w:tcBorders>
            <w:shd w:val="clear" w:color="auto" w:fill="auto"/>
            <w:noWrap/>
            <w:vAlign w:val="bottom"/>
            <w:hideMark/>
          </w:tcPr>
          <w:p w14:paraId="201E5E04" w14:textId="77777777" w:rsidR="002911B6" w:rsidRPr="006E7D8F" w:rsidRDefault="002911B6" w:rsidP="002E3873">
            <w:pPr>
              <w:pStyle w:val="ExhibitText"/>
              <w:jc w:val="center"/>
              <w:rPr>
                <w:b/>
                <w:bCs/>
                <w:sz w:val="18"/>
                <w:szCs w:val="18"/>
              </w:rPr>
            </w:pPr>
            <w:r w:rsidRPr="006E7D8F">
              <w:rPr>
                <w:b/>
                <w:bCs/>
                <w:sz w:val="18"/>
                <w:szCs w:val="18"/>
              </w:rPr>
              <w:t>FY</w:t>
            </w:r>
            <w:r w:rsidR="000C151F" w:rsidRPr="006E7D8F">
              <w:rPr>
                <w:b/>
                <w:bCs/>
                <w:sz w:val="18"/>
                <w:szCs w:val="18"/>
              </w:rPr>
              <w:t xml:space="preserve"> </w:t>
            </w:r>
            <w:r w:rsidRPr="006E7D8F">
              <w:rPr>
                <w:b/>
                <w:bCs/>
                <w:sz w:val="18"/>
                <w:szCs w:val="18"/>
              </w:rPr>
              <w:t>2014</w:t>
            </w:r>
          </w:p>
        </w:tc>
        <w:tc>
          <w:tcPr>
            <w:tcW w:w="810" w:type="dxa"/>
            <w:tcBorders>
              <w:top w:val="single" w:sz="4" w:space="0" w:color="auto"/>
              <w:left w:val="nil"/>
              <w:bottom w:val="single" w:sz="12" w:space="0" w:color="auto"/>
              <w:right w:val="nil"/>
            </w:tcBorders>
            <w:shd w:val="clear" w:color="auto" w:fill="auto"/>
            <w:noWrap/>
            <w:vAlign w:val="bottom"/>
            <w:hideMark/>
          </w:tcPr>
          <w:p w14:paraId="48098A15" w14:textId="77777777" w:rsidR="002911B6" w:rsidRPr="006E7D8F" w:rsidRDefault="002911B6" w:rsidP="002E3873">
            <w:pPr>
              <w:pStyle w:val="ExhibitText"/>
              <w:jc w:val="center"/>
              <w:rPr>
                <w:b/>
                <w:bCs/>
                <w:sz w:val="18"/>
                <w:szCs w:val="18"/>
              </w:rPr>
            </w:pPr>
            <w:r w:rsidRPr="006E7D8F">
              <w:rPr>
                <w:b/>
                <w:bCs/>
                <w:sz w:val="18"/>
                <w:szCs w:val="18"/>
              </w:rPr>
              <w:t>FY</w:t>
            </w:r>
            <w:r w:rsidR="000C151F" w:rsidRPr="006E7D8F">
              <w:rPr>
                <w:b/>
                <w:bCs/>
                <w:sz w:val="18"/>
                <w:szCs w:val="18"/>
              </w:rPr>
              <w:t xml:space="preserve"> </w:t>
            </w:r>
            <w:r w:rsidRPr="006E7D8F">
              <w:rPr>
                <w:b/>
                <w:bCs/>
                <w:sz w:val="18"/>
                <w:szCs w:val="18"/>
              </w:rPr>
              <w:t>2015</w:t>
            </w:r>
          </w:p>
        </w:tc>
        <w:tc>
          <w:tcPr>
            <w:tcW w:w="810" w:type="dxa"/>
            <w:tcBorders>
              <w:top w:val="single" w:sz="4" w:space="0" w:color="auto"/>
              <w:left w:val="nil"/>
              <w:bottom w:val="single" w:sz="12" w:space="0" w:color="auto"/>
              <w:right w:val="nil"/>
            </w:tcBorders>
            <w:shd w:val="clear" w:color="auto" w:fill="auto"/>
            <w:noWrap/>
            <w:vAlign w:val="bottom"/>
            <w:hideMark/>
          </w:tcPr>
          <w:p w14:paraId="31031E2C" w14:textId="77777777" w:rsidR="002911B6" w:rsidRPr="006E7D8F" w:rsidRDefault="002911B6" w:rsidP="002E3873">
            <w:pPr>
              <w:pStyle w:val="ExhibitText"/>
              <w:jc w:val="center"/>
              <w:rPr>
                <w:b/>
                <w:bCs/>
                <w:sz w:val="18"/>
                <w:szCs w:val="18"/>
              </w:rPr>
            </w:pPr>
            <w:r w:rsidRPr="006E7D8F">
              <w:rPr>
                <w:b/>
                <w:bCs/>
                <w:sz w:val="18"/>
                <w:szCs w:val="18"/>
              </w:rPr>
              <w:t>FY</w:t>
            </w:r>
            <w:r w:rsidR="000C151F" w:rsidRPr="006E7D8F">
              <w:rPr>
                <w:b/>
                <w:bCs/>
                <w:sz w:val="18"/>
                <w:szCs w:val="18"/>
              </w:rPr>
              <w:t xml:space="preserve"> </w:t>
            </w:r>
            <w:r w:rsidRPr="006E7D8F">
              <w:rPr>
                <w:b/>
                <w:bCs/>
                <w:sz w:val="18"/>
                <w:szCs w:val="18"/>
              </w:rPr>
              <w:t>2016</w:t>
            </w:r>
          </w:p>
        </w:tc>
        <w:tc>
          <w:tcPr>
            <w:tcW w:w="844" w:type="dxa"/>
            <w:gridSpan w:val="2"/>
            <w:tcBorders>
              <w:top w:val="single" w:sz="4" w:space="0" w:color="auto"/>
              <w:left w:val="nil"/>
              <w:bottom w:val="single" w:sz="12" w:space="0" w:color="auto"/>
              <w:right w:val="nil"/>
            </w:tcBorders>
            <w:shd w:val="clear" w:color="auto" w:fill="auto"/>
            <w:noWrap/>
            <w:vAlign w:val="bottom"/>
            <w:hideMark/>
          </w:tcPr>
          <w:p w14:paraId="5FA94FF4" w14:textId="77777777" w:rsidR="004E2186" w:rsidRPr="006E7D8F" w:rsidRDefault="002911B6" w:rsidP="006126F9">
            <w:pPr>
              <w:pStyle w:val="ExhibitText"/>
              <w:jc w:val="center"/>
              <w:rPr>
                <w:b/>
                <w:bCs/>
                <w:sz w:val="18"/>
                <w:szCs w:val="18"/>
              </w:rPr>
            </w:pPr>
            <w:r w:rsidRPr="006E7D8F">
              <w:rPr>
                <w:b/>
                <w:bCs/>
                <w:sz w:val="18"/>
                <w:szCs w:val="18"/>
              </w:rPr>
              <w:t>FY</w:t>
            </w:r>
          </w:p>
          <w:p w14:paraId="7D6D38E6" w14:textId="77777777" w:rsidR="002911B6" w:rsidRPr="006E7D8F" w:rsidRDefault="002911B6" w:rsidP="006126F9">
            <w:pPr>
              <w:pStyle w:val="ExhibitText"/>
              <w:jc w:val="center"/>
              <w:rPr>
                <w:b/>
                <w:bCs/>
                <w:sz w:val="18"/>
                <w:szCs w:val="18"/>
              </w:rPr>
            </w:pPr>
            <w:r w:rsidRPr="006E7D8F">
              <w:rPr>
                <w:b/>
                <w:bCs/>
                <w:sz w:val="18"/>
                <w:szCs w:val="18"/>
              </w:rPr>
              <w:t>2017</w:t>
            </w:r>
          </w:p>
        </w:tc>
        <w:tc>
          <w:tcPr>
            <w:tcW w:w="671" w:type="dxa"/>
            <w:tcBorders>
              <w:top w:val="single" w:sz="4" w:space="0" w:color="auto"/>
              <w:left w:val="nil"/>
              <w:bottom w:val="single" w:sz="12" w:space="0" w:color="auto"/>
              <w:right w:val="nil"/>
            </w:tcBorders>
            <w:shd w:val="clear" w:color="auto" w:fill="auto"/>
            <w:noWrap/>
            <w:vAlign w:val="bottom"/>
            <w:hideMark/>
          </w:tcPr>
          <w:p w14:paraId="622CDA05" w14:textId="77777777" w:rsidR="002911B6" w:rsidRPr="006E7D8F" w:rsidRDefault="002911B6" w:rsidP="002E3873">
            <w:pPr>
              <w:pStyle w:val="ExhibitText"/>
              <w:jc w:val="center"/>
              <w:rPr>
                <w:b/>
                <w:bCs/>
                <w:sz w:val="18"/>
                <w:szCs w:val="18"/>
              </w:rPr>
            </w:pPr>
            <w:r w:rsidRPr="006E7D8F">
              <w:rPr>
                <w:b/>
                <w:bCs/>
                <w:sz w:val="18"/>
                <w:szCs w:val="18"/>
              </w:rPr>
              <w:t>1HY</w:t>
            </w:r>
            <w:r w:rsidR="000C151F" w:rsidRPr="006E7D8F">
              <w:rPr>
                <w:b/>
                <w:bCs/>
                <w:sz w:val="18"/>
                <w:szCs w:val="18"/>
              </w:rPr>
              <w:t xml:space="preserve"> </w:t>
            </w:r>
            <w:r w:rsidRPr="006E7D8F">
              <w:rPr>
                <w:b/>
                <w:bCs/>
                <w:sz w:val="18"/>
                <w:szCs w:val="18"/>
              </w:rPr>
              <w:t>2018</w:t>
            </w:r>
          </w:p>
        </w:tc>
      </w:tr>
      <w:tr w:rsidR="001131E6" w:rsidRPr="006E7D8F" w14:paraId="4403A318" w14:textId="77777777" w:rsidTr="004E2186">
        <w:trPr>
          <w:gridBefore w:val="1"/>
          <w:wBefore w:w="316" w:type="dxa"/>
          <w:trHeight w:val="288"/>
          <w:jc w:val="center"/>
        </w:trPr>
        <w:tc>
          <w:tcPr>
            <w:tcW w:w="1034" w:type="dxa"/>
            <w:tcBorders>
              <w:top w:val="single" w:sz="12" w:space="0" w:color="auto"/>
              <w:left w:val="nil"/>
              <w:bottom w:val="nil"/>
              <w:right w:val="nil"/>
            </w:tcBorders>
            <w:shd w:val="clear" w:color="auto" w:fill="auto"/>
            <w:noWrap/>
            <w:vAlign w:val="center"/>
            <w:hideMark/>
          </w:tcPr>
          <w:p w14:paraId="4FD29137" w14:textId="77777777" w:rsidR="001131E6" w:rsidRPr="006E7D8F" w:rsidRDefault="001131E6" w:rsidP="00082F4B">
            <w:pPr>
              <w:pStyle w:val="ExhibitText"/>
              <w:jc w:val="left"/>
              <w:rPr>
                <w:sz w:val="18"/>
                <w:szCs w:val="18"/>
              </w:rPr>
            </w:pPr>
          </w:p>
        </w:tc>
        <w:tc>
          <w:tcPr>
            <w:tcW w:w="2880" w:type="dxa"/>
            <w:tcBorders>
              <w:top w:val="single" w:sz="12" w:space="0" w:color="auto"/>
              <w:left w:val="nil"/>
              <w:bottom w:val="nil"/>
              <w:right w:val="nil"/>
            </w:tcBorders>
            <w:shd w:val="clear" w:color="auto" w:fill="auto"/>
            <w:noWrap/>
            <w:vAlign w:val="center"/>
            <w:hideMark/>
          </w:tcPr>
          <w:p w14:paraId="5C19C651" w14:textId="77777777" w:rsidR="001131E6" w:rsidRPr="006E7D8F" w:rsidRDefault="001131E6" w:rsidP="00082F4B">
            <w:pPr>
              <w:pStyle w:val="ExhibitText"/>
              <w:jc w:val="left"/>
              <w:rPr>
                <w:b/>
                <w:bCs/>
                <w:sz w:val="18"/>
                <w:szCs w:val="18"/>
              </w:rPr>
            </w:pPr>
            <w:r w:rsidRPr="006E7D8F">
              <w:rPr>
                <w:b/>
                <w:bCs/>
                <w:sz w:val="18"/>
                <w:szCs w:val="18"/>
              </w:rPr>
              <w:t>REVENUES</w:t>
            </w:r>
          </w:p>
        </w:tc>
        <w:tc>
          <w:tcPr>
            <w:tcW w:w="1080" w:type="dxa"/>
            <w:gridSpan w:val="2"/>
            <w:tcBorders>
              <w:top w:val="single" w:sz="12" w:space="0" w:color="auto"/>
              <w:left w:val="nil"/>
              <w:bottom w:val="nil"/>
              <w:right w:val="nil"/>
            </w:tcBorders>
            <w:shd w:val="clear" w:color="auto" w:fill="auto"/>
            <w:noWrap/>
            <w:vAlign w:val="center"/>
            <w:hideMark/>
          </w:tcPr>
          <w:p w14:paraId="63D9FB5F" w14:textId="77777777" w:rsidR="001131E6" w:rsidRPr="006E7D8F" w:rsidRDefault="001131E6" w:rsidP="004E2186">
            <w:pPr>
              <w:pStyle w:val="ExhibitText"/>
              <w:jc w:val="center"/>
              <w:rPr>
                <w:sz w:val="18"/>
                <w:szCs w:val="18"/>
              </w:rPr>
            </w:pPr>
          </w:p>
        </w:tc>
        <w:tc>
          <w:tcPr>
            <w:tcW w:w="810" w:type="dxa"/>
            <w:tcBorders>
              <w:top w:val="single" w:sz="12" w:space="0" w:color="auto"/>
              <w:left w:val="nil"/>
              <w:bottom w:val="nil"/>
              <w:right w:val="nil"/>
            </w:tcBorders>
            <w:shd w:val="clear" w:color="auto" w:fill="auto"/>
            <w:noWrap/>
            <w:vAlign w:val="center"/>
            <w:hideMark/>
          </w:tcPr>
          <w:p w14:paraId="3C8D6592" w14:textId="77777777" w:rsidR="001131E6" w:rsidRPr="006E7D8F" w:rsidRDefault="001131E6" w:rsidP="004E2186">
            <w:pPr>
              <w:pStyle w:val="ExhibitText"/>
              <w:jc w:val="center"/>
              <w:rPr>
                <w:sz w:val="18"/>
                <w:szCs w:val="18"/>
              </w:rPr>
            </w:pPr>
          </w:p>
        </w:tc>
        <w:tc>
          <w:tcPr>
            <w:tcW w:w="810" w:type="dxa"/>
            <w:tcBorders>
              <w:top w:val="single" w:sz="12" w:space="0" w:color="auto"/>
              <w:left w:val="nil"/>
              <w:bottom w:val="nil"/>
              <w:right w:val="nil"/>
            </w:tcBorders>
            <w:shd w:val="clear" w:color="auto" w:fill="auto"/>
            <w:noWrap/>
            <w:vAlign w:val="center"/>
            <w:hideMark/>
          </w:tcPr>
          <w:p w14:paraId="177E67C3" w14:textId="77777777" w:rsidR="001131E6" w:rsidRPr="006E7D8F" w:rsidRDefault="001131E6" w:rsidP="004E2186">
            <w:pPr>
              <w:pStyle w:val="ExhibitText"/>
              <w:jc w:val="center"/>
              <w:rPr>
                <w:sz w:val="18"/>
                <w:szCs w:val="18"/>
              </w:rPr>
            </w:pPr>
          </w:p>
        </w:tc>
        <w:tc>
          <w:tcPr>
            <w:tcW w:w="810" w:type="dxa"/>
            <w:tcBorders>
              <w:top w:val="single" w:sz="12" w:space="0" w:color="auto"/>
              <w:left w:val="nil"/>
              <w:bottom w:val="nil"/>
              <w:right w:val="nil"/>
            </w:tcBorders>
            <w:shd w:val="clear" w:color="auto" w:fill="auto"/>
            <w:noWrap/>
            <w:vAlign w:val="center"/>
            <w:hideMark/>
          </w:tcPr>
          <w:p w14:paraId="675F4F85" w14:textId="77777777" w:rsidR="001131E6" w:rsidRPr="006E7D8F" w:rsidRDefault="001131E6" w:rsidP="004E2186">
            <w:pPr>
              <w:pStyle w:val="ExhibitText"/>
              <w:jc w:val="center"/>
              <w:rPr>
                <w:sz w:val="18"/>
                <w:szCs w:val="18"/>
              </w:rPr>
            </w:pPr>
          </w:p>
        </w:tc>
        <w:tc>
          <w:tcPr>
            <w:tcW w:w="810" w:type="dxa"/>
            <w:tcBorders>
              <w:top w:val="single" w:sz="12" w:space="0" w:color="auto"/>
              <w:left w:val="nil"/>
              <w:bottom w:val="nil"/>
              <w:right w:val="nil"/>
            </w:tcBorders>
            <w:shd w:val="clear" w:color="auto" w:fill="auto"/>
            <w:noWrap/>
            <w:vAlign w:val="center"/>
            <w:hideMark/>
          </w:tcPr>
          <w:p w14:paraId="4E7A9D8C" w14:textId="77777777" w:rsidR="001131E6" w:rsidRPr="006E7D8F" w:rsidRDefault="001131E6" w:rsidP="004E2186">
            <w:pPr>
              <w:pStyle w:val="ExhibitText"/>
              <w:jc w:val="center"/>
              <w:rPr>
                <w:sz w:val="18"/>
                <w:szCs w:val="18"/>
              </w:rPr>
            </w:pPr>
          </w:p>
        </w:tc>
        <w:tc>
          <w:tcPr>
            <w:tcW w:w="705" w:type="dxa"/>
            <w:gridSpan w:val="2"/>
            <w:tcBorders>
              <w:top w:val="single" w:sz="12" w:space="0" w:color="auto"/>
              <w:left w:val="nil"/>
              <w:bottom w:val="nil"/>
              <w:right w:val="nil"/>
            </w:tcBorders>
            <w:shd w:val="clear" w:color="auto" w:fill="auto"/>
            <w:noWrap/>
            <w:vAlign w:val="center"/>
            <w:hideMark/>
          </w:tcPr>
          <w:p w14:paraId="50FAE3D8" w14:textId="77777777" w:rsidR="001131E6" w:rsidRPr="006E7D8F" w:rsidRDefault="001131E6" w:rsidP="004E2186">
            <w:pPr>
              <w:pStyle w:val="ExhibitText"/>
              <w:jc w:val="center"/>
              <w:rPr>
                <w:color w:val="000000"/>
                <w:sz w:val="18"/>
                <w:szCs w:val="18"/>
              </w:rPr>
            </w:pPr>
          </w:p>
        </w:tc>
      </w:tr>
      <w:tr w:rsidR="001131E6" w:rsidRPr="006E7D8F" w14:paraId="59B684A1" w14:textId="77777777" w:rsidTr="004E2186">
        <w:trPr>
          <w:gridBefore w:val="1"/>
          <w:wBefore w:w="316" w:type="dxa"/>
          <w:trHeight w:val="288"/>
          <w:jc w:val="center"/>
        </w:trPr>
        <w:tc>
          <w:tcPr>
            <w:tcW w:w="1034" w:type="dxa"/>
            <w:vMerge w:val="restart"/>
            <w:tcBorders>
              <w:top w:val="nil"/>
              <w:left w:val="nil"/>
              <w:bottom w:val="nil"/>
              <w:right w:val="nil"/>
            </w:tcBorders>
            <w:shd w:val="clear" w:color="auto" w:fill="auto"/>
            <w:noWrap/>
            <w:vAlign w:val="center"/>
            <w:hideMark/>
          </w:tcPr>
          <w:p w14:paraId="5A94B073" w14:textId="16139FF6" w:rsidR="001131E6" w:rsidRPr="006E7D8F" w:rsidRDefault="001131E6" w:rsidP="00082F4B">
            <w:pPr>
              <w:pStyle w:val="ExhibitText"/>
              <w:jc w:val="left"/>
              <w:rPr>
                <w:sz w:val="18"/>
                <w:szCs w:val="18"/>
              </w:rPr>
            </w:pPr>
            <w:r w:rsidRPr="006E7D8F">
              <w:rPr>
                <w:sz w:val="18"/>
                <w:szCs w:val="18"/>
              </w:rPr>
              <w:t xml:space="preserve">I. Interest </w:t>
            </w:r>
            <w:r w:rsidR="006126F9">
              <w:rPr>
                <w:sz w:val="18"/>
                <w:szCs w:val="18"/>
              </w:rPr>
              <w:t>earned</w:t>
            </w:r>
          </w:p>
        </w:tc>
        <w:tc>
          <w:tcPr>
            <w:tcW w:w="2880" w:type="dxa"/>
            <w:tcBorders>
              <w:top w:val="nil"/>
              <w:left w:val="nil"/>
              <w:bottom w:val="nil"/>
              <w:right w:val="nil"/>
            </w:tcBorders>
            <w:shd w:val="clear" w:color="auto" w:fill="auto"/>
            <w:noWrap/>
            <w:vAlign w:val="center"/>
            <w:hideMark/>
          </w:tcPr>
          <w:p w14:paraId="154218BA" w14:textId="77777777" w:rsidR="001131E6" w:rsidRPr="006E7D8F" w:rsidRDefault="001131E6" w:rsidP="00082F4B">
            <w:pPr>
              <w:pStyle w:val="ExhibitText"/>
              <w:numPr>
                <w:ilvl w:val="0"/>
                <w:numId w:val="18"/>
              </w:numPr>
              <w:jc w:val="left"/>
              <w:rPr>
                <w:sz w:val="18"/>
                <w:szCs w:val="18"/>
              </w:rPr>
            </w:pPr>
            <w:r w:rsidRPr="006E7D8F">
              <w:rPr>
                <w:sz w:val="18"/>
                <w:szCs w:val="18"/>
              </w:rPr>
              <w:t>Interest/</w:t>
            </w:r>
            <w:r w:rsidR="00BA656F" w:rsidRPr="006E7D8F">
              <w:rPr>
                <w:sz w:val="18"/>
                <w:szCs w:val="18"/>
              </w:rPr>
              <w:t>d</w:t>
            </w:r>
            <w:r w:rsidRPr="006E7D8F">
              <w:rPr>
                <w:sz w:val="18"/>
                <w:szCs w:val="18"/>
              </w:rPr>
              <w:t>iscount earned on advances/bills</w:t>
            </w:r>
          </w:p>
        </w:tc>
        <w:tc>
          <w:tcPr>
            <w:tcW w:w="1080" w:type="dxa"/>
            <w:gridSpan w:val="2"/>
            <w:tcBorders>
              <w:top w:val="nil"/>
              <w:left w:val="nil"/>
              <w:bottom w:val="nil"/>
              <w:right w:val="nil"/>
            </w:tcBorders>
            <w:shd w:val="clear" w:color="auto" w:fill="auto"/>
            <w:noWrap/>
            <w:vAlign w:val="center"/>
            <w:hideMark/>
          </w:tcPr>
          <w:p w14:paraId="23BB4F18" w14:textId="77777777" w:rsidR="001131E6" w:rsidRPr="006E7D8F" w:rsidRDefault="001131E6" w:rsidP="004E2186">
            <w:pPr>
              <w:pStyle w:val="ExhibitText"/>
              <w:jc w:val="center"/>
              <w:rPr>
                <w:sz w:val="18"/>
                <w:szCs w:val="18"/>
              </w:rPr>
            </w:pPr>
            <w:r w:rsidRPr="006E7D8F">
              <w:rPr>
                <w:sz w:val="18"/>
                <w:szCs w:val="18"/>
              </w:rPr>
              <w:t>10</w:t>
            </w:r>
            <w:r w:rsidR="001416B6" w:rsidRPr="006E7D8F">
              <w:rPr>
                <w:sz w:val="18"/>
                <w:szCs w:val="18"/>
              </w:rPr>
              <w:t>,</w:t>
            </w:r>
            <w:r w:rsidRPr="006E7D8F">
              <w:rPr>
                <w:sz w:val="18"/>
                <w:szCs w:val="18"/>
              </w:rPr>
              <w:t>743</w:t>
            </w:r>
          </w:p>
        </w:tc>
        <w:tc>
          <w:tcPr>
            <w:tcW w:w="810" w:type="dxa"/>
            <w:tcBorders>
              <w:top w:val="nil"/>
              <w:left w:val="nil"/>
              <w:bottom w:val="nil"/>
              <w:right w:val="nil"/>
            </w:tcBorders>
            <w:shd w:val="clear" w:color="auto" w:fill="auto"/>
            <w:noWrap/>
            <w:vAlign w:val="center"/>
            <w:hideMark/>
          </w:tcPr>
          <w:p w14:paraId="63D6160C" w14:textId="77777777" w:rsidR="001131E6" w:rsidRPr="006E7D8F" w:rsidRDefault="001131E6" w:rsidP="004E2186">
            <w:pPr>
              <w:pStyle w:val="ExhibitText"/>
              <w:jc w:val="center"/>
              <w:rPr>
                <w:sz w:val="18"/>
                <w:szCs w:val="18"/>
              </w:rPr>
            </w:pPr>
            <w:r w:rsidRPr="006E7D8F">
              <w:rPr>
                <w:sz w:val="18"/>
                <w:szCs w:val="18"/>
              </w:rPr>
              <w:t>11</w:t>
            </w:r>
            <w:r w:rsidR="001416B6" w:rsidRPr="006E7D8F">
              <w:rPr>
                <w:sz w:val="18"/>
                <w:szCs w:val="18"/>
              </w:rPr>
              <w:t>,</w:t>
            </w:r>
            <w:r w:rsidRPr="006E7D8F">
              <w:rPr>
                <w:sz w:val="18"/>
                <w:szCs w:val="18"/>
              </w:rPr>
              <w:t>387</w:t>
            </w:r>
          </w:p>
        </w:tc>
        <w:tc>
          <w:tcPr>
            <w:tcW w:w="810" w:type="dxa"/>
            <w:tcBorders>
              <w:top w:val="nil"/>
              <w:left w:val="nil"/>
              <w:bottom w:val="nil"/>
              <w:right w:val="nil"/>
            </w:tcBorders>
            <w:shd w:val="clear" w:color="auto" w:fill="auto"/>
            <w:noWrap/>
            <w:vAlign w:val="center"/>
            <w:hideMark/>
          </w:tcPr>
          <w:p w14:paraId="2718AB65" w14:textId="77777777" w:rsidR="001131E6" w:rsidRPr="006E7D8F" w:rsidRDefault="001131E6" w:rsidP="004E2186">
            <w:pPr>
              <w:pStyle w:val="ExhibitText"/>
              <w:jc w:val="center"/>
              <w:rPr>
                <w:sz w:val="18"/>
                <w:szCs w:val="18"/>
              </w:rPr>
            </w:pPr>
            <w:r w:rsidRPr="006E7D8F">
              <w:rPr>
                <w:sz w:val="18"/>
                <w:szCs w:val="18"/>
              </w:rPr>
              <w:t>11</w:t>
            </w:r>
            <w:r w:rsidR="003146E9" w:rsidRPr="006E7D8F">
              <w:rPr>
                <w:sz w:val="18"/>
                <w:szCs w:val="18"/>
              </w:rPr>
              <w:t>,</w:t>
            </w:r>
            <w:r w:rsidRPr="006E7D8F">
              <w:rPr>
                <w:sz w:val="18"/>
                <w:szCs w:val="18"/>
              </w:rPr>
              <w:t>682</w:t>
            </w:r>
          </w:p>
        </w:tc>
        <w:tc>
          <w:tcPr>
            <w:tcW w:w="810" w:type="dxa"/>
            <w:tcBorders>
              <w:top w:val="nil"/>
              <w:left w:val="nil"/>
              <w:bottom w:val="nil"/>
              <w:right w:val="nil"/>
            </w:tcBorders>
            <w:shd w:val="clear" w:color="auto" w:fill="auto"/>
            <w:noWrap/>
            <w:vAlign w:val="center"/>
            <w:hideMark/>
          </w:tcPr>
          <w:p w14:paraId="7873FDC8" w14:textId="77777777" w:rsidR="001131E6" w:rsidRPr="006E7D8F" w:rsidRDefault="001131E6" w:rsidP="004E2186">
            <w:pPr>
              <w:pStyle w:val="ExhibitText"/>
              <w:jc w:val="center"/>
              <w:rPr>
                <w:sz w:val="18"/>
                <w:szCs w:val="18"/>
              </w:rPr>
            </w:pPr>
            <w:r w:rsidRPr="006E7D8F">
              <w:rPr>
                <w:sz w:val="18"/>
                <w:szCs w:val="18"/>
              </w:rPr>
              <w:t>10</w:t>
            </w:r>
            <w:r w:rsidR="003146E9" w:rsidRPr="006E7D8F">
              <w:rPr>
                <w:sz w:val="18"/>
                <w:szCs w:val="18"/>
              </w:rPr>
              <w:t>,</w:t>
            </w:r>
            <w:r w:rsidRPr="006E7D8F">
              <w:rPr>
                <w:sz w:val="18"/>
                <w:szCs w:val="18"/>
              </w:rPr>
              <w:t>512</w:t>
            </w:r>
          </w:p>
        </w:tc>
        <w:tc>
          <w:tcPr>
            <w:tcW w:w="810" w:type="dxa"/>
            <w:tcBorders>
              <w:top w:val="nil"/>
              <w:left w:val="nil"/>
              <w:bottom w:val="nil"/>
              <w:right w:val="nil"/>
            </w:tcBorders>
            <w:shd w:val="clear" w:color="auto" w:fill="auto"/>
            <w:noWrap/>
            <w:vAlign w:val="center"/>
            <w:hideMark/>
          </w:tcPr>
          <w:p w14:paraId="14DBD56C" w14:textId="77777777" w:rsidR="001131E6" w:rsidRPr="006E7D8F" w:rsidRDefault="001131E6" w:rsidP="004E2186">
            <w:pPr>
              <w:pStyle w:val="ExhibitText"/>
              <w:jc w:val="center"/>
              <w:rPr>
                <w:sz w:val="18"/>
                <w:szCs w:val="18"/>
              </w:rPr>
            </w:pPr>
            <w:r w:rsidRPr="006E7D8F">
              <w:rPr>
                <w:sz w:val="18"/>
                <w:szCs w:val="18"/>
              </w:rPr>
              <w:t>8</w:t>
            </w:r>
            <w:r w:rsidR="003146E9" w:rsidRPr="006E7D8F">
              <w:rPr>
                <w:sz w:val="18"/>
                <w:szCs w:val="18"/>
              </w:rPr>
              <w:t>,</w:t>
            </w:r>
            <w:r w:rsidRPr="006E7D8F">
              <w:rPr>
                <w:sz w:val="18"/>
                <w:szCs w:val="18"/>
              </w:rPr>
              <w:t>809</w:t>
            </w:r>
          </w:p>
        </w:tc>
        <w:tc>
          <w:tcPr>
            <w:tcW w:w="705" w:type="dxa"/>
            <w:gridSpan w:val="2"/>
            <w:tcBorders>
              <w:top w:val="nil"/>
              <w:left w:val="nil"/>
              <w:bottom w:val="nil"/>
              <w:right w:val="nil"/>
            </w:tcBorders>
            <w:shd w:val="clear" w:color="auto" w:fill="auto"/>
            <w:noWrap/>
            <w:vAlign w:val="center"/>
            <w:hideMark/>
          </w:tcPr>
          <w:p w14:paraId="50975C23" w14:textId="77777777" w:rsidR="001131E6" w:rsidRPr="006E7D8F" w:rsidRDefault="001131E6" w:rsidP="004E2186">
            <w:pPr>
              <w:pStyle w:val="ExhibitText"/>
              <w:jc w:val="center"/>
              <w:rPr>
                <w:color w:val="000000"/>
                <w:sz w:val="18"/>
                <w:szCs w:val="18"/>
              </w:rPr>
            </w:pPr>
            <w:r w:rsidRPr="006E7D8F">
              <w:rPr>
                <w:color w:val="000000"/>
                <w:sz w:val="18"/>
                <w:szCs w:val="18"/>
              </w:rPr>
              <w:t>4</w:t>
            </w:r>
            <w:r w:rsidR="003146E9" w:rsidRPr="006E7D8F">
              <w:rPr>
                <w:color w:val="000000"/>
                <w:sz w:val="18"/>
                <w:szCs w:val="18"/>
              </w:rPr>
              <w:t>,</w:t>
            </w:r>
            <w:r w:rsidRPr="006E7D8F">
              <w:rPr>
                <w:color w:val="000000"/>
                <w:sz w:val="18"/>
                <w:szCs w:val="18"/>
              </w:rPr>
              <w:t>495</w:t>
            </w:r>
          </w:p>
        </w:tc>
      </w:tr>
      <w:tr w:rsidR="001131E6" w:rsidRPr="006E7D8F" w14:paraId="3CB37AB1" w14:textId="77777777" w:rsidTr="004E2186">
        <w:trPr>
          <w:gridBefore w:val="1"/>
          <w:wBefore w:w="316" w:type="dxa"/>
          <w:trHeight w:val="243"/>
          <w:jc w:val="center"/>
        </w:trPr>
        <w:tc>
          <w:tcPr>
            <w:tcW w:w="1034" w:type="dxa"/>
            <w:vMerge/>
            <w:tcBorders>
              <w:top w:val="nil"/>
              <w:left w:val="nil"/>
              <w:bottom w:val="nil"/>
              <w:right w:val="nil"/>
            </w:tcBorders>
            <w:vAlign w:val="center"/>
            <w:hideMark/>
          </w:tcPr>
          <w:p w14:paraId="4A0AED21" w14:textId="77777777" w:rsidR="001131E6" w:rsidRPr="006E7D8F" w:rsidRDefault="001131E6" w:rsidP="00082F4B">
            <w:pPr>
              <w:pStyle w:val="ExhibitText"/>
              <w:jc w:val="left"/>
              <w:rPr>
                <w:sz w:val="18"/>
                <w:szCs w:val="18"/>
              </w:rPr>
            </w:pPr>
          </w:p>
        </w:tc>
        <w:tc>
          <w:tcPr>
            <w:tcW w:w="2880" w:type="dxa"/>
            <w:tcBorders>
              <w:top w:val="nil"/>
              <w:left w:val="nil"/>
              <w:bottom w:val="nil"/>
              <w:right w:val="nil"/>
            </w:tcBorders>
            <w:shd w:val="clear" w:color="auto" w:fill="auto"/>
            <w:noWrap/>
            <w:vAlign w:val="center"/>
            <w:hideMark/>
          </w:tcPr>
          <w:p w14:paraId="2037E042" w14:textId="77777777" w:rsidR="001131E6" w:rsidRPr="006E7D8F" w:rsidRDefault="001131E6" w:rsidP="00082F4B">
            <w:pPr>
              <w:pStyle w:val="ExhibitText"/>
              <w:numPr>
                <w:ilvl w:val="0"/>
                <w:numId w:val="18"/>
              </w:numPr>
              <w:jc w:val="left"/>
              <w:rPr>
                <w:sz w:val="18"/>
                <w:szCs w:val="18"/>
              </w:rPr>
            </w:pPr>
            <w:r w:rsidRPr="006E7D8F">
              <w:rPr>
                <w:sz w:val="18"/>
                <w:szCs w:val="18"/>
              </w:rPr>
              <w:t>Income on investments</w:t>
            </w:r>
          </w:p>
        </w:tc>
        <w:tc>
          <w:tcPr>
            <w:tcW w:w="1080" w:type="dxa"/>
            <w:gridSpan w:val="2"/>
            <w:tcBorders>
              <w:top w:val="nil"/>
              <w:left w:val="nil"/>
              <w:bottom w:val="nil"/>
              <w:right w:val="nil"/>
            </w:tcBorders>
            <w:shd w:val="clear" w:color="auto" w:fill="auto"/>
            <w:noWrap/>
            <w:vAlign w:val="center"/>
            <w:hideMark/>
          </w:tcPr>
          <w:p w14:paraId="1AA31294" w14:textId="77777777" w:rsidR="001131E6" w:rsidRPr="006E7D8F" w:rsidRDefault="001131E6" w:rsidP="004E2186">
            <w:pPr>
              <w:pStyle w:val="ExhibitText"/>
              <w:jc w:val="center"/>
              <w:rPr>
                <w:sz w:val="18"/>
                <w:szCs w:val="18"/>
              </w:rPr>
            </w:pPr>
            <w:r w:rsidRPr="006E7D8F">
              <w:rPr>
                <w:sz w:val="18"/>
                <w:szCs w:val="18"/>
              </w:rPr>
              <w:t>2</w:t>
            </w:r>
            <w:r w:rsidR="003146E9" w:rsidRPr="006E7D8F">
              <w:rPr>
                <w:sz w:val="18"/>
                <w:szCs w:val="18"/>
              </w:rPr>
              <w:t>,</w:t>
            </w:r>
            <w:r w:rsidRPr="006E7D8F">
              <w:rPr>
                <w:sz w:val="18"/>
                <w:szCs w:val="18"/>
              </w:rPr>
              <w:t>263</w:t>
            </w:r>
          </w:p>
        </w:tc>
        <w:tc>
          <w:tcPr>
            <w:tcW w:w="810" w:type="dxa"/>
            <w:tcBorders>
              <w:top w:val="nil"/>
              <w:left w:val="nil"/>
              <w:bottom w:val="nil"/>
              <w:right w:val="nil"/>
            </w:tcBorders>
            <w:shd w:val="clear" w:color="auto" w:fill="auto"/>
            <w:noWrap/>
            <w:vAlign w:val="center"/>
            <w:hideMark/>
          </w:tcPr>
          <w:p w14:paraId="7D0C7FFE"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304</w:t>
            </w:r>
          </w:p>
        </w:tc>
        <w:tc>
          <w:tcPr>
            <w:tcW w:w="810" w:type="dxa"/>
            <w:tcBorders>
              <w:top w:val="nil"/>
              <w:left w:val="nil"/>
              <w:bottom w:val="nil"/>
              <w:right w:val="nil"/>
            </w:tcBorders>
            <w:shd w:val="clear" w:color="auto" w:fill="auto"/>
            <w:noWrap/>
            <w:vAlign w:val="center"/>
            <w:hideMark/>
          </w:tcPr>
          <w:p w14:paraId="6397375F"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492</w:t>
            </w:r>
          </w:p>
        </w:tc>
        <w:tc>
          <w:tcPr>
            <w:tcW w:w="810" w:type="dxa"/>
            <w:tcBorders>
              <w:top w:val="nil"/>
              <w:left w:val="nil"/>
              <w:bottom w:val="nil"/>
              <w:right w:val="nil"/>
            </w:tcBorders>
            <w:shd w:val="clear" w:color="auto" w:fill="auto"/>
            <w:noWrap/>
            <w:vAlign w:val="center"/>
            <w:hideMark/>
          </w:tcPr>
          <w:p w14:paraId="3B341A58"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945</w:t>
            </w:r>
          </w:p>
        </w:tc>
        <w:tc>
          <w:tcPr>
            <w:tcW w:w="810" w:type="dxa"/>
            <w:tcBorders>
              <w:top w:val="nil"/>
              <w:left w:val="nil"/>
              <w:bottom w:val="nil"/>
              <w:right w:val="nil"/>
            </w:tcBorders>
            <w:shd w:val="clear" w:color="auto" w:fill="auto"/>
            <w:noWrap/>
            <w:vAlign w:val="center"/>
            <w:hideMark/>
          </w:tcPr>
          <w:p w14:paraId="58E36BD9" w14:textId="77777777" w:rsidR="001131E6" w:rsidRPr="006E7D8F" w:rsidRDefault="001131E6" w:rsidP="004E2186">
            <w:pPr>
              <w:pStyle w:val="ExhibitText"/>
              <w:jc w:val="center"/>
              <w:rPr>
                <w:sz w:val="18"/>
                <w:szCs w:val="18"/>
              </w:rPr>
            </w:pPr>
            <w:r w:rsidRPr="006E7D8F">
              <w:rPr>
                <w:sz w:val="18"/>
                <w:szCs w:val="18"/>
              </w:rPr>
              <w:t>4</w:t>
            </w:r>
            <w:r w:rsidR="003146E9" w:rsidRPr="006E7D8F">
              <w:rPr>
                <w:sz w:val="18"/>
                <w:szCs w:val="18"/>
              </w:rPr>
              <w:t>,</w:t>
            </w:r>
            <w:r w:rsidRPr="006E7D8F">
              <w:rPr>
                <w:sz w:val="18"/>
                <w:szCs w:val="18"/>
              </w:rPr>
              <w:t>126</w:t>
            </w:r>
          </w:p>
        </w:tc>
        <w:tc>
          <w:tcPr>
            <w:tcW w:w="705" w:type="dxa"/>
            <w:gridSpan w:val="2"/>
            <w:tcBorders>
              <w:top w:val="nil"/>
              <w:left w:val="nil"/>
              <w:bottom w:val="nil"/>
              <w:right w:val="nil"/>
            </w:tcBorders>
            <w:shd w:val="clear" w:color="auto" w:fill="auto"/>
            <w:noWrap/>
            <w:vAlign w:val="center"/>
            <w:hideMark/>
          </w:tcPr>
          <w:p w14:paraId="27AD416B" w14:textId="77777777" w:rsidR="001131E6" w:rsidRPr="006E7D8F" w:rsidRDefault="001131E6" w:rsidP="004E2186">
            <w:pPr>
              <w:pStyle w:val="ExhibitText"/>
              <w:jc w:val="center"/>
              <w:rPr>
                <w:color w:val="000000"/>
                <w:sz w:val="18"/>
                <w:szCs w:val="18"/>
              </w:rPr>
            </w:pPr>
            <w:r w:rsidRPr="006E7D8F">
              <w:rPr>
                <w:color w:val="000000"/>
                <w:sz w:val="18"/>
                <w:szCs w:val="18"/>
              </w:rPr>
              <w:t>1</w:t>
            </w:r>
            <w:r w:rsidR="003146E9" w:rsidRPr="006E7D8F">
              <w:rPr>
                <w:color w:val="000000"/>
                <w:sz w:val="18"/>
                <w:szCs w:val="18"/>
              </w:rPr>
              <w:t>,</w:t>
            </w:r>
            <w:r w:rsidRPr="006E7D8F">
              <w:rPr>
                <w:color w:val="000000"/>
                <w:sz w:val="18"/>
                <w:szCs w:val="18"/>
              </w:rPr>
              <w:t>858</w:t>
            </w:r>
          </w:p>
        </w:tc>
      </w:tr>
      <w:tr w:rsidR="001131E6" w:rsidRPr="006E7D8F" w14:paraId="050FE97E" w14:textId="77777777" w:rsidTr="004E2186">
        <w:trPr>
          <w:gridBefore w:val="1"/>
          <w:wBefore w:w="316" w:type="dxa"/>
          <w:trHeight w:val="288"/>
          <w:jc w:val="center"/>
        </w:trPr>
        <w:tc>
          <w:tcPr>
            <w:tcW w:w="1034" w:type="dxa"/>
            <w:vMerge/>
            <w:tcBorders>
              <w:top w:val="nil"/>
              <w:left w:val="nil"/>
              <w:bottom w:val="nil"/>
              <w:right w:val="nil"/>
            </w:tcBorders>
            <w:vAlign w:val="center"/>
            <w:hideMark/>
          </w:tcPr>
          <w:p w14:paraId="4C76A374" w14:textId="77777777" w:rsidR="001131E6" w:rsidRPr="006E7D8F" w:rsidRDefault="001131E6" w:rsidP="00082F4B">
            <w:pPr>
              <w:pStyle w:val="ExhibitText"/>
              <w:jc w:val="left"/>
              <w:rPr>
                <w:sz w:val="18"/>
                <w:szCs w:val="18"/>
              </w:rPr>
            </w:pPr>
          </w:p>
        </w:tc>
        <w:tc>
          <w:tcPr>
            <w:tcW w:w="2880" w:type="dxa"/>
            <w:tcBorders>
              <w:top w:val="nil"/>
              <w:left w:val="nil"/>
              <w:bottom w:val="nil"/>
              <w:right w:val="nil"/>
            </w:tcBorders>
            <w:shd w:val="clear" w:color="auto" w:fill="auto"/>
            <w:noWrap/>
            <w:vAlign w:val="center"/>
            <w:hideMark/>
          </w:tcPr>
          <w:p w14:paraId="7E697A18" w14:textId="77777777" w:rsidR="001131E6" w:rsidRPr="006E7D8F" w:rsidRDefault="001131E6" w:rsidP="00082F4B">
            <w:pPr>
              <w:pStyle w:val="ExhibitText"/>
              <w:numPr>
                <w:ilvl w:val="0"/>
                <w:numId w:val="18"/>
              </w:numPr>
              <w:jc w:val="left"/>
              <w:rPr>
                <w:sz w:val="18"/>
                <w:szCs w:val="18"/>
              </w:rPr>
            </w:pPr>
            <w:r w:rsidRPr="006E7D8F">
              <w:rPr>
                <w:sz w:val="18"/>
                <w:szCs w:val="18"/>
              </w:rPr>
              <w:t>Interest on balances with RBI and other interbank funds</w:t>
            </w:r>
          </w:p>
        </w:tc>
        <w:tc>
          <w:tcPr>
            <w:tcW w:w="1080" w:type="dxa"/>
            <w:gridSpan w:val="2"/>
            <w:tcBorders>
              <w:top w:val="nil"/>
              <w:left w:val="nil"/>
              <w:bottom w:val="nil"/>
              <w:right w:val="nil"/>
            </w:tcBorders>
            <w:shd w:val="clear" w:color="auto" w:fill="auto"/>
            <w:noWrap/>
            <w:vAlign w:val="center"/>
            <w:hideMark/>
          </w:tcPr>
          <w:p w14:paraId="2F7DEC92" w14:textId="77777777" w:rsidR="001131E6" w:rsidRPr="006E7D8F" w:rsidRDefault="001131E6" w:rsidP="004E2186">
            <w:pPr>
              <w:pStyle w:val="ExhibitText"/>
              <w:jc w:val="center"/>
              <w:rPr>
                <w:sz w:val="18"/>
                <w:szCs w:val="18"/>
              </w:rPr>
            </w:pPr>
            <w:r w:rsidRPr="006E7D8F">
              <w:rPr>
                <w:sz w:val="18"/>
                <w:szCs w:val="18"/>
              </w:rPr>
              <w:t>201</w:t>
            </w:r>
          </w:p>
        </w:tc>
        <w:tc>
          <w:tcPr>
            <w:tcW w:w="810" w:type="dxa"/>
            <w:tcBorders>
              <w:top w:val="nil"/>
              <w:left w:val="nil"/>
              <w:bottom w:val="nil"/>
              <w:right w:val="nil"/>
            </w:tcBorders>
            <w:shd w:val="clear" w:color="auto" w:fill="auto"/>
            <w:noWrap/>
            <w:vAlign w:val="center"/>
            <w:hideMark/>
          </w:tcPr>
          <w:p w14:paraId="0CE96EA4" w14:textId="77777777" w:rsidR="001131E6" w:rsidRPr="006E7D8F" w:rsidRDefault="001131E6" w:rsidP="004E2186">
            <w:pPr>
              <w:pStyle w:val="ExhibitText"/>
              <w:jc w:val="center"/>
              <w:rPr>
                <w:sz w:val="18"/>
                <w:szCs w:val="18"/>
              </w:rPr>
            </w:pPr>
            <w:r w:rsidRPr="006E7D8F">
              <w:rPr>
                <w:sz w:val="18"/>
                <w:szCs w:val="18"/>
              </w:rPr>
              <w:t>320</w:t>
            </w:r>
          </w:p>
        </w:tc>
        <w:tc>
          <w:tcPr>
            <w:tcW w:w="810" w:type="dxa"/>
            <w:tcBorders>
              <w:top w:val="nil"/>
              <w:left w:val="nil"/>
              <w:bottom w:val="nil"/>
              <w:right w:val="nil"/>
            </w:tcBorders>
            <w:shd w:val="clear" w:color="auto" w:fill="auto"/>
            <w:noWrap/>
            <w:vAlign w:val="center"/>
            <w:hideMark/>
          </w:tcPr>
          <w:p w14:paraId="724635A2" w14:textId="77777777" w:rsidR="001131E6" w:rsidRPr="006E7D8F" w:rsidRDefault="001131E6" w:rsidP="004E2186">
            <w:pPr>
              <w:pStyle w:val="ExhibitText"/>
              <w:jc w:val="center"/>
              <w:rPr>
                <w:sz w:val="18"/>
                <w:szCs w:val="18"/>
              </w:rPr>
            </w:pPr>
            <w:r w:rsidRPr="006E7D8F">
              <w:rPr>
                <w:sz w:val="18"/>
                <w:szCs w:val="18"/>
              </w:rPr>
              <w:t>77</w:t>
            </w:r>
          </w:p>
        </w:tc>
        <w:tc>
          <w:tcPr>
            <w:tcW w:w="810" w:type="dxa"/>
            <w:tcBorders>
              <w:top w:val="nil"/>
              <w:left w:val="nil"/>
              <w:bottom w:val="nil"/>
              <w:right w:val="nil"/>
            </w:tcBorders>
            <w:shd w:val="clear" w:color="auto" w:fill="auto"/>
            <w:noWrap/>
            <w:vAlign w:val="center"/>
            <w:hideMark/>
          </w:tcPr>
          <w:p w14:paraId="0A848091" w14:textId="77777777" w:rsidR="001131E6" w:rsidRPr="006E7D8F" w:rsidRDefault="001131E6" w:rsidP="004E2186">
            <w:pPr>
              <w:pStyle w:val="ExhibitText"/>
              <w:jc w:val="center"/>
              <w:rPr>
                <w:sz w:val="18"/>
                <w:szCs w:val="18"/>
              </w:rPr>
            </w:pPr>
            <w:r w:rsidRPr="006E7D8F">
              <w:rPr>
                <w:sz w:val="18"/>
                <w:szCs w:val="18"/>
              </w:rPr>
              <w:t>54</w:t>
            </w:r>
          </w:p>
        </w:tc>
        <w:tc>
          <w:tcPr>
            <w:tcW w:w="810" w:type="dxa"/>
            <w:tcBorders>
              <w:top w:val="nil"/>
              <w:left w:val="nil"/>
              <w:bottom w:val="nil"/>
              <w:right w:val="nil"/>
            </w:tcBorders>
            <w:shd w:val="clear" w:color="auto" w:fill="auto"/>
            <w:noWrap/>
            <w:vAlign w:val="center"/>
            <w:hideMark/>
          </w:tcPr>
          <w:p w14:paraId="1844DFC5" w14:textId="77777777" w:rsidR="001131E6" w:rsidRPr="006E7D8F" w:rsidRDefault="001131E6" w:rsidP="004E2186">
            <w:pPr>
              <w:pStyle w:val="ExhibitText"/>
              <w:jc w:val="center"/>
              <w:rPr>
                <w:sz w:val="18"/>
                <w:szCs w:val="18"/>
              </w:rPr>
            </w:pPr>
            <w:r w:rsidRPr="006E7D8F">
              <w:rPr>
                <w:sz w:val="18"/>
                <w:szCs w:val="18"/>
              </w:rPr>
              <w:t>27</w:t>
            </w:r>
          </w:p>
        </w:tc>
        <w:tc>
          <w:tcPr>
            <w:tcW w:w="705" w:type="dxa"/>
            <w:gridSpan w:val="2"/>
            <w:tcBorders>
              <w:top w:val="nil"/>
              <w:left w:val="nil"/>
              <w:bottom w:val="nil"/>
              <w:right w:val="nil"/>
            </w:tcBorders>
            <w:shd w:val="clear" w:color="auto" w:fill="auto"/>
            <w:noWrap/>
            <w:vAlign w:val="center"/>
            <w:hideMark/>
          </w:tcPr>
          <w:p w14:paraId="254938AC" w14:textId="77777777" w:rsidR="001131E6" w:rsidRPr="006E7D8F" w:rsidRDefault="001131E6" w:rsidP="004E2186">
            <w:pPr>
              <w:pStyle w:val="ExhibitText"/>
              <w:jc w:val="center"/>
              <w:rPr>
                <w:color w:val="000000"/>
                <w:sz w:val="18"/>
                <w:szCs w:val="18"/>
              </w:rPr>
            </w:pPr>
            <w:r w:rsidRPr="006E7D8F">
              <w:rPr>
                <w:color w:val="000000"/>
                <w:sz w:val="18"/>
                <w:szCs w:val="18"/>
              </w:rPr>
              <w:t>106</w:t>
            </w:r>
          </w:p>
        </w:tc>
      </w:tr>
      <w:tr w:rsidR="001131E6" w:rsidRPr="006E7D8F" w14:paraId="51CD8E71" w14:textId="77777777" w:rsidTr="004E2186">
        <w:trPr>
          <w:gridBefore w:val="1"/>
          <w:wBefore w:w="316" w:type="dxa"/>
          <w:trHeight w:val="288"/>
          <w:jc w:val="center"/>
        </w:trPr>
        <w:tc>
          <w:tcPr>
            <w:tcW w:w="1034" w:type="dxa"/>
            <w:vMerge/>
            <w:tcBorders>
              <w:top w:val="nil"/>
              <w:left w:val="nil"/>
              <w:bottom w:val="single" w:sz="4" w:space="0" w:color="auto"/>
              <w:right w:val="nil"/>
            </w:tcBorders>
            <w:vAlign w:val="center"/>
            <w:hideMark/>
          </w:tcPr>
          <w:p w14:paraId="4E7D336E" w14:textId="77777777" w:rsidR="001131E6" w:rsidRPr="006E7D8F" w:rsidRDefault="001131E6" w:rsidP="00082F4B">
            <w:pPr>
              <w:pStyle w:val="ExhibitText"/>
              <w:jc w:val="left"/>
              <w:rPr>
                <w:sz w:val="18"/>
                <w:szCs w:val="18"/>
              </w:rPr>
            </w:pPr>
          </w:p>
        </w:tc>
        <w:tc>
          <w:tcPr>
            <w:tcW w:w="2880" w:type="dxa"/>
            <w:tcBorders>
              <w:top w:val="nil"/>
              <w:left w:val="nil"/>
              <w:bottom w:val="single" w:sz="4" w:space="0" w:color="auto"/>
              <w:right w:val="nil"/>
            </w:tcBorders>
            <w:shd w:val="clear" w:color="auto" w:fill="auto"/>
            <w:noWrap/>
            <w:vAlign w:val="center"/>
            <w:hideMark/>
          </w:tcPr>
          <w:p w14:paraId="342AE6B1" w14:textId="77777777" w:rsidR="001131E6" w:rsidRPr="006E7D8F" w:rsidRDefault="001131E6" w:rsidP="00082F4B">
            <w:pPr>
              <w:pStyle w:val="ExhibitText"/>
              <w:numPr>
                <w:ilvl w:val="0"/>
                <w:numId w:val="18"/>
              </w:numPr>
              <w:jc w:val="left"/>
              <w:rPr>
                <w:sz w:val="18"/>
                <w:szCs w:val="18"/>
              </w:rPr>
            </w:pPr>
            <w:r w:rsidRPr="006E7D8F">
              <w:rPr>
                <w:sz w:val="18"/>
                <w:szCs w:val="18"/>
              </w:rPr>
              <w:t>Others</w:t>
            </w:r>
          </w:p>
        </w:tc>
        <w:tc>
          <w:tcPr>
            <w:tcW w:w="1080" w:type="dxa"/>
            <w:gridSpan w:val="2"/>
            <w:tcBorders>
              <w:top w:val="nil"/>
              <w:left w:val="nil"/>
              <w:bottom w:val="single" w:sz="4" w:space="0" w:color="auto"/>
              <w:right w:val="nil"/>
            </w:tcBorders>
            <w:shd w:val="clear" w:color="auto" w:fill="auto"/>
            <w:noWrap/>
            <w:vAlign w:val="center"/>
            <w:hideMark/>
          </w:tcPr>
          <w:p w14:paraId="6CE0E512" w14:textId="77777777" w:rsidR="001131E6" w:rsidRPr="006E7D8F" w:rsidRDefault="001131E6" w:rsidP="004E2186">
            <w:pPr>
              <w:pStyle w:val="ExhibitText"/>
              <w:jc w:val="center"/>
              <w:rPr>
                <w:sz w:val="18"/>
                <w:szCs w:val="18"/>
              </w:rPr>
            </w:pPr>
            <w:r w:rsidRPr="006E7D8F">
              <w:rPr>
                <w:sz w:val="18"/>
                <w:szCs w:val="18"/>
              </w:rPr>
              <w:t>1</w:t>
            </w:r>
          </w:p>
        </w:tc>
        <w:tc>
          <w:tcPr>
            <w:tcW w:w="810" w:type="dxa"/>
            <w:tcBorders>
              <w:top w:val="nil"/>
              <w:left w:val="nil"/>
              <w:bottom w:val="single" w:sz="4" w:space="0" w:color="auto"/>
              <w:right w:val="nil"/>
            </w:tcBorders>
            <w:shd w:val="clear" w:color="auto" w:fill="auto"/>
            <w:noWrap/>
            <w:vAlign w:val="center"/>
            <w:hideMark/>
          </w:tcPr>
          <w:p w14:paraId="0AC0DC67" w14:textId="77777777" w:rsidR="001131E6" w:rsidRPr="006E7D8F" w:rsidRDefault="001131E6" w:rsidP="004E2186">
            <w:pPr>
              <w:pStyle w:val="ExhibitText"/>
              <w:jc w:val="center"/>
              <w:rPr>
                <w:sz w:val="18"/>
                <w:szCs w:val="18"/>
              </w:rPr>
            </w:pPr>
            <w:r w:rsidRPr="006E7D8F">
              <w:rPr>
                <w:sz w:val="18"/>
                <w:szCs w:val="18"/>
              </w:rPr>
              <w:t>29</w:t>
            </w:r>
          </w:p>
        </w:tc>
        <w:tc>
          <w:tcPr>
            <w:tcW w:w="810" w:type="dxa"/>
            <w:tcBorders>
              <w:top w:val="nil"/>
              <w:left w:val="nil"/>
              <w:bottom w:val="single" w:sz="4" w:space="0" w:color="auto"/>
              <w:right w:val="nil"/>
            </w:tcBorders>
            <w:shd w:val="clear" w:color="auto" w:fill="auto"/>
            <w:noWrap/>
            <w:vAlign w:val="center"/>
            <w:hideMark/>
          </w:tcPr>
          <w:p w14:paraId="23D40E72" w14:textId="77777777" w:rsidR="001131E6" w:rsidRPr="006E7D8F" w:rsidRDefault="001131E6" w:rsidP="004E2186">
            <w:pPr>
              <w:pStyle w:val="ExhibitText"/>
              <w:jc w:val="center"/>
              <w:rPr>
                <w:sz w:val="18"/>
                <w:szCs w:val="18"/>
              </w:rPr>
            </w:pPr>
            <w:r w:rsidRPr="006E7D8F">
              <w:rPr>
                <w:sz w:val="18"/>
                <w:szCs w:val="18"/>
              </w:rPr>
              <w:t>194</w:t>
            </w:r>
          </w:p>
        </w:tc>
        <w:tc>
          <w:tcPr>
            <w:tcW w:w="810" w:type="dxa"/>
            <w:tcBorders>
              <w:top w:val="nil"/>
              <w:left w:val="nil"/>
              <w:bottom w:val="single" w:sz="4" w:space="0" w:color="auto"/>
              <w:right w:val="nil"/>
            </w:tcBorders>
            <w:shd w:val="clear" w:color="auto" w:fill="auto"/>
            <w:noWrap/>
            <w:vAlign w:val="center"/>
            <w:hideMark/>
          </w:tcPr>
          <w:p w14:paraId="193AF9A4" w14:textId="77777777" w:rsidR="001131E6" w:rsidRPr="006E7D8F" w:rsidRDefault="001131E6" w:rsidP="004E2186">
            <w:pPr>
              <w:pStyle w:val="ExhibitText"/>
              <w:jc w:val="center"/>
              <w:rPr>
                <w:sz w:val="18"/>
                <w:szCs w:val="18"/>
              </w:rPr>
            </w:pPr>
            <w:r w:rsidRPr="006E7D8F">
              <w:rPr>
                <w:sz w:val="18"/>
                <w:szCs w:val="18"/>
              </w:rPr>
              <w:t>318</w:t>
            </w:r>
          </w:p>
        </w:tc>
        <w:tc>
          <w:tcPr>
            <w:tcW w:w="810" w:type="dxa"/>
            <w:tcBorders>
              <w:top w:val="nil"/>
              <w:left w:val="nil"/>
              <w:bottom w:val="single" w:sz="4" w:space="0" w:color="auto"/>
              <w:right w:val="nil"/>
            </w:tcBorders>
            <w:shd w:val="clear" w:color="auto" w:fill="auto"/>
            <w:noWrap/>
            <w:vAlign w:val="center"/>
            <w:hideMark/>
          </w:tcPr>
          <w:p w14:paraId="0687D456" w14:textId="77777777" w:rsidR="001131E6" w:rsidRPr="006E7D8F" w:rsidRDefault="001131E6" w:rsidP="004E2186">
            <w:pPr>
              <w:pStyle w:val="ExhibitText"/>
              <w:jc w:val="center"/>
              <w:rPr>
                <w:sz w:val="18"/>
                <w:szCs w:val="18"/>
              </w:rPr>
            </w:pPr>
            <w:r w:rsidRPr="006E7D8F">
              <w:rPr>
                <w:sz w:val="18"/>
                <w:szCs w:val="18"/>
              </w:rPr>
              <w:t>402</w:t>
            </w:r>
          </w:p>
        </w:tc>
        <w:tc>
          <w:tcPr>
            <w:tcW w:w="705" w:type="dxa"/>
            <w:gridSpan w:val="2"/>
            <w:tcBorders>
              <w:top w:val="nil"/>
              <w:left w:val="nil"/>
              <w:bottom w:val="single" w:sz="4" w:space="0" w:color="auto"/>
              <w:right w:val="nil"/>
            </w:tcBorders>
            <w:shd w:val="clear" w:color="auto" w:fill="auto"/>
            <w:noWrap/>
            <w:vAlign w:val="center"/>
            <w:hideMark/>
          </w:tcPr>
          <w:p w14:paraId="23E98CDC" w14:textId="77777777" w:rsidR="001131E6" w:rsidRPr="006E7D8F" w:rsidRDefault="001131E6" w:rsidP="004E2186">
            <w:pPr>
              <w:pStyle w:val="ExhibitText"/>
              <w:jc w:val="center"/>
              <w:rPr>
                <w:color w:val="000000"/>
                <w:sz w:val="18"/>
                <w:szCs w:val="18"/>
              </w:rPr>
            </w:pPr>
            <w:r w:rsidRPr="006E7D8F">
              <w:rPr>
                <w:color w:val="000000"/>
                <w:sz w:val="18"/>
                <w:szCs w:val="18"/>
              </w:rPr>
              <w:t>134</w:t>
            </w:r>
          </w:p>
        </w:tc>
      </w:tr>
      <w:tr w:rsidR="001131E6" w:rsidRPr="006E7D8F" w14:paraId="291D5CB8" w14:textId="77777777" w:rsidTr="004E2186">
        <w:trPr>
          <w:gridBefore w:val="1"/>
          <w:wBefore w:w="316" w:type="dxa"/>
          <w:trHeight w:val="288"/>
          <w:jc w:val="center"/>
        </w:trPr>
        <w:tc>
          <w:tcPr>
            <w:tcW w:w="3914" w:type="dxa"/>
            <w:gridSpan w:val="2"/>
            <w:tcBorders>
              <w:top w:val="single" w:sz="4" w:space="0" w:color="auto"/>
              <w:left w:val="nil"/>
              <w:bottom w:val="single" w:sz="4" w:space="0" w:color="auto"/>
              <w:right w:val="nil"/>
            </w:tcBorders>
            <w:shd w:val="clear" w:color="auto" w:fill="auto"/>
            <w:noWrap/>
            <w:vAlign w:val="center"/>
            <w:hideMark/>
          </w:tcPr>
          <w:p w14:paraId="55DE5992" w14:textId="77777777" w:rsidR="001131E6" w:rsidRPr="006E7D8F" w:rsidRDefault="001131E6" w:rsidP="00082F4B">
            <w:pPr>
              <w:pStyle w:val="ExhibitText"/>
              <w:jc w:val="left"/>
              <w:rPr>
                <w:sz w:val="18"/>
                <w:szCs w:val="18"/>
              </w:rPr>
            </w:pPr>
            <w:r w:rsidRPr="006E7D8F">
              <w:rPr>
                <w:sz w:val="18"/>
                <w:szCs w:val="18"/>
              </w:rPr>
              <w:t>Total interest revenues (I)</w:t>
            </w:r>
          </w:p>
        </w:tc>
        <w:tc>
          <w:tcPr>
            <w:tcW w:w="1080" w:type="dxa"/>
            <w:gridSpan w:val="2"/>
            <w:tcBorders>
              <w:top w:val="single" w:sz="4" w:space="0" w:color="auto"/>
              <w:left w:val="nil"/>
              <w:bottom w:val="single" w:sz="4" w:space="0" w:color="auto"/>
              <w:right w:val="nil"/>
            </w:tcBorders>
            <w:shd w:val="clear" w:color="auto" w:fill="auto"/>
            <w:noWrap/>
            <w:vAlign w:val="center"/>
            <w:hideMark/>
          </w:tcPr>
          <w:p w14:paraId="4E1F0BAE" w14:textId="77777777" w:rsidR="001131E6" w:rsidRPr="006E7D8F" w:rsidRDefault="001131E6" w:rsidP="004E2186">
            <w:pPr>
              <w:pStyle w:val="ExhibitText"/>
              <w:jc w:val="center"/>
              <w:rPr>
                <w:sz w:val="18"/>
                <w:szCs w:val="18"/>
              </w:rPr>
            </w:pPr>
            <w:r w:rsidRPr="006E7D8F">
              <w:rPr>
                <w:sz w:val="18"/>
                <w:szCs w:val="18"/>
              </w:rPr>
              <w:t>13</w:t>
            </w:r>
            <w:r w:rsidR="003146E9" w:rsidRPr="006E7D8F">
              <w:rPr>
                <w:sz w:val="18"/>
                <w:szCs w:val="18"/>
              </w:rPr>
              <w:t>,</w:t>
            </w:r>
            <w:r w:rsidRPr="006E7D8F">
              <w:rPr>
                <w:sz w:val="18"/>
                <w:szCs w:val="18"/>
              </w:rPr>
              <w:t>209</w:t>
            </w:r>
          </w:p>
        </w:tc>
        <w:tc>
          <w:tcPr>
            <w:tcW w:w="810" w:type="dxa"/>
            <w:tcBorders>
              <w:top w:val="single" w:sz="4" w:space="0" w:color="auto"/>
              <w:left w:val="nil"/>
              <w:bottom w:val="single" w:sz="4" w:space="0" w:color="auto"/>
              <w:right w:val="nil"/>
            </w:tcBorders>
            <w:shd w:val="clear" w:color="auto" w:fill="auto"/>
            <w:noWrap/>
            <w:vAlign w:val="center"/>
            <w:hideMark/>
          </w:tcPr>
          <w:p w14:paraId="181003A8" w14:textId="77777777" w:rsidR="001131E6" w:rsidRPr="006E7D8F" w:rsidRDefault="001131E6" w:rsidP="004E2186">
            <w:pPr>
              <w:pStyle w:val="ExhibitText"/>
              <w:jc w:val="center"/>
              <w:rPr>
                <w:sz w:val="18"/>
                <w:szCs w:val="18"/>
              </w:rPr>
            </w:pPr>
            <w:r w:rsidRPr="006E7D8F">
              <w:rPr>
                <w:sz w:val="18"/>
                <w:szCs w:val="18"/>
              </w:rPr>
              <w:t>15</w:t>
            </w:r>
            <w:r w:rsidR="003146E9" w:rsidRPr="006E7D8F">
              <w:rPr>
                <w:sz w:val="18"/>
                <w:szCs w:val="18"/>
              </w:rPr>
              <w:t>,</w:t>
            </w:r>
            <w:r w:rsidRPr="006E7D8F">
              <w:rPr>
                <w:sz w:val="18"/>
                <w:szCs w:val="18"/>
              </w:rPr>
              <w:t>040</w:t>
            </w:r>
          </w:p>
        </w:tc>
        <w:tc>
          <w:tcPr>
            <w:tcW w:w="810" w:type="dxa"/>
            <w:tcBorders>
              <w:top w:val="single" w:sz="4" w:space="0" w:color="auto"/>
              <w:left w:val="nil"/>
              <w:bottom w:val="single" w:sz="4" w:space="0" w:color="auto"/>
              <w:right w:val="nil"/>
            </w:tcBorders>
            <w:shd w:val="clear" w:color="auto" w:fill="auto"/>
            <w:noWrap/>
            <w:vAlign w:val="center"/>
            <w:hideMark/>
          </w:tcPr>
          <w:p w14:paraId="3968F7A8" w14:textId="77777777" w:rsidR="001131E6" w:rsidRPr="006E7D8F" w:rsidRDefault="001131E6" w:rsidP="004E2186">
            <w:pPr>
              <w:pStyle w:val="ExhibitText"/>
              <w:jc w:val="center"/>
              <w:rPr>
                <w:sz w:val="18"/>
                <w:szCs w:val="18"/>
              </w:rPr>
            </w:pPr>
            <w:r w:rsidRPr="006E7D8F">
              <w:rPr>
                <w:sz w:val="18"/>
                <w:szCs w:val="18"/>
              </w:rPr>
              <w:t>15</w:t>
            </w:r>
            <w:r w:rsidR="003146E9" w:rsidRPr="006E7D8F">
              <w:rPr>
                <w:sz w:val="18"/>
                <w:szCs w:val="18"/>
              </w:rPr>
              <w:t>,</w:t>
            </w:r>
            <w:r w:rsidRPr="006E7D8F">
              <w:rPr>
                <w:sz w:val="18"/>
                <w:szCs w:val="18"/>
              </w:rPr>
              <w:t>446</w:t>
            </w:r>
          </w:p>
        </w:tc>
        <w:tc>
          <w:tcPr>
            <w:tcW w:w="810" w:type="dxa"/>
            <w:tcBorders>
              <w:top w:val="single" w:sz="4" w:space="0" w:color="auto"/>
              <w:left w:val="nil"/>
              <w:bottom w:val="single" w:sz="4" w:space="0" w:color="auto"/>
              <w:right w:val="nil"/>
            </w:tcBorders>
            <w:shd w:val="clear" w:color="auto" w:fill="auto"/>
            <w:noWrap/>
            <w:vAlign w:val="center"/>
            <w:hideMark/>
          </w:tcPr>
          <w:p w14:paraId="0AF1C7A5" w14:textId="77777777" w:rsidR="001131E6" w:rsidRPr="006E7D8F" w:rsidRDefault="001131E6" w:rsidP="004E2186">
            <w:pPr>
              <w:pStyle w:val="ExhibitText"/>
              <w:jc w:val="center"/>
              <w:rPr>
                <w:sz w:val="18"/>
                <w:szCs w:val="18"/>
              </w:rPr>
            </w:pPr>
            <w:r w:rsidRPr="006E7D8F">
              <w:rPr>
                <w:sz w:val="18"/>
                <w:szCs w:val="18"/>
              </w:rPr>
              <w:t>14</w:t>
            </w:r>
            <w:r w:rsidR="003146E9" w:rsidRPr="006E7D8F">
              <w:rPr>
                <w:sz w:val="18"/>
                <w:szCs w:val="18"/>
              </w:rPr>
              <w:t>,</w:t>
            </w:r>
            <w:r w:rsidRPr="006E7D8F">
              <w:rPr>
                <w:sz w:val="18"/>
                <w:szCs w:val="18"/>
              </w:rPr>
              <w:t>829</w:t>
            </w:r>
          </w:p>
        </w:tc>
        <w:tc>
          <w:tcPr>
            <w:tcW w:w="810" w:type="dxa"/>
            <w:tcBorders>
              <w:top w:val="single" w:sz="4" w:space="0" w:color="auto"/>
              <w:left w:val="nil"/>
              <w:bottom w:val="single" w:sz="4" w:space="0" w:color="auto"/>
              <w:right w:val="nil"/>
            </w:tcBorders>
            <w:shd w:val="clear" w:color="auto" w:fill="auto"/>
            <w:noWrap/>
            <w:vAlign w:val="center"/>
            <w:hideMark/>
          </w:tcPr>
          <w:p w14:paraId="7884AFB9" w14:textId="77777777" w:rsidR="001131E6" w:rsidRPr="006E7D8F" w:rsidRDefault="001131E6" w:rsidP="004E2186">
            <w:pPr>
              <w:pStyle w:val="ExhibitText"/>
              <w:jc w:val="center"/>
              <w:rPr>
                <w:sz w:val="18"/>
                <w:szCs w:val="18"/>
              </w:rPr>
            </w:pPr>
            <w:r w:rsidRPr="006E7D8F">
              <w:rPr>
                <w:sz w:val="18"/>
                <w:szCs w:val="18"/>
              </w:rPr>
              <w:t>13</w:t>
            </w:r>
            <w:r w:rsidR="003146E9" w:rsidRPr="006E7D8F">
              <w:rPr>
                <w:sz w:val="18"/>
                <w:szCs w:val="18"/>
              </w:rPr>
              <w:t>,</w:t>
            </w:r>
            <w:r w:rsidRPr="006E7D8F">
              <w:rPr>
                <w:sz w:val="18"/>
                <w:szCs w:val="18"/>
              </w:rPr>
              <w:t>363</w:t>
            </w:r>
          </w:p>
        </w:tc>
        <w:tc>
          <w:tcPr>
            <w:tcW w:w="705" w:type="dxa"/>
            <w:gridSpan w:val="2"/>
            <w:tcBorders>
              <w:top w:val="single" w:sz="4" w:space="0" w:color="auto"/>
              <w:left w:val="nil"/>
              <w:bottom w:val="single" w:sz="4" w:space="0" w:color="auto"/>
              <w:right w:val="nil"/>
            </w:tcBorders>
            <w:shd w:val="clear" w:color="auto" w:fill="auto"/>
            <w:noWrap/>
            <w:vAlign w:val="center"/>
            <w:hideMark/>
          </w:tcPr>
          <w:p w14:paraId="1556418C" w14:textId="77777777" w:rsidR="001131E6" w:rsidRPr="006E7D8F" w:rsidRDefault="001131E6" w:rsidP="004E2186">
            <w:pPr>
              <w:pStyle w:val="ExhibitText"/>
              <w:jc w:val="center"/>
              <w:rPr>
                <w:sz w:val="18"/>
                <w:szCs w:val="18"/>
              </w:rPr>
            </w:pPr>
            <w:r w:rsidRPr="006E7D8F">
              <w:rPr>
                <w:sz w:val="18"/>
                <w:szCs w:val="18"/>
              </w:rPr>
              <w:t>6</w:t>
            </w:r>
            <w:r w:rsidR="003146E9" w:rsidRPr="006E7D8F">
              <w:rPr>
                <w:sz w:val="18"/>
                <w:szCs w:val="18"/>
              </w:rPr>
              <w:t>,</w:t>
            </w:r>
            <w:r w:rsidRPr="006E7D8F">
              <w:rPr>
                <w:sz w:val="18"/>
                <w:szCs w:val="18"/>
              </w:rPr>
              <w:t>593</w:t>
            </w:r>
          </w:p>
        </w:tc>
      </w:tr>
      <w:tr w:rsidR="001131E6" w:rsidRPr="006E7D8F" w14:paraId="088A7BF8" w14:textId="77777777" w:rsidTr="004E2186">
        <w:trPr>
          <w:gridBefore w:val="1"/>
          <w:wBefore w:w="316" w:type="dxa"/>
          <w:trHeight w:val="288"/>
          <w:jc w:val="center"/>
        </w:trPr>
        <w:tc>
          <w:tcPr>
            <w:tcW w:w="1034" w:type="dxa"/>
            <w:vMerge w:val="restart"/>
            <w:tcBorders>
              <w:top w:val="nil"/>
              <w:left w:val="nil"/>
              <w:bottom w:val="nil"/>
              <w:right w:val="nil"/>
            </w:tcBorders>
            <w:shd w:val="clear" w:color="auto" w:fill="auto"/>
            <w:noWrap/>
            <w:vAlign w:val="center"/>
            <w:hideMark/>
          </w:tcPr>
          <w:p w14:paraId="667AD5E9" w14:textId="09EC4C21" w:rsidR="001131E6" w:rsidRPr="006E7D8F" w:rsidRDefault="001131E6" w:rsidP="00082F4B">
            <w:pPr>
              <w:pStyle w:val="ExhibitText"/>
              <w:jc w:val="left"/>
              <w:rPr>
                <w:sz w:val="18"/>
                <w:szCs w:val="18"/>
              </w:rPr>
            </w:pPr>
            <w:r w:rsidRPr="006E7D8F">
              <w:rPr>
                <w:sz w:val="18"/>
                <w:szCs w:val="18"/>
              </w:rPr>
              <w:t xml:space="preserve">II. Other </w:t>
            </w:r>
            <w:r w:rsidR="006126F9">
              <w:rPr>
                <w:sz w:val="18"/>
                <w:szCs w:val="18"/>
              </w:rPr>
              <w:t>income</w:t>
            </w:r>
          </w:p>
        </w:tc>
        <w:tc>
          <w:tcPr>
            <w:tcW w:w="2880" w:type="dxa"/>
            <w:tcBorders>
              <w:top w:val="nil"/>
              <w:left w:val="nil"/>
              <w:bottom w:val="nil"/>
              <w:right w:val="nil"/>
            </w:tcBorders>
            <w:shd w:val="clear" w:color="auto" w:fill="auto"/>
            <w:noWrap/>
            <w:vAlign w:val="center"/>
            <w:hideMark/>
          </w:tcPr>
          <w:p w14:paraId="116D2809" w14:textId="77777777" w:rsidR="001131E6" w:rsidRPr="006E7D8F" w:rsidRDefault="001131E6" w:rsidP="00082F4B">
            <w:pPr>
              <w:pStyle w:val="ExhibitText"/>
              <w:numPr>
                <w:ilvl w:val="0"/>
                <w:numId w:val="20"/>
              </w:numPr>
              <w:jc w:val="left"/>
              <w:rPr>
                <w:sz w:val="18"/>
                <w:szCs w:val="18"/>
              </w:rPr>
            </w:pPr>
            <w:r w:rsidRPr="006E7D8F">
              <w:rPr>
                <w:sz w:val="18"/>
                <w:szCs w:val="18"/>
              </w:rPr>
              <w:t>Commission, exchange</w:t>
            </w:r>
            <w:r w:rsidR="00BA656F" w:rsidRPr="006E7D8F">
              <w:rPr>
                <w:sz w:val="18"/>
                <w:szCs w:val="18"/>
              </w:rPr>
              <w:t>,</w:t>
            </w:r>
            <w:r w:rsidRPr="006E7D8F">
              <w:rPr>
                <w:sz w:val="18"/>
                <w:szCs w:val="18"/>
              </w:rPr>
              <w:t xml:space="preserve"> and brokerage</w:t>
            </w:r>
          </w:p>
        </w:tc>
        <w:tc>
          <w:tcPr>
            <w:tcW w:w="1080" w:type="dxa"/>
            <w:gridSpan w:val="2"/>
            <w:tcBorders>
              <w:top w:val="nil"/>
              <w:left w:val="nil"/>
              <w:bottom w:val="nil"/>
              <w:right w:val="nil"/>
            </w:tcBorders>
            <w:shd w:val="clear" w:color="auto" w:fill="auto"/>
            <w:noWrap/>
            <w:vAlign w:val="center"/>
            <w:hideMark/>
          </w:tcPr>
          <w:p w14:paraId="23A59353" w14:textId="77777777" w:rsidR="001131E6" w:rsidRPr="006E7D8F" w:rsidRDefault="001131E6" w:rsidP="004E2186">
            <w:pPr>
              <w:pStyle w:val="ExhibitText"/>
              <w:jc w:val="center"/>
              <w:rPr>
                <w:sz w:val="18"/>
                <w:szCs w:val="18"/>
              </w:rPr>
            </w:pPr>
            <w:r w:rsidRPr="006E7D8F">
              <w:rPr>
                <w:sz w:val="18"/>
                <w:szCs w:val="18"/>
              </w:rPr>
              <w:t>163</w:t>
            </w:r>
          </w:p>
        </w:tc>
        <w:tc>
          <w:tcPr>
            <w:tcW w:w="810" w:type="dxa"/>
            <w:tcBorders>
              <w:top w:val="nil"/>
              <w:left w:val="nil"/>
              <w:bottom w:val="nil"/>
              <w:right w:val="nil"/>
            </w:tcBorders>
            <w:shd w:val="clear" w:color="auto" w:fill="auto"/>
            <w:noWrap/>
            <w:vAlign w:val="center"/>
            <w:hideMark/>
          </w:tcPr>
          <w:p w14:paraId="22119785" w14:textId="77777777" w:rsidR="001131E6" w:rsidRPr="006E7D8F" w:rsidRDefault="001131E6" w:rsidP="004E2186">
            <w:pPr>
              <w:pStyle w:val="ExhibitText"/>
              <w:jc w:val="center"/>
              <w:rPr>
                <w:sz w:val="18"/>
                <w:szCs w:val="18"/>
              </w:rPr>
            </w:pPr>
            <w:r w:rsidRPr="006E7D8F">
              <w:rPr>
                <w:sz w:val="18"/>
                <w:szCs w:val="18"/>
              </w:rPr>
              <w:t>167</w:t>
            </w:r>
          </w:p>
        </w:tc>
        <w:tc>
          <w:tcPr>
            <w:tcW w:w="810" w:type="dxa"/>
            <w:tcBorders>
              <w:top w:val="nil"/>
              <w:left w:val="nil"/>
              <w:bottom w:val="nil"/>
              <w:right w:val="nil"/>
            </w:tcBorders>
            <w:shd w:val="clear" w:color="auto" w:fill="auto"/>
            <w:noWrap/>
            <w:vAlign w:val="center"/>
            <w:hideMark/>
          </w:tcPr>
          <w:p w14:paraId="17EE7DEB" w14:textId="77777777" w:rsidR="001131E6" w:rsidRPr="006E7D8F" w:rsidRDefault="001131E6" w:rsidP="004E2186">
            <w:pPr>
              <w:pStyle w:val="ExhibitText"/>
              <w:jc w:val="center"/>
              <w:rPr>
                <w:sz w:val="18"/>
                <w:szCs w:val="18"/>
              </w:rPr>
            </w:pPr>
            <w:r w:rsidRPr="006E7D8F">
              <w:rPr>
                <w:sz w:val="18"/>
                <w:szCs w:val="18"/>
              </w:rPr>
              <w:t>194</w:t>
            </w:r>
          </w:p>
        </w:tc>
        <w:tc>
          <w:tcPr>
            <w:tcW w:w="810" w:type="dxa"/>
            <w:tcBorders>
              <w:top w:val="nil"/>
              <w:left w:val="nil"/>
              <w:bottom w:val="nil"/>
              <w:right w:val="nil"/>
            </w:tcBorders>
            <w:shd w:val="clear" w:color="auto" w:fill="auto"/>
            <w:noWrap/>
            <w:vAlign w:val="center"/>
            <w:hideMark/>
          </w:tcPr>
          <w:p w14:paraId="3361677B" w14:textId="77777777" w:rsidR="001131E6" w:rsidRPr="006E7D8F" w:rsidRDefault="001131E6" w:rsidP="004E2186">
            <w:pPr>
              <w:pStyle w:val="ExhibitText"/>
              <w:jc w:val="center"/>
              <w:rPr>
                <w:sz w:val="18"/>
                <w:szCs w:val="18"/>
              </w:rPr>
            </w:pPr>
            <w:r w:rsidRPr="006E7D8F">
              <w:rPr>
                <w:sz w:val="18"/>
                <w:szCs w:val="18"/>
              </w:rPr>
              <w:t>195</w:t>
            </w:r>
          </w:p>
        </w:tc>
        <w:tc>
          <w:tcPr>
            <w:tcW w:w="810" w:type="dxa"/>
            <w:tcBorders>
              <w:top w:val="nil"/>
              <w:left w:val="nil"/>
              <w:bottom w:val="nil"/>
              <w:right w:val="nil"/>
            </w:tcBorders>
            <w:shd w:val="clear" w:color="auto" w:fill="auto"/>
            <w:noWrap/>
            <w:vAlign w:val="center"/>
            <w:hideMark/>
          </w:tcPr>
          <w:p w14:paraId="3ACB9B9F" w14:textId="77777777" w:rsidR="001131E6" w:rsidRPr="006E7D8F" w:rsidRDefault="001131E6" w:rsidP="004E2186">
            <w:pPr>
              <w:pStyle w:val="ExhibitText"/>
              <w:jc w:val="center"/>
              <w:rPr>
                <w:sz w:val="18"/>
                <w:szCs w:val="18"/>
              </w:rPr>
            </w:pPr>
            <w:r w:rsidRPr="006E7D8F">
              <w:rPr>
                <w:sz w:val="18"/>
                <w:szCs w:val="18"/>
              </w:rPr>
              <w:t>205</w:t>
            </w:r>
          </w:p>
        </w:tc>
        <w:tc>
          <w:tcPr>
            <w:tcW w:w="705" w:type="dxa"/>
            <w:gridSpan w:val="2"/>
            <w:tcBorders>
              <w:top w:val="nil"/>
              <w:left w:val="nil"/>
              <w:bottom w:val="nil"/>
              <w:right w:val="nil"/>
            </w:tcBorders>
            <w:shd w:val="clear" w:color="auto" w:fill="auto"/>
            <w:noWrap/>
            <w:vAlign w:val="center"/>
            <w:hideMark/>
          </w:tcPr>
          <w:p w14:paraId="301DF69C" w14:textId="77777777" w:rsidR="001131E6" w:rsidRPr="006E7D8F" w:rsidRDefault="001131E6" w:rsidP="004E2186">
            <w:pPr>
              <w:pStyle w:val="ExhibitText"/>
              <w:jc w:val="center"/>
              <w:rPr>
                <w:color w:val="000000"/>
                <w:sz w:val="18"/>
                <w:szCs w:val="18"/>
              </w:rPr>
            </w:pPr>
          </w:p>
        </w:tc>
      </w:tr>
      <w:tr w:rsidR="001131E6" w:rsidRPr="006E7D8F" w14:paraId="611A4382" w14:textId="77777777" w:rsidTr="004E2186">
        <w:trPr>
          <w:gridBefore w:val="1"/>
          <w:wBefore w:w="316" w:type="dxa"/>
          <w:trHeight w:val="288"/>
          <w:jc w:val="center"/>
        </w:trPr>
        <w:tc>
          <w:tcPr>
            <w:tcW w:w="1034" w:type="dxa"/>
            <w:vMerge/>
            <w:tcBorders>
              <w:top w:val="nil"/>
              <w:left w:val="nil"/>
              <w:bottom w:val="nil"/>
              <w:right w:val="nil"/>
            </w:tcBorders>
            <w:vAlign w:val="center"/>
            <w:hideMark/>
          </w:tcPr>
          <w:p w14:paraId="43C27C89" w14:textId="77777777" w:rsidR="001131E6" w:rsidRPr="006E7D8F" w:rsidRDefault="001131E6" w:rsidP="00082F4B">
            <w:pPr>
              <w:pStyle w:val="ExhibitText"/>
              <w:jc w:val="left"/>
              <w:rPr>
                <w:sz w:val="18"/>
                <w:szCs w:val="18"/>
              </w:rPr>
            </w:pPr>
          </w:p>
        </w:tc>
        <w:tc>
          <w:tcPr>
            <w:tcW w:w="2880" w:type="dxa"/>
            <w:tcBorders>
              <w:top w:val="nil"/>
              <w:left w:val="nil"/>
              <w:bottom w:val="nil"/>
              <w:right w:val="nil"/>
            </w:tcBorders>
            <w:shd w:val="clear" w:color="auto" w:fill="auto"/>
            <w:noWrap/>
            <w:vAlign w:val="center"/>
            <w:hideMark/>
          </w:tcPr>
          <w:p w14:paraId="17306A64" w14:textId="77777777" w:rsidR="001131E6" w:rsidRPr="006E7D8F" w:rsidRDefault="001131E6" w:rsidP="00082F4B">
            <w:pPr>
              <w:pStyle w:val="ExhibitText"/>
              <w:numPr>
                <w:ilvl w:val="0"/>
                <w:numId w:val="20"/>
              </w:numPr>
              <w:jc w:val="left"/>
              <w:rPr>
                <w:sz w:val="18"/>
                <w:szCs w:val="18"/>
              </w:rPr>
            </w:pPr>
            <w:r w:rsidRPr="006E7D8F">
              <w:rPr>
                <w:sz w:val="18"/>
                <w:szCs w:val="18"/>
              </w:rPr>
              <w:t>Net profit (loss) on sale of investments</w:t>
            </w:r>
          </w:p>
        </w:tc>
        <w:tc>
          <w:tcPr>
            <w:tcW w:w="1080" w:type="dxa"/>
            <w:gridSpan w:val="2"/>
            <w:tcBorders>
              <w:top w:val="nil"/>
              <w:left w:val="nil"/>
              <w:bottom w:val="nil"/>
              <w:right w:val="nil"/>
            </w:tcBorders>
            <w:shd w:val="clear" w:color="auto" w:fill="auto"/>
            <w:noWrap/>
            <w:vAlign w:val="center"/>
            <w:hideMark/>
          </w:tcPr>
          <w:p w14:paraId="376E30E8" w14:textId="77777777" w:rsidR="001131E6" w:rsidRPr="006E7D8F" w:rsidRDefault="001131E6" w:rsidP="004E2186">
            <w:pPr>
              <w:pStyle w:val="ExhibitText"/>
              <w:jc w:val="center"/>
              <w:rPr>
                <w:sz w:val="18"/>
                <w:szCs w:val="18"/>
              </w:rPr>
            </w:pPr>
            <w:r w:rsidRPr="006E7D8F">
              <w:rPr>
                <w:sz w:val="18"/>
                <w:szCs w:val="18"/>
              </w:rPr>
              <w:t>229</w:t>
            </w:r>
          </w:p>
        </w:tc>
        <w:tc>
          <w:tcPr>
            <w:tcW w:w="810" w:type="dxa"/>
            <w:tcBorders>
              <w:top w:val="nil"/>
              <w:left w:val="nil"/>
              <w:bottom w:val="nil"/>
              <w:right w:val="nil"/>
            </w:tcBorders>
            <w:shd w:val="clear" w:color="auto" w:fill="auto"/>
            <w:noWrap/>
            <w:vAlign w:val="center"/>
            <w:hideMark/>
          </w:tcPr>
          <w:p w14:paraId="1956FF10" w14:textId="77777777" w:rsidR="001131E6" w:rsidRPr="006E7D8F" w:rsidRDefault="001131E6" w:rsidP="004E2186">
            <w:pPr>
              <w:pStyle w:val="ExhibitText"/>
              <w:jc w:val="center"/>
              <w:rPr>
                <w:sz w:val="18"/>
                <w:szCs w:val="18"/>
              </w:rPr>
            </w:pPr>
            <w:r w:rsidRPr="006E7D8F">
              <w:rPr>
                <w:sz w:val="18"/>
                <w:szCs w:val="18"/>
              </w:rPr>
              <w:t>441</w:t>
            </w:r>
          </w:p>
        </w:tc>
        <w:tc>
          <w:tcPr>
            <w:tcW w:w="810" w:type="dxa"/>
            <w:tcBorders>
              <w:top w:val="nil"/>
              <w:left w:val="nil"/>
              <w:bottom w:val="nil"/>
              <w:right w:val="nil"/>
            </w:tcBorders>
            <w:shd w:val="clear" w:color="auto" w:fill="auto"/>
            <w:noWrap/>
            <w:vAlign w:val="center"/>
            <w:hideMark/>
          </w:tcPr>
          <w:p w14:paraId="3983C6EE" w14:textId="77777777" w:rsidR="001131E6" w:rsidRPr="006E7D8F" w:rsidRDefault="001131E6" w:rsidP="004E2186">
            <w:pPr>
              <w:pStyle w:val="ExhibitText"/>
              <w:jc w:val="center"/>
              <w:rPr>
                <w:sz w:val="18"/>
                <w:szCs w:val="18"/>
              </w:rPr>
            </w:pPr>
            <w:r w:rsidRPr="006E7D8F">
              <w:rPr>
                <w:sz w:val="18"/>
                <w:szCs w:val="18"/>
              </w:rPr>
              <w:t>392</w:t>
            </w:r>
          </w:p>
        </w:tc>
        <w:tc>
          <w:tcPr>
            <w:tcW w:w="810" w:type="dxa"/>
            <w:tcBorders>
              <w:top w:val="nil"/>
              <w:left w:val="nil"/>
              <w:bottom w:val="nil"/>
              <w:right w:val="nil"/>
            </w:tcBorders>
            <w:shd w:val="clear" w:color="auto" w:fill="auto"/>
            <w:noWrap/>
            <w:vAlign w:val="center"/>
            <w:hideMark/>
          </w:tcPr>
          <w:p w14:paraId="0F736232" w14:textId="77777777" w:rsidR="001131E6" w:rsidRPr="006E7D8F" w:rsidRDefault="001131E6" w:rsidP="004E2186">
            <w:pPr>
              <w:pStyle w:val="ExhibitText"/>
              <w:jc w:val="center"/>
              <w:rPr>
                <w:sz w:val="18"/>
                <w:szCs w:val="18"/>
              </w:rPr>
            </w:pPr>
            <w:r w:rsidRPr="006E7D8F">
              <w:rPr>
                <w:sz w:val="18"/>
                <w:szCs w:val="18"/>
              </w:rPr>
              <w:t>57</w:t>
            </w:r>
          </w:p>
        </w:tc>
        <w:tc>
          <w:tcPr>
            <w:tcW w:w="810" w:type="dxa"/>
            <w:tcBorders>
              <w:top w:val="nil"/>
              <w:left w:val="nil"/>
              <w:bottom w:val="nil"/>
              <w:right w:val="nil"/>
            </w:tcBorders>
            <w:shd w:val="clear" w:color="auto" w:fill="auto"/>
            <w:noWrap/>
            <w:vAlign w:val="center"/>
            <w:hideMark/>
          </w:tcPr>
          <w:p w14:paraId="588AC173"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959</w:t>
            </w:r>
          </w:p>
        </w:tc>
        <w:tc>
          <w:tcPr>
            <w:tcW w:w="705" w:type="dxa"/>
            <w:gridSpan w:val="2"/>
            <w:tcBorders>
              <w:top w:val="nil"/>
              <w:left w:val="nil"/>
              <w:bottom w:val="nil"/>
              <w:right w:val="nil"/>
            </w:tcBorders>
            <w:shd w:val="clear" w:color="auto" w:fill="auto"/>
            <w:noWrap/>
            <w:vAlign w:val="center"/>
            <w:hideMark/>
          </w:tcPr>
          <w:p w14:paraId="5E2C35D6" w14:textId="77777777" w:rsidR="001131E6" w:rsidRPr="006E7D8F" w:rsidRDefault="001131E6" w:rsidP="004E2186">
            <w:pPr>
              <w:pStyle w:val="ExhibitText"/>
              <w:jc w:val="center"/>
              <w:rPr>
                <w:color w:val="000000"/>
                <w:sz w:val="18"/>
                <w:szCs w:val="18"/>
              </w:rPr>
            </w:pPr>
          </w:p>
        </w:tc>
      </w:tr>
      <w:tr w:rsidR="001131E6" w:rsidRPr="006E7D8F" w14:paraId="0645BAA7" w14:textId="77777777" w:rsidTr="004E2186">
        <w:trPr>
          <w:gridBefore w:val="1"/>
          <w:wBefore w:w="316" w:type="dxa"/>
          <w:trHeight w:val="288"/>
          <w:jc w:val="center"/>
        </w:trPr>
        <w:tc>
          <w:tcPr>
            <w:tcW w:w="1034" w:type="dxa"/>
            <w:vMerge/>
            <w:tcBorders>
              <w:top w:val="nil"/>
              <w:left w:val="nil"/>
              <w:bottom w:val="single" w:sz="4" w:space="0" w:color="auto"/>
              <w:right w:val="nil"/>
            </w:tcBorders>
            <w:vAlign w:val="center"/>
            <w:hideMark/>
          </w:tcPr>
          <w:p w14:paraId="479CBA3A" w14:textId="77777777" w:rsidR="001131E6" w:rsidRPr="006E7D8F" w:rsidRDefault="001131E6" w:rsidP="00082F4B">
            <w:pPr>
              <w:pStyle w:val="ExhibitText"/>
              <w:jc w:val="left"/>
              <w:rPr>
                <w:sz w:val="18"/>
                <w:szCs w:val="18"/>
              </w:rPr>
            </w:pPr>
          </w:p>
        </w:tc>
        <w:tc>
          <w:tcPr>
            <w:tcW w:w="2880" w:type="dxa"/>
            <w:tcBorders>
              <w:top w:val="nil"/>
              <w:left w:val="nil"/>
              <w:bottom w:val="single" w:sz="4" w:space="0" w:color="auto"/>
              <w:right w:val="nil"/>
            </w:tcBorders>
            <w:shd w:val="clear" w:color="auto" w:fill="auto"/>
            <w:noWrap/>
            <w:vAlign w:val="center"/>
            <w:hideMark/>
          </w:tcPr>
          <w:p w14:paraId="62A12167" w14:textId="77777777" w:rsidR="001131E6" w:rsidRPr="006E7D8F" w:rsidRDefault="001131E6" w:rsidP="00082F4B">
            <w:pPr>
              <w:pStyle w:val="ExhibitText"/>
              <w:numPr>
                <w:ilvl w:val="0"/>
                <w:numId w:val="20"/>
              </w:numPr>
              <w:jc w:val="left"/>
              <w:rPr>
                <w:sz w:val="18"/>
                <w:szCs w:val="18"/>
              </w:rPr>
            </w:pPr>
            <w:r w:rsidRPr="006E7D8F">
              <w:rPr>
                <w:sz w:val="18"/>
                <w:szCs w:val="18"/>
              </w:rPr>
              <w:t>Miscellaneous income</w:t>
            </w:r>
          </w:p>
        </w:tc>
        <w:tc>
          <w:tcPr>
            <w:tcW w:w="1080" w:type="dxa"/>
            <w:gridSpan w:val="2"/>
            <w:tcBorders>
              <w:top w:val="nil"/>
              <w:left w:val="nil"/>
              <w:bottom w:val="single" w:sz="4" w:space="0" w:color="auto"/>
              <w:right w:val="nil"/>
            </w:tcBorders>
            <w:shd w:val="clear" w:color="auto" w:fill="auto"/>
            <w:noWrap/>
            <w:vAlign w:val="center"/>
            <w:hideMark/>
          </w:tcPr>
          <w:p w14:paraId="5A8B608E" w14:textId="77777777" w:rsidR="001131E6" w:rsidRPr="006E7D8F" w:rsidRDefault="001131E6" w:rsidP="004E2186">
            <w:pPr>
              <w:pStyle w:val="ExhibitText"/>
              <w:jc w:val="center"/>
              <w:rPr>
                <w:sz w:val="18"/>
                <w:szCs w:val="18"/>
              </w:rPr>
            </w:pPr>
            <w:r w:rsidRPr="006E7D8F">
              <w:rPr>
                <w:sz w:val="18"/>
                <w:szCs w:val="18"/>
              </w:rPr>
              <w:t>554</w:t>
            </w:r>
          </w:p>
        </w:tc>
        <w:tc>
          <w:tcPr>
            <w:tcW w:w="810" w:type="dxa"/>
            <w:tcBorders>
              <w:top w:val="nil"/>
              <w:left w:val="nil"/>
              <w:bottom w:val="single" w:sz="4" w:space="0" w:color="auto"/>
              <w:right w:val="nil"/>
            </w:tcBorders>
            <w:shd w:val="clear" w:color="auto" w:fill="auto"/>
            <w:noWrap/>
            <w:vAlign w:val="center"/>
            <w:hideMark/>
          </w:tcPr>
          <w:p w14:paraId="30041642" w14:textId="77777777" w:rsidR="001131E6" w:rsidRPr="006E7D8F" w:rsidRDefault="001131E6" w:rsidP="004E2186">
            <w:pPr>
              <w:pStyle w:val="ExhibitText"/>
              <w:jc w:val="center"/>
              <w:rPr>
                <w:sz w:val="18"/>
                <w:szCs w:val="18"/>
              </w:rPr>
            </w:pPr>
            <w:r w:rsidRPr="006E7D8F">
              <w:rPr>
                <w:sz w:val="18"/>
                <w:szCs w:val="18"/>
              </w:rPr>
              <w:t>565</w:t>
            </w:r>
          </w:p>
        </w:tc>
        <w:tc>
          <w:tcPr>
            <w:tcW w:w="810" w:type="dxa"/>
            <w:tcBorders>
              <w:top w:val="nil"/>
              <w:left w:val="nil"/>
              <w:bottom w:val="single" w:sz="4" w:space="0" w:color="auto"/>
              <w:right w:val="nil"/>
            </w:tcBorders>
            <w:shd w:val="clear" w:color="auto" w:fill="auto"/>
            <w:noWrap/>
            <w:vAlign w:val="center"/>
            <w:hideMark/>
          </w:tcPr>
          <w:p w14:paraId="27D6A052" w14:textId="77777777" w:rsidR="001131E6" w:rsidRPr="006E7D8F" w:rsidRDefault="001131E6" w:rsidP="004E2186">
            <w:pPr>
              <w:pStyle w:val="ExhibitText"/>
              <w:jc w:val="center"/>
              <w:rPr>
                <w:sz w:val="18"/>
                <w:szCs w:val="18"/>
              </w:rPr>
            </w:pPr>
            <w:r w:rsidRPr="006E7D8F">
              <w:rPr>
                <w:sz w:val="18"/>
                <w:szCs w:val="18"/>
              </w:rPr>
              <w:t>687</w:t>
            </w:r>
          </w:p>
        </w:tc>
        <w:tc>
          <w:tcPr>
            <w:tcW w:w="810" w:type="dxa"/>
            <w:tcBorders>
              <w:top w:val="nil"/>
              <w:left w:val="nil"/>
              <w:bottom w:val="single" w:sz="4" w:space="0" w:color="auto"/>
              <w:right w:val="nil"/>
            </w:tcBorders>
            <w:shd w:val="clear" w:color="auto" w:fill="auto"/>
            <w:noWrap/>
            <w:vAlign w:val="center"/>
            <w:hideMark/>
          </w:tcPr>
          <w:p w14:paraId="6FD1220F" w14:textId="77777777" w:rsidR="001131E6" w:rsidRPr="006E7D8F" w:rsidRDefault="001131E6" w:rsidP="004E2186">
            <w:pPr>
              <w:pStyle w:val="ExhibitText"/>
              <w:jc w:val="center"/>
              <w:rPr>
                <w:sz w:val="18"/>
                <w:szCs w:val="18"/>
              </w:rPr>
            </w:pPr>
            <w:r w:rsidRPr="006E7D8F">
              <w:rPr>
                <w:sz w:val="18"/>
                <w:szCs w:val="18"/>
              </w:rPr>
              <w:t>795</w:t>
            </w:r>
          </w:p>
        </w:tc>
        <w:tc>
          <w:tcPr>
            <w:tcW w:w="810" w:type="dxa"/>
            <w:tcBorders>
              <w:top w:val="nil"/>
              <w:left w:val="nil"/>
              <w:bottom w:val="single" w:sz="4" w:space="0" w:color="auto"/>
              <w:right w:val="nil"/>
            </w:tcBorders>
            <w:shd w:val="clear" w:color="auto" w:fill="auto"/>
            <w:noWrap/>
            <w:vAlign w:val="center"/>
            <w:hideMark/>
          </w:tcPr>
          <w:p w14:paraId="45148319" w14:textId="77777777" w:rsidR="001131E6" w:rsidRPr="006E7D8F" w:rsidRDefault="001131E6" w:rsidP="004E2186">
            <w:pPr>
              <w:pStyle w:val="ExhibitText"/>
              <w:jc w:val="center"/>
              <w:rPr>
                <w:sz w:val="18"/>
                <w:szCs w:val="18"/>
              </w:rPr>
            </w:pPr>
            <w:r w:rsidRPr="006E7D8F">
              <w:rPr>
                <w:sz w:val="18"/>
                <w:szCs w:val="18"/>
              </w:rPr>
              <w:t>648</w:t>
            </w:r>
          </w:p>
        </w:tc>
        <w:tc>
          <w:tcPr>
            <w:tcW w:w="705" w:type="dxa"/>
            <w:gridSpan w:val="2"/>
            <w:tcBorders>
              <w:top w:val="nil"/>
              <w:left w:val="nil"/>
              <w:bottom w:val="single" w:sz="4" w:space="0" w:color="auto"/>
              <w:right w:val="nil"/>
            </w:tcBorders>
            <w:shd w:val="clear" w:color="auto" w:fill="auto"/>
            <w:noWrap/>
            <w:vAlign w:val="center"/>
            <w:hideMark/>
          </w:tcPr>
          <w:p w14:paraId="3EF6346B" w14:textId="77777777" w:rsidR="001131E6" w:rsidRPr="006E7D8F" w:rsidRDefault="001131E6" w:rsidP="004E2186">
            <w:pPr>
              <w:pStyle w:val="ExhibitText"/>
              <w:jc w:val="center"/>
              <w:rPr>
                <w:color w:val="000000"/>
                <w:sz w:val="18"/>
                <w:szCs w:val="18"/>
              </w:rPr>
            </w:pPr>
          </w:p>
        </w:tc>
      </w:tr>
      <w:tr w:rsidR="001131E6" w:rsidRPr="006E7D8F" w14:paraId="0C6FC770" w14:textId="77777777" w:rsidTr="004E2186">
        <w:trPr>
          <w:gridBefore w:val="1"/>
          <w:wBefore w:w="316" w:type="dxa"/>
          <w:trHeight w:val="288"/>
          <w:jc w:val="center"/>
        </w:trPr>
        <w:tc>
          <w:tcPr>
            <w:tcW w:w="3914" w:type="dxa"/>
            <w:gridSpan w:val="2"/>
            <w:tcBorders>
              <w:top w:val="single" w:sz="4" w:space="0" w:color="auto"/>
              <w:left w:val="nil"/>
              <w:right w:val="nil"/>
            </w:tcBorders>
            <w:shd w:val="clear" w:color="auto" w:fill="auto"/>
            <w:noWrap/>
            <w:vAlign w:val="center"/>
            <w:hideMark/>
          </w:tcPr>
          <w:p w14:paraId="3C163A9C" w14:textId="77777777" w:rsidR="001131E6" w:rsidRPr="006E7D8F" w:rsidRDefault="001131E6" w:rsidP="00082F4B">
            <w:pPr>
              <w:pStyle w:val="ExhibitText"/>
              <w:jc w:val="left"/>
              <w:rPr>
                <w:sz w:val="18"/>
                <w:szCs w:val="18"/>
              </w:rPr>
            </w:pPr>
            <w:r w:rsidRPr="006E7D8F">
              <w:rPr>
                <w:sz w:val="18"/>
                <w:szCs w:val="18"/>
              </w:rPr>
              <w:t>Total non-interest revenues (II)</w:t>
            </w:r>
          </w:p>
        </w:tc>
        <w:tc>
          <w:tcPr>
            <w:tcW w:w="1080" w:type="dxa"/>
            <w:gridSpan w:val="2"/>
            <w:tcBorders>
              <w:top w:val="single" w:sz="4" w:space="0" w:color="auto"/>
              <w:left w:val="nil"/>
              <w:right w:val="nil"/>
            </w:tcBorders>
            <w:shd w:val="clear" w:color="auto" w:fill="auto"/>
            <w:noWrap/>
            <w:vAlign w:val="center"/>
            <w:hideMark/>
          </w:tcPr>
          <w:p w14:paraId="3BD35760" w14:textId="77777777" w:rsidR="001131E6" w:rsidRPr="006E7D8F" w:rsidRDefault="001131E6" w:rsidP="004E2186">
            <w:pPr>
              <w:pStyle w:val="ExhibitText"/>
              <w:jc w:val="center"/>
              <w:rPr>
                <w:sz w:val="18"/>
                <w:szCs w:val="18"/>
              </w:rPr>
            </w:pPr>
            <w:r w:rsidRPr="006E7D8F">
              <w:rPr>
                <w:sz w:val="18"/>
                <w:szCs w:val="18"/>
              </w:rPr>
              <w:t>946</w:t>
            </w:r>
          </w:p>
        </w:tc>
        <w:tc>
          <w:tcPr>
            <w:tcW w:w="810" w:type="dxa"/>
            <w:tcBorders>
              <w:top w:val="single" w:sz="4" w:space="0" w:color="auto"/>
              <w:left w:val="nil"/>
              <w:right w:val="nil"/>
            </w:tcBorders>
            <w:shd w:val="clear" w:color="auto" w:fill="auto"/>
            <w:noWrap/>
            <w:vAlign w:val="center"/>
            <w:hideMark/>
          </w:tcPr>
          <w:p w14:paraId="35CBDC83"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173</w:t>
            </w:r>
          </w:p>
        </w:tc>
        <w:tc>
          <w:tcPr>
            <w:tcW w:w="810" w:type="dxa"/>
            <w:tcBorders>
              <w:top w:val="single" w:sz="4" w:space="0" w:color="auto"/>
              <w:left w:val="nil"/>
              <w:right w:val="nil"/>
            </w:tcBorders>
            <w:shd w:val="clear" w:color="auto" w:fill="auto"/>
            <w:noWrap/>
            <w:vAlign w:val="center"/>
            <w:hideMark/>
          </w:tcPr>
          <w:p w14:paraId="68D750E0"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273</w:t>
            </w:r>
          </w:p>
        </w:tc>
        <w:tc>
          <w:tcPr>
            <w:tcW w:w="810" w:type="dxa"/>
            <w:tcBorders>
              <w:top w:val="single" w:sz="4" w:space="0" w:color="auto"/>
              <w:left w:val="nil"/>
              <w:right w:val="nil"/>
            </w:tcBorders>
            <w:shd w:val="clear" w:color="auto" w:fill="auto"/>
            <w:noWrap/>
            <w:vAlign w:val="center"/>
            <w:hideMark/>
          </w:tcPr>
          <w:p w14:paraId="27467F90"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047</w:t>
            </w:r>
          </w:p>
        </w:tc>
        <w:tc>
          <w:tcPr>
            <w:tcW w:w="810" w:type="dxa"/>
            <w:tcBorders>
              <w:top w:val="single" w:sz="4" w:space="0" w:color="auto"/>
              <w:left w:val="nil"/>
              <w:right w:val="nil"/>
            </w:tcBorders>
            <w:shd w:val="clear" w:color="auto" w:fill="auto"/>
            <w:noWrap/>
            <w:vAlign w:val="center"/>
            <w:hideMark/>
          </w:tcPr>
          <w:p w14:paraId="56987726" w14:textId="77777777" w:rsidR="001131E6" w:rsidRPr="006E7D8F" w:rsidRDefault="001131E6" w:rsidP="004E2186">
            <w:pPr>
              <w:pStyle w:val="ExhibitText"/>
              <w:jc w:val="center"/>
              <w:rPr>
                <w:sz w:val="18"/>
                <w:szCs w:val="18"/>
              </w:rPr>
            </w:pPr>
            <w:r w:rsidRPr="006E7D8F">
              <w:rPr>
                <w:sz w:val="18"/>
                <w:szCs w:val="18"/>
              </w:rPr>
              <w:t>2</w:t>
            </w:r>
            <w:r w:rsidR="003146E9" w:rsidRPr="006E7D8F">
              <w:rPr>
                <w:sz w:val="18"/>
                <w:szCs w:val="18"/>
              </w:rPr>
              <w:t>,</w:t>
            </w:r>
            <w:r w:rsidRPr="006E7D8F">
              <w:rPr>
                <w:sz w:val="18"/>
                <w:szCs w:val="18"/>
              </w:rPr>
              <w:t>812</w:t>
            </w:r>
          </w:p>
        </w:tc>
        <w:tc>
          <w:tcPr>
            <w:tcW w:w="705" w:type="dxa"/>
            <w:gridSpan w:val="2"/>
            <w:tcBorders>
              <w:top w:val="single" w:sz="4" w:space="0" w:color="auto"/>
              <w:left w:val="nil"/>
              <w:right w:val="nil"/>
            </w:tcBorders>
            <w:shd w:val="clear" w:color="auto" w:fill="auto"/>
            <w:noWrap/>
            <w:vAlign w:val="center"/>
            <w:hideMark/>
          </w:tcPr>
          <w:p w14:paraId="321FE3B8" w14:textId="77777777" w:rsidR="001131E6" w:rsidRPr="006E7D8F" w:rsidRDefault="001131E6" w:rsidP="004E2186">
            <w:pPr>
              <w:pStyle w:val="ExhibitText"/>
              <w:jc w:val="center"/>
              <w:rPr>
                <w:sz w:val="18"/>
                <w:szCs w:val="18"/>
              </w:rPr>
            </w:pPr>
            <w:r w:rsidRPr="006E7D8F">
              <w:rPr>
                <w:sz w:val="18"/>
                <w:szCs w:val="18"/>
              </w:rPr>
              <w:t>667</w:t>
            </w:r>
          </w:p>
        </w:tc>
      </w:tr>
      <w:tr w:rsidR="001131E6" w:rsidRPr="006E7D8F" w14:paraId="069C7BCE" w14:textId="77777777" w:rsidTr="004E2186">
        <w:trPr>
          <w:gridBefore w:val="1"/>
          <w:wBefore w:w="316" w:type="dxa"/>
          <w:trHeight w:val="288"/>
          <w:jc w:val="center"/>
        </w:trPr>
        <w:tc>
          <w:tcPr>
            <w:tcW w:w="3914" w:type="dxa"/>
            <w:gridSpan w:val="2"/>
            <w:tcBorders>
              <w:left w:val="nil"/>
              <w:bottom w:val="single" w:sz="4" w:space="0" w:color="auto"/>
              <w:right w:val="nil"/>
            </w:tcBorders>
            <w:shd w:val="clear" w:color="auto" w:fill="auto"/>
            <w:noWrap/>
            <w:vAlign w:val="center"/>
            <w:hideMark/>
          </w:tcPr>
          <w:p w14:paraId="3742D301" w14:textId="49314476" w:rsidR="001131E6" w:rsidRPr="006E7D8F" w:rsidRDefault="001131E6" w:rsidP="00082F4B">
            <w:pPr>
              <w:pStyle w:val="ExhibitText"/>
              <w:jc w:val="left"/>
              <w:rPr>
                <w:sz w:val="18"/>
                <w:szCs w:val="18"/>
              </w:rPr>
            </w:pPr>
            <w:r w:rsidRPr="006E7D8F">
              <w:rPr>
                <w:sz w:val="18"/>
                <w:szCs w:val="18"/>
              </w:rPr>
              <w:t xml:space="preserve">Total </w:t>
            </w:r>
            <w:r w:rsidR="00705B73">
              <w:rPr>
                <w:sz w:val="18"/>
                <w:szCs w:val="18"/>
              </w:rPr>
              <w:t>revenues</w:t>
            </w:r>
            <w:r w:rsidR="00705B73" w:rsidRPr="006E7D8F">
              <w:rPr>
                <w:sz w:val="18"/>
                <w:szCs w:val="18"/>
              </w:rPr>
              <w:t xml:space="preserve"> </w:t>
            </w:r>
            <w:r w:rsidRPr="006E7D8F">
              <w:rPr>
                <w:sz w:val="18"/>
                <w:szCs w:val="18"/>
              </w:rPr>
              <w:t>(I+II)</w:t>
            </w:r>
          </w:p>
        </w:tc>
        <w:tc>
          <w:tcPr>
            <w:tcW w:w="1080" w:type="dxa"/>
            <w:gridSpan w:val="2"/>
            <w:tcBorders>
              <w:left w:val="nil"/>
              <w:bottom w:val="single" w:sz="4" w:space="0" w:color="auto"/>
              <w:right w:val="nil"/>
            </w:tcBorders>
            <w:shd w:val="clear" w:color="auto" w:fill="auto"/>
            <w:noWrap/>
            <w:vAlign w:val="center"/>
            <w:hideMark/>
          </w:tcPr>
          <w:p w14:paraId="19A59380" w14:textId="77777777" w:rsidR="001131E6" w:rsidRPr="006E7D8F" w:rsidRDefault="001131E6" w:rsidP="004E2186">
            <w:pPr>
              <w:pStyle w:val="ExhibitText"/>
              <w:jc w:val="center"/>
              <w:rPr>
                <w:sz w:val="18"/>
                <w:szCs w:val="18"/>
              </w:rPr>
            </w:pPr>
            <w:r w:rsidRPr="006E7D8F">
              <w:rPr>
                <w:sz w:val="18"/>
                <w:szCs w:val="18"/>
              </w:rPr>
              <w:t>14</w:t>
            </w:r>
            <w:r w:rsidR="003146E9" w:rsidRPr="006E7D8F">
              <w:rPr>
                <w:sz w:val="18"/>
                <w:szCs w:val="18"/>
              </w:rPr>
              <w:t>,</w:t>
            </w:r>
            <w:r w:rsidRPr="006E7D8F">
              <w:rPr>
                <w:sz w:val="18"/>
                <w:szCs w:val="18"/>
              </w:rPr>
              <w:t>154</w:t>
            </w:r>
          </w:p>
        </w:tc>
        <w:tc>
          <w:tcPr>
            <w:tcW w:w="810" w:type="dxa"/>
            <w:tcBorders>
              <w:left w:val="nil"/>
              <w:bottom w:val="single" w:sz="4" w:space="0" w:color="auto"/>
              <w:right w:val="nil"/>
            </w:tcBorders>
            <w:shd w:val="clear" w:color="auto" w:fill="auto"/>
            <w:noWrap/>
            <w:vAlign w:val="center"/>
            <w:hideMark/>
          </w:tcPr>
          <w:p w14:paraId="00184994" w14:textId="77777777" w:rsidR="001131E6" w:rsidRPr="006E7D8F" w:rsidRDefault="001131E6" w:rsidP="004E2186">
            <w:pPr>
              <w:pStyle w:val="ExhibitText"/>
              <w:jc w:val="center"/>
              <w:rPr>
                <w:sz w:val="18"/>
                <w:szCs w:val="18"/>
              </w:rPr>
            </w:pPr>
            <w:r w:rsidRPr="006E7D8F">
              <w:rPr>
                <w:sz w:val="18"/>
                <w:szCs w:val="18"/>
              </w:rPr>
              <w:t>16</w:t>
            </w:r>
            <w:r w:rsidR="003146E9" w:rsidRPr="006E7D8F">
              <w:rPr>
                <w:sz w:val="18"/>
                <w:szCs w:val="18"/>
              </w:rPr>
              <w:t>,</w:t>
            </w:r>
            <w:r w:rsidRPr="006E7D8F">
              <w:rPr>
                <w:sz w:val="18"/>
                <w:szCs w:val="18"/>
              </w:rPr>
              <w:t>213</w:t>
            </w:r>
          </w:p>
        </w:tc>
        <w:tc>
          <w:tcPr>
            <w:tcW w:w="810" w:type="dxa"/>
            <w:tcBorders>
              <w:left w:val="nil"/>
              <w:bottom w:val="single" w:sz="4" w:space="0" w:color="auto"/>
              <w:right w:val="nil"/>
            </w:tcBorders>
            <w:shd w:val="clear" w:color="auto" w:fill="auto"/>
            <w:noWrap/>
            <w:vAlign w:val="center"/>
            <w:hideMark/>
          </w:tcPr>
          <w:p w14:paraId="3ECB6F75" w14:textId="77777777" w:rsidR="001131E6" w:rsidRPr="006E7D8F" w:rsidRDefault="001131E6" w:rsidP="004E2186">
            <w:pPr>
              <w:pStyle w:val="ExhibitText"/>
              <w:jc w:val="center"/>
              <w:rPr>
                <w:sz w:val="18"/>
                <w:szCs w:val="18"/>
              </w:rPr>
            </w:pPr>
            <w:r w:rsidRPr="006E7D8F">
              <w:rPr>
                <w:sz w:val="18"/>
                <w:szCs w:val="18"/>
              </w:rPr>
              <w:t>16</w:t>
            </w:r>
            <w:r w:rsidR="003146E9" w:rsidRPr="006E7D8F">
              <w:rPr>
                <w:sz w:val="18"/>
                <w:szCs w:val="18"/>
              </w:rPr>
              <w:t>,</w:t>
            </w:r>
            <w:r w:rsidRPr="006E7D8F">
              <w:rPr>
                <w:sz w:val="18"/>
                <w:szCs w:val="18"/>
              </w:rPr>
              <w:t>719</w:t>
            </w:r>
          </w:p>
        </w:tc>
        <w:tc>
          <w:tcPr>
            <w:tcW w:w="810" w:type="dxa"/>
            <w:tcBorders>
              <w:left w:val="nil"/>
              <w:bottom w:val="single" w:sz="4" w:space="0" w:color="auto"/>
              <w:right w:val="nil"/>
            </w:tcBorders>
            <w:shd w:val="clear" w:color="auto" w:fill="auto"/>
            <w:noWrap/>
            <w:vAlign w:val="center"/>
            <w:hideMark/>
          </w:tcPr>
          <w:p w14:paraId="1D7FBA4B" w14:textId="77777777" w:rsidR="001131E6" w:rsidRPr="006E7D8F" w:rsidRDefault="001131E6" w:rsidP="004E2186">
            <w:pPr>
              <w:pStyle w:val="ExhibitText"/>
              <w:jc w:val="center"/>
              <w:rPr>
                <w:sz w:val="18"/>
                <w:szCs w:val="18"/>
              </w:rPr>
            </w:pPr>
            <w:r w:rsidRPr="006E7D8F">
              <w:rPr>
                <w:sz w:val="18"/>
                <w:szCs w:val="18"/>
              </w:rPr>
              <w:t>15</w:t>
            </w:r>
            <w:r w:rsidR="003146E9" w:rsidRPr="006E7D8F">
              <w:rPr>
                <w:sz w:val="18"/>
                <w:szCs w:val="18"/>
              </w:rPr>
              <w:t>,</w:t>
            </w:r>
            <w:r w:rsidRPr="006E7D8F">
              <w:rPr>
                <w:sz w:val="18"/>
                <w:szCs w:val="18"/>
              </w:rPr>
              <w:t>876</w:t>
            </w:r>
          </w:p>
        </w:tc>
        <w:tc>
          <w:tcPr>
            <w:tcW w:w="810" w:type="dxa"/>
            <w:tcBorders>
              <w:left w:val="nil"/>
              <w:bottom w:val="single" w:sz="4" w:space="0" w:color="auto"/>
              <w:right w:val="nil"/>
            </w:tcBorders>
            <w:shd w:val="clear" w:color="auto" w:fill="auto"/>
            <w:noWrap/>
            <w:vAlign w:val="center"/>
            <w:hideMark/>
          </w:tcPr>
          <w:p w14:paraId="481A87BE" w14:textId="77777777" w:rsidR="001131E6" w:rsidRPr="006E7D8F" w:rsidRDefault="001131E6" w:rsidP="004E2186">
            <w:pPr>
              <w:pStyle w:val="ExhibitText"/>
              <w:jc w:val="center"/>
              <w:rPr>
                <w:sz w:val="18"/>
                <w:szCs w:val="18"/>
              </w:rPr>
            </w:pPr>
            <w:r w:rsidRPr="006E7D8F">
              <w:rPr>
                <w:sz w:val="18"/>
                <w:szCs w:val="18"/>
              </w:rPr>
              <w:t>16</w:t>
            </w:r>
            <w:r w:rsidR="003146E9" w:rsidRPr="006E7D8F">
              <w:rPr>
                <w:sz w:val="18"/>
                <w:szCs w:val="18"/>
              </w:rPr>
              <w:t>,</w:t>
            </w:r>
            <w:r w:rsidRPr="006E7D8F">
              <w:rPr>
                <w:sz w:val="18"/>
                <w:szCs w:val="18"/>
              </w:rPr>
              <w:t>175</w:t>
            </w:r>
          </w:p>
        </w:tc>
        <w:tc>
          <w:tcPr>
            <w:tcW w:w="705" w:type="dxa"/>
            <w:gridSpan w:val="2"/>
            <w:tcBorders>
              <w:left w:val="nil"/>
              <w:bottom w:val="single" w:sz="4" w:space="0" w:color="auto"/>
              <w:right w:val="nil"/>
            </w:tcBorders>
            <w:shd w:val="clear" w:color="auto" w:fill="auto"/>
            <w:noWrap/>
            <w:vAlign w:val="center"/>
            <w:hideMark/>
          </w:tcPr>
          <w:p w14:paraId="3CD65C37" w14:textId="77777777" w:rsidR="001131E6" w:rsidRPr="006E7D8F" w:rsidRDefault="001131E6" w:rsidP="004E2186">
            <w:pPr>
              <w:pStyle w:val="ExhibitText"/>
              <w:jc w:val="center"/>
              <w:rPr>
                <w:sz w:val="18"/>
                <w:szCs w:val="18"/>
              </w:rPr>
            </w:pPr>
            <w:r w:rsidRPr="006E7D8F">
              <w:rPr>
                <w:sz w:val="18"/>
                <w:szCs w:val="18"/>
              </w:rPr>
              <w:t>7</w:t>
            </w:r>
            <w:r w:rsidR="003146E9" w:rsidRPr="006E7D8F">
              <w:rPr>
                <w:sz w:val="18"/>
                <w:szCs w:val="18"/>
              </w:rPr>
              <w:t>,</w:t>
            </w:r>
            <w:r w:rsidRPr="006E7D8F">
              <w:rPr>
                <w:sz w:val="18"/>
                <w:szCs w:val="18"/>
              </w:rPr>
              <w:t>260</w:t>
            </w:r>
          </w:p>
        </w:tc>
      </w:tr>
      <w:tr w:rsidR="001131E6" w:rsidRPr="006E7D8F" w14:paraId="6BDD2E40" w14:textId="77777777" w:rsidTr="004E2186">
        <w:trPr>
          <w:gridBefore w:val="1"/>
          <w:wBefore w:w="316" w:type="dxa"/>
          <w:trHeight w:val="288"/>
          <w:jc w:val="center"/>
        </w:trPr>
        <w:tc>
          <w:tcPr>
            <w:tcW w:w="1034" w:type="dxa"/>
            <w:tcBorders>
              <w:top w:val="nil"/>
              <w:left w:val="nil"/>
              <w:bottom w:val="nil"/>
              <w:right w:val="nil"/>
            </w:tcBorders>
            <w:shd w:val="clear" w:color="auto" w:fill="auto"/>
            <w:noWrap/>
            <w:vAlign w:val="center"/>
            <w:hideMark/>
          </w:tcPr>
          <w:p w14:paraId="3C464ECD" w14:textId="77777777" w:rsidR="001131E6" w:rsidRPr="006E7D8F" w:rsidRDefault="001131E6" w:rsidP="00082F4B">
            <w:pPr>
              <w:pStyle w:val="ExhibitText"/>
              <w:jc w:val="left"/>
              <w:rPr>
                <w:sz w:val="18"/>
                <w:szCs w:val="18"/>
              </w:rPr>
            </w:pPr>
          </w:p>
        </w:tc>
        <w:tc>
          <w:tcPr>
            <w:tcW w:w="2880" w:type="dxa"/>
            <w:tcBorders>
              <w:top w:val="nil"/>
              <w:left w:val="nil"/>
              <w:bottom w:val="nil"/>
              <w:right w:val="nil"/>
            </w:tcBorders>
            <w:shd w:val="clear" w:color="auto" w:fill="auto"/>
            <w:noWrap/>
            <w:vAlign w:val="center"/>
            <w:hideMark/>
          </w:tcPr>
          <w:p w14:paraId="7049D474" w14:textId="77777777" w:rsidR="001131E6" w:rsidRPr="006E7D8F" w:rsidRDefault="001131E6" w:rsidP="00082F4B">
            <w:pPr>
              <w:pStyle w:val="ExhibitText"/>
              <w:jc w:val="left"/>
              <w:rPr>
                <w:b/>
                <w:bCs/>
                <w:sz w:val="18"/>
                <w:szCs w:val="18"/>
              </w:rPr>
            </w:pPr>
            <w:r w:rsidRPr="006E7D8F">
              <w:rPr>
                <w:b/>
                <w:bCs/>
                <w:sz w:val="18"/>
                <w:szCs w:val="18"/>
              </w:rPr>
              <w:t>EXPENSES</w:t>
            </w:r>
          </w:p>
        </w:tc>
        <w:tc>
          <w:tcPr>
            <w:tcW w:w="1080" w:type="dxa"/>
            <w:gridSpan w:val="2"/>
            <w:tcBorders>
              <w:top w:val="nil"/>
              <w:left w:val="nil"/>
              <w:bottom w:val="nil"/>
              <w:right w:val="nil"/>
            </w:tcBorders>
            <w:shd w:val="clear" w:color="auto" w:fill="auto"/>
            <w:noWrap/>
            <w:vAlign w:val="center"/>
            <w:hideMark/>
          </w:tcPr>
          <w:p w14:paraId="5B685901" w14:textId="77777777" w:rsidR="001131E6" w:rsidRPr="006E7D8F" w:rsidRDefault="001131E6" w:rsidP="004E2186">
            <w:pPr>
              <w:pStyle w:val="ExhibitText"/>
              <w:jc w:val="center"/>
              <w:rPr>
                <w:sz w:val="18"/>
                <w:szCs w:val="18"/>
              </w:rPr>
            </w:pPr>
          </w:p>
        </w:tc>
        <w:tc>
          <w:tcPr>
            <w:tcW w:w="810" w:type="dxa"/>
            <w:tcBorders>
              <w:top w:val="nil"/>
              <w:left w:val="nil"/>
              <w:bottom w:val="nil"/>
              <w:right w:val="nil"/>
            </w:tcBorders>
            <w:shd w:val="clear" w:color="auto" w:fill="auto"/>
            <w:noWrap/>
            <w:vAlign w:val="center"/>
            <w:hideMark/>
          </w:tcPr>
          <w:p w14:paraId="4D2B66BC" w14:textId="77777777" w:rsidR="001131E6" w:rsidRPr="006E7D8F" w:rsidRDefault="001131E6" w:rsidP="004E2186">
            <w:pPr>
              <w:pStyle w:val="ExhibitText"/>
              <w:jc w:val="center"/>
              <w:rPr>
                <w:sz w:val="18"/>
                <w:szCs w:val="18"/>
              </w:rPr>
            </w:pPr>
          </w:p>
        </w:tc>
        <w:tc>
          <w:tcPr>
            <w:tcW w:w="810" w:type="dxa"/>
            <w:tcBorders>
              <w:top w:val="nil"/>
              <w:left w:val="nil"/>
              <w:bottom w:val="nil"/>
              <w:right w:val="nil"/>
            </w:tcBorders>
            <w:shd w:val="clear" w:color="auto" w:fill="auto"/>
            <w:noWrap/>
            <w:vAlign w:val="center"/>
            <w:hideMark/>
          </w:tcPr>
          <w:p w14:paraId="15111F4E" w14:textId="77777777" w:rsidR="001131E6" w:rsidRPr="006E7D8F" w:rsidRDefault="001131E6" w:rsidP="004E2186">
            <w:pPr>
              <w:pStyle w:val="ExhibitText"/>
              <w:jc w:val="center"/>
              <w:rPr>
                <w:sz w:val="18"/>
                <w:szCs w:val="18"/>
              </w:rPr>
            </w:pPr>
          </w:p>
        </w:tc>
        <w:tc>
          <w:tcPr>
            <w:tcW w:w="810" w:type="dxa"/>
            <w:tcBorders>
              <w:top w:val="nil"/>
              <w:left w:val="nil"/>
              <w:bottom w:val="nil"/>
              <w:right w:val="nil"/>
            </w:tcBorders>
            <w:shd w:val="clear" w:color="auto" w:fill="auto"/>
            <w:noWrap/>
            <w:vAlign w:val="center"/>
            <w:hideMark/>
          </w:tcPr>
          <w:p w14:paraId="4CEAA11E" w14:textId="77777777" w:rsidR="001131E6" w:rsidRPr="006E7D8F" w:rsidRDefault="001131E6" w:rsidP="004E2186">
            <w:pPr>
              <w:pStyle w:val="ExhibitText"/>
              <w:jc w:val="center"/>
              <w:rPr>
                <w:sz w:val="18"/>
                <w:szCs w:val="18"/>
              </w:rPr>
            </w:pPr>
          </w:p>
        </w:tc>
        <w:tc>
          <w:tcPr>
            <w:tcW w:w="810" w:type="dxa"/>
            <w:tcBorders>
              <w:top w:val="nil"/>
              <w:left w:val="nil"/>
              <w:bottom w:val="nil"/>
              <w:right w:val="nil"/>
            </w:tcBorders>
            <w:shd w:val="clear" w:color="auto" w:fill="auto"/>
            <w:noWrap/>
            <w:vAlign w:val="center"/>
            <w:hideMark/>
          </w:tcPr>
          <w:p w14:paraId="6033D510" w14:textId="77777777" w:rsidR="001131E6" w:rsidRPr="006E7D8F" w:rsidRDefault="001131E6" w:rsidP="004E2186">
            <w:pPr>
              <w:pStyle w:val="ExhibitText"/>
              <w:jc w:val="center"/>
              <w:rPr>
                <w:sz w:val="18"/>
                <w:szCs w:val="18"/>
              </w:rPr>
            </w:pPr>
          </w:p>
        </w:tc>
        <w:tc>
          <w:tcPr>
            <w:tcW w:w="705" w:type="dxa"/>
            <w:gridSpan w:val="2"/>
            <w:tcBorders>
              <w:top w:val="nil"/>
              <w:left w:val="nil"/>
              <w:bottom w:val="nil"/>
              <w:right w:val="nil"/>
            </w:tcBorders>
            <w:shd w:val="clear" w:color="auto" w:fill="auto"/>
            <w:noWrap/>
            <w:vAlign w:val="center"/>
            <w:hideMark/>
          </w:tcPr>
          <w:p w14:paraId="3F81A67F" w14:textId="77777777" w:rsidR="001131E6" w:rsidRPr="006E7D8F" w:rsidRDefault="001131E6" w:rsidP="004E2186">
            <w:pPr>
              <w:pStyle w:val="ExhibitText"/>
              <w:jc w:val="center"/>
              <w:rPr>
                <w:color w:val="000000"/>
                <w:sz w:val="18"/>
                <w:szCs w:val="18"/>
              </w:rPr>
            </w:pPr>
          </w:p>
        </w:tc>
      </w:tr>
      <w:tr w:rsidR="001131E6" w:rsidRPr="006E7D8F" w14:paraId="75297FBB" w14:textId="77777777" w:rsidTr="004E2186">
        <w:trPr>
          <w:gridBefore w:val="1"/>
          <w:wBefore w:w="316" w:type="dxa"/>
          <w:trHeight w:val="288"/>
          <w:jc w:val="center"/>
        </w:trPr>
        <w:tc>
          <w:tcPr>
            <w:tcW w:w="1034" w:type="dxa"/>
            <w:vMerge w:val="restart"/>
            <w:tcBorders>
              <w:top w:val="nil"/>
              <w:left w:val="nil"/>
              <w:bottom w:val="nil"/>
              <w:right w:val="nil"/>
            </w:tcBorders>
            <w:shd w:val="clear" w:color="auto" w:fill="auto"/>
            <w:vAlign w:val="center"/>
            <w:hideMark/>
          </w:tcPr>
          <w:p w14:paraId="1F443E78" w14:textId="021C3EBC" w:rsidR="001131E6" w:rsidRPr="006E7D8F" w:rsidRDefault="001131E6" w:rsidP="00082F4B">
            <w:pPr>
              <w:pStyle w:val="ExhibitText"/>
              <w:jc w:val="left"/>
              <w:rPr>
                <w:sz w:val="18"/>
                <w:szCs w:val="18"/>
              </w:rPr>
            </w:pPr>
            <w:r w:rsidRPr="006E7D8F">
              <w:rPr>
                <w:sz w:val="18"/>
                <w:szCs w:val="18"/>
              </w:rPr>
              <w:t xml:space="preserve">III. Interest </w:t>
            </w:r>
            <w:r w:rsidR="006126F9">
              <w:rPr>
                <w:sz w:val="18"/>
                <w:szCs w:val="18"/>
              </w:rPr>
              <w:t>expended</w:t>
            </w:r>
          </w:p>
        </w:tc>
        <w:tc>
          <w:tcPr>
            <w:tcW w:w="2880" w:type="dxa"/>
            <w:tcBorders>
              <w:top w:val="nil"/>
              <w:left w:val="nil"/>
              <w:bottom w:val="nil"/>
              <w:right w:val="nil"/>
            </w:tcBorders>
            <w:shd w:val="clear" w:color="auto" w:fill="auto"/>
            <w:vAlign w:val="center"/>
            <w:hideMark/>
          </w:tcPr>
          <w:p w14:paraId="181D46C1" w14:textId="77777777" w:rsidR="001131E6" w:rsidRPr="006E7D8F" w:rsidRDefault="001131E6" w:rsidP="00082F4B">
            <w:pPr>
              <w:pStyle w:val="ExhibitText"/>
              <w:numPr>
                <w:ilvl w:val="0"/>
                <w:numId w:val="22"/>
              </w:numPr>
              <w:jc w:val="left"/>
              <w:rPr>
                <w:sz w:val="18"/>
                <w:szCs w:val="18"/>
              </w:rPr>
            </w:pPr>
            <w:r w:rsidRPr="006E7D8F">
              <w:rPr>
                <w:sz w:val="18"/>
                <w:szCs w:val="18"/>
              </w:rPr>
              <w:t>Interest on deposits</w:t>
            </w:r>
          </w:p>
        </w:tc>
        <w:tc>
          <w:tcPr>
            <w:tcW w:w="1080" w:type="dxa"/>
            <w:gridSpan w:val="2"/>
            <w:tcBorders>
              <w:top w:val="nil"/>
              <w:left w:val="nil"/>
              <w:bottom w:val="nil"/>
              <w:right w:val="nil"/>
            </w:tcBorders>
            <w:shd w:val="clear" w:color="auto" w:fill="auto"/>
            <w:noWrap/>
            <w:vAlign w:val="center"/>
            <w:hideMark/>
          </w:tcPr>
          <w:p w14:paraId="363026B1" w14:textId="77777777" w:rsidR="001131E6" w:rsidRPr="006E7D8F" w:rsidRDefault="001131E6" w:rsidP="004E2186">
            <w:pPr>
              <w:pStyle w:val="ExhibitText"/>
              <w:jc w:val="center"/>
              <w:rPr>
                <w:sz w:val="18"/>
                <w:szCs w:val="18"/>
              </w:rPr>
            </w:pPr>
            <w:r w:rsidRPr="006E7D8F">
              <w:rPr>
                <w:sz w:val="18"/>
                <w:szCs w:val="18"/>
              </w:rPr>
              <w:t>9</w:t>
            </w:r>
            <w:r w:rsidR="003146E9" w:rsidRPr="006E7D8F">
              <w:rPr>
                <w:sz w:val="18"/>
                <w:szCs w:val="18"/>
              </w:rPr>
              <w:t>,</w:t>
            </w:r>
            <w:r w:rsidRPr="006E7D8F">
              <w:rPr>
                <w:sz w:val="18"/>
                <w:szCs w:val="18"/>
              </w:rPr>
              <w:t>502</w:t>
            </w:r>
          </w:p>
        </w:tc>
        <w:tc>
          <w:tcPr>
            <w:tcW w:w="810" w:type="dxa"/>
            <w:tcBorders>
              <w:top w:val="nil"/>
              <w:left w:val="nil"/>
              <w:bottom w:val="nil"/>
              <w:right w:val="nil"/>
            </w:tcBorders>
            <w:shd w:val="clear" w:color="auto" w:fill="auto"/>
            <w:noWrap/>
            <w:vAlign w:val="center"/>
            <w:hideMark/>
          </w:tcPr>
          <w:p w14:paraId="70492033" w14:textId="77777777" w:rsidR="001131E6" w:rsidRPr="006E7D8F" w:rsidRDefault="001131E6" w:rsidP="004E2186">
            <w:pPr>
              <w:pStyle w:val="ExhibitText"/>
              <w:jc w:val="center"/>
              <w:rPr>
                <w:sz w:val="18"/>
                <w:szCs w:val="18"/>
              </w:rPr>
            </w:pPr>
            <w:r w:rsidRPr="006E7D8F">
              <w:rPr>
                <w:sz w:val="18"/>
                <w:szCs w:val="18"/>
              </w:rPr>
              <w:t>10</w:t>
            </w:r>
            <w:r w:rsidR="003146E9" w:rsidRPr="006E7D8F">
              <w:rPr>
                <w:sz w:val="18"/>
                <w:szCs w:val="18"/>
              </w:rPr>
              <w:t>,</w:t>
            </w:r>
            <w:r w:rsidRPr="006E7D8F">
              <w:rPr>
                <w:sz w:val="18"/>
                <w:szCs w:val="18"/>
              </w:rPr>
              <w:t>942</w:t>
            </w:r>
          </w:p>
        </w:tc>
        <w:tc>
          <w:tcPr>
            <w:tcW w:w="810" w:type="dxa"/>
            <w:tcBorders>
              <w:top w:val="nil"/>
              <w:left w:val="nil"/>
              <w:bottom w:val="nil"/>
              <w:right w:val="nil"/>
            </w:tcBorders>
            <w:shd w:val="clear" w:color="auto" w:fill="auto"/>
            <w:noWrap/>
            <w:vAlign w:val="center"/>
            <w:hideMark/>
          </w:tcPr>
          <w:p w14:paraId="406544CE" w14:textId="77777777" w:rsidR="001131E6" w:rsidRPr="006E7D8F" w:rsidRDefault="001131E6" w:rsidP="004E2186">
            <w:pPr>
              <w:pStyle w:val="ExhibitText"/>
              <w:jc w:val="center"/>
              <w:rPr>
                <w:sz w:val="18"/>
                <w:szCs w:val="18"/>
              </w:rPr>
            </w:pPr>
            <w:r w:rsidRPr="006E7D8F">
              <w:rPr>
                <w:sz w:val="18"/>
                <w:szCs w:val="18"/>
              </w:rPr>
              <w:t>11</w:t>
            </w:r>
            <w:r w:rsidR="003146E9" w:rsidRPr="006E7D8F">
              <w:rPr>
                <w:sz w:val="18"/>
                <w:szCs w:val="18"/>
              </w:rPr>
              <w:t>,</w:t>
            </w:r>
            <w:r w:rsidRPr="006E7D8F">
              <w:rPr>
                <w:sz w:val="18"/>
                <w:szCs w:val="18"/>
              </w:rPr>
              <w:t>500</w:t>
            </w:r>
          </w:p>
        </w:tc>
        <w:tc>
          <w:tcPr>
            <w:tcW w:w="810" w:type="dxa"/>
            <w:tcBorders>
              <w:top w:val="nil"/>
              <w:left w:val="nil"/>
              <w:bottom w:val="nil"/>
              <w:right w:val="nil"/>
            </w:tcBorders>
            <w:shd w:val="clear" w:color="auto" w:fill="auto"/>
            <w:vAlign w:val="center"/>
            <w:hideMark/>
          </w:tcPr>
          <w:p w14:paraId="080D6B7B" w14:textId="77777777" w:rsidR="001131E6" w:rsidRPr="006E7D8F" w:rsidRDefault="001131E6" w:rsidP="004E2186">
            <w:pPr>
              <w:pStyle w:val="ExhibitText"/>
              <w:jc w:val="center"/>
              <w:rPr>
                <w:sz w:val="18"/>
                <w:szCs w:val="18"/>
              </w:rPr>
            </w:pPr>
            <w:r w:rsidRPr="006E7D8F">
              <w:rPr>
                <w:sz w:val="18"/>
                <w:szCs w:val="18"/>
              </w:rPr>
              <w:t>11</w:t>
            </w:r>
            <w:r w:rsidR="003146E9" w:rsidRPr="006E7D8F">
              <w:rPr>
                <w:sz w:val="18"/>
                <w:szCs w:val="18"/>
              </w:rPr>
              <w:t>,</w:t>
            </w:r>
            <w:r w:rsidRPr="006E7D8F">
              <w:rPr>
                <w:sz w:val="18"/>
                <w:szCs w:val="18"/>
              </w:rPr>
              <w:t>357</w:t>
            </w:r>
          </w:p>
        </w:tc>
        <w:tc>
          <w:tcPr>
            <w:tcW w:w="810" w:type="dxa"/>
            <w:tcBorders>
              <w:top w:val="nil"/>
              <w:left w:val="nil"/>
              <w:bottom w:val="nil"/>
              <w:right w:val="nil"/>
            </w:tcBorders>
            <w:shd w:val="clear" w:color="auto" w:fill="auto"/>
            <w:vAlign w:val="center"/>
            <w:hideMark/>
          </w:tcPr>
          <w:p w14:paraId="05E0FC98" w14:textId="77777777" w:rsidR="001131E6" w:rsidRPr="006E7D8F" w:rsidRDefault="001131E6" w:rsidP="004E2186">
            <w:pPr>
              <w:pStyle w:val="ExhibitText"/>
              <w:jc w:val="center"/>
              <w:rPr>
                <w:sz w:val="18"/>
                <w:szCs w:val="18"/>
              </w:rPr>
            </w:pPr>
            <w:r w:rsidRPr="006E7D8F">
              <w:rPr>
                <w:sz w:val="18"/>
                <w:szCs w:val="18"/>
              </w:rPr>
              <w:t>10</w:t>
            </w:r>
            <w:r w:rsidR="003146E9" w:rsidRPr="006E7D8F">
              <w:rPr>
                <w:sz w:val="18"/>
                <w:szCs w:val="18"/>
              </w:rPr>
              <w:t>,</w:t>
            </w:r>
            <w:r w:rsidRPr="006E7D8F">
              <w:rPr>
                <w:sz w:val="18"/>
                <w:szCs w:val="18"/>
              </w:rPr>
              <w:t>041</w:t>
            </w:r>
          </w:p>
        </w:tc>
        <w:tc>
          <w:tcPr>
            <w:tcW w:w="705" w:type="dxa"/>
            <w:gridSpan w:val="2"/>
            <w:tcBorders>
              <w:top w:val="nil"/>
              <w:left w:val="nil"/>
              <w:bottom w:val="nil"/>
              <w:right w:val="nil"/>
            </w:tcBorders>
            <w:shd w:val="clear" w:color="auto" w:fill="auto"/>
            <w:noWrap/>
            <w:vAlign w:val="center"/>
            <w:hideMark/>
          </w:tcPr>
          <w:p w14:paraId="2346FB75" w14:textId="77777777" w:rsidR="001131E6" w:rsidRPr="006E7D8F" w:rsidRDefault="001131E6" w:rsidP="004E2186">
            <w:pPr>
              <w:pStyle w:val="ExhibitText"/>
              <w:jc w:val="center"/>
              <w:rPr>
                <w:color w:val="000000"/>
                <w:sz w:val="18"/>
                <w:szCs w:val="18"/>
              </w:rPr>
            </w:pPr>
          </w:p>
        </w:tc>
      </w:tr>
      <w:tr w:rsidR="001131E6" w:rsidRPr="006E7D8F" w14:paraId="6588F2F8" w14:textId="77777777" w:rsidTr="004E2186">
        <w:trPr>
          <w:gridBefore w:val="1"/>
          <w:wBefore w:w="316" w:type="dxa"/>
          <w:trHeight w:val="288"/>
          <w:jc w:val="center"/>
        </w:trPr>
        <w:tc>
          <w:tcPr>
            <w:tcW w:w="1034" w:type="dxa"/>
            <w:vMerge/>
            <w:tcBorders>
              <w:top w:val="nil"/>
              <w:left w:val="nil"/>
              <w:bottom w:val="nil"/>
              <w:right w:val="nil"/>
            </w:tcBorders>
            <w:vAlign w:val="center"/>
            <w:hideMark/>
          </w:tcPr>
          <w:p w14:paraId="54162D08" w14:textId="77777777" w:rsidR="001131E6" w:rsidRPr="006E7D8F" w:rsidRDefault="001131E6" w:rsidP="00082F4B">
            <w:pPr>
              <w:pStyle w:val="ExhibitText"/>
              <w:jc w:val="left"/>
              <w:rPr>
                <w:sz w:val="18"/>
                <w:szCs w:val="18"/>
              </w:rPr>
            </w:pPr>
          </w:p>
        </w:tc>
        <w:tc>
          <w:tcPr>
            <w:tcW w:w="2880" w:type="dxa"/>
            <w:tcBorders>
              <w:top w:val="nil"/>
              <w:left w:val="nil"/>
              <w:bottom w:val="nil"/>
              <w:right w:val="nil"/>
            </w:tcBorders>
            <w:shd w:val="clear" w:color="auto" w:fill="auto"/>
            <w:vAlign w:val="center"/>
            <w:hideMark/>
          </w:tcPr>
          <w:p w14:paraId="71CA6EBC" w14:textId="109F59F0" w:rsidR="001131E6" w:rsidRPr="006E7D8F" w:rsidRDefault="001131E6" w:rsidP="00082F4B">
            <w:pPr>
              <w:pStyle w:val="ExhibitText"/>
              <w:numPr>
                <w:ilvl w:val="0"/>
                <w:numId w:val="22"/>
              </w:numPr>
              <w:jc w:val="left"/>
              <w:rPr>
                <w:sz w:val="18"/>
                <w:szCs w:val="18"/>
              </w:rPr>
            </w:pPr>
            <w:r w:rsidRPr="006E7D8F">
              <w:rPr>
                <w:sz w:val="18"/>
                <w:szCs w:val="18"/>
              </w:rPr>
              <w:t>Interest on RBI/</w:t>
            </w:r>
            <w:r w:rsidR="00165BDA" w:rsidRPr="006E7D8F">
              <w:rPr>
                <w:sz w:val="18"/>
                <w:szCs w:val="18"/>
              </w:rPr>
              <w:t>i</w:t>
            </w:r>
            <w:r w:rsidRPr="006E7D8F">
              <w:rPr>
                <w:sz w:val="18"/>
                <w:szCs w:val="18"/>
              </w:rPr>
              <w:t>nterbank borrowings</w:t>
            </w:r>
          </w:p>
        </w:tc>
        <w:tc>
          <w:tcPr>
            <w:tcW w:w="1080" w:type="dxa"/>
            <w:gridSpan w:val="2"/>
            <w:tcBorders>
              <w:top w:val="nil"/>
              <w:left w:val="nil"/>
              <w:bottom w:val="nil"/>
              <w:right w:val="nil"/>
            </w:tcBorders>
            <w:shd w:val="clear" w:color="auto" w:fill="auto"/>
            <w:noWrap/>
            <w:vAlign w:val="center"/>
            <w:hideMark/>
          </w:tcPr>
          <w:p w14:paraId="7E071289" w14:textId="77777777" w:rsidR="001131E6" w:rsidRPr="006E7D8F" w:rsidRDefault="001131E6" w:rsidP="004E2186">
            <w:pPr>
              <w:pStyle w:val="ExhibitText"/>
              <w:jc w:val="center"/>
              <w:rPr>
                <w:sz w:val="18"/>
                <w:szCs w:val="18"/>
              </w:rPr>
            </w:pPr>
            <w:r w:rsidRPr="006E7D8F">
              <w:rPr>
                <w:sz w:val="18"/>
                <w:szCs w:val="18"/>
              </w:rPr>
              <w:t>73</w:t>
            </w:r>
          </w:p>
        </w:tc>
        <w:tc>
          <w:tcPr>
            <w:tcW w:w="810" w:type="dxa"/>
            <w:tcBorders>
              <w:top w:val="nil"/>
              <w:left w:val="nil"/>
              <w:bottom w:val="nil"/>
              <w:right w:val="nil"/>
            </w:tcBorders>
            <w:shd w:val="clear" w:color="auto" w:fill="auto"/>
            <w:noWrap/>
            <w:vAlign w:val="center"/>
            <w:hideMark/>
          </w:tcPr>
          <w:p w14:paraId="705F15DE" w14:textId="77777777" w:rsidR="001131E6" w:rsidRPr="006E7D8F" w:rsidRDefault="001131E6" w:rsidP="004E2186">
            <w:pPr>
              <w:pStyle w:val="ExhibitText"/>
              <w:jc w:val="center"/>
              <w:rPr>
                <w:sz w:val="18"/>
                <w:szCs w:val="18"/>
              </w:rPr>
            </w:pPr>
            <w:r w:rsidRPr="006E7D8F">
              <w:rPr>
                <w:sz w:val="18"/>
                <w:szCs w:val="18"/>
              </w:rPr>
              <w:t>115</w:t>
            </w:r>
          </w:p>
        </w:tc>
        <w:tc>
          <w:tcPr>
            <w:tcW w:w="810" w:type="dxa"/>
            <w:tcBorders>
              <w:top w:val="nil"/>
              <w:left w:val="nil"/>
              <w:bottom w:val="nil"/>
              <w:right w:val="nil"/>
            </w:tcBorders>
            <w:shd w:val="clear" w:color="auto" w:fill="auto"/>
            <w:noWrap/>
            <w:vAlign w:val="center"/>
            <w:hideMark/>
          </w:tcPr>
          <w:p w14:paraId="0AD6C87C" w14:textId="77777777" w:rsidR="001131E6" w:rsidRPr="006E7D8F" w:rsidRDefault="001131E6" w:rsidP="004E2186">
            <w:pPr>
              <w:pStyle w:val="ExhibitText"/>
              <w:jc w:val="center"/>
              <w:rPr>
                <w:sz w:val="18"/>
                <w:szCs w:val="18"/>
              </w:rPr>
            </w:pPr>
            <w:r w:rsidRPr="006E7D8F">
              <w:rPr>
                <w:sz w:val="18"/>
                <w:szCs w:val="18"/>
              </w:rPr>
              <w:t>260</w:t>
            </w:r>
          </w:p>
        </w:tc>
        <w:tc>
          <w:tcPr>
            <w:tcW w:w="810" w:type="dxa"/>
            <w:tcBorders>
              <w:top w:val="nil"/>
              <w:left w:val="nil"/>
              <w:bottom w:val="nil"/>
              <w:right w:val="nil"/>
            </w:tcBorders>
            <w:shd w:val="clear" w:color="auto" w:fill="auto"/>
            <w:vAlign w:val="center"/>
            <w:hideMark/>
          </w:tcPr>
          <w:p w14:paraId="6CD5E0A3" w14:textId="77777777" w:rsidR="001131E6" w:rsidRPr="006E7D8F" w:rsidRDefault="001131E6" w:rsidP="004E2186">
            <w:pPr>
              <w:pStyle w:val="ExhibitText"/>
              <w:jc w:val="center"/>
              <w:rPr>
                <w:sz w:val="18"/>
                <w:szCs w:val="18"/>
              </w:rPr>
            </w:pPr>
            <w:r w:rsidRPr="006E7D8F">
              <w:rPr>
                <w:sz w:val="18"/>
                <w:szCs w:val="18"/>
              </w:rPr>
              <w:t>160</w:t>
            </w:r>
          </w:p>
        </w:tc>
        <w:tc>
          <w:tcPr>
            <w:tcW w:w="810" w:type="dxa"/>
            <w:tcBorders>
              <w:top w:val="nil"/>
              <w:left w:val="nil"/>
              <w:bottom w:val="nil"/>
              <w:right w:val="nil"/>
            </w:tcBorders>
            <w:shd w:val="clear" w:color="auto" w:fill="auto"/>
            <w:vAlign w:val="center"/>
            <w:hideMark/>
          </w:tcPr>
          <w:p w14:paraId="6417B1C4" w14:textId="77777777" w:rsidR="001131E6" w:rsidRPr="006E7D8F" w:rsidRDefault="001131E6" w:rsidP="004E2186">
            <w:pPr>
              <w:pStyle w:val="ExhibitText"/>
              <w:jc w:val="center"/>
              <w:rPr>
                <w:sz w:val="18"/>
                <w:szCs w:val="18"/>
              </w:rPr>
            </w:pPr>
            <w:r w:rsidRPr="006E7D8F">
              <w:rPr>
                <w:sz w:val="18"/>
                <w:szCs w:val="18"/>
              </w:rPr>
              <w:t>93</w:t>
            </w:r>
          </w:p>
        </w:tc>
        <w:tc>
          <w:tcPr>
            <w:tcW w:w="705" w:type="dxa"/>
            <w:gridSpan w:val="2"/>
            <w:tcBorders>
              <w:top w:val="nil"/>
              <w:left w:val="nil"/>
              <w:bottom w:val="nil"/>
              <w:right w:val="nil"/>
            </w:tcBorders>
            <w:shd w:val="clear" w:color="auto" w:fill="auto"/>
            <w:noWrap/>
            <w:vAlign w:val="center"/>
            <w:hideMark/>
          </w:tcPr>
          <w:p w14:paraId="7C0BA369" w14:textId="77777777" w:rsidR="001131E6" w:rsidRPr="006E7D8F" w:rsidRDefault="001131E6" w:rsidP="004E2186">
            <w:pPr>
              <w:pStyle w:val="ExhibitText"/>
              <w:jc w:val="center"/>
              <w:rPr>
                <w:color w:val="000000"/>
                <w:sz w:val="18"/>
                <w:szCs w:val="18"/>
              </w:rPr>
            </w:pPr>
          </w:p>
        </w:tc>
      </w:tr>
      <w:tr w:rsidR="001131E6" w:rsidRPr="006E7D8F" w14:paraId="5BC81C8E" w14:textId="77777777" w:rsidTr="004E2186">
        <w:trPr>
          <w:gridBefore w:val="1"/>
          <w:wBefore w:w="316" w:type="dxa"/>
          <w:trHeight w:val="288"/>
          <w:jc w:val="center"/>
        </w:trPr>
        <w:tc>
          <w:tcPr>
            <w:tcW w:w="1034" w:type="dxa"/>
            <w:vMerge/>
            <w:tcBorders>
              <w:top w:val="nil"/>
              <w:left w:val="nil"/>
              <w:bottom w:val="single" w:sz="4" w:space="0" w:color="auto"/>
              <w:right w:val="nil"/>
            </w:tcBorders>
            <w:vAlign w:val="center"/>
            <w:hideMark/>
          </w:tcPr>
          <w:p w14:paraId="51DE0FCD" w14:textId="77777777" w:rsidR="001131E6" w:rsidRPr="006E7D8F" w:rsidRDefault="001131E6" w:rsidP="00082F4B">
            <w:pPr>
              <w:pStyle w:val="ExhibitText"/>
              <w:jc w:val="left"/>
              <w:rPr>
                <w:sz w:val="18"/>
                <w:szCs w:val="18"/>
              </w:rPr>
            </w:pPr>
          </w:p>
        </w:tc>
        <w:tc>
          <w:tcPr>
            <w:tcW w:w="2880" w:type="dxa"/>
            <w:tcBorders>
              <w:top w:val="nil"/>
              <w:left w:val="nil"/>
              <w:bottom w:val="single" w:sz="4" w:space="0" w:color="auto"/>
              <w:right w:val="nil"/>
            </w:tcBorders>
            <w:shd w:val="clear" w:color="auto" w:fill="auto"/>
            <w:vAlign w:val="center"/>
            <w:hideMark/>
          </w:tcPr>
          <w:p w14:paraId="4F11010A" w14:textId="77777777" w:rsidR="001131E6" w:rsidRPr="006E7D8F" w:rsidRDefault="001131E6" w:rsidP="00082F4B">
            <w:pPr>
              <w:pStyle w:val="ExhibitText"/>
              <w:numPr>
                <w:ilvl w:val="0"/>
                <w:numId w:val="22"/>
              </w:numPr>
              <w:jc w:val="left"/>
              <w:rPr>
                <w:sz w:val="18"/>
                <w:szCs w:val="18"/>
              </w:rPr>
            </w:pPr>
            <w:r w:rsidRPr="006E7D8F">
              <w:rPr>
                <w:sz w:val="18"/>
                <w:szCs w:val="18"/>
              </w:rPr>
              <w:t>Others</w:t>
            </w:r>
          </w:p>
        </w:tc>
        <w:tc>
          <w:tcPr>
            <w:tcW w:w="1080" w:type="dxa"/>
            <w:gridSpan w:val="2"/>
            <w:tcBorders>
              <w:top w:val="nil"/>
              <w:left w:val="nil"/>
              <w:bottom w:val="single" w:sz="4" w:space="0" w:color="auto"/>
              <w:right w:val="nil"/>
            </w:tcBorders>
            <w:shd w:val="clear" w:color="auto" w:fill="auto"/>
            <w:noWrap/>
            <w:vAlign w:val="center"/>
            <w:hideMark/>
          </w:tcPr>
          <w:p w14:paraId="5A61C71B" w14:textId="77777777" w:rsidR="001131E6" w:rsidRPr="006E7D8F" w:rsidRDefault="001131E6" w:rsidP="004E2186">
            <w:pPr>
              <w:pStyle w:val="ExhibitText"/>
              <w:jc w:val="center"/>
              <w:rPr>
                <w:sz w:val="18"/>
                <w:szCs w:val="18"/>
              </w:rPr>
            </w:pPr>
            <w:r w:rsidRPr="006E7D8F">
              <w:rPr>
                <w:sz w:val="18"/>
                <w:szCs w:val="18"/>
              </w:rPr>
              <w:t>241</w:t>
            </w:r>
          </w:p>
        </w:tc>
        <w:tc>
          <w:tcPr>
            <w:tcW w:w="810" w:type="dxa"/>
            <w:tcBorders>
              <w:top w:val="nil"/>
              <w:left w:val="nil"/>
              <w:bottom w:val="single" w:sz="4" w:space="0" w:color="auto"/>
              <w:right w:val="nil"/>
            </w:tcBorders>
            <w:shd w:val="clear" w:color="auto" w:fill="auto"/>
            <w:noWrap/>
            <w:vAlign w:val="center"/>
            <w:hideMark/>
          </w:tcPr>
          <w:p w14:paraId="742034EA" w14:textId="77777777" w:rsidR="001131E6" w:rsidRPr="006E7D8F" w:rsidRDefault="001131E6" w:rsidP="004E2186">
            <w:pPr>
              <w:pStyle w:val="ExhibitText"/>
              <w:jc w:val="center"/>
              <w:rPr>
                <w:sz w:val="18"/>
                <w:szCs w:val="18"/>
              </w:rPr>
            </w:pPr>
            <w:r w:rsidRPr="006E7D8F">
              <w:rPr>
                <w:sz w:val="18"/>
                <w:szCs w:val="18"/>
              </w:rPr>
              <w:t>190</w:t>
            </w:r>
          </w:p>
        </w:tc>
        <w:tc>
          <w:tcPr>
            <w:tcW w:w="810" w:type="dxa"/>
            <w:tcBorders>
              <w:top w:val="nil"/>
              <w:left w:val="nil"/>
              <w:bottom w:val="single" w:sz="4" w:space="0" w:color="auto"/>
              <w:right w:val="nil"/>
            </w:tcBorders>
            <w:shd w:val="clear" w:color="auto" w:fill="auto"/>
            <w:noWrap/>
            <w:vAlign w:val="center"/>
            <w:hideMark/>
          </w:tcPr>
          <w:p w14:paraId="129AFA9C" w14:textId="77777777" w:rsidR="001131E6" w:rsidRPr="006E7D8F" w:rsidRDefault="001131E6" w:rsidP="004E2186">
            <w:pPr>
              <w:pStyle w:val="ExhibitText"/>
              <w:jc w:val="center"/>
              <w:rPr>
                <w:sz w:val="18"/>
                <w:szCs w:val="18"/>
              </w:rPr>
            </w:pPr>
            <w:r w:rsidRPr="006E7D8F">
              <w:rPr>
                <w:sz w:val="18"/>
                <w:szCs w:val="18"/>
              </w:rPr>
              <w:t>126</w:t>
            </w:r>
          </w:p>
        </w:tc>
        <w:tc>
          <w:tcPr>
            <w:tcW w:w="810" w:type="dxa"/>
            <w:tcBorders>
              <w:top w:val="nil"/>
              <w:left w:val="nil"/>
              <w:bottom w:val="single" w:sz="4" w:space="0" w:color="auto"/>
              <w:right w:val="nil"/>
            </w:tcBorders>
            <w:shd w:val="clear" w:color="auto" w:fill="auto"/>
            <w:vAlign w:val="center"/>
            <w:hideMark/>
          </w:tcPr>
          <w:p w14:paraId="5E8CE10D" w14:textId="77777777" w:rsidR="001131E6" w:rsidRPr="006E7D8F" w:rsidRDefault="001131E6" w:rsidP="004E2186">
            <w:pPr>
              <w:pStyle w:val="ExhibitText"/>
              <w:jc w:val="center"/>
              <w:rPr>
                <w:sz w:val="18"/>
                <w:szCs w:val="18"/>
              </w:rPr>
            </w:pPr>
            <w:r w:rsidRPr="006E7D8F">
              <w:rPr>
                <w:sz w:val="18"/>
                <w:szCs w:val="18"/>
              </w:rPr>
              <w:t>75</w:t>
            </w:r>
          </w:p>
        </w:tc>
        <w:tc>
          <w:tcPr>
            <w:tcW w:w="810" w:type="dxa"/>
            <w:tcBorders>
              <w:top w:val="nil"/>
              <w:left w:val="nil"/>
              <w:bottom w:val="single" w:sz="4" w:space="0" w:color="auto"/>
              <w:right w:val="nil"/>
            </w:tcBorders>
            <w:shd w:val="clear" w:color="auto" w:fill="auto"/>
            <w:vAlign w:val="center"/>
            <w:hideMark/>
          </w:tcPr>
          <w:p w14:paraId="5DA29A45" w14:textId="77777777" w:rsidR="001131E6" w:rsidRPr="006E7D8F" w:rsidRDefault="001131E6" w:rsidP="004E2186">
            <w:pPr>
              <w:pStyle w:val="ExhibitText"/>
              <w:jc w:val="center"/>
              <w:rPr>
                <w:sz w:val="18"/>
                <w:szCs w:val="18"/>
              </w:rPr>
            </w:pPr>
            <w:r w:rsidRPr="006E7D8F">
              <w:rPr>
                <w:sz w:val="18"/>
                <w:szCs w:val="18"/>
              </w:rPr>
              <w:t>93</w:t>
            </w:r>
          </w:p>
        </w:tc>
        <w:tc>
          <w:tcPr>
            <w:tcW w:w="705" w:type="dxa"/>
            <w:gridSpan w:val="2"/>
            <w:tcBorders>
              <w:top w:val="nil"/>
              <w:left w:val="nil"/>
              <w:bottom w:val="single" w:sz="4" w:space="0" w:color="auto"/>
              <w:right w:val="nil"/>
            </w:tcBorders>
            <w:shd w:val="clear" w:color="auto" w:fill="auto"/>
            <w:noWrap/>
            <w:vAlign w:val="center"/>
            <w:hideMark/>
          </w:tcPr>
          <w:p w14:paraId="42052E25" w14:textId="77777777" w:rsidR="001131E6" w:rsidRPr="006E7D8F" w:rsidRDefault="001131E6" w:rsidP="004E2186">
            <w:pPr>
              <w:pStyle w:val="ExhibitText"/>
              <w:jc w:val="center"/>
              <w:rPr>
                <w:color w:val="000000"/>
                <w:sz w:val="18"/>
                <w:szCs w:val="18"/>
              </w:rPr>
            </w:pPr>
          </w:p>
        </w:tc>
      </w:tr>
      <w:tr w:rsidR="001131E6" w:rsidRPr="006E7D8F" w14:paraId="5021AF16" w14:textId="77777777" w:rsidTr="004E2186">
        <w:trPr>
          <w:gridBefore w:val="1"/>
          <w:wBefore w:w="316" w:type="dxa"/>
          <w:trHeight w:val="288"/>
          <w:jc w:val="center"/>
        </w:trPr>
        <w:tc>
          <w:tcPr>
            <w:tcW w:w="3914" w:type="dxa"/>
            <w:gridSpan w:val="2"/>
            <w:tcBorders>
              <w:top w:val="single" w:sz="4" w:space="0" w:color="auto"/>
              <w:left w:val="nil"/>
              <w:bottom w:val="single" w:sz="4" w:space="0" w:color="auto"/>
              <w:right w:val="nil"/>
            </w:tcBorders>
            <w:shd w:val="clear" w:color="auto" w:fill="auto"/>
            <w:vAlign w:val="center"/>
            <w:hideMark/>
          </w:tcPr>
          <w:p w14:paraId="26FC48A2" w14:textId="77777777" w:rsidR="001131E6" w:rsidRPr="006E7D8F" w:rsidRDefault="001131E6" w:rsidP="00082F4B">
            <w:pPr>
              <w:pStyle w:val="ExhibitText"/>
              <w:jc w:val="left"/>
              <w:rPr>
                <w:sz w:val="18"/>
                <w:szCs w:val="18"/>
              </w:rPr>
            </w:pPr>
            <w:r w:rsidRPr="006E7D8F">
              <w:rPr>
                <w:sz w:val="18"/>
                <w:szCs w:val="18"/>
              </w:rPr>
              <w:t>Total interest expenses (III)</w:t>
            </w:r>
          </w:p>
        </w:tc>
        <w:tc>
          <w:tcPr>
            <w:tcW w:w="1080" w:type="dxa"/>
            <w:gridSpan w:val="2"/>
            <w:tcBorders>
              <w:top w:val="single" w:sz="4" w:space="0" w:color="auto"/>
              <w:left w:val="nil"/>
              <w:bottom w:val="single" w:sz="4" w:space="0" w:color="auto"/>
              <w:right w:val="nil"/>
            </w:tcBorders>
            <w:shd w:val="clear" w:color="auto" w:fill="auto"/>
            <w:vAlign w:val="center"/>
            <w:hideMark/>
          </w:tcPr>
          <w:p w14:paraId="377B288C" w14:textId="77777777" w:rsidR="001131E6" w:rsidRPr="006E7D8F" w:rsidRDefault="001131E6" w:rsidP="004E2186">
            <w:pPr>
              <w:pStyle w:val="ExhibitText"/>
              <w:jc w:val="center"/>
              <w:rPr>
                <w:sz w:val="18"/>
                <w:szCs w:val="18"/>
              </w:rPr>
            </w:pPr>
            <w:r w:rsidRPr="006E7D8F">
              <w:rPr>
                <w:sz w:val="18"/>
                <w:szCs w:val="18"/>
              </w:rPr>
              <w:t>9</w:t>
            </w:r>
            <w:r w:rsidR="003146E9" w:rsidRPr="006E7D8F">
              <w:rPr>
                <w:sz w:val="18"/>
                <w:szCs w:val="18"/>
              </w:rPr>
              <w:t>,</w:t>
            </w:r>
            <w:r w:rsidRPr="006E7D8F">
              <w:rPr>
                <w:sz w:val="18"/>
                <w:szCs w:val="18"/>
              </w:rPr>
              <w:t>816</w:t>
            </w:r>
          </w:p>
        </w:tc>
        <w:tc>
          <w:tcPr>
            <w:tcW w:w="810" w:type="dxa"/>
            <w:tcBorders>
              <w:top w:val="single" w:sz="4" w:space="0" w:color="auto"/>
              <w:left w:val="nil"/>
              <w:bottom w:val="single" w:sz="4" w:space="0" w:color="auto"/>
              <w:right w:val="nil"/>
            </w:tcBorders>
            <w:shd w:val="clear" w:color="auto" w:fill="auto"/>
            <w:vAlign w:val="center"/>
            <w:hideMark/>
          </w:tcPr>
          <w:p w14:paraId="0ACF5775" w14:textId="77777777" w:rsidR="001131E6" w:rsidRPr="006E7D8F" w:rsidRDefault="001131E6" w:rsidP="004E2186">
            <w:pPr>
              <w:pStyle w:val="ExhibitText"/>
              <w:jc w:val="center"/>
              <w:rPr>
                <w:sz w:val="18"/>
                <w:szCs w:val="18"/>
              </w:rPr>
            </w:pPr>
            <w:r w:rsidRPr="006E7D8F">
              <w:rPr>
                <w:sz w:val="18"/>
                <w:szCs w:val="18"/>
              </w:rPr>
              <w:t>11</w:t>
            </w:r>
            <w:r w:rsidR="003146E9" w:rsidRPr="006E7D8F">
              <w:rPr>
                <w:sz w:val="18"/>
                <w:szCs w:val="18"/>
              </w:rPr>
              <w:t>,</w:t>
            </w:r>
            <w:r w:rsidRPr="006E7D8F">
              <w:rPr>
                <w:sz w:val="18"/>
                <w:szCs w:val="18"/>
              </w:rPr>
              <w:t>248</w:t>
            </w:r>
          </w:p>
        </w:tc>
        <w:tc>
          <w:tcPr>
            <w:tcW w:w="810" w:type="dxa"/>
            <w:tcBorders>
              <w:top w:val="single" w:sz="4" w:space="0" w:color="auto"/>
              <w:left w:val="nil"/>
              <w:bottom w:val="single" w:sz="4" w:space="0" w:color="auto"/>
              <w:right w:val="nil"/>
            </w:tcBorders>
            <w:shd w:val="clear" w:color="auto" w:fill="auto"/>
            <w:vAlign w:val="center"/>
            <w:hideMark/>
          </w:tcPr>
          <w:p w14:paraId="4F5AD9C0" w14:textId="77777777" w:rsidR="001131E6" w:rsidRPr="006E7D8F" w:rsidRDefault="001131E6" w:rsidP="004E2186">
            <w:pPr>
              <w:pStyle w:val="ExhibitText"/>
              <w:jc w:val="center"/>
              <w:rPr>
                <w:sz w:val="18"/>
                <w:szCs w:val="18"/>
              </w:rPr>
            </w:pPr>
            <w:r w:rsidRPr="006E7D8F">
              <w:rPr>
                <w:sz w:val="18"/>
                <w:szCs w:val="18"/>
              </w:rPr>
              <w:t>11</w:t>
            </w:r>
            <w:r w:rsidR="003146E9" w:rsidRPr="006E7D8F">
              <w:rPr>
                <w:sz w:val="18"/>
                <w:szCs w:val="18"/>
              </w:rPr>
              <w:t>,</w:t>
            </w:r>
            <w:r w:rsidRPr="006E7D8F">
              <w:rPr>
                <w:sz w:val="18"/>
                <w:szCs w:val="18"/>
              </w:rPr>
              <w:t>886</w:t>
            </w:r>
          </w:p>
        </w:tc>
        <w:tc>
          <w:tcPr>
            <w:tcW w:w="810" w:type="dxa"/>
            <w:tcBorders>
              <w:top w:val="single" w:sz="4" w:space="0" w:color="auto"/>
              <w:left w:val="nil"/>
              <w:bottom w:val="single" w:sz="4" w:space="0" w:color="auto"/>
              <w:right w:val="nil"/>
            </w:tcBorders>
            <w:shd w:val="clear" w:color="auto" w:fill="auto"/>
            <w:vAlign w:val="center"/>
            <w:hideMark/>
          </w:tcPr>
          <w:p w14:paraId="6B608811" w14:textId="77777777" w:rsidR="001131E6" w:rsidRPr="006E7D8F" w:rsidRDefault="001131E6" w:rsidP="004E2186">
            <w:pPr>
              <w:pStyle w:val="ExhibitText"/>
              <w:jc w:val="center"/>
              <w:rPr>
                <w:sz w:val="18"/>
                <w:szCs w:val="18"/>
              </w:rPr>
            </w:pPr>
            <w:r w:rsidRPr="006E7D8F">
              <w:rPr>
                <w:sz w:val="18"/>
                <w:szCs w:val="18"/>
              </w:rPr>
              <w:t>11</w:t>
            </w:r>
            <w:r w:rsidR="003146E9" w:rsidRPr="006E7D8F">
              <w:rPr>
                <w:sz w:val="18"/>
                <w:szCs w:val="18"/>
              </w:rPr>
              <w:t>,</w:t>
            </w:r>
            <w:r w:rsidRPr="006E7D8F">
              <w:rPr>
                <w:sz w:val="18"/>
                <w:szCs w:val="18"/>
              </w:rPr>
              <w:t>593</w:t>
            </w:r>
          </w:p>
        </w:tc>
        <w:tc>
          <w:tcPr>
            <w:tcW w:w="810" w:type="dxa"/>
            <w:tcBorders>
              <w:top w:val="single" w:sz="4" w:space="0" w:color="auto"/>
              <w:left w:val="nil"/>
              <w:bottom w:val="single" w:sz="4" w:space="0" w:color="auto"/>
              <w:right w:val="nil"/>
            </w:tcBorders>
            <w:shd w:val="clear" w:color="auto" w:fill="auto"/>
            <w:vAlign w:val="center"/>
            <w:hideMark/>
          </w:tcPr>
          <w:p w14:paraId="7150F4E6" w14:textId="77777777" w:rsidR="001131E6" w:rsidRPr="006E7D8F" w:rsidRDefault="001131E6" w:rsidP="004E2186">
            <w:pPr>
              <w:pStyle w:val="ExhibitText"/>
              <w:jc w:val="center"/>
              <w:rPr>
                <w:sz w:val="18"/>
                <w:szCs w:val="18"/>
              </w:rPr>
            </w:pPr>
            <w:r w:rsidRPr="006E7D8F">
              <w:rPr>
                <w:sz w:val="18"/>
                <w:szCs w:val="18"/>
              </w:rPr>
              <w:t>10</w:t>
            </w:r>
            <w:r w:rsidR="003146E9" w:rsidRPr="006E7D8F">
              <w:rPr>
                <w:sz w:val="18"/>
                <w:szCs w:val="18"/>
              </w:rPr>
              <w:t>,</w:t>
            </w:r>
            <w:r w:rsidRPr="006E7D8F">
              <w:rPr>
                <w:sz w:val="18"/>
                <w:szCs w:val="18"/>
              </w:rPr>
              <w:t>227</w:t>
            </w:r>
          </w:p>
        </w:tc>
        <w:tc>
          <w:tcPr>
            <w:tcW w:w="705" w:type="dxa"/>
            <w:gridSpan w:val="2"/>
            <w:tcBorders>
              <w:top w:val="single" w:sz="4" w:space="0" w:color="auto"/>
              <w:left w:val="nil"/>
              <w:bottom w:val="single" w:sz="4" w:space="0" w:color="auto"/>
              <w:right w:val="nil"/>
            </w:tcBorders>
            <w:shd w:val="clear" w:color="auto" w:fill="auto"/>
            <w:vAlign w:val="center"/>
            <w:hideMark/>
          </w:tcPr>
          <w:p w14:paraId="49D01E28" w14:textId="77777777" w:rsidR="001131E6" w:rsidRPr="006E7D8F" w:rsidRDefault="001131E6" w:rsidP="004E2186">
            <w:pPr>
              <w:pStyle w:val="ExhibitText"/>
              <w:jc w:val="center"/>
              <w:rPr>
                <w:sz w:val="18"/>
                <w:szCs w:val="18"/>
              </w:rPr>
            </w:pPr>
            <w:r w:rsidRPr="006E7D8F">
              <w:rPr>
                <w:sz w:val="18"/>
                <w:szCs w:val="18"/>
              </w:rPr>
              <w:t>4</w:t>
            </w:r>
            <w:r w:rsidR="003146E9" w:rsidRPr="006E7D8F">
              <w:rPr>
                <w:sz w:val="18"/>
                <w:szCs w:val="18"/>
              </w:rPr>
              <w:t>,</w:t>
            </w:r>
            <w:r w:rsidRPr="006E7D8F">
              <w:rPr>
                <w:sz w:val="18"/>
                <w:szCs w:val="18"/>
              </w:rPr>
              <w:t>668</w:t>
            </w:r>
          </w:p>
        </w:tc>
      </w:tr>
      <w:tr w:rsidR="001131E6" w:rsidRPr="006E7D8F" w14:paraId="152FD7B2" w14:textId="77777777" w:rsidTr="004E2186">
        <w:trPr>
          <w:gridBefore w:val="1"/>
          <w:wBefore w:w="316" w:type="dxa"/>
          <w:trHeight w:val="288"/>
          <w:jc w:val="center"/>
        </w:trPr>
        <w:tc>
          <w:tcPr>
            <w:tcW w:w="3914" w:type="dxa"/>
            <w:gridSpan w:val="2"/>
            <w:tcBorders>
              <w:top w:val="single" w:sz="4" w:space="0" w:color="auto"/>
              <w:left w:val="nil"/>
              <w:bottom w:val="single" w:sz="4" w:space="0" w:color="auto"/>
              <w:right w:val="nil"/>
            </w:tcBorders>
            <w:shd w:val="clear" w:color="auto" w:fill="auto"/>
            <w:vAlign w:val="center"/>
            <w:hideMark/>
          </w:tcPr>
          <w:p w14:paraId="3746AE91" w14:textId="4E635F9D" w:rsidR="001131E6" w:rsidRPr="006E7D8F" w:rsidRDefault="001131E6" w:rsidP="00082F4B">
            <w:pPr>
              <w:pStyle w:val="ExhibitText"/>
              <w:jc w:val="left"/>
              <w:rPr>
                <w:sz w:val="18"/>
                <w:szCs w:val="18"/>
              </w:rPr>
            </w:pPr>
            <w:r w:rsidRPr="006E7D8F">
              <w:rPr>
                <w:sz w:val="18"/>
                <w:szCs w:val="18"/>
              </w:rPr>
              <w:t>IV.</w:t>
            </w:r>
            <w:r w:rsidR="0069730F" w:rsidRPr="006E7D8F">
              <w:rPr>
                <w:sz w:val="18"/>
                <w:szCs w:val="18"/>
              </w:rPr>
              <w:t xml:space="preserve"> </w:t>
            </w:r>
            <w:r w:rsidRPr="006E7D8F">
              <w:rPr>
                <w:sz w:val="18"/>
                <w:szCs w:val="18"/>
              </w:rPr>
              <w:t xml:space="preserve">Net </w:t>
            </w:r>
            <w:r w:rsidR="006126F9">
              <w:rPr>
                <w:sz w:val="18"/>
                <w:szCs w:val="18"/>
              </w:rPr>
              <w:t>interest income</w:t>
            </w:r>
            <w:r w:rsidRPr="006E7D8F">
              <w:rPr>
                <w:sz w:val="18"/>
                <w:szCs w:val="18"/>
              </w:rPr>
              <w:t xml:space="preserve"> (I</w:t>
            </w:r>
            <w:r w:rsidR="00165BDA" w:rsidRPr="006E7D8F">
              <w:rPr>
                <w:sz w:val="18"/>
                <w:szCs w:val="18"/>
              </w:rPr>
              <w:t xml:space="preserve"> − </w:t>
            </w:r>
            <w:r w:rsidRPr="006E7D8F">
              <w:rPr>
                <w:sz w:val="18"/>
                <w:szCs w:val="18"/>
              </w:rPr>
              <w:t>III)</w:t>
            </w:r>
          </w:p>
        </w:tc>
        <w:tc>
          <w:tcPr>
            <w:tcW w:w="1080" w:type="dxa"/>
            <w:gridSpan w:val="2"/>
            <w:tcBorders>
              <w:top w:val="nil"/>
              <w:left w:val="nil"/>
              <w:bottom w:val="single" w:sz="4" w:space="0" w:color="auto"/>
              <w:right w:val="nil"/>
            </w:tcBorders>
            <w:shd w:val="clear" w:color="auto" w:fill="auto"/>
            <w:vAlign w:val="center"/>
            <w:hideMark/>
          </w:tcPr>
          <w:p w14:paraId="2DA3C6C5"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392</w:t>
            </w:r>
          </w:p>
        </w:tc>
        <w:tc>
          <w:tcPr>
            <w:tcW w:w="810" w:type="dxa"/>
            <w:tcBorders>
              <w:top w:val="nil"/>
              <w:left w:val="nil"/>
              <w:bottom w:val="single" w:sz="4" w:space="0" w:color="auto"/>
              <w:right w:val="nil"/>
            </w:tcBorders>
            <w:shd w:val="clear" w:color="auto" w:fill="auto"/>
            <w:vAlign w:val="center"/>
            <w:hideMark/>
          </w:tcPr>
          <w:p w14:paraId="7F0D4216"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792</w:t>
            </w:r>
          </w:p>
        </w:tc>
        <w:tc>
          <w:tcPr>
            <w:tcW w:w="810" w:type="dxa"/>
            <w:tcBorders>
              <w:top w:val="nil"/>
              <w:left w:val="nil"/>
              <w:bottom w:val="single" w:sz="4" w:space="0" w:color="auto"/>
              <w:right w:val="nil"/>
            </w:tcBorders>
            <w:shd w:val="clear" w:color="auto" w:fill="auto"/>
            <w:vAlign w:val="center"/>
            <w:hideMark/>
          </w:tcPr>
          <w:p w14:paraId="3AAD53FB"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560</w:t>
            </w:r>
          </w:p>
        </w:tc>
        <w:tc>
          <w:tcPr>
            <w:tcW w:w="810" w:type="dxa"/>
            <w:tcBorders>
              <w:top w:val="nil"/>
              <w:left w:val="nil"/>
              <w:bottom w:val="single" w:sz="4" w:space="0" w:color="auto"/>
              <w:right w:val="nil"/>
            </w:tcBorders>
            <w:shd w:val="clear" w:color="auto" w:fill="auto"/>
            <w:vAlign w:val="center"/>
            <w:hideMark/>
          </w:tcPr>
          <w:p w14:paraId="267BA61E"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236</w:t>
            </w:r>
          </w:p>
        </w:tc>
        <w:tc>
          <w:tcPr>
            <w:tcW w:w="810" w:type="dxa"/>
            <w:tcBorders>
              <w:top w:val="nil"/>
              <w:left w:val="nil"/>
              <w:bottom w:val="single" w:sz="4" w:space="0" w:color="auto"/>
              <w:right w:val="nil"/>
            </w:tcBorders>
            <w:shd w:val="clear" w:color="auto" w:fill="auto"/>
            <w:vAlign w:val="center"/>
            <w:hideMark/>
          </w:tcPr>
          <w:p w14:paraId="70A08FE2"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136</w:t>
            </w:r>
          </w:p>
        </w:tc>
        <w:tc>
          <w:tcPr>
            <w:tcW w:w="705" w:type="dxa"/>
            <w:gridSpan w:val="2"/>
            <w:tcBorders>
              <w:top w:val="nil"/>
              <w:left w:val="nil"/>
              <w:bottom w:val="single" w:sz="4" w:space="0" w:color="auto"/>
              <w:right w:val="nil"/>
            </w:tcBorders>
            <w:shd w:val="clear" w:color="auto" w:fill="auto"/>
            <w:vAlign w:val="center"/>
            <w:hideMark/>
          </w:tcPr>
          <w:p w14:paraId="5ABCB9C6"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925</w:t>
            </w:r>
          </w:p>
        </w:tc>
      </w:tr>
      <w:tr w:rsidR="001131E6" w:rsidRPr="006E7D8F" w14:paraId="65F2CE73" w14:textId="77777777" w:rsidTr="004E2186">
        <w:trPr>
          <w:gridBefore w:val="1"/>
          <w:wBefore w:w="316" w:type="dxa"/>
          <w:trHeight w:val="288"/>
          <w:jc w:val="center"/>
        </w:trPr>
        <w:tc>
          <w:tcPr>
            <w:tcW w:w="1034" w:type="dxa"/>
            <w:vMerge w:val="restart"/>
            <w:tcBorders>
              <w:top w:val="nil"/>
              <w:left w:val="nil"/>
              <w:bottom w:val="single" w:sz="4" w:space="0" w:color="000000"/>
              <w:right w:val="nil"/>
            </w:tcBorders>
            <w:shd w:val="clear" w:color="auto" w:fill="auto"/>
            <w:vAlign w:val="center"/>
            <w:hideMark/>
          </w:tcPr>
          <w:p w14:paraId="67727751" w14:textId="5557E0BA" w:rsidR="001131E6" w:rsidRPr="006E7D8F" w:rsidRDefault="001131E6" w:rsidP="00082F4B">
            <w:pPr>
              <w:pStyle w:val="ExhibitText"/>
              <w:jc w:val="left"/>
              <w:rPr>
                <w:sz w:val="18"/>
                <w:szCs w:val="18"/>
              </w:rPr>
            </w:pPr>
            <w:r w:rsidRPr="006E7D8F">
              <w:rPr>
                <w:sz w:val="18"/>
                <w:szCs w:val="18"/>
              </w:rPr>
              <w:t xml:space="preserve">V. Operating </w:t>
            </w:r>
            <w:r w:rsidR="006126F9">
              <w:rPr>
                <w:sz w:val="18"/>
                <w:szCs w:val="18"/>
              </w:rPr>
              <w:t>expenses</w:t>
            </w:r>
          </w:p>
        </w:tc>
        <w:tc>
          <w:tcPr>
            <w:tcW w:w="2880" w:type="dxa"/>
            <w:tcBorders>
              <w:top w:val="nil"/>
              <w:left w:val="nil"/>
              <w:bottom w:val="nil"/>
              <w:right w:val="nil"/>
            </w:tcBorders>
            <w:shd w:val="clear" w:color="auto" w:fill="auto"/>
            <w:vAlign w:val="center"/>
            <w:hideMark/>
          </w:tcPr>
          <w:p w14:paraId="2D584C59" w14:textId="77777777" w:rsidR="001131E6" w:rsidRPr="006E7D8F" w:rsidRDefault="001131E6" w:rsidP="00082F4B">
            <w:pPr>
              <w:pStyle w:val="ExhibitText"/>
              <w:numPr>
                <w:ilvl w:val="0"/>
                <w:numId w:val="24"/>
              </w:numPr>
              <w:jc w:val="left"/>
              <w:rPr>
                <w:sz w:val="18"/>
                <w:szCs w:val="18"/>
              </w:rPr>
            </w:pPr>
            <w:r w:rsidRPr="006E7D8F">
              <w:rPr>
                <w:sz w:val="18"/>
                <w:szCs w:val="18"/>
              </w:rPr>
              <w:t>Payments to and provisions for employees</w:t>
            </w:r>
          </w:p>
        </w:tc>
        <w:tc>
          <w:tcPr>
            <w:tcW w:w="1080" w:type="dxa"/>
            <w:gridSpan w:val="2"/>
            <w:tcBorders>
              <w:top w:val="nil"/>
              <w:left w:val="nil"/>
              <w:bottom w:val="nil"/>
              <w:right w:val="nil"/>
            </w:tcBorders>
            <w:shd w:val="clear" w:color="auto" w:fill="auto"/>
            <w:noWrap/>
            <w:vAlign w:val="center"/>
            <w:hideMark/>
          </w:tcPr>
          <w:p w14:paraId="2F75B7B8" w14:textId="77777777" w:rsidR="001131E6" w:rsidRPr="006E7D8F" w:rsidRDefault="001131E6" w:rsidP="004E2186">
            <w:pPr>
              <w:pStyle w:val="ExhibitText"/>
              <w:jc w:val="center"/>
              <w:rPr>
                <w:sz w:val="18"/>
                <w:szCs w:val="18"/>
              </w:rPr>
            </w:pPr>
            <w:r w:rsidRPr="006E7D8F">
              <w:rPr>
                <w:sz w:val="18"/>
                <w:szCs w:val="18"/>
              </w:rPr>
              <w:t>2</w:t>
            </w:r>
            <w:r w:rsidR="003146E9" w:rsidRPr="006E7D8F">
              <w:rPr>
                <w:sz w:val="18"/>
                <w:szCs w:val="18"/>
              </w:rPr>
              <w:t>,</w:t>
            </w:r>
            <w:r w:rsidRPr="006E7D8F">
              <w:rPr>
                <w:sz w:val="18"/>
                <w:szCs w:val="18"/>
              </w:rPr>
              <w:t>339</w:t>
            </w:r>
          </w:p>
        </w:tc>
        <w:tc>
          <w:tcPr>
            <w:tcW w:w="810" w:type="dxa"/>
            <w:tcBorders>
              <w:top w:val="nil"/>
              <w:left w:val="nil"/>
              <w:bottom w:val="nil"/>
              <w:right w:val="nil"/>
            </w:tcBorders>
            <w:shd w:val="clear" w:color="auto" w:fill="auto"/>
            <w:noWrap/>
            <w:vAlign w:val="center"/>
            <w:hideMark/>
          </w:tcPr>
          <w:p w14:paraId="5215C8F6" w14:textId="77777777" w:rsidR="001131E6" w:rsidRPr="006E7D8F" w:rsidRDefault="001131E6" w:rsidP="004E2186">
            <w:pPr>
              <w:pStyle w:val="ExhibitText"/>
              <w:jc w:val="center"/>
              <w:rPr>
                <w:sz w:val="18"/>
                <w:szCs w:val="18"/>
              </w:rPr>
            </w:pPr>
            <w:r w:rsidRPr="006E7D8F">
              <w:rPr>
                <w:sz w:val="18"/>
                <w:szCs w:val="18"/>
              </w:rPr>
              <w:t>2</w:t>
            </w:r>
            <w:r w:rsidR="003146E9" w:rsidRPr="006E7D8F">
              <w:rPr>
                <w:sz w:val="18"/>
                <w:szCs w:val="18"/>
              </w:rPr>
              <w:t>,</w:t>
            </w:r>
            <w:r w:rsidRPr="006E7D8F">
              <w:rPr>
                <w:sz w:val="18"/>
                <w:szCs w:val="18"/>
              </w:rPr>
              <w:t>878</w:t>
            </w:r>
          </w:p>
        </w:tc>
        <w:tc>
          <w:tcPr>
            <w:tcW w:w="810" w:type="dxa"/>
            <w:tcBorders>
              <w:top w:val="nil"/>
              <w:left w:val="nil"/>
              <w:bottom w:val="nil"/>
              <w:right w:val="nil"/>
            </w:tcBorders>
            <w:shd w:val="clear" w:color="auto" w:fill="auto"/>
            <w:noWrap/>
            <w:vAlign w:val="center"/>
            <w:hideMark/>
          </w:tcPr>
          <w:p w14:paraId="28CB6B45"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078</w:t>
            </w:r>
          </w:p>
        </w:tc>
        <w:tc>
          <w:tcPr>
            <w:tcW w:w="810" w:type="dxa"/>
            <w:tcBorders>
              <w:top w:val="nil"/>
              <w:left w:val="nil"/>
              <w:bottom w:val="nil"/>
              <w:right w:val="nil"/>
            </w:tcBorders>
            <w:shd w:val="clear" w:color="auto" w:fill="auto"/>
            <w:vAlign w:val="center"/>
            <w:hideMark/>
          </w:tcPr>
          <w:p w14:paraId="1EDF111B"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026</w:t>
            </w:r>
          </w:p>
        </w:tc>
        <w:tc>
          <w:tcPr>
            <w:tcW w:w="810" w:type="dxa"/>
            <w:tcBorders>
              <w:top w:val="nil"/>
              <w:left w:val="nil"/>
              <w:bottom w:val="nil"/>
              <w:right w:val="nil"/>
            </w:tcBorders>
            <w:shd w:val="clear" w:color="auto" w:fill="auto"/>
            <w:vAlign w:val="center"/>
            <w:hideMark/>
          </w:tcPr>
          <w:p w14:paraId="6EA006E2" w14:textId="77777777" w:rsidR="001131E6" w:rsidRPr="006E7D8F" w:rsidRDefault="001131E6" w:rsidP="004E2186">
            <w:pPr>
              <w:pStyle w:val="ExhibitText"/>
              <w:jc w:val="center"/>
              <w:rPr>
                <w:sz w:val="18"/>
                <w:szCs w:val="18"/>
              </w:rPr>
            </w:pPr>
            <w:r w:rsidRPr="006E7D8F">
              <w:rPr>
                <w:sz w:val="18"/>
                <w:szCs w:val="18"/>
              </w:rPr>
              <w:t>2</w:t>
            </w:r>
            <w:r w:rsidR="003146E9" w:rsidRPr="006E7D8F">
              <w:rPr>
                <w:sz w:val="18"/>
                <w:szCs w:val="18"/>
              </w:rPr>
              <w:t>,</w:t>
            </w:r>
            <w:r w:rsidRPr="006E7D8F">
              <w:rPr>
                <w:sz w:val="18"/>
                <w:szCs w:val="18"/>
              </w:rPr>
              <w:t>936</w:t>
            </w:r>
          </w:p>
        </w:tc>
        <w:tc>
          <w:tcPr>
            <w:tcW w:w="705" w:type="dxa"/>
            <w:gridSpan w:val="2"/>
            <w:tcBorders>
              <w:top w:val="nil"/>
              <w:left w:val="nil"/>
              <w:bottom w:val="nil"/>
              <w:right w:val="nil"/>
            </w:tcBorders>
            <w:shd w:val="clear" w:color="auto" w:fill="auto"/>
            <w:noWrap/>
            <w:vAlign w:val="center"/>
            <w:hideMark/>
          </w:tcPr>
          <w:p w14:paraId="0C34F049" w14:textId="77777777" w:rsidR="001131E6" w:rsidRPr="006E7D8F" w:rsidRDefault="001131E6" w:rsidP="004E2186">
            <w:pPr>
              <w:pStyle w:val="ExhibitText"/>
              <w:jc w:val="center"/>
              <w:rPr>
                <w:color w:val="000000"/>
                <w:sz w:val="18"/>
                <w:szCs w:val="18"/>
              </w:rPr>
            </w:pPr>
            <w:r w:rsidRPr="006E7D8F">
              <w:rPr>
                <w:color w:val="000000"/>
                <w:sz w:val="18"/>
                <w:szCs w:val="18"/>
              </w:rPr>
              <w:t>1</w:t>
            </w:r>
            <w:r w:rsidR="003146E9" w:rsidRPr="006E7D8F">
              <w:rPr>
                <w:color w:val="000000"/>
                <w:sz w:val="18"/>
                <w:szCs w:val="18"/>
              </w:rPr>
              <w:t>,</w:t>
            </w:r>
            <w:r w:rsidRPr="006E7D8F">
              <w:rPr>
                <w:color w:val="000000"/>
                <w:sz w:val="18"/>
                <w:szCs w:val="18"/>
              </w:rPr>
              <w:t>450</w:t>
            </w:r>
          </w:p>
        </w:tc>
      </w:tr>
      <w:tr w:rsidR="001131E6" w:rsidRPr="006E7D8F" w14:paraId="274E14B6" w14:textId="77777777" w:rsidTr="004E2186">
        <w:trPr>
          <w:gridBefore w:val="1"/>
          <w:wBefore w:w="316" w:type="dxa"/>
          <w:trHeight w:val="288"/>
          <w:jc w:val="center"/>
        </w:trPr>
        <w:tc>
          <w:tcPr>
            <w:tcW w:w="1034" w:type="dxa"/>
            <w:vMerge/>
            <w:tcBorders>
              <w:top w:val="nil"/>
              <w:left w:val="nil"/>
              <w:bottom w:val="single" w:sz="4" w:space="0" w:color="000000"/>
              <w:right w:val="nil"/>
            </w:tcBorders>
            <w:vAlign w:val="center"/>
            <w:hideMark/>
          </w:tcPr>
          <w:p w14:paraId="2EE6F8E1" w14:textId="77777777" w:rsidR="001131E6" w:rsidRPr="006E7D8F" w:rsidRDefault="001131E6" w:rsidP="00082F4B">
            <w:pPr>
              <w:pStyle w:val="ExhibitText"/>
              <w:jc w:val="left"/>
              <w:rPr>
                <w:sz w:val="18"/>
                <w:szCs w:val="18"/>
              </w:rPr>
            </w:pPr>
          </w:p>
        </w:tc>
        <w:tc>
          <w:tcPr>
            <w:tcW w:w="2880" w:type="dxa"/>
            <w:tcBorders>
              <w:top w:val="nil"/>
              <w:left w:val="nil"/>
              <w:bottom w:val="nil"/>
              <w:right w:val="nil"/>
            </w:tcBorders>
            <w:shd w:val="clear" w:color="auto" w:fill="auto"/>
            <w:vAlign w:val="center"/>
            <w:hideMark/>
          </w:tcPr>
          <w:p w14:paraId="6DE6A72D" w14:textId="77777777" w:rsidR="001131E6" w:rsidRPr="006E7D8F" w:rsidRDefault="001131E6" w:rsidP="00082F4B">
            <w:pPr>
              <w:pStyle w:val="ExhibitText"/>
              <w:numPr>
                <w:ilvl w:val="0"/>
                <w:numId w:val="24"/>
              </w:numPr>
              <w:jc w:val="left"/>
              <w:rPr>
                <w:sz w:val="18"/>
                <w:szCs w:val="18"/>
              </w:rPr>
            </w:pPr>
            <w:r w:rsidRPr="006E7D8F">
              <w:rPr>
                <w:sz w:val="18"/>
                <w:szCs w:val="18"/>
              </w:rPr>
              <w:t>Other operating expenses</w:t>
            </w:r>
          </w:p>
        </w:tc>
        <w:tc>
          <w:tcPr>
            <w:tcW w:w="1080" w:type="dxa"/>
            <w:gridSpan w:val="2"/>
            <w:tcBorders>
              <w:top w:val="nil"/>
              <w:left w:val="nil"/>
              <w:bottom w:val="nil"/>
              <w:right w:val="nil"/>
            </w:tcBorders>
            <w:shd w:val="clear" w:color="auto" w:fill="auto"/>
            <w:noWrap/>
            <w:vAlign w:val="center"/>
            <w:hideMark/>
          </w:tcPr>
          <w:p w14:paraId="44A86893" w14:textId="77777777" w:rsidR="001131E6" w:rsidRPr="006E7D8F" w:rsidRDefault="001131E6" w:rsidP="004E2186">
            <w:pPr>
              <w:pStyle w:val="ExhibitText"/>
              <w:jc w:val="center"/>
              <w:rPr>
                <w:sz w:val="18"/>
                <w:szCs w:val="18"/>
              </w:rPr>
            </w:pPr>
            <w:r w:rsidRPr="006E7D8F">
              <w:rPr>
                <w:sz w:val="18"/>
                <w:szCs w:val="18"/>
              </w:rPr>
              <w:t>904</w:t>
            </w:r>
          </w:p>
        </w:tc>
        <w:tc>
          <w:tcPr>
            <w:tcW w:w="810" w:type="dxa"/>
            <w:tcBorders>
              <w:top w:val="nil"/>
              <w:left w:val="nil"/>
              <w:bottom w:val="nil"/>
              <w:right w:val="nil"/>
            </w:tcBorders>
            <w:shd w:val="clear" w:color="auto" w:fill="auto"/>
            <w:noWrap/>
            <w:vAlign w:val="center"/>
            <w:hideMark/>
          </w:tcPr>
          <w:p w14:paraId="0BC0B9BB"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060</w:t>
            </w:r>
          </w:p>
        </w:tc>
        <w:tc>
          <w:tcPr>
            <w:tcW w:w="810" w:type="dxa"/>
            <w:tcBorders>
              <w:top w:val="nil"/>
              <w:left w:val="nil"/>
              <w:bottom w:val="nil"/>
              <w:right w:val="nil"/>
            </w:tcBorders>
            <w:shd w:val="clear" w:color="auto" w:fill="auto"/>
            <w:noWrap/>
            <w:vAlign w:val="center"/>
            <w:hideMark/>
          </w:tcPr>
          <w:p w14:paraId="7BA1E4BE"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145</w:t>
            </w:r>
          </w:p>
        </w:tc>
        <w:tc>
          <w:tcPr>
            <w:tcW w:w="810" w:type="dxa"/>
            <w:tcBorders>
              <w:top w:val="nil"/>
              <w:left w:val="nil"/>
              <w:bottom w:val="nil"/>
              <w:right w:val="nil"/>
            </w:tcBorders>
            <w:shd w:val="clear" w:color="auto" w:fill="auto"/>
            <w:vAlign w:val="center"/>
            <w:hideMark/>
          </w:tcPr>
          <w:p w14:paraId="0CD13481"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158</w:t>
            </w:r>
          </w:p>
        </w:tc>
        <w:tc>
          <w:tcPr>
            <w:tcW w:w="810" w:type="dxa"/>
            <w:tcBorders>
              <w:top w:val="nil"/>
              <w:left w:val="nil"/>
              <w:bottom w:val="nil"/>
              <w:right w:val="nil"/>
            </w:tcBorders>
            <w:shd w:val="clear" w:color="auto" w:fill="auto"/>
            <w:vAlign w:val="center"/>
            <w:hideMark/>
          </w:tcPr>
          <w:p w14:paraId="50D7E67E"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346</w:t>
            </w:r>
          </w:p>
        </w:tc>
        <w:tc>
          <w:tcPr>
            <w:tcW w:w="705" w:type="dxa"/>
            <w:gridSpan w:val="2"/>
            <w:tcBorders>
              <w:top w:val="nil"/>
              <w:left w:val="nil"/>
              <w:bottom w:val="nil"/>
              <w:right w:val="nil"/>
            </w:tcBorders>
            <w:shd w:val="clear" w:color="auto" w:fill="auto"/>
            <w:noWrap/>
            <w:vAlign w:val="center"/>
            <w:hideMark/>
          </w:tcPr>
          <w:p w14:paraId="05B2615E" w14:textId="77777777" w:rsidR="001131E6" w:rsidRPr="006E7D8F" w:rsidRDefault="001131E6" w:rsidP="004E2186">
            <w:pPr>
              <w:pStyle w:val="ExhibitText"/>
              <w:jc w:val="center"/>
              <w:rPr>
                <w:color w:val="000000"/>
                <w:sz w:val="18"/>
                <w:szCs w:val="18"/>
              </w:rPr>
            </w:pPr>
            <w:r w:rsidRPr="006E7D8F">
              <w:rPr>
                <w:color w:val="000000"/>
                <w:sz w:val="18"/>
                <w:szCs w:val="18"/>
              </w:rPr>
              <w:t>708</w:t>
            </w:r>
          </w:p>
        </w:tc>
      </w:tr>
      <w:tr w:rsidR="001131E6" w:rsidRPr="006E7D8F" w14:paraId="64857A55" w14:textId="77777777" w:rsidTr="004E2186">
        <w:trPr>
          <w:gridBefore w:val="1"/>
          <w:wBefore w:w="316" w:type="dxa"/>
          <w:trHeight w:val="288"/>
          <w:jc w:val="center"/>
        </w:trPr>
        <w:tc>
          <w:tcPr>
            <w:tcW w:w="1034" w:type="dxa"/>
            <w:vMerge/>
            <w:tcBorders>
              <w:top w:val="nil"/>
              <w:left w:val="nil"/>
              <w:bottom w:val="single" w:sz="4" w:space="0" w:color="auto"/>
              <w:right w:val="nil"/>
            </w:tcBorders>
            <w:vAlign w:val="center"/>
            <w:hideMark/>
          </w:tcPr>
          <w:p w14:paraId="797D617B" w14:textId="77777777" w:rsidR="001131E6" w:rsidRPr="006E7D8F" w:rsidRDefault="001131E6" w:rsidP="00082F4B">
            <w:pPr>
              <w:pStyle w:val="ExhibitText"/>
              <w:jc w:val="left"/>
              <w:rPr>
                <w:sz w:val="18"/>
                <w:szCs w:val="18"/>
              </w:rPr>
            </w:pPr>
          </w:p>
        </w:tc>
        <w:tc>
          <w:tcPr>
            <w:tcW w:w="2880" w:type="dxa"/>
            <w:tcBorders>
              <w:top w:val="nil"/>
              <w:left w:val="nil"/>
              <w:bottom w:val="single" w:sz="4" w:space="0" w:color="auto"/>
              <w:right w:val="nil"/>
            </w:tcBorders>
            <w:shd w:val="clear" w:color="auto" w:fill="auto"/>
            <w:vAlign w:val="center"/>
            <w:hideMark/>
          </w:tcPr>
          <w:p w14:paraId="5A11A3F1" w14:textId="77777777" w:rsidR="001131E6" w:rsidRPr="006E7D8F" w:rsidRDefault="001131E6" w:rsidP="00082F4B">
            <w:pPr>
              <w:pStyle w:val="ExhibitText"/>
              <w:numPr>
                <w:ilvl w:val="0"/>
                <w:numId w:val="24"/>
              </w:numPr>
              <w:jc w:val="left"/>
              <w:rPr>
                <w:sz w:val="18"/>
                <w:szCs w:val="18"/>
              </w:rPr>
            </w:pPr>
            <w:r w:rsidRPr="006E7D8F">
              <w:rPr>
                <w:sz w:val="18"/>
                <w:szCs w:val="18"/>
              </w:rPr>
              <w:t>Depreciation on bank's property</w:t>
            </w:r>
          </w:p>
        </w:tc>
        <w:tc>
          <w:tcPr>
            <w:tcW w:w="1080" w:type="dxa"/>
            <w:gridSpan w:val="2"/>
            <w:tcBorders>
              <w:top w:val="nil"/>
              <w:left w:val="nil"/>
              <w:bottom w:val="single" w:sz="4" w:space="0" w:color="auto"/>
              <w:right w:val="nil"/>
            </w:tcBorders>
            <w:shd w:val="clear" w:color="auto" w:fill="auto"/>
            <w:noWrap/>
            <w:vAlign w:val="center"/>
            <w:hideMark/>
          </w:tcPr>
          <w:p w14:paraId="71CB42EB" w14:textId="77777777" w:rsidR="001131E6" w:rsidRPr="006E7D8F" w:rsidRDefault="001131E6" w:rsidP="004E2186">
            <w:pPr>
              <w:pStyle w:val="ExhibitText"/>
              <w:jc w:val="center"/>
              <w:rPr>
                <w:sz w:val="18"/>
                <w:szCs w:val="18"/>
              </w:rPr>
            </w:pPr>
            <w:r w:rsidRPr="006E7D8F">
              <w:rPr>
                <w:sz w:val="18"/>
                <w:szCs w:val="18"/>
              </w:rPr>
              <w:t>75</w:t>
            </w:r>
          </w:p>
        </w:tc>
        <w:tc>
          <w:tcPr>
            <w:tcW w:w="810" w:type="dxa"/>
            <w:tcBorders>
              <w:top w:val="nil"/>
              <w:left w:val="nil"/>
              <w:bottom w:val="single" w:sz="4" w:space="0" w:color="auto"/>
              <w:right w:val="nil"/>
            </w:tcBorders>
            <w:shd w:val="clear" w:color="auto" w:fill="auto"/>
            <w:noWrap/>
            <w:vAlign w:val="center"/>
            <w:hideMark/>
          </w:tcPr>
          <w:p w14:paraId="1DD32091" w14:textId="77777777" w:rsidR="001131E6" w:rsidRPr="006E7D8F" w:rsidRDefault="001131E6" w:rsidP="004E2186">
            <w:pPr>
              <w:pStyle w:val="ExhibitText"/>
              <w:jc w:val="center"/>
              <w:rPr>
                <w:sz w:val="18"/>
                <w:szCs w:val="18"/>
              </w:rPr>
            </w:pPr>
            <w:r w:rsidRPr="006E7D8F">
              <w:rPr>
                <w:sz w:val="18"/>
                <w:szCs w:val="18"/>
              </w:rPr>
              <w:t>74</w:t>
            </w:r>
          </w:p>
        </w:tc>
        <w:tc>
          <w:tcPr>
            <w:tcW w:w="810" w:type="dxa"/>
            <w:tcBorders>
              <w:top w:val="nil"/>
              <w:left w:val="nil"/>
              <w:bottom w:val="single" w:sz="4" w:space="0" w:color="auto"/>
              <w:right w:val="nil"/>
            </w:tcBorders>
            <w:shd w:val="clear" w:color="auto" w:fill="auto"/>
            <w:noWrap/>
            <w:vAlign w:val="center"/>
            <w:hideMark/>
          </w:tcPr>
          <w:p w14:paraId="4795236E" w14:textId="77777777" w:rsidR="001131E6" w:rsidRPr="006E7D8F" w:rsidRDefault="001131E6" w:rsidP="004E2186">
            <w:pPr>
              <w:pStyle w:val="ExhibitText"/>
              <w:jc w:val="center"/>
              <w:rPr>
                <w:sz w:val="18"/>
                <w:szCs w:val="18"/>
              </w:rPr>
            </w:pPr>
            <w:r w:rsidRPr="006E7D8F">
              <w:rPr>
                <w:sz w:val="18"/>
                <w:szCs w:val="18"/>
              </w:rPr>
              <w:t>109</w:t>
            </w:r>
          </w:p>
        </w:tc>
        <w:tc>
          <w:tcPr>
            <w:tcW w:w="810" w:type="dxa"/>
            <w:tcBorders>
              <w:top w:val="nil"/>
              <w:left w:val="nil"/>
              <w:bottom w:val="single" w:sz="4" w:space="0" w:color="auto"/>
              <w:right w:val="nil"/>
            </w:tcBorders>
            <w:shd w:val="clear" w:color="auto" w:fill="auto"/>
            <w:vAlign w:val="center"/>
            <w:hideMark/>
          </w:tcPr>
          <w:p w14:paraId="3F7D1B1D" w14:textId="77777777" w:rsidR="001131E6" w:rsidRPr="006E7D8F" w:rsidRDefault="001131E6" w:rsidP="004E2186">
            <w:pPr>
              <w:pStyle w:val="ExhibitText"/>
              <w:jc w:val="center"/>
              <w:rPr>
                <w:sz w:val="18"/>
                <w:szCs w:val="18"/>
              </w:rPr>
            </w:pPr>
            <w:r w:rsidRPr="006E7D8F">
              <w:rPr>
                <w:sz w:val="18"/>
                <w:szCs w:val="18"/>
              </w:rPr>
              <w:t>137</w:t>
            </w:r>
          </w:p>
        </w:tc>
        <w:tc>
          <w:tcPr>
            <w:tcW w:w="810" w:type="dxa"/>
            <w:tcBorders>
              <w:top w:val="nil"/>
              <w:left w:val="nil"/>
              <w:bottom w:val="single" w:sz="4" w:space="0" w:color="auto"/>
              <w:right w:val="nil"/>
            </w:tcBorders>
            <w:shd w:val="clear" w:color="auto" w:fill="auto"/>
            <w:vAlign w:val="center"/>
            <w:hideMark/>
          </w:tcPr>
          <w:p w14:paraId="3D85ED72" w14:textId="77777777" w:rsidR="001131E6" w:rsidRPr="006E7D8F" w:rsidRDefault="001131E6" w:rsidP="004E2186">
            <w:pPr>
              <w:pStyle w:val="ExhibitText"/>
              <w:jc w:val="center"/>
              <w:rPr>
                <w:sz w:val="18"/>
                <w:szCs w:val="18"/>
              </w:rPr>
            </w:pPr>
            <w:r w:rsidRPr="006E7D8F">
              <w:rPr>
                <w:sz w:val="18"/>
                <w:szCs w:val="18"/>
              </w:rPr>
              <w:t>149</w:t>
            </w:r>
          </w:p>
        </w:tc>
        <w:tc>
          <w:tcPr>
            <w:tcW w:w="705" w:type="dxa"/>
            <w:gridSpan w:val="2"/>
            <w:tcBorders>
              <w:top w:val="nil"/>
              <w:left w:val="nil"/>
              <w:bottom w:val="single" w:sz="4" w:space="0" w:color="auto"/>
              <w:right w:val="nil"/>
            </w:tcBorders>
            <w:shd w:val="clear" w:color="auto" w:fill="auto"/>
            <w:noWrap/>
            <w:vAlign w:val="center"/>
            <w:hideMark/>
          </w:tcPr>
          <w:p w14:paraId="55F2F3F2" w14:textId="77777777" w:rsidR="001131E6" w:rsidRPr="006E7D8F" w:rsidRDefault="001131E6" w:rsidP="004E2186">
            <w:pPr>
              <w:pStyle w:val="ExhibitText"/>
              <w:jc w:val="center"/>
              <w:rPr>
                <w:color w:val="000000"/>
                <w:sz w:val="18"/>
                <w:szCs w:val="18"/>
              </w:rPr>
            </w:pPr>
          </w:p>
        </w:tc>
      </w:tr>
      <w:tr w:rsidR="001131E6" w:rsidRPr="006E7D8F" w14:paraId="49F3C28F" w14:textId="77777777" w:rsidTr="004E2186">
        <w:trPr>
          <w:gridBefore w:val="1"/>
          <w:wBefore w:w="316" w:type="dxa"/>
          <w:trHeight w:val="288"/>
          <w:jc w:val="center"/>
        </w:trPr>
        <w:tc>
          <w:tcPr>
            <w:tcW w:w="3914" w:type="dxa"/>
            <w:gridSpan w:val="2"/>
            <w:tcBorders>
              <w:top w:val="single" w:sz="4" w:space="0" w:color="auto"/>
              <w:left w:val="nil"/>
              <w:bottom w:val="single" w:sz="4" w:space="0" w:color="auto"/>
              <w:right w:val="nil"/>
            </w:tcBorders>
            <w:shd w:val="clear" w:color="auto" w:fill="auto"/>
            <w:vAlign w:val="center"/>
            <w:hideMark/>
          </w:tcPr>
          <w:p w14:paraId="6FB2EC89" w14:textId="77777777" w:rsidR="001131E6" w:rsidRPr="006E7D8F" w:rsidRDefault="001131E6" w:rsidP="00082F4B">
            <w:pPr>
              <w:pStyle w:val="ExhibitText"/>
              <w:jc w:val="left"/>
              <w:rPr>
                <w:sz w:val="18"/>
                <w:szCs w:val="18"/>
              </w:rPr>
            </w:pPr>
            <w:r w:rsidRPr="006E7D8F">
              <w:rPr>
                <w:sz w:val="18"/>
                <w:szCs w:val="18"/>
              </w:rPr>
              <w:t>Total operating expenses (V)</w:t>
            </w:r>
          </w:p>
        </w:tc>
        <w:tc>
          <w:tcPr>
            <w:tcW w:w="1080" w:type="dxa"/>
            <w:gridSpan w:val="2"/>
            <w:tcBorders>
              <w:top w:val="single" w:sz="4" w:space="0" w:color="auto"/>
              <w:left w:val="nil"/>
              <w:bottom w:val="single" w:sz="4" w:space="0" w:color="auto"/>
              <w:right w:val="nil"/>
            </w:tcBorders>
            <w:shd w:val="clear" w:color="auto" w:fill="auto"/>
            <w:vAlign w:val="center"/>
            <w:hideMark/>
          </w:tcPr>
          <w:p w14:paraId="3E2945EC" w14:textId="77777777" w:rsidR="001131E6" w:rsidRPr="006E7D8F" w:rsidRDefault="001131E6" w:rsidP="004E2186">
            <w:pPr>
              <w:pStyle w:val="ExhibitText"/>
              <w:jc w:val="center"/>
              <w:rPr>
                <w:sz w:val="18"/>
                <w:szCs w:val="18"/>
              </w:rPr>
            </w:pPr>
            <w:r w:rsidRPr="006E7D8F">
              <w:rPr>
                <w:sz w:val="18"/>
                <w:szCs w:val="18"/>
              </w:rPr>
              <w:t>3</w:t>
            </w:r>
            <w:r w:rsidR="003146E9" w:rsidRPr="006E7D8F">
              <w:rPr>
                <w:sz w:val="18"/>
                <w:szCs w:val="18"/>
              </w:rPr>
              <w:t>,</w:t>
            </w:r>
            <w:r w:rsidRPr="006E7D8F">
              <w:rPr>
                <w:sz w:val="18"/>
                <w:szCs w:val="18"/>
              </w:rPr>
              <w:t>318</w:t>
            </w:r>
          </w:p>
        </w:tc>
        <w:tc>
          <w:tcPr>
            <w:tcW w:w="810" w:type="dxa"/>
            <w:tcBorders>
              <w:top w:val="single" w:sz="4" w:space="0" w:color="auto"/>
              <w:left w:val="nil"/>
              <w:bottom w:val="single" w:sz="4" w:space="0" w:color="auto"/>
              <w:right w:val="nil"/>
            </w:tcBorders>
            <w:shd w:val="clear" w:color="auto" w:fill="auto"/>
            <w:vAlign w:val="center"/>
            <w:hideMark/>
          </w:tcPr>
          <w:p w14:paraId="506C35D7" w14:textId="77777777" w:rsidR="001131E6" w:rsidRPr="006E7D8F" w:rsidRDefault="001131E6" w:rsidP="004E2186">
            <w:pPr>
              <w:pStyle w:val="ExhibitText"/>
              <w:jc w:val="center"/>
              <w:rPr>
                <w:sz w:val="18"/>
                <w:szCs w:val="18"/>
              </w:rPr>
            </w:pPr>
            <w:r w:rsidRPr="006E7D8F">
              <w:rPr>
                <w:sz w:val="18"/>
                <w:szCs w:val="18"/>
              </w:rPr>
              <w:t>4</w:t>
            </w:r>
            <w:r w:rsidR="003146E9" w:rsidRPr="006E7D8F">
              <w:rPr>
                <w:sz w:val="18"/>
                <w:szCs w:val="18"/>
              </w:rPr>
              <w:t>,</w:t>
            </w:r>
            <w:r w:rsidRPr="006E7D8F">
              <w:rPr>
                <w:sz w:val="18"/>
                <w:szCs w:val="18"/>
              </w:rPr>
              <w:t>012</w:t>
            </w:r>
          </w:p>
        </w:tc>
        <w:tc>
          <w:tcPr>
            <w:tcW w:w="810" w:type="dxa"/>
            <w:tcBorders>
              <w:top w:val="single" w:sz="4" w:space="0" w:color="auto"/>
              <w:left w:val="nil"/>
              <w:bottom w:val="single" w:sz="4" w:space="0" w:color="auto"/>
              <w:right w:val="nil"/>
            </w:tcBorders>
            <w:shd w:val="clear" w:color="auto" w:fill="auto"/>
            <w:vAlign w:val="center"/>
            <w:hideMark/>
          </w:tcPr>
          <w:p w14:paraId="625A6167" w14:textId="77777777" w:rsidR="001131E6" w:rsidRPr="006E7D8F" w:rsidRDefault="001131E6" w:rsidP="004E2186">
            <w:pPr>
              <w:pStyle w:val="ExhibitText"/>
              <w:jc w:val="center"/>
              <w:rPr>
                <w:sz w:val="18"/>
                <w:szCs w:val="18"/>
              </w:rPr>
            </w:pPr>
            <w:r w:rsidRPr="006E7D8F">
              <w:rPr>
                <w:sz w:val="18"/>
                <w:szCs w:val="18"/>
              </w:rPr>
              <w:t>4</w:t>
            </w:r>
            <w:r w:rsidR="003146E9" w:rsidRPr="006E7D8F">
              <w:rPr>
                <w:sz w:val="18"/>
                <w:szCs w:val="18"/>
              </w:rPr>
              <w:t>,</w:t>
            </w:r>
            <w:r w:rsidRPr="006E7D8F">
              <w:rPr>
                <w:sz w:val="18"/>
                <w:szCs w:val="18"/>
              </w:rPr>
              <w:t>332</w:t>
            </w:r>
          </w:p>
        </w:tc>
        <w:tc>
          <w:tcPr>
            <w:tcW w:w="810" w:type="dxa"/>
            <w:tcBorders>
              <w:top w:val="single" w:sz="4" w:space="0" w:color="auto"/>
              <w:left w:val="nil"/>
              <w:bottom w:val="single" w:sz="4" w:space="0" w:color="auto"/>
              <w:right w:val="nil"/>
            </w:tcBorders>
            <w:shd w:val="clear" w:color="auto" w:fill="auto"/>
            <w:vAlign w:val="center"/>
            <w:hideMark/>
          </w:tcPr>
          <w:p w14:paraId="4057A6A0" w14:textId="77777777" w:rsidR="001131E6" w:rsidRPr="006E7D8F" w:rsidRDefault="001131E6" w:rsidP="004E2186">
            <w:pPr>
              <w:pStyle w:val="ExhibitText"/>
              <w:jc w:val="center"/>
              <w:rPr>
                <w:sz w:val="18"/>
                <w:szCs w:val="18"/>
              </w:rPr>
            </w:pPr>
            <w:r w:rsidRPr="006E7D8F">
              <w:rPr>
                <w:sz w:val="18"/>
                <w:szCs w:val="18"/>
              </w:rPr>
              <w:t>4</w:t>
            </w:r>
            <w:r w:rsidR="003146E9" w:rsidRPr="006E7D8F">
              <w:rPr>
                <w:sz w:val="18"/>
                <w:szCs w:val="18"/>
              </w:rPr>
              <w:t>,</w:t>
            </w:r>
            <w:r w:rsidRPr="006E7D8F">
              <w:rPr>
                <w:sz w:val="18"/>
                <w:szCs w:val="18"/>
              </w:rPr>
              <w:t>320</w:t>
            </w:r>
          </w:p>
        </w:tc>
        <w:tc>
          <w:tcPr>
            <w:tcW w:w="810" w:type="dxa"/>
            <w:tcBorders>
              <w:top w:val="single" w:sz="4" w:space="0" w:color="auto"/>
              <w:left w:val="nil"/>
              <w:bottom w:val="single" w:sz="4" w:space="0" w:color="auto"/>
              <w:right w:val="nil"/>
            </w:tcBorders>
            <w:shd w:val="clear" w:color="auto" w:fill="auto"/>
            <w:vAlign w:val="center"/>
            <w:hideMark/>
          </w:tcPr>
          <w:p w14:paraId="7DA02BC7" w14:textId="77777777" w:rsidR="001131E6" w:rsidRPr="006E7D8F" w:rsidRDefault="001131E6" w:rsidP="004E2186">
            <w:pPr>
              <w:pStyle w:val="ExhibitText"/>
              <w:jc w:val="center"/>
              <w:rPr>
                <w:sz w:val="18"/>
                <w:szCs w:val="18"/>
              </w:rPr>
            </w:pPr>
            <w:r w:rsidRPr="006E7D8F">
              <w:rPr>
                <w:sz w:val="18"/>
                <w:szCs w:val="18"/>
              </w:rPr>
              <w:t>4</w:t>
            </w:r>
            <w:r w:rsidR="003146E9" w:rsidRPr="006E7D8F">
              <w:rPr>
                <w:sz w:val="18"/>
                <w:szCs w:val="18"/>
              </w:rPr>
              <w:t>,</w:t>
            </w:r>
            <w:r w:rsidRPr="006E7D8F">
              <w:rPr>
                <w:sz w:val="18"/>
                <w:szCs w:val="18"/>
              </w:rPr>
              <w:t>431</w:t>
            </w:r>
          </w:p>
        </w:tc>
        <w:tc>
          <w:tcPr>
            <w:tcW w:w="705" w:type="dxa"/>
            <w:gridSpan w:val="2"/>
            <w:tcBorders>
              <w:top w:val="single" w:sz="4" w:space="0" w:color="auto"/>
              <w:left w:val="nil"/>
              <w:bottom w:val="single" w:sz="4" w:space="0" w:color="auto"/>
              <w:right w:val="nil"/>
            </w:tcBorders>
            <w:shd w:val="clear" w:color="auto" w:fill="auto"/>
            <w:vAlign w:val="center"/>
            <w:hideMark/>
          </w:tcPr>
          <w:p w14:paraId="04BC6177" w14:textId="77777777" w:rsidR="001131E6" w:rsidRPr="006E7D8F" w:rsidRDefault="001131E6" w:rsidP="004E2186">
            <w:pPr>
              <w:pStyle w:val="ExhibitText"/>
              <w:jc w:val="center"/>
              <w:rPr>
                <w:sz w:val="18"/>
                <w:szCs w:val="18"/>
              </w:rPr>
            </w:pPr>
            <w:r w:rsidRPr="006E7D8F">
              <w:rPr>
                <w:sz w:val="18"/>
                <w:szCs w:val="18"/>
              </w:rPr>
              <w:t>2</w:t>
            </w:r>
            <w:r w:rsidR="003146E9" w:rsidRPr="006E7D8F">
              <w:rPr>
                <w:sz w:val="18"/>
                <w:szCs w:val="18"/>
              </w:rPr>
              <w:t>,</w:t>
            </w:r>
            <w:r w:rsidRPr="006E7D8F">
              <w:rPr>
                <w:sz w:val="18"/>
                <w:szCs w:val="18"/>
              </w:rPr>
              <w:t>158</w:t>
            </w:r>
          </w:p>
        </w:tc>
      </w:tr>
      <w:tr w:rsidR="001131E6" w:rsidRPr="006E7D8F" w14:paraId="46DA1FBF" w14:textId="77777777" w:rsidTr="004E2186">
        <w:trPr>
          <w:gridBefore w:val="1"/>
          <w:wBefore w:w="316" w:type="dxa"/>
          <w:trHeight w:val="288"/>
          <w:jc w:val="center"/>
        </w:trPr>
        <w:tc>
          <w:tcPr>
            <w:tcW w:w="3914" w:type="dxa"/>
            <w:gridSpan w:val="2"/>
            <w:tcBorders>
              <w:top w:val="single" w:sz="4" w:space="0" w:color="auto"/>
              <w:left w:val="nil"/>
              <w:bottom w:val="single" w:sz="4" w:space="0" w:color="auto"/>
              <w:right w:val="nil"/>
            </w:tcBorders>
            <w:shd w:val="clear" w:color="auto" w:fill="auto"/>
            <w:vAlign w:val="center"/>
            <w:hideMark/>
          </w:tcPr>
          <w:p w14:paraId="277BC7DC" w14:textId="27551F7B" w:rsidR="001131E6" w:rsidRPr="006E7D8F" w:rsidRDefault="001131E6" w:rsidP="00082F4B">
            <w:pPr>
              <w:pStyle w:val="ExhibitText"/>
              <w:jc w:val="left"/>
              <w:rPr>
                <w:sz w:val="18"/>
                <w:szCs w:val="18"/>
              </w:rPr>
            </w:pPr>
            <w:r w:rsidRPr="006E7D8F">
              <w:rPr>
                <w:sz w:val="18"/>
                <w:szCs w:val="18"/>
              </w:rPr>
              <w:t>VI.</w:t>
            </w:r>
            <w:r w:rsidR="0069730F" w:rsidRPr="006E7D8F">
              <w:rPr>
                <w:sz w:val="18"/>
                <w:szCs w:val="18"/>
              </w:rPr>
              <w:t xml:space="preserve"> </w:t>
            </w:r>
            <w:r w:rsidRPr="006E7D8F">
              <w:rPr>
                <w:sz w:val="18"/>
                <w:szCs w:val="18"/>
              </w:rPr>
              <w:t xml:space="preserve">Operating </w:t>
            </w:r>
            <w:r w:rsidR="006126F9">
              <w:rPr>
                <w:sz w:val="18"/>
                <w:szCs w:val="18"/>
              </w:rPr>
              <w:t xml:space="preserve">profit </w:t>
            </w:r>
            <w:r w:rsidRPr="006E7D8F">
              <w:rPr>
                <w:sz w:val="18"/>
                <w:szCs w:val="18"/>
              </w:rPr>
              <w:t>(I</w:t>
            </w:r>
            <w:r w:rsidR="00165BDA" w:rsidRPr="006E7D8F">
              <w:rPr>
                <w:sz w:val="18"/>
                <w:szCs w:val="18"/>
              </w:rPr>
              <w:t xml:space="preserve"> </w:t>
            </w:r>
            <w:r w:rsidRPr="006E7D8F">
              <w:rPr>
                <w:sz w:val="18"/>
                <w:szCs w:val="18"/>
              </w:rPr>
              <w:t>+</w:t>
            </w:r>
            <w:r w:rsidR="00165BDA" w:rsidRPr="006E7D8F">
              <w:rPr>
                <w:sz w:val="18"/>
                <w:szCs w:val="18"/>
              </w:rPr>
              <w:t xml:space="preserve"> </w:t>
            </w:r>
            <w:r w:rsidRPr="006E7D8F">
              <w:rPr>
                <w:sz w:val="18"/>
                <w:szCs w:val="18"/>
              </w:rPr>
              <w:t>II</w:t>
            </w:r>
            <w:r w:rsidR="00165BDA" w:rsidRPr="006E7D8F">
              <w:rPr>
                <w:sz w:val="18"/>
                <w:szCs w:val="18"/>
              </w:rPr>
              <w:t xml:space="preserve"> – </w:t>
            </w:r>
            <w:r w:rsidRPr="006E7D8F">
              <w:rPr>
                <w:sz w:val="18"/>
                <w:szCs w:val="18"/>
              </w:rPr>
              <w:t>III</w:t>
            </w:r>
            <w:r w:rsidR="00165BDA" w:rsidRPr="006E7D8F">
              <w:rPr>
                <w:sz w:val="18"/>
                <w:szCs w:val="18"/>
              </w:rPr>
              <w:t xml:space="preserve"> − </w:t>
            </w:r>
            <w:r w:rsidRPr="006E7D8F">
              <w:rPr>
                <w:sz w:val="18"/>
                <w:szCs w:val="18"/>
              </w:rPr>
              <w:t>V)</w:t>
            </w:r>
          </w:p>
        </w:tc>
        <w:tc>
          <w:tcPr>
            <w:tcW w:w="1080" w:type="dxa"/>
            <w:gridSpan w:val="2"/>
            <w:tcBorders>
              <w:top w:val="single" w:sz="4" w:space="0" w:color="auto"/>
              <w:left w:val="nil"/>
              <w:bottom w:val="single" w:sz="4" w:space="0" w:color="auto"/>
              <w:right w:val="nil"/>
            </w:tcBorders>
            <w:shd w:val="clear" w:color="auto" w:fill="auto"/>
            <w:vAlign w:val="center"/>
            <w:hideMark/>
          </w:tcPr>
          <w:p w14:paraId="52AF0994"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020</w:t>
            </w:r>
          </w:p>
        </w:tc>
        <w:tc>
          <w:tcPr>
            <w:tcW w:w="810" w:type="dxa"/>
            <w:tcBorders>
              <w:top w:val="single" w:sz="4" w:space="0" w:color="auto"/>
              <w:left w:val="nil"/>
              <w:bottom w:val="single" w:sz="4" w:space="0" w:color="auto"/>
              <w:right w:val="nil"/>
            </w:tcBorders>
            <w:shd w:val="clear" w:color="auto" w:fill="auto"/>
            <w:vAlign w:val="center"/>
            <w:hideMark/>
          </w:tcPr>
          <w:p w14:paraId="200F579F" w14:textId="77777777" w:rsidR="001131E6" w:rsidRPr="006E7D8F" w:rsidRDefault="001131E6" w:rsidP="004E2186">
            <w:pPr>
              <w:pStyle w:val="ExhibitText"/>
              <w:jc w:val="center"/>
              <w:rPr>
                <w:sz w:val="18"/>
                <w:szCs w:val="18"/>
              </w:rPr>
            </w:pPr>
            <w:r w:rsidRPr="006E7D8F">
              <w:rPr>
                <w:sz w:val="18"/>
                <w:szCs w:val="18"/>
              </w:rPr>
              <w:t>953</w:t>
            </w:r>
          </w:p>
        </w:tc>
        <w:tc>
          <w:tcPr>
            <w:tcW w:w="810" w:type="dxa"/>
            <w:tcBorders>
              <w:top w:val="single" w:sz="4" w:space="0" w:color="auto"/>
              <w:left w:val="nil"/>
              <w:bottom w:val="single" w:sz="4" w:space="0" w:color="auto"/>
              <w:right w:val="nil"/>
            </w:tcBorders>
            <w:shd w:val="clear" w:color="auto" w:fill="auto"/>
            <w:vAlign w:val="center"/>
            <w:hideMark/>
          </w:tcPr>
          <w:p w14:paraId="07A134F9" w14:textId="77777777" w:rsidR="001131E6" w:rsidRPr="006E7D8F" w:rsidRDefault="001131E6" w:rsidP="004E2186">
            <w:pPr>
              <w:pStyle w:val="ExhibitText"/>
              <w:jc w:val="center"/>
              <w:rPr>
                <w:sz w:val="18"/>
                <w:szCs w:val="18"/>
              </w:rPr>
            </w:pPr>
            <w:r w:rsidRPr="006E7D8F">
              <w:rPr>
                <w:sz w:val="18"/>
                <w:szCs w:val="18"/>
              </w:rPr>
              <w:t>501</w:t>
            </w:r>
          </w:p>
        </w:tc>
        <w:tc>
          <w:tcPr>
            <w:tcW w:w="810" w:type="dxa"/>
            <w:tcBorders>
              <w:top w:val="single" w:sz="4" w:space="0" w:color="auto"/>
              <w:left w:val="nil"/>
              <w:bottom w:val="single" w:sz="4" w:space="0" w:color="auto"/>
              <w:right w:val="nil"/>
            </w:tcBorders>
            <w:shd w:val="clear" w:color="auto" w:fill="auto"/>
            <w:vAlign w:val="center"/>
            <w:hideMark/>
          </w:tcPr>
          <w:p w14:paraId="4E79EF80" w14:textId="35DDE5A1" w:rsidR="001131E6" w:rsidRPr="006E7D8F" w:rsidRDefault="00D97A03" w:rsidP="004E2186">
            <w:pPr>
              <w:pStyle w:val="ExhibitText"/>
              <w:jc w:val="center"/>
              <w:rPr>
                <w:sz w:val="18"/>
                <w:szCs w:val="18"/>
              </w:rPr>
            </w:pPr>
            <w:r>
              <w:rPr>
                <w:sz w:val="18"/>
                <w:szCs w:val="18"/>
              </w:rPr>
              <w:t>(</w:t>
            </w:r>
            <w:r w:rsidR="001131E6" w:rsidRPr="006E7D8F">
              <w:rPr>
                <w:sz w:val="18"/>
                <w:szCs w:val="18"/>
              </w:rPr>
              <w:t>37</w:t>
            </w:r>
            <w:r>
              <w:rPr>
                <w:sz w:val="18"/>
                <w:szCs w:val="18"/>
              </w:rPr>
              <w:t>)</w:t>
            </w:r>
          </w:p>
        </w:tc>
        <w:tc>
          <w:tcPr>
            <w:tcW w:w="810" w:type="dxa"/>
            <w:tcBorders>
              <w:top w:val="single" w:sz="4" w:space="0" w:color="auto"/>
              <w:left w:val="nil"/>
              <w:bottom w:val="single" w:sz="4" w:space="0" w:color="auto"/>
              <w:right w:val="nil"/>
            </w:tcBorders>
            <w:shd w:val="clear" w:color="auto" w:fill="auto"/>
            <w:vAlign w:val="center"/>
            <w:hideMark/>
          </w:tcPr>
          <w:p w14:paraId="36E5E06F" w14:textId="77777777" w:rsidR="001131E6" w:rsidRPr="006E7D8F" w:rsidRDefault="001131E6" w:rsidP="004E2186">
            <w:pPr>
              <w:pStyle w:val="ExhibitText"/>
              <w:jc w:val="center"/>
              <w:rPr>
                <w:sz w:val="18"/>
                <w:szCs w:val="18"/>
              </w:rPr>
            </w:pPr>
            <w:r w:rsidRPr="006E7D8F">
              <w:rPr>
                <w:sz w:val="18"/>
                <w:szCs w:val="18"/>
              </w:rPr>
              <w:t>1</w:t>
            </w:r>
            <w:r w:rsidR="003146E9" w:rsidRPr="006E7D8F">
              <w:rPr>
                <w:sz w:val="18"/>
                <w:szCs w:val="18"/>
              </w:rPr>
              <w:t>,</w:t>
            </w:r>
            <w:r w:rsidRPr="006E7D8F">
              <w:rPr>
                <w:sz w:val="18"/>
                <w:szCs w:val="18"/>
              </w:rPr>
              <w:t>517</w:t>
            </w:r>
          </w:p>
        </w:tc>
        <w:tc>
          <w:tcPr>
            <w:tcW w:w="705" w:type="dxa"/>
            <w:gridSpan w:val="2"/>
            <w:tcBorders>
              <w:top w:val="single" w:sz="4" w:space="0" w:color="auto"/>
              <w:left w:val="nil"/>
              <w:bottom w:val="single" w:sz="4" w:space="0" w:color="auto"/>
              <w:right w:val="nil"/>
            </w:tcBorders>
            <w:shd w:val="clear" w:color="auto" w:fill="auto"/>
            <w:vAlign w:val="center"/>
            <w:hideMark/>
          </w:tcPr>
          <w:p w14:paraId="2BDFE17C" w14:textId="77777777" w:rsidR="001131E6" w:rsidRPr="006E7D8F" w:rsidRDefault="001131E6" w:rsidP="004E2186">
            <w:pPr>
              <w:pStyle w:val="ExhibitText"/>
              <w:jc w:val="center"/>
              <w:rPr>
                <w:sz w:val="18"/>
                <w:szCs w:val="18"/>
              </w:rPr>
            </w:pPr>
            <w:r w:rsidRPr="006E7D8F">
              <w:rPr>
                <w:sz w:val="18"/>
                <w:szCs w:val="18"/>
              </w:rPr>
              <w:t>434</w:t>
            </w:r>
          </w:p>
        </w:tc>
      </w:tr>
      <w:tr w:rsidR="00077A17" w:rsidRPr="006E7D8F" w14:paraId="086AAB51" w14:textId="77777777" w:rsidTr="004E2186">
        <w:trPr>
          <w:trHeight w:val="259"/>
          <w:jc w:val="center"/>
        </w:trPr>
        <w:tc>
          <w:tcPr>
            <w:tcW w:w="1350" w:type="dxa"/>
            <w:gridSpan w:val="2"/>
            <w:vMerge w:val="restart"/>
            <w:tcBorders>
              <w:top w:val="single" w:sz="4" w:space="0" w:color="auto"/>
              <w:left w:val="nil"/>
              <w:bottom w:val="single" w:sz="4" w:space="0" w:color="000000"/>
              <w:right w:val="nil"/>
            </w:tcBorders>
            <w:shd w:val="clear" w:color="auto" w:fill="auto"/>
            <w:vAlign w:val="center"/>
            <w:hideMark/>
          </w:tcPr>
          <w:p w14:paraId="3900CA17" w14:textId="07A57858" w:rsidR="00077A17" w:rsidRPr="006E7D8F" w:rsidRDefault="00077A17" w:rsidP="009F75AE">
            <w:pPr>
              <w:rPr>
                <w:rFonts w:ascii="Arial" w:hAnsi="Arial" w:cs="Arial"/>
                <w:sz w:val="18"/>
                <w:szCs w:val="18"/>
              </w:rPr>
            </w:pPr>
            <w:r w:rsidRPr="006E7D8F">
              <w:rPr>
                <w:rFonts w:ascii="Arial" w:hAnsi="Arial" w:cs="Arial"/>
                <w:sz w:val="18"/>
                <w:szCs w:val="18"/>
              </w:rPr>
              <w:t xml:space="preserve">VII. Provisions and </w:t>
            </w:r>
            <w:r w:rsidR="006126F9">
              <w:rPr>
                <w:rFonts w:ascii="Arial" w:hAnsi="Arial" w:cs="Arial"/>
                <w:sz w:val="18"/>
                <w:szCs w:val="18"/>
              </w:rPr>
              <w:t>contingencies</w:t>
            </w:r>
          </w:p>
        </w:tc>
        <w:tc>
          <w:tcPr>
            <w:tcW w:w="2880" w:type="dxa"/>
            <w:tcBorders>
              <w:top w:val="single" w:sz="4" w:space="0" w:color="auto"/>
              <w:left w:val="nil"/>
              <w:bottom w:val="nil"/>
              <w:right w:val="nil"/>
            </w:tcBorders>
            <w:shd w:val="clear" w:color="auto" w:fill="auto"/>
            <w:vAlign w:val="center"/>
            <w:hideMark/>
          </w:tcPr>
          <w:p w14:paraId="6E5596D0" w14:textId="72068675" w:rsidR="00077A17" w:rsidRPr="006E7D8F" w:rsidRDefault="00077A17" w:rsidP="009F75AE">
            <w:pPr>
              <w:rPr>
                <w:rFonts w:ascii="Arial" w:hAnsi="Arial" w:cs="Arial"/>
                <w:sz w:val="18"/>
                <w:szCs w:val="18"/>
              </w:rPr>
            </w:pPr>
            <w:r w:rsidRPr="006E7D8F">
              <w:rPr>
                <w:rFonts w:ascii="Arial" w:hAnsi="Arial" w:cs="Arial"/>
                <w:sz w:val="18"/>
                <w:szCs w:val="18"/>
              </w:rPr>
              <w:t>a) Provision for NPA</w:t>
            </w:r>
          </w:p>
        </w:tc>
        <w:tc>
          <w:tcPr>
            <w:tcW w:w="990" w:type="dxa"/>
            <w:tcBorders>
              <w:top w:val="single" w:sz="4" w:space="0" w:color="auto"/>
              <w:left w:val="nil"/>
              <w:bottom w:val="nil"/>
              <w:right w:val="nil"/>
            </w:tcBorders>
            <w:shd w:val="clear" w:color="auto" w:fill="auto"/>
            <w:noWrap/>
            <w:vAlign w:val="center"/>
            <w:hideMark/>
          </w:tcPr>
          <w:p w14:paraId="6487AE2F"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392</w:t>
            </w:r>
          </w:p>
        </w:tc>
        <w:tc>
          <w:tcPr>
            <w:tcW w:w="900" w:type="dxa"/>
            <w:gridSpan w:val="2"/>
            <w:tcBorders>
              <w:top w:val="single" w:sz="4" w:space="0" w:color="auto"/>
              <w:left w:val="nil"/>
              <w:bottom w:val="nil"/>
              <w:right w:val="nil"/>
            </w:tcBorders>
            <w:shd w:val="clear" w:color="auto" w:fill="auto"/>
            <w:noWrap/>
            <w:vAlign w:val="center"/>
            <w:hideMark/>
          </w:tcPr>
          <w:p w14:paraId="44322E65"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749</w:t>
            </w:r>
          </w:p>
        </w:tc>
        <w:tc>
          <w:tcPr>
            <w:tcW w:w="810" w:type="dxa"/>
            <w:tcBorders>
              <w:top w:val="single" w:sz="4" w:space="0" w:color="auto"/>
              <w:left w:val="nil"/>
              <w:bottom w:val="nil"/>
              <w:right w:val="nil"/>
            </w:tcBorders>
            <w:shd w:val="clear" w:color="auto" w:fill="auto"/>
            <w:noWrap/>
            <w:vAlign w:val="center"/>
            <w:hideMark/>
          </w:tcPr>
          <w:p w14:paraId="542AB30E"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1,108</w:t>
            </w:r>
          </w:p>
        </w:tc>
        <w:tc>
          <w:tcPr>
            <w:tcW w:w="810" w:type="dxa"/>
            <w:tcBorders>
              <w:top w:val="single" w:sz="4" w:space="0" w:color="auto"/>
              <w:left w:val="nil"/>
              <w:bottom w:val="nil"/>
              <w:right w:val="nil"/>
            </w:tcBorders>
            <w:shd w:val="clear" w:color="auto" w:fill="auto"/>
            <w:vAlign w:val="center"/>
            <w:hideMark/>
          </w:tcPr>
          <w:p w14:paraId="0523FC2D"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2,179</w:t>
            </w:r>
          </w:p>
        </w:tc>
        <w:tc>
          <w:tcPr>
            <w:tcW w:w="810" w:type="dxa"/>
            <w:tcBorders>
              <w:top w:val="single" w:sz="4" w:space="0" w:color="auto"/>
              <w:left w:val="nil"/>
              <w:bottom w:val="nil"/>
              <w:right w:val="nil"/>
            </w:tcBorders>
            <w:shd w:val="clear" w:color="auto" w:fill="auto"/>
            <w:vAlign w:val="center"/>
            <w:hideMark/>
          </w:tcPr>
          <w:p w14:paraId="508E06E4"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1,828</w:t>
            </w:r>
          </w:p>
        </w:tc>
        <w:tc>
          <w:tcPr>
            <w:tcW w:w="705" w:type="dxa"/>
            <w:gridSpan w:val="2"/>
            <w:tcBorders>
              <w:top w:val="single" w:sz="4" w:space="0" w:color="auto"/>
              <w:left w:val="nil"/>
              <w:bottom w:val="nil"/>
              <w:right w:val="nil"/>
            </w:tcBorders>
            <w:shd w:val="clear" w:color="auto" w:fill="auto"/>
            <w:noWrap/>
            <w:vAlign w:val="center"/>
            <w:hideMark/>
          </w:tcPr>
          <w:p w14:paraId="73AB29AC" w14:textId="77777777" w:rsidR="00077A17" w:rsidRPr="006E7D8F" w:rsidRDefault="00077A17" w:rsidP="004E2186">
            <w:pPr>
              <w:jc w:val="center"/>
              <w:rPr>
                <w:rFonts w:ascii="Arial" w:hAnsi="Arial" w:cs="Arial"/>
                <w:color w:val="000000"/>
                <w:sz w:val="18"/>
                <w:szCs w:val="18"/>
              </w:rPr>
            </w:pPr>
            <w:r w:rsidRPr="006E7D8F">
              <w:rPr>
                <w:rFonts w:ascii="Arial" w:hAnsi="Arial" w:cs="Arial"/>
                <w:color w:val="000000"/>
                <w:sz w:val="18"/>
                <w:szCs w:val="18"/>
              </w:rPr>
              <w:t>506</w:t>
            </w:r>
          </w:p>
        </w:tc>
      </w:tr>
      <w:tr w:rsidR="00077A17" w:rsidRPr="006E7D8F" w14:paraId="684CF724" w14:textId="77777777" w:rsidTr="004E2186">
        <w:trPr>
          <w:trHeight w:val="259"/>
          <w:jc w:val="center"/>
        </w:trPr>
        <w:tc>
          <w:tcPr>
            <w:tcW w:w="1350" w:type="dxa"/>
            <w:gridSpan w:val="2"/>
            <w:vMerge/>
            <w:tcBorders>
              <w:top w:val="nil"/>
              <w:left w:val="nil"/>
              <w:bottom w:val="single" w:sz="4" w:space="0" w:color="000000"/>
              <w:right w:val="nil"/>
            </w:tcBorders>
            <w:vAlign w:val="center"/>
            <w:hideMark/>
          </w:tcPr>
          <w:p w14:paraId="7F3AF167" w14:textId="77777777" w:rsidR="00077A17" w:rsidRPr="006E7D8F" w:rsidRDefault="00077A17" w:rsidP="009F75AE">
            <w:pPr>
              <w:rPr>
                <w:rFonts w:ascii="Arial" w:hAnsi="Arial" w:cs="Arial"/>
                <w:sz w:val="18"/>
                <w:szCs w:val="18"/>
              </w:rPr>
            </w:pPr>
          </w:p>
        </w:tc>
        <w:tc>
          <w:tcPr>
            <w:tcW w:w="2880" w:type="dxa"/>
            <w:tcBorders>
              <w:top w:val="nil"/>
              <w:left w:val="nil"/>
              <w:bottom w:val="nil"/>
              <w:right w:val="nil"/>
            </w:tcBorders>
            <w:shd w:val="clear" w:color="auto" w:fill="auto"/>
            <w:vAlign w:val="center"/>
            <w:hideMark/>
          </w:tcPr>
          <w:p w14:paraId="134BF85A" w14:textId="77777777" w:rsidR="00077A17" w:rsidRPr="006E7D8F" w:rsidRDefault="00077A17" w:rsidP="009F75AE">
            <w:pPr>
              <w:rPr>
                <w:rFonts w:ascii="Arial" w:hAnsi="Arial" w:cs="Arial"/>
                <w:sz w:val="18"/>
                <w:szCs w:val="18"/>
              </w:rPr>
            </w:pPr>
            <w:r w:rsidRPr="006E7D8F">
              <w:rPr>
                <w:rFonts w:ascii="Arial" w:hAnsi="Arial" w:cs="Arial"/>
                <w:sz w:val="18"/>
                <w:szCs w:val="18"/>
              </w:rPr>
              <w:t>b) Provision for diminution in value of investments</w:t>
            </w:r>
          </w:p>
        </w:tc>
        <w:tc>
          <w:tcPr>
            <w:tcW w:w="990" w:type="dxa"/>
            <w:tcBorders>
              <w:top w:val="nil"/>
              <w:left w:val="nil"/>
              <w:bottom w:val="nil"/>
              <w:right w:val="nil"/>
            </w:tcBorders>
            <w:shd w:val="clear" w:color="auto" w:fill="auto"/>
            <w:noWrap/>
            <w:vAlign w:val="center"/>
            <w:hideMark/>
          </w:tcPr>
          <w:p w14:paraId="648358F4"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13</w:t>
            </w:r>
          </w:p>
        </w:tc>
        <w:tc>
          <w:tcPr>
            <w:tcW w:w="900" w:type="dxa"/>
            <w:gridSpan w:val="2"/>
            <w:tcBorders>
              <w:top w:val="nil"/>
              <w:left w:val="nil"/>
              <w:bottom w:val="nil"/>
              <w:right w:val="nil"/>
            </w:tcBorders>
            <w:shd w:val="clear" w:color="auto" w:fill="auto"/>
            <w:noWrap/>
            <w:vAlign w:val="center"/>
            <w:hideMark/>
          </w:tcPr>
          <w:p w14:paraId="1DF874B1"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46</w:t>
            </w:r>
          </w:p>
        </w:tc>
        <w:tc>
          <w:tcPr>
            <w:tcW w:w="810" w:type="dxa"/>
            <w:tcBorders>
              <w:top w:val="nil"/>
              <w:left w:val="nil"/>
              <w:bottom w:val="nil"/>
              <w:right w:val="nil"/>
            </w:tcBorders>
            <w:shd w:val="clear" w:color="auto" w:fill="auto"/>
            <w:noWrap/>
            <w:vAlign w:val="center"/>
            <w:hideMark/>
          </w:tcPr>
          <w:p w14:paraId="5FA15AED"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130</w:t>
            </w:r>
          </w:p>
        </w:tc>
        <w:tc>
          <w:tcPr>
            <w:tcW w:w="810" w:type="dxa"/>
            <w:tcBorders>
              <w:top w:val="nil"/>
              <w:left w:val="nil"/>
              <w:bottom w:val="nil"/>
              <w:right w:val="nil"/>
            </w:tcBorders>
            <w:shd w:val="clear" w:color="auto" w:fill="auto"/>
            <w:vAlign w:val="center"/>
            <w:hideMark/>
          </w:tcPr>
          <w:p w14:paraId="4C2A31E1"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148</w:t>
            </w:r>
          </w:p>
        </w:tc>
        <w:tc>
          <w:tcPr>
            <w:tcW w:w="810" w:type="dxa"/>
            <w:tcBorders>
              <w:top w:val="nil"/>
              <w:left w:val="nil"/>
              <w:bottom w:val="nil"/>
              <w:right w:val="nil"/>
            </w:tcBorders>
            <w:shd w:val="clear" w:color="auto" w:fill="auto"/>
            <w:vAlign w:val="center"/>
            <w:hideMark/>
          </w:tcPr>
          <w:p w14:paraId="09C86147"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(168)</w:t>
            </w:r>
          </w:p>
        </w:tc>
        <w:tc>
          <w:tcPr>
            <w:tcW w:w="705" w:type="dxa"/>
            <w:gridSpan w:val="2"/>
            <w:tcBorders>
              <w:top w:val="nil"/>
              <w:left w:val="nil"/>
              <w:bottom w:val="nil"/>
              <w:right w:val="nil"/>
            </w:tcBorders>
            <w:shd w:val="clear" w:color="auto" w:fill="auto"/>
            <w:noWrap/>
            <w:vAlign w:val="center"/>
            <w:hideMark/>
          </w:tcPr>
          <w:p w14:paraId="6748A0C8" w14:textId="77777777" w:rsidR="00077A17" w:rsidRPr="006E7D8F" w:rsidRDefault="00077A17" w:rsidP="004E2186">
            <w:pPr>
              <w:jc w:val="center"/>
              <w:rPr>
                <w:rFonts w:ascii="Arial" w:hAnsi="Arial" w:cs="Arial"/>
                <w:sz w:val="18"/>
                <w:szCs w:val="18"/>
              </w:rPr>
            </w:pPr>
          </w:p>
        </w:tc>
      </w:tr>
      <w:tr w:rsidR="00077A17" w:rsidRPr="006E7D8F" w14:paraId="07B16A79" w14:textId="77777777" w:rsidTr="004E2186">
        <w:trPr>
          <w:trHeight w:val="259"/>
          <w:jc w:val="center"/>
        </w:trPr>
        <w:tc>
          <w:tcPr>
            <w:tcW w:w="1350" w:type="dxa"/>
            <w:gridSpan w:val="2"/>
            <w:vMerge/>
            <w:tcBorders>
              <w:top w:val="nil"/>
              <w:left w:val="nil"/>
              <w:bottom w:val="single" w:sz="4" w:space="0" w:color="000000"/>
              <w:right w:val="nil"/>
            </w:tcBorders>
            <w:vAlign w:val="center"/>
            <w:hideMark/>
          </w:tcPr>
          <w:p w14:paraId="6BB1FBCA" w14:textId="77777777" w:rsidR="00077A17" w:rsidRPr="006E7D8F" w:rsidRDefault="00077A17" w:rsidP="009F75AE">
            <w:pPr>
              <w:rPr>
                <w:rFonts w:ascii="Arial" w:hAnsi="Arial" w:cs="Arial"/>
                <w:sz w:val="18"/>
                <w:szCs w:val="18"/>
              </w:rPr>
            </w:pPr>
          </w:p>
        </w:tc>
        <w:tc>
          <w:tcPr>
            <w:tcW w:w="2880" w:type="dxa"/>
            <w:tcBorders>
              <w:top w:val="nil"/>
              <w:left w:val="nil"/>
              <w:bottom w:val="nil"/>
              <w:right w:val="nil"/>
            </w:tcBorders>
            <w:shd w:val="clear" w:color="auto" w:fill="auto"/>
            <w:vAlign w:val="center"/>
            <w:hideMark/>
          </w:tcPr>
          <w:p w14:paraId="26155AD0" w14:textId="77777777" w:rsidR="00077A17" w:rsidRPr="006E7D8F" w:rsidRDefault="00077A17" w:rsidP="009F75AE">
            <w:pPr>
              <w:rPr>
                <w:rFonts w:ascii="Arial" w:hAnsi="Arial" w:cs="Arial"/>
                <w:sz w:val="18"/>
                <w:szCs w:val="18"/>
              </w:rPr>
            </w:pPr>
            <w:r w:rsidRPr="006E7D8F">
              <w:rPr>
                <w:rFonts w:ascii="Arial" w:hAnsi="Arial" w:cs="Arial"/>
                <w:sz w:val="18"/>
                <w:szCs w:val="18"/>
              </w:rPr>
              <w:t>c) Other provisions</w:t>
            </w:r>
          </w:p>
        </w:tc>
        <w:tc>
          <w:tcPr>
            <w:tcW w:w="990" w:type="dxa"/>
            <w:tcBorders>
              <w:top w:val="nil"/>
              <w:left w:val="nil"/>
              <w:bottom w:val="nil"/>
              <w:right w:val="nil"/>
            </w:tcBorders>
            <w:shd w:val="clear" w:color="auto" w:fill="auto"/>
            <w:noWrap/>
            <w:vAlign w:val="center"/>
            <w:hideMark/>
          </w:tcPr>
          <w:p w14:paraId="1C499CBB"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196</w:t>
            </w:r>
          </w:p>
        </w:tc>
        <w:tc>
          <w:tcPr>
            <w:tcW w:w="900" w:type="dxa"/>
            <w:gridSpan w:val="2"/>
            <w:tcBorders>
              <w:top w:val="nil"/>
              <w:left w:val="nil"/>
              <w:bottom w:val="nil"/>
              <w:right w:val="nil"/>
            </w:tcBorders>
            <w:shd w:val="clear" w:color="auto" w:fill="auto"/>
            <w:noWrap/>
            <w:vAlign w:val="center"/>
            <w:hideMark/>
          </w:tcPr>
          <w:p w14:paraId="4F0E6A21"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(249)</w:t>
            </w:r>
          </w:p>
        </w:tc>
        <w:tc>
          <w:tcPr>
            <w:tcW w:w="810" w:type="dxa"/>
            <w:tcBorders>
              <w:top w:val="nil"/>
              <w:left w:val="nil"/>
              <w:bottom w:val="nil"/>
              <w:right w:val="nil"/>
            </w:tcBorders>
            <w:shd w:val="clear" w:color="auto" w:fill="auto"/>
            <w:noWrap/>
            <w:vAlign w:val="center"/>
            <w:hideMark/>
          </w:tcPr>
          <w:p w14:paraId="770A56AA"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84</w:t>
            </w:r>
          </w:p>
        </w:tc>
        <w:tc>
          <w:tcPr>
            <w:tcW w:w="810" w:type="dxa"/>
            <w:tcBorders>
              <w:top w:val="nil"/>
              <w:left w:val="nil"/>
              <w:bottom w:val="nil"/>
              <w:right w:val="nil"/>
            </w:tcBorders>
            <w:shd w:val="clear" w:color="auto" w:fill="auto"/>
            <w:vAlign w:val="center"/>
            <w:hideMark/>
          </w:tcPr>
          <w:p w14:paraId="62ABC06D"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(82)</w:t>
            </w:r>
          </w:p>
        </w:tc>
        <w:tc>
          <w:tcPr>
            <w:tcW w:w="810" w:type="dxa"/>
            <w:tcBorders>
              <w:top w:val="nil"/>
              <w:left w:val="nil"/>
              <w:bottom w:val="nil"/>
              <w:right w:val="nil"/>
            </w:tcBorders>
            <w:shd w:val="clear" w:color="auto" w:fill="auto"/>
            <w:vAlign w:val="center"/>
            <w:hideMark/>
          </w:tcPr>
          <w:p w14:paraId="7201FB6C"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(54)</w:t>
            </w:r>
          </w:p>
        </w:tc>
        <w:tc>
          <w:tcPr>
            <w:tcW w:w="705" w:type="dxa"/>
            <w:gridSpan w:val="2"/>
            <w:tcBorders>
              <w:top w:val="nil"/>
              <w:left w:val="nil"/>
              <w:bottom w:val="nil"/>
              <w:right w:val="nil"/>
            </w:tcBorders>
            <w:shd w:val="clear" w:color="auto" w:fill="auto"/>
            <w:noWrap/>
            <w:vAlign w:val="center"/>
            <w:hideMark/>
          </w:tcPr>
          <w:p w14:paraId="511758AB" w14:textId="77777777" w:rsidR="00077A17" w:rsidRPr="006E7D8F" w:rsidRDefault="00077A17" w:rsidP="004E2186">
            <w:pPr>
              <w:jc w:val="center"/>
              <w:rPr>
                <w:rFonts w:ascii="Arial" w:hAnsi="Arial" w:cs="Arial"/>
                <w:color w:val="000000"/>
                <w:sz w:val="18"/>
                <w:szCs w:val="18"/>
              </w:rPr>
            </w:pPr>
            <w:r w:rsidRPr="006E7D8F">
              <w:rPr>
                <w:rFonts w:ascii="Arial" w:hAnsi="Arial" w:cs="Arial"/>
                <w:color w:val="000000"/>
                <w:sz w:val="18"/>
                <w:szCs w:val="18"/>
              </w:rPr>
              <w:t>129</w:t>
            </w:r>
          </w:p>
        </w:tc>
      </w:tr>
      <w:tr w:rsidR="00077A17" w:rsidRPr="006E7D8F" w14:paraId="6282348C" w14:textId="77777777" w:rsidTr="004E2186">
        <w:trPr>
          <w:trHeight w:val="259"/>
          <w:jc w:val="center"/>
        </w:trPr>
        <w:tc>
          <w:tcPr>
            <w:tcW w:w="1350" w:type="dxa"/>
            <w:gridSpan w:val="2"/>
            <w:vMerge/>
            <w:tcBorders>
              <w:top w:val="nil"/>
              <w:left w:val="nil"/>
              <w:bottom w:val="single" w:sz="4" w:space="0" w:color="000000"/>
              <w:right w:val="nil"/>
            </w:tcBorders>
            <w:vAlign w:val="center"/>
            <w:hideMark/>
          </w:tcPr>
          <w:p w14:paraId="3C4E48F9" w14:textId="77777777" w:rsidR="00077A17" w:rsidRPr="006E7D8F" w:rsidRDefault="00077A17" w:rsidP="009F75AE">
            <w:pPr>
              <w:rPr>
                <w:rFonts w:ascii="Arial" w:hAnsi="Arial" w:cs="Arial"/>
                <w:sz w:val="18"/>
                <w:szCs w:val="18"/>
              </w:rPr>
            </w:pPr>
          </w:p>
        </w:tc>
        <w:tc>
          <w:tcPr>
            <w:tcW w:w="2880" w:type="dxa"/>
            <w:tcBorders>
              <w:top w:val="nil"/>
              <w:left w:val="nil"/>
              <w:bottom w:val="nil"/>
              <w:right w:val="nil"/>
            </w:tcBorders>
            <w:shd w:val="clear" w:color="auto" w:fill="auto"/>
            <w:vAlign w:val="center"/>
            <w:hideMark/>
          </w:tcPr>
          <w:p w14:paraId="225247F5" w14:textId="77777777" w:rsidR="00077A17" w:rsidRPr="006E7D8F" w:rsidRDefault="00077A17" w:rsidP="009F75AE">
            <w:pPr>
              <w:rPr>
                <w:rFonts w:ascii="Arial" w:hAnsi="Arial" w:cs="Arial"/>
                <w:sz w:val="18"/>
                <w:szCs w:val="18"/>
              </w:rPr>
            </w:pPr>
            <w:r w:rsidRPr="006E7D8F">
              <w:rPr>
                <w:rFonts w:ascii="Arial" w:hAnsi="Arial" w:cs="Arial"/>
                <w:sz w:val="18"/>
                <w:szCs w:val="18"/>
              </w:rPr>
              <w:t>d) Provision for taxes</w:t>
            </w:r>
          </w:p>
        </w:tc>
        <w:tc>
          <w:tcPr>
            <w:tcW w:w="990" w:type="dxa"/>
            <w:tcBorders>
              <w:top w:val="nil"/>
              <w:left w:val="nil"/>
              <w:bottom w:val="nil"/>
              <w:right w:val="nil"/>
            </w:tcBorders>
            <w:shd w:val="clear" w:color="auto" w:fill="auto"/>
            <w:noWrap/>
            <w:vAlign w:val="center"/>
            <w:hideMark/>
          </w:tcPr>
          <w:p w14:paraId="499F5121"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92</w:t>
            </w:r>
          </w:p>
        </w:tc>
        <w:tc>
          <w:tcPr>
            <w:tcW w:w="900" w:type="dxa"/>
            <w:gridSpan w:val="2"/>
            <w:tcBorders>
              <w:top w:val="nil"/>
              <w:left w:val="nil"/>
              <w:bottom w:val="nil"/>
              <w:right w:val="nil"/>
            </w:tcBorders>
            <w:shd w:val="clear" w:color="auto" w:fill="auto"/>
            <w:noWrap/>
            <w:vAlign w:val="center"/>
            <w:hideMark/>
          </w:tcPr>
          <w:p w14:paraId="7FF831A1"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139</w:t>
            </w:r>
          </w:p>
        </w:tc>
        <w:tc>
          <w:tcPr>
            <w:tcW w:w="810" w:type="dxa"/>
            <w:tcBorders>
              <w:top w:val="nil"/>
              <w:left w:val="nil"/>
              <w:bottom w:val="nil"/>
              <w:right w:val="nil"/>
            </w:tcBorders>
            <w:shd w:val="clear" w:color="auto" w:fill="auto"/>
            <w:noWrap/>
            <w:vAlign w:val="center"/>
            <w:hideMark/>
          </w:tcPr>
          <w:p w14:paraId="6F94FB1A"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(290)</w:t>
            </w:r>
          </w:p>
        </w:tc>
        <w:tc>
          <w:tcPr>
            <w:tcW w:w="810" w:type="dxa"/>
            <w:tcBorders>
              <w:top w:val="nil"/>
              <w:left w:val="nil"/>
              <w:bottom w:val="nil"/>
              <w:right w:val="nil"/>
            </w:tcBorders>
            <w:shd w:val="clear" w:color="auto" w:fill="auto"/>
            <w:vAlign w:val="center"/>
            <w:hideMark/>
          </w:tcPr>
          <w:p w14:paraId="4171F9F9"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(786)</w:t>
            </w:r>
          </w:p>
        </w:tc>
        <w:tc>
          <w:tcPr>
            <w:tcW w:w="810" w:type="dxa"/>
            <w:tcBorders>
              <w:top w:val="nil"/>
              <w:left w:val="nil"/>
              <w:bottom w:val="nil"/>
              <w:right w:val="nil"/>
            </w:tcBorders>
            <w:shd w:val="clear" w:color="auto" w:fill="auto"/>
            <w:vAlign w:val="center"/>
            <w:hideMark/>
          </w:tcPr>
          <w:p w14:paraId="4C8FA417"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(105)</w:t>
            </w:r>
          </w:p>
        </w:tc>
        <w:tc>
          <w:tcPr>
            <w:tcW w:w="705" w:type="dxa"/>
            <w:gridSpan w:val="2"/>
            <w:tcBorders>
              <w:top w:val="nil"/>
              <w:left w:val="nil"/>
              <w:bottom w:val="nil"/>
              <w:right w:val="nil"/>
            </w:tcBorders>
            <w:shd w:val="clear" w:color="auto" w:fill="auto"/>
            <w:noWrap/>
            <w:vAlign w:val="center"/>
            <w:hideMark/>
          </w:tcPr>
          <w:p w14:paraId="3D96F001" w14:textId="77777777" w:rsidR="00077A17" w:rsidRPr="006E7D8F" w:rsidRDefault="00077A17" w:rsidP="004E2186">
            <w:pPr>
              <w:jc w:val="center"/>
              <w:rPr>
                <w:rFonts w:ascii="Arial" w:hAnsi="Arial" w:cs="Arial"/>
                <w:color w:val="000000"/>
                <w:sz w:val="18"/>
                <w:szCs w:val="18"/>
              </w:rPr>
            </w:pPr>
            <w:r w:rsidRPr="006E7D8F">
              <w:rPr>
                <w:rFonts w:ascii="Arial" w:hAnsi="Arial" w:cs="Arial"/>
                <w:color w:val="000000"/>
                <w:sz w:val="18"/>
                <w:szCs w:val="18"/>
              </w:rPr>
              <w:t>(70)</w:t>
            </w:r>
          </w:p>
        </w:tc>
      </w:tr>
      <w:tr w:rsidR="00077A17" w:rsidRPr="006E7D8F" w14:paraId="4DB7058D" w14:textId="77777777" w:rsidTr="004E2186">
        <w:trPr>
          <w:trHeight w:val="259"/>
          <w:jc w:val="center"/>
        </w:trPr>
        <w:tc>
          <w:tcPr>
            <w:tcW w:w="4230" w:type="dxa"/>
            <w:gridSpan w:val="3"/>
            <w:tcBorders>
              <w:top w:val="single" w:sz="4" w:space="0" w:color="auto"/>
              <w:left w:val="nil"/>
              <w:bottom w:val="single" w:sz="4" w:space="0" w:color="auto"/>
              <w:right w:val="nil"/>
            </w:tcBorders>
            <w:shd w:val="clear" w:color="auto" w:fill="auto"/>
            <w:vAlign w:val="center"/>
            <w:hideMark/>
          </w:tcPr>
          <w:p w14:paraId="3826C510" w14:textId="77777777" w:rsidR="00077A17" w:rsidRPr="006E7D8F" w:rsidRDefault="00077A17" w:rsidP="009F75AE">
            <w:pPr>
              <w:rPr>
                <w:rFonts w:ascii="Arial" w:hAnsi="Arial" w:cs="Arial"/>
                <w:sz w:val="18"/>
                <w:szCs w:val="18"/>
              </w:rPr>
            </w:pPr>
            <w:r w:rsidRPr="006E7D8F">
              <w:rPr>
                <w:rFonts w:ascii="Arial" w:hAnsi="Arial" w:cs="Arial"/>
                <w:sz w:val="18"/>
                <w:szCs w:val="18"/>
              </w:rPr>
              <w:t>Total provisions and contingencies (VII)</w:t>
            </w:r>
          </w:p>
        </w:tc>
        <w:tc>
          <w:tcPr>
            <w:tcW w:w="990" w:type="dxa"/>
            <w:tcBorders>
              <w:top w:val="single" w:sz="4" w:space="0" w:color="auto"/>
              <w:left w:val="nil"/>
              <w:bottom w:val="single" w:sz="4" w:space="0" w:color="auto"/>
              <w:right w:val="nil"/>
            </w:tcBorders>
            <w:shd w:val="clear" w:color="auto" w:fill="auto"/>
            <w:noWrap/>
            <w:vAlign w:val="center"/>
            <w:hideMark/>
          </w:tcPr>
          <w:p w14:paraId="4262C75C"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693</w:t>
            </w:r>
          </w:p>
        </w:tc>
        <w:tc>
          <w:tcPr>
            <w:tcW w:w="900" w:type="dxa"/>
            <w:gridSpan w:val="2"/>
            <w:tcBorders>
              <w:top w:val="single" w:sz="4" w:space="0" w:color="auto"/>
              <w:left w:val="nil"/>
              <w:bottom w:val="single" w:sz="4" w:space="0" w:color="auto"/>
              <w:right w:val="nil"/>
            </w:tcBorders>
            <w:shd w:val="clear" w:color="auto" w:fill="auto"/>
            <w:noWrap/>
            <w:vAlign w:val="center"/>
            <w:hideMark/>
          </w:tcPr>
          <w:p w14:paraId="6286F860"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685</w:t>
            </w:r>
          </w:p>
        </w:tc>
        <w:tc>
          <w:tcPr>
            <w:tcW w:w="810" w:type="dxa"/>
            <w:tcBorders>
              <w:top w:val="single" w:sz="4" w:space="0" w:color="auto"/>
              <w:left w:val="nil"/>
              <w:bottom w:val="single" w:sz="4" w:space="0" w:color="auto"/>
              <w:right w:val="nil"/>
            </w:tcBorders>
            <w:shd w:val="clear" w:color="auto" w:fill="auto"/>
            <w:noWrap/>
            <w:vAlign w:val="center"/>
            <w:hideMark/>
          </w:tcPr>
          <w:p w14:paraId="6EF3608D"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1,032</w:t>
            </w:r>
          </w:p>
        </w:tc>
        <w:tc>
          <w:tcPr>
            <w:tcW w:w="810" w:type="dxa"/>
            <w:tcBorders>
              <w:top w:val="single" w:sz="4" w:space="0" w:color="auto"/>
              <w:left w:val="nil"/>
              <w:bottom w:val="single" w:sz="4" w:space="0" w:color="auto"/>
              <w:right w:val="nil"/>
            </w:tcBorders>
            <w:shd w:val="clear" w:color="auto" w:fill="auto"/>
            <w:noWrap/>
            <w:vAlign w:val="center"/>
            <w:hideMark/>
          </w:tcPr>
          <w:p w14:paraId="09CBEDB9"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1,460</w:t>
            </w:r>
          </w:p>
        </w:tc>
        <w:tc>
          <w:tcPr>
            <w:tcW w:w="810" w:type="dxa"/>
            <w:tcBorders>
              <w:top w:val="single" w:sz="4" w:space="0" w:color="auto"/>
              <w:left w:val="nil"/>
              <w:bottom w:val="single" w:sz="4" w:space="0" w:color="auto"/>
              <w:right w:val="nil"/>
            </w:tcBorders>
            <w:shd w:val="clear" w:color="auto" w:fill="auto"/>
            <w:noWrap/>
            <w:vAlign w:val="center"/>
            <w:hideMark/>
          </w:tcPr>
          <w:p w14:paraId="6F6B8648"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1,502</w:t>
            </w:r>
          </w:p>
        </w:tc>
        <w:tc>
          <w:tcPr>
            <w:tcW w:w="705" w:type="dxa"/>
            <w:gridSpan w:val="2"/>
            <w:tcBorders>
              <w:top w:val="single" w:sz="4" w:space="0" w:color="auto"/>
              <w:left w:val="nil"/>
              <w:bottom w:val="single" w:sz="4" w:space="0" w:color="auto"/>
              <w:right w:val="nil"/>
            </w:tcBorders>
            <w:shd w:val="clear" w:color="auto" w:fill="auto"/>
            <w:noWrap/>
            <w:vAlign w:val="center"/>
            <w:hideMark/>
          </w:tcPr>
          <w:p w14:paraId="0B0B5B37"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566</w:t>
            </w:r>
          </w:p>
        </w:tc>
      </w:tr>
      <w:tr w:rsidR="00077A17" w:rsidRPr="006E7D8F" w14:paraId="79054774" w14:textId="77777777" w:rsidTr="004E2186">
        <w:trPr>
          <w:trHeight w:val="259"/>
          <w:jc w:val="center"/>
        </w:trPr>
        <w:tc>
          <w:tcPr>
            <w:tcW w:w="4230" w:type="dxa"/>
            <w:gridSpan w:val="3"/>
            <w:tcBorders>
              <w:top w:val="single" w:sz="4" w:space="0" w:color="auto"/>
              <w:left w:val="nil"/>
              <w:bottom w:val="single" w:sz="4" w:space="0" w:color="auto"/>
              <w:right w:val="nil"/>
            </w:tcBorders>
            <w:shd w:val="clear" w:color="auto" w:fill="auto"/>
            <w:vAlign w:val="center"/>
            <w:hideMark/>
          </w:tcPr>
          <w:p w14:paraId="015CD163" w14:textId="7F612312" w:rsidR="00077A17" w:rsidRPr="006E7D8F" w:rsidRDefault="00077A17" w:rsidP="009F75AE">
            <w:pPr>
              <w:rPr>
                <w:rFonts w:ascii="Arial" w:hAnsi="Arial" w:cs="Arial"/>
                <w:sz w:val="18"/>
                <w:szCs w:val="18"/>
              </w:rPr>
            </w:pPr>
            <w:r w:rsidRPr="006E7D8F">
              <w:rPr>
                <w:rFonts w:ascii="Arial" w:hAnsi="Arial" w:cs="Arial"/>
                <w:sz w:val="18"/>
                <w:szCs w:val="18"/>
              </w:rPr>
              <w:t>VIII. Profit (</w:t>
            </w:r>
            <w:r w:rsidR="006126F9">
              <w:rPr>
                <w:rFonts w:ascii="Arial" w:hAnsi="Arial" w:cs="Arial"/>
                <w:sz w:val="18"/>
                <w:szCs w:val="18"/>
              </w:rPr>
              <w:t>loss</w:t>
            </w:r>
            <w:r w:rsidRPr="006E7D8F">
              <w:rPr>
                <w:rFonts w:ascii="Arial" w:hAnsi="Arial" w:cs="Arial"/>
                <w:sz w:val="18"/>
                <w:szCs w:val="18"/>
              </w:rPr>
              <w:t>) during the year (VII-VI)</w:t>
            </w:r>
          </w:p>
        </w:tc>
        <w:tc>
          <w:tcPr>
            <w:tcW w:w="990" w:type="dxa"/>
            <w:tcBorders>
              <w:top w:val="nil"/>
              <w:left w:val="nil"/>
              <w:bottom w:val="single" w:sz="4" w:space="0" w:color="auto"/>
              <w:right w:val="nil"/>
            </w:tcBorders>
            <w:shd w:val="clear" w:color="auto" w:fill="auto"/>
            <w:vAlign w:val="center"/>
            <w:hideMark/>
          </w:tcPr>
          <w:p w14:paraId="60D96A4D"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327</w:t>
            </w:r>
          </w:p>
        </w:tc>
        <w:tc>
          <w:tcPr>
            <w:tcW w:w="900" w:type="dxa"/>
            <w:gridSpan w:val="2"/>
            <w:tcBorders>
              <w:top w:val="nil"/>
              <w:left w:val="nil"/>
              <w:bottom w:val="single" w:sz="4" w:space="0" w:color="auto"/>
              <w:right w:val="nil"/>
            </w:tcBorders>
            <w:shd w:val="clear" w:color="auto" w:fill="auto"/>
            <w:vAlign w:val="center"/>
            <w:hideMark/>
          </w:tcPr>
          <w:p w14:paraId="0FCFF3AE"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269</w:t>
            </w:r>
          </w:p>
        </w:tc>
        <w:tc>
          <w:tcPr>
            <w:tcW w:w="810" w:type="dxa"/>
            <w:tcBorders>
              <w:top w:val="nil"/>
              <w:left w:val="nil"/>
              <w:bottom w:val="single" w:sz="4" w:space="0" w:color="auto"/>
              <w:right w:val="nil"/>
            </w:tcBorders>
            <w:shd w:val="clear" w:color="auto" w:fill="auto"/>
            <w:vAlign w:val="center"/>
            <w:hideMark/>
          </w:tcPr>
          <w:p w14:paraId="37C401C6"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(532)</w:t>
            </w:r>
          </w:p>
        </w:tc>
        <w:tc>
          <w:tcPr>
            <w:tcW w:w="810" w:type="dxa"/>
            <w:tcBorders>
              <w:top w:val="nil"/>
              <w:left w:val="nil"/>
              <w:bottom w:val="single" w:sz="4" w:space="0" w:color="auto"/>
              <w:right w:val="nil"/>
            </w:tcBorders>
            <w:shd w:val="clear" w:color="auto" w:fill="auto"/>
            <w:vAlign w:val="center"/>
            <w:hideMark/>
          </w:tcPr>
          <w:p w14:paraId="7584DF2B"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(1,497)</w:t>
            </w:r>
          </w:p>
        </w:tc>
        <w:tc>
          <w:tcPr>
            <w:tcW w:w="810" w:type="dxa"/>
            <w:tcBorders>
              <w:top w:val="nil"/>
              <w:left w:val="nil"/>
              <w:bottom w:val="single" w:sz="4" w:space="0" w:color="auto"/>
              <w:right w:val="nil"/>
            </w:tcBorders>
            <w:shd w:val="clear" w:color="auto" w:fill="auto"/>
            <w:vAlign w:val="center"/>
            <w:hideMark/>
          </w:tcPr>
          <w:p w14:paraId="05727773"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16</w:t>
            </w:r>
          </w:p>
        </w:tc>
        <w:tc>
          <w:tcPr>
            <w:tcW w:w="705" w:type="dxa"/>
            <w:gridSpan w:val="2"/>
            <w:tcBorders>
              <w:top w:val="nil"/>
              <w:left w:val="nil"/>
              <w:bottom w:val="single" w:sz="4" w:space="0" w:color="auto"/>
              <w:right w:val="nil"/>
            </w:tcBorders>
            <w:shd w:val="clear" w:color="auto" w:fill="auto"/>
            <w:vAlign w:val="center"/>
            <w:hideMark/>
          </w:tcPr>
          <w:p w14:paraId="135D2FF3" w14:textId="77777777" w:rsidR="00077A17" w:rsidRPr="006E7D8F" w:rsidRDefault="00077A17" w:rsidP="004E2186">
            <w:pPr>
              <w:jc w:val="center"/>
              <w:rPr>
                <w:rFonts w:ascii="Arial" w:hAnsi="Arial" w:cs="Arial"/>
                <w:sz w:val="18"/>
                <w:szCs w:val="18"/>
              </w:rPr>
            </w:pPr>
            <w:r w:rsidRPr="006E7D8F">
              <w:rPr>
                <w:rFonts w:ascii="Arial" w:hAnsi="Arial" w:cs="Arial"/>
                <w:sz w:val="18"/>
                <w:szCs w:val="18"/>
              </w:rPr>
              <w:t>(131)</w:t>
            </w:r>
          </w:p>
        </w:tc>
      </w:tr>
    </w:tbl>
    <w:p w14:paraId="5A932699" w14:textId="77777777" w:rsidR="001131E6" w:rsidRPr="006E7D8F" w:rsidRDefault="001131E6" w:rsidP="00642D25">
      <w:pPr>
        <w:pStyle w:val="ExhibitText"/>
      </w:pPr>
    </w:p>
    <w:p w14:paraId="5A3CA65B" w14:textId="4C8B7162" w:rsidR="00BA656F" w:rsidRPr="006E7D8F" w:rsidRDefault="00BA656F" w:rsidP="00642D25">
      <w:pPr>
        <w:pStyle w:val="Footnote"/>
        <w:jc w:val="both"/>
      </w:pPr>
      <w:r w:rsidRPr="006E7D8F">
        <w:t xml:space="preserve">Note: ₹ = INR = Indian </w:t>
      </w:r>
      <w:r w:rsidR="006126F9">
        <w:t>rupee</w:t>
      </w:r>
      <w:r w:rsidR="00DB64BE" w:rsidRPr="006E7D8F">
        <w:t xml:space="preserve">; FY = fiscal year, expressed as fiscal year ending; </w:t>
      </w:r>
      <w:r w:rsidR="00B316DF" w:rsidRPr="006E7D8F">
        <w:t>HY = half year</w:t>
      </w:r>
      <w:r w:rsidR="00B316DF">
        <w:t>;</w:t>
      </w:r>
      <w:r w:rsidR="00B316DF" w:rsidRPr="006E7D8F">
        <w:t xml:space="preserve"> </w:t>
      </w:r>
      <w:r w:rsidR="009F75AE" w:rsidRPr="006E7D8F">
        <w:t xml:space="preserve">NPA = non-performing assets; </w:t>
      </w:r>
      <w:r w:rsidR="00DB64BE" w:rsidRPr="006E7D8F">
        <w:t>RBI = Reserve Bank of India</w:t>
      </w:r>
      <w:r w:rsidRPr="006E7D8F">
        <w:t>.</w:t>
      </w:r>
    </w:p>
    <w:p w14:paraId="63C6C4AD" w14:textId="1D43C56C" w:rsidR="001131E6" w:rsidRPr="006E7D8F" w:rsidRDefault="001131E6" w:rsidP="00531DC2">
      <w:pPr>
        <w:pStyle w:val="Footnote"/>
        <w:jc w:val="both"/>
      </w:pPr>
      <w:r w:rsidRPr="006E7D8F">
        <w:rPr>
          <w:spacing w:val="-4"/>
        </w:rPr>
        <w:t xml:space="preserve">Source: Catholic Syrian Bank </w:t>
      </w:r>
      <w:r w:rsidR="00165BDA" w:rsidRPr="006E7D8F">
        <w:rPr>
          <w:spacing w:val="-4"/>
        </w:rPr>
        <w:t xml:space="preserve">Limited, </w:t>
      </w:r>
      <w:r w:rsidR="006126F9" w:rsidRPr="002E3873">
        <w:rPr>
          <w:i/>
          <w:spacing w:val="-4"/>
        </w:rPr>
        <w:t>Unaudited Financial Results for Half Year Ended September 30, 2017</w:t>
      </w:r>
      <w:r w:rsidR="00165BDA" w:rsidRPr="006E7D8F">
        <w:rPr>
          <w:spacing w:val="-4"/>
        </w:rPr>
        <w:t xml:space="preserve">, accessed </w:t>
      </w:r>
      <w:r w:rsidR="000963FE" w:rsidRPr="006E7D8F">
        <w:rPr>
          <w:spacing w:val="-4"/>
        </w:rPr>
        <w:t>March 9</w:t>
      </w:r>
      <w:r w:rsidR="00531DC2" w:rsidRPr="006E7D8F">
        <w:rPr>
          <w:spacing w:val="-4"/>
        </w:rPr>
        <w:t>,</w:t>
      </w:r>
      <w:r w:rsidR="000963FE" w:rsidRPr="006E7D8F">
        <w:rPr>
          <w:spacing w:val="-4"/>
        </w:rPr>
        <w:t xml:space="preserve"> 2018, </w:t>
      </w:r>
      <w:r w:rsidR="006F4BB9" w:rsidRPr="006E7D8F">
        <w:rPr>
          <w:spacing w:val="-4"/>
        </w:rPr>
        <w:t>www.csb.co.in/pdf/Financials%2030092017.pdf;</w:t>
      </w:r>
      <w:r w:rsidR="00903380" w:rsidRPr="006E7D8F">
        <w:rPr>
          <w:spacing w:val="-4"/>
        </w:rPr>
        <w:t xml:space="preserve"> </w:t>
      </w:r>
      <w:r w:rsidR="00D812EF">
        <w:rPr>
          <w:spacing w:val="-4"/>
        </w:rPr>
        <w:t xml:space="preserve">Reserve Bank of India, </w:t>
      </w:r>
      <w:r w:rsidR="00903380" w:rsidRPr="006E7D8F">
        <w:rPr>
          <w:spacing w:val="-4"/>
        </w:rPr>
        <w:t>“Earnings and Expenses of Scheduled Commercial Banks</w:t>
      </w:r>
      <w:r w:rsidR="002360BC">
        <w:rPr>
          <w:spacing w:val="-4"/>
        </w:rPr>
        <w:t>,</w:t>
      </w:r>
      <w:r w:rsidR="00903380" w:rsidRPr="006E7D8F">
        <w:rPr>
          <w:spacing w:val="-4"/>
        </w:rPr>
        <w:t xml:space="preserve">” </w:t>
      </w:r>
      <w:r w:rsidR="00D812EF">
        <w:t>Database on Indian Economy</w:t>
      </w:r>
      <w:r w:rsidR="00D812EF" w:rsidRPr="008B0936">
        <w:t>,</w:t>
      </w:r>
      <w:r w:rsidR="002360BC">
        <w:rPr>
          <w:spacing w:val="-4"/>
        </w:rPr>
        <w:t xml:space="preserve"> </w:t>
      </w:r>
      <w:r w:rsidR="00903380" w:rsidRPr="006E7D8F">
        <w:rPr>
          <w:spacing w:val="-4"/>
        </w:rPr>
        <w:t>accessed March 9, 2018, https://dbie.rbi.org.in/DBIE/dbie.rbi?site=publications</w:t>
      </w:r>
      <w:r w:rsidR="00165BDA" w:rsidRPr="006E7D8F">
        <w:rPr>
          <w:spacing w:val="-4"/>
        </w:rPr>
        <w:t>.</w:t>
      </w:r>
      <w:r w:rsidRPr="006E7D8F">
        <w:br w:type="page"/>
      </w:r>
    </w:p>
    <w:p w14:paraId="5B7415F6" w14:textId="4CD3AC3E" w:rsidR="001131E6" w:rsidRPr="006E7D8F" w:rsidRDefault="001131E6" w:rsidP="001131E6">
      <w:pPr>
        <w:pStyle w:val="ExhibitHeading"/>
      </w:pPr>
      <w:r w:rsidRPr="006E7D8F">
        <w:t>EXHIBIT 2: CATHOLIC SYRIAN BANK</w:t>
      </w:r>
      <w:r w:rsidR="00C329D4" w:rsidRPr="006E7D8F">
        <w:t>, Balance Sheet</w:t>
      </w:r>
      <w:r w:rsidR="006048D3">
        <w:t xml:space="preserve"> (₹ million)</w:t>
      </w:r>
    </w:p>
    <w:p w14:paraId="0F7B548A" w14:textId="77777777" w:rsidR="001131E6" w:rsidRPr="006E7D8F" w:rsidRDefault="001131E6" w:rsidP="00642D25">
      <w:pPr>
        <w:pStyle w:val="ExhibitText"/>
      </w:pPr>
    </w:p>
    <w:tbl>
      <w:tblPr>
        <w:tblW w:w="4845" w:type="pct"/>
        <w:jc w:val="center"/>
        <w:tblLook w:val="04A0" w:firstRow="1" w:lastRow="0" w:firstColumn="1" w:lastColumn="0" w:noHBand="0" w:noVBand="1"/>
      </w:tblPr>
      <w:tblGrid>
        <w:gridCol w:w="3015"/>
        <w:gridCol w:w="1043"/>
        <w:gridCol w:w="1043"/>
        <w:gridCol w:w="1045"/>
        <w:gridCol w:w="1044"/>
        <w:gridCol w:w="1044"/>
        <w:gridCol w:w="1045"/>
      </w:tblGrid>
      <w:tr w:rsidR="001131E6" w:rsidRPr="006E7D8F" w14:paraId="28AEF9AA" w14:textId="77777777" w:rsidTr="00667F3C">
        <w:trPr>
          <w:trHeight w:val="288"/>
          <w:jc w:val="center"/>
        </w:trPr>
        <w:tc>
          <w:tcPr>
            <w:tcW w:w="3015" w:type="dxa"/>
            <w:tcBorders>
              <w:top w:val="single" w:sz="4" w:space="0" w:color="auto"/>
              <w:left w:val="nil"/>
              <w:bottom w:val="single" w:sz="12" w:space="0" w:color="auto"/>
              <w:right w:val="nil"/>
            </w:tcBorders>
            <w:shd w:val="clear" w:color="auto" w:fill="auto"/>
            <w:noWrap/>
            <w:vAlign w:val="center"/>
            <w:hideMark/>
          </w:tcPr>
          <w:p w14:paraId="0966E144" w14:textId="628C5187" w:rsidR="001131E6" w:rsidRPr="006E7D8F" w:rsidRDefault="001131E6" w:rsidP="00642D25">
            <w:pPr>
              <w:pStyle w:val="ExhibitText"/>
              <w:jc w:val="right"/>
              <w:rPr>
                <w:b/>
                <w:i/>
                <w:sz w:val="18"/>
                <w:szCs w:val="18"/>
              </w:rPr>
            </w:pPr>
          </w:p>
        </w:tc>
        <w:tc>
          <w:tcPr>
            <w:tcW w:w="1043" w:type="dxa"/>
            <w:tcBorders>
              <w:top w:val="single" w:sz="4" w:space="0" w:color="auto"/>
              <w:left w:val="nil"/>
              <w:bottom w:val="single" w:sz="12" w:space="0" w:color="auto"/>
              <w:right w:val="nil"/>
            </w:tcBorders>
            <w:shd w:val="clear" w:color="auto" w:fill="auto"/>
            <w:noWrap/>
            <w:vAlign w:val="center"/>
            <w:hideMark/>
          </w:tcPr>
          <w:p w14:paraId="4ADCAAD8" w14:textId="77777777" w:rsidR="001131E6" w:rsidRPr="006E7D8F" w:rsidRDefault="001131E6" w:rsidP="007728DA">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2013</w:t>
            </w:r>
          </w:p>
        </w:tc>
        <w:tc>
          <w:tcPr>
            <w:tcW w:w="1043" w:type="dxa"/>
            <w:tcBorders>
              <w:top w:val="single" w:sz="4" w:space="0" w:color="auto"/>
              <w:left w:val="nil"/>
              <w:bottom w:val="single" w:sz="12" w:space="0" w:color="auto"/>
              <w:right w:val="nil"/>
            </w:tcBorders>
            <w:shd w:val="clear" w:color="auto" w:fill="auto"/>
            <w:noWrap/>
            <w:vAlign w:val="center"/>
            <w:hideMark/>
          </w:tcPr>
          <w:p w14:paraId="0E9302B4" w14:textId="77777777" w:rsidR="001131E6" w:rsidRPr="006E7D8F" w:rsidRDefault="001131E6" w:rsidP="007728DA">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2014</w:t>
            </w:r>
          </w:p>
        </w:tc>
        <w:tc>
          <w:tcPr>
            <w:tcW w:w="1045" w:type="dxa"/>
            <w:tcBorders>
              <w:top w:val="single" w:sz="4" w:space="0" w:color="auto"/>
              <w:left w:val="nil"/>
              <w:bottom w:val="single" w:sz="12" w:space="0" w:color="auto"/>
              <w:right w:val="nil"/>
            </w:tcBorders>
            <w:shd w:val="clear" w:color="auto" w:fill="auto"/>
            <w:noWrap/>
            <w:vAlign w:val="center"/>
            <w:hideMark/>
          </w:tcPr>
          <w:p w14:paraId="38DB6BE3" w14:textId="77777777" w:rsidR="001131E6" w:rsidRPr="006E7D8F" w:rsidRDefault="001131E6" w:rsidP="007728DA">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2015</w:t>
            </w:r>
          </w:p>
        </w:tc>
        <w:tc>
          <w:tcPr>
            <w:tcW w:w="1044" w:type="dxa"/>
            <w:tcBorders>
              <w:top w:val="single" w:sz="4" w:space="0" w:color="auto"/>
              <w:left w:val="nil"/>
              <w:bottom w:val="single" w:sz="12" w:space="0" w:color="auto"/>
              <w:right w:val="nil"/>
            </w:tcBorders>
            <w:shd w:val="clear" w:color="auto" w:fill="auto"/>
            <w:noWrap/>
            <w:vAlign w:val="center"/>
            <w:hideMark/>
          </w:tcPr>
          <w:p w14:paraId="54C6BBA8" w14:textId="77777777" w:rsidR="001131E6" w:rsidRPr="006E7D8F" w:rsidRDefault="001131E6" w:rsidP="007728DA">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2016</w:t>
            </w:r>
          </w:p>
        </w:tc>
        <w:tc>
          <w:tcPr>
            <w:tcW w:w="1044" w:type="dxa"/>
            <w:tcBorders>
              <w:top w:val="single" w:sz="4" w:space="0" w:color="auto"/>
              <w:left w:val="nil"/>
              <w:bottom w:val="single" w:sz="12" w:space="0" w:color="auto"/>
              <w:right w:val="nil"/>
            </w:tcBorders>
            <w:shd w:val="clear" w:color="auto" w:fill="auto"/>
            <w:noWrap/>
            <w:vAlign w:val="center"/>
            <w:hideMark/>
          </w:tcPr>
          <w:p w14:paraId="6719EDDA" w14:textId="77777777" w:rsidR="001131E6" w:rsidRPr="006E7D8F" w:rsidRDefault="001131E6" w:rsidP="007728DA">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2017</w:t>
            </w:r>
          </w:p>
        </w:tc>
        <w:tc>
          <w:tcPr>
            <w:tcW w:w="1045" w:type="dxa"/>
            <w:tcBorders>
              <w:top w:val="single" w:sz="4" w:space="0" w:color="auto"/>
              <w:left w:val="nil"/>
              <w:bottom w:val="single" w:sz="12" w:space="0" w:color="auto"/>
              <w:right w:val="nil"/>
            </w:tcBorders>
            <w:shd w:val="clear" w:color="auto" w:fill="auto"/>
            <w:noWrap/>
            <w:vAlign w:val="center"/>
            <w:hideMark/>
          </w:tcPr>
          <w:p w14:paraId="68C6AB85" w14:textId="77777777" w:rsidR="001131E6" w:rsidRPr="006E7D8F" w:rsidRDefault="001131E6" w:rsidP="007728DA">
            <w:pPr>
              <w:pStyle w:val="ExhibitText"/>
              <w:jc w:val="right"/>
              <w:rPr>
                <w:b/>
                <w:sz w:val="18"/>
                <w:szCs w:val="18"/>
              </w:rPr>
            </w:pPr>
            <w:r w:rsidRPr="006E7D8F">
              <w:rPr>
                <w:b/>
                <w:sz w:val="18"/>
                <w:szCs w:val="18"/>
              </w:rPr>
              <w:t>1HY</w:t>
            </w:r>
            <w:r w:rsidR="000C151F" w:rsidRPr="006E7D8F">
              <w:rPr>
                <w:b/>
                <w:sz w:val="18"/>
                <w:szCs w:val="18"/>
              </w:rPr>
              <w:t xml:space="preserve"> </w:t>
            </w:r>
            <w:r w:rsidRPr="006E7D8F">
              <w:rPr>
                <w:b/>
                <w:sz w:val="18"/>
                <w:szCs w:val="18"/>
              </w:rPr>
              <w:t>2018</w:t>
            </w:r>
          </w:p>
        </w:tc>
      </w:tr>
      <w:tr w:rsidR="001131E6" w:rsidRPr="006E7D8F" w14:paraId="4D9D9CB8" w14:textId="77777777" w:rsidTr="00667F3C">
        <w:trPr>
          <w:trHeight w:val="288"/>
          <w:jc w:val="center"/>
        </w:trPr>
        <w:tc>
          <w:tcPr>
            <w:tcW w:w="3015" w:type="dxa"/>
            <w:tcBorders>
              <w:top w:val="single" w:sz="12" w:space="0" w:color="auto"/>
              <w:left w:val="nil"/>
              <w:bottom w:val="nil"/>
              <w:right w:val="nil"/>
            </w:tcBorders>
            <w:shd w:val="clear" w:color="auto" w:fill="auto"/>
            <w:noWrap/>
            <w:vAlign w:val="center"/>
            <w:hideMark/>
          </w:tcPr>
          <w:p w14:paraId="5BACBB42" w14:textId="77777777" w:rsidR="001131E6" w:rsidRPr="006E7D8F" w:rsidRDefault="001131E6" w:rsidP="007728DA">
            <w:pPr>
              <w:pStyle w:val="ExhibitText"/>
              <w:jc w:val="left"/>
              <w:rPr>
                <w:b/>
                <w:sz w:val="18"/>
                <w:szCs w:val="18"/>
              </w:rPr>
            </w:pPr>
            <w:r w:rsidRPr="006E7D8F">
              <w:rPr>
                <w:b/>
                <w:sz w:val="18"/>
                <w:szCs w:val="18"/>
              </w:rPr>
              <w:t>ASSETS</w:t>
            </w:r>
          </w:p>
        </w:tc>
        <w:tc>
          <w:tcPr>
            <w:tcW w:w="1043" w:type="dxa"/>
            <w:tcBorders>
              <w:top w:val="single" w:sz="12" w:space="0" w:color="auto"/>
              <w:left w:val="nil"/>
              <w:bottom w:val="nil"/>
              <w:right w:val="nil"/>
            </w:tcBorders>
            <w:shd w:val="clear" w:color="auto" w:fill="auto"/>
            <w:noWrap/>
            <w:vAlign w:val="center"/>
            <w:hideMark/>
          </w:tcPr>
          <w:p w14:paraId="0C98BE47" w14:textId="77777777" w:rsidR="001131E6" w:rsidRPr="006E7D8F" w:rsidRDefault="001131E6" w:rsidP="007728DA">
            <w:pPr>
              <w:pStyle w:val="ExhibitText"/>
              <w:jc w:val="right"/>
              <w:rPr>
                <w:b/>
                <w:sz w:val="18"/>
                <w:szCs w:val="18"/>
              </w:rPr>
            </w:pPr>
          </w:p>
        </w:tc>
        <w:tc>
          <w:tcPr>
            <w:tcW w:w="1043" w:type="dxa"/>
            <w:tcBorders>
              <w:top w:val="single" w:sz="12" w:space="0" w:color="auto"/>
              <w:left w:val="nil"/>
              <w:bottom w:val="nil"/>
              <w:right w:val="nil"/>
            </w:tcBorders>
            <w:shd w:val="clear" w:color="auto" w:fill="auto"/>
            <w:noWrap/>
            <w:vAlign w:val="center"/>
            <w:hideMark/>
          </w:tcPr>
          <w:p w14:paraId="5AC86177" w14:textId="77777777" w:rsidR="001131E6" w:rsidRPr="006E7D8F" w:rsidRDefault="001131E6" w:rsidP="007728DA">
            <w:pPr>
              <w:pStyle w:val="ExhibitText"/>
              <w:jc w:val="right"/>
              <w:rPr>
                <w:b/>
                <w:sz w:val="18"/>
                <w:szCs w:val="18"/>
              </w:rPr>
            </w:pPr>
          </w:p>
        </w:tc>
        <w:tc>
          <w:tcPr>
            <w:tcW w:w="1045" w:type="dxa"/>
            <w:tcBorders>
              <w:top w:val="single" w:sz="12" w:space="0" w:color="auto"/>
              <w:left w:val="nil"/>
              <w:bottom w:val="nil"/>
              <w:right w:val="nil"/>
            </w:tcBorders>
            <w:shd w:val="clear" w:color="auto" w:fill="auto"/>
            <w:noWrap/>
            <w:vAlign w:val="center"/>
            <w:hideMark/>
          </w:tcPr>
          <w:p w14:paraId="544FEA7F" w14:textId="77777777" w:rsidR="001131E6" w:rsidRPr="006E7D8F" w:rsidRDefault="001131E6" w:rsidP="007728DA">
            <w:pPr>
              <w:pStyle w:val="ExhibitText"/>
              <w:jc w:val="right"/>
              <w:rPr>
                <w:b/>
                <w:sz w:val="18"/>
                <w:szCs w:val="18"/>
              </w:rPr>
            </w:pPr>
          </w:p>
        </w:tc>
        <w:tc>
          <w:tcPr>
            <w:tcW w:w="1044" w:type="dxa"/>
            <w:tcBorders>
              <w:top w:val="single" w:sz="12" w:space="0" w:color="auto"/>
              <w:left w:val="nil"/>
              <w:bottom w:val="nil"/>
              <w:right w:val="nil"/>
            </w:tcBorders>
            <w:shd w:val="clear" w:color="auto" w:fill="auto"/>
            <w:noWrap/>
            <w:vAlign w:val="center"/>
            <w:hideMark/>
          </w:tcPr>
          <w:p w14:paraId="18E3E2EE" w14:textId="77777777" w:rsidR="001131E6" w:rsidRPr="006E7D8F" w:rsidRDefault="001131E6" w:rsidP="007728DA">
            <w:pPr>
              <w:pStyle w:val="ExhibitText"/>
              <w:jc w:val="right"/>
              <w:rPr>
                <w:b/>
                <w:sz w:val="18"/>
                <w:szCs w:val="18"/>
              </w:rPr>
            </w:pPr>
          </w:p>
        </w:tc>
        <w:tc>
          <w:tcPr>
            <w:tcW w:w="1044" w:type="dxa"/>
            <w:tcBorders>
              <w:top w:val="single" w:sz="12" w:space="0" w:color="auto"/>
              <w:left w:val="nil"/>
              <w:bottom w:val="nil"/>
              <w:right w:val="nil"/>
            </w:tcBorders>
            <w:shd w:val="clear" w:color="auto" w:fill="auto"/>
            <w:noWrap/>
            <w:vAlign w:val="center"/>
            <w:hideMark/>
          </w:tcPr>
          <w:p w14:paraId="7985814D" w14:textId="77777777" w:rsidR="001131E6" w:rsidRPr="006E7D8F" w:rsidRDefault="001131E6" w:rsidP="007728DA">
            <w:pPr>
              <w:pStyle w:val="ExhibitText"/>
              <w:jc w:val="right"/>
              <w:rPr>
                <w:b/>
                <w:sz w:val="18"/>
                <w:szCs w:val="18"/>
              </w:rPr>
            </w:pPr>
          </w:p>
        </w:tc>
        <w:tc>
          <w:tcPr>
            <w:tcW w:w="1045" w:type="dxa"/>
            <w:tcBorders>
              <w:top w:val="single" w:sz="12" w:space="0" w:color="auto"/>
              <w:left w:val="nil"/>
              <w:bottom w:val="nil"/>
              <w:right w:val="nil"/>
            </w:tcBorders>
            <w:shd w:val="clear" w:color="auto" w:fill="auto"/>
            <w:noWrap/>
            <w:vAlign w:val="center"/>
            <w:hideMark/>
          </w:tcPr>
          <w:p w14:paraId="11BE53B2" w14:textId="77777777" w:rsidR="001131E6" w:rsidRPr="006E7D8F" w:rsidRDefault="001131E6" w:rsidP="007728DA">
            <w:pPr>
              <w:pStyle w:val="ExhibitText"/>
              <w:jc w:val="right"/>
              <w:rPr>
                <w:sz w:val="18"/>
                <w:szCs w:val="18"/>
              </w:rPr>
            </w:pPr>
          </w:p>
        </w:tc>
      </w:tr>
      <w:tr w:rsidR="001131E6" w:rsidRPr="006E7D8F" w14:paraId="6829A7D6" w14:textId="77777777" w:rsidTr="00667F3C">
        <w:trPr>
          <w:trHeight w:val="288"/>
          <w:jc w:val="center"/>
        </w:trPr>
        <w:tc>
          <w:tcPr>
            <w:tcW w:w="3015" w:type="dxa"/>
            <w:tcBorders>
              <w:top w:val="nil"/>
              <w:left w:val="nil"/>
              <w:bottom w:val="nil"/>
              <w:right w:val="nil"/>
            </w:tcBorders>
            <w:shd w:val="clear" w:color="auto" w:fill="auto"/>
            <w:vAlign w:val="center"/>
            <w:hideMark/>
          </w:tcPr>
          <w:p w14:paraId="32921C81" w14:textId="77777777" w:rsidR="001131E6" w:rsidRPr="006E7D8F" w:rsidRDefault="001131E6" w:rsidP="007728DA">
            <w:pPr>
              <w:pStyle w:val="ExhibitText"/>
              <w:jc w:val="left"/>
              <w:rPr>
                <w:sz w:val="18"/>
                <w:szCs w:val="18"/>
              </w:rPr>
            </w:pPr>
            <w:r w:rsidRPr="006E7D8F">
              <w:rPr>
                <w:sz w:val="18"/>
                <w:szCs w:val="18"/>
              </w:rPr>
              <w:t>Cash and cash equivalents</w:t>
            </w:r>
          </w:p>
        </w:tc>
        <w:tc>
          <w:tcPr>
            <w:tcW w:w="1043" w:type="dxa"/>
            <w:tcBorders>
              <w:top w:val="nil"/>
              <w:left w:val="nil"/>
              <w:bottom w:val="nil"/>
              <w:right w:val="nil"/>
            </w:tcBorders>
            <w:shd w:val="clear" w:color="auto" w:fill="auto"/>
            <w:noWrap/>
            <w:vAlign w:val="center"/>
            <w:hideMark/>
          </w:tcPr>
          <w:p w14:paraId="2A5C5CA7" w14:textId="77777777" w:rsidR="001131E6" w:rsidRPr="006E7D8F" w:rsidRDefault="001131E6" w:rsidP="007728DA">
            <w:pPr>
              <w:pStyle w:val="ExhibitText"/>
              <w:jc w:val="right"/>
              <w:rPr>
                <w:sz w:val="18"/>
                <w:szCs w:val="18"/>
              </w:rPr>
            </w:pPr>
            <w:r w:rsidRPr="006E7D8F">
              <w:rPr>
                <w:sz w:val="18"/>
                <w:szCs w:val="18"/>
              </w:rPr>
              <w:t>10</w:t>
            </w:r>
            <w:r w:rsidR="003146E9" w:rsidRPr="006E7D8F">
              <w:rPr>
                <w:sz w:val="18"/>
                <w:szCs w:val="18"/>
              </w:rPr>
              <w:t>,</w:t>
            </w:r>
            <w:r w:rsidRPr="006E7D8F">
              <w:rPr>
                <w:sz w:val="18"/>
                <w:szCs w:val="18"/>
              </w:rPr>
              <w:t>650</w:t>
            </w:r>
          </w:p>
        </w:tc>
        <w:tc>
          <w:tcPr>
            <w:tcW w:w="1043" w:type="dxa"/>
            <w:tcBorders>
              <w:top w:val="nil"/>
              <w:left w:val="nil"/>
              <w:bottom w:val="nil"/>
              <w:right w:val="nil"/>
            </w:tcBorders>
            <w:shd w:val="clear" w:color="auto" w:fill="auto"/>
            <w:noWrap/>
            <w:vAlign w:val="center"/>
            <w:hideMark/>
          </w:tcPr>
          <w:p w14:paraId="345B39B3" w14:textId="77777777" w:rsidR="001131E6" w:rsidRPr="006E7D8F" w:rsidRDefault="001131E6" w:rsidP="007728DA">
            <w:pPr>
              <w:pStyle w:val="ExhibitText"/>
              <w:jc w:val="right"/>
              <w:rPr>
                <w:sz w:val="18"/>
                <w:szCs w:val="18"/>
              </w:rPr>
            </w:pPr>
            <w:r w:rsidRPr="006E7D8F">
              <w:rPr>
                <w:sz w:val="18"/>
                <w:szCs w:val="18"/>
              </w:rPr>
              <w:t>10</w:t>
            </w:r>
            <w:r w:rsidR="003146E9" w:rsidRPr="006E7D8F">
              <w:rPr>
                <w:sz w:val="18"/>
                <w:szCs w:val="18"/>
              </w:rPr>
              <w:t>,</w:t>
            </w:r>
            <w:r w:rsidRPr="006E7D8F">
              <w:rPr>
                <w:sz w:val="18"/>
                <w:szCs w:val="18"/>
              </w:rPr>
              <w:t>743</w:t>
            </w:r>
          </w:p>
        </w:tc>
        <w:tc>
          <w:tcPr>
            <w:tcW w:w="1045" w:type="dxa"/>
            <w:tcBorders>
              <w:top w:val="nil"/>
              <w:left w:val="nil"/>
              <w:bottom w:val="nil"/>
              <w:right w:val="nil"/>
            </w:tcBorders>
            <w:shd w:val="clear" w:color="auto" w:fill="auto"/>
            <w:noWrap/>
            <w:vAlign w:val="center"/>
            <w:hideMark/>
          </w:tcPr>
          <w:p w14:paraId="2AC1695C" w14:textId="77777777" w:rsidR="001131E6" w:rsidRPr="006E7D8F" w:rsidRDefault="001131E6" w:rsidP="007728DA">
            <w:pPr>
              <w:pStyle w:val="ExhibitText"/>
              <w:jc w:val="right"/>
              <w:rPr>
                <w:sz w:val="18"/>
                <w:szCs w:val="18"/>
              </w:rPr>
            </w:pPr>
            <w:r w:rsidRPr="006E7D8F">
              <w:rPr>
                <w:sz w:val="18"/>
                <w:szCs w:val="18"/>
              </w:rPr>
              <w:t>7</w:t>
            </w:r>
            <w:r w:rsidR="003146E9" w:rsidRPr="006E7D8F">
              <w:rPr>
                <w:sz w:val="18"/>
                <w:szCs w:val="18"/>
              </w:rPr>
              <w:t>,</w:t>
            </w:r>
            <w:r w:rsidRPr="006E7D8F">
              <w:rPr>
                <w:sz w:val="18"/>
                <w:szCs w:val="18"/>
              </w:rPr>
              <w:t>986</w:t>
            </w:r>
          </w:p>
        </w:tc>
        <w:tc>
          <w:tcPr>
            <w:tcW w:w="1044" w:type="dxa"/>
            <w:tcBorders>
              <w:top w:val="nil"/>
              <w:left w:val="nil"/>
              <w:bottom w:val="nil"/>
              <w:right w:val="nil"/>
            </w:tcBorders>
            <w:shd w:val="clear" w:color="auto" w:fill="auto"/>
            <w:noWrap/>
            <w:vAlign w:val="center"/>
            <w:hideMark/>
          </w:tcPr>
          <w:p w14:paraId="58F3C663" w14:textId="77777777" w:rsidR="001131E6" w:rsidRPr="006E7D8F" w:rsidRDefault="001131E6" w:rsidP="007728DA">
            <w:pPr>
              <w:pStyle w:val="ExhibitText"/>
              <w:jc w:val="right"/>
              <w:rPr>
                <w:sz w:val="18"/>
                <w:szCs w:val="18"/>
              </w:rPr>
            </w:pPr>
            <w:r w:rsidRPr="006E7D8F">
              <w:rPr>
                <w:sz w:val="18"/>
                <w:szCs w:val="18"/>
              </w:rPr>
              <w:t>7</w:t>
            </w:r>
            <w:r w:rsidR="003146E9" w:rsidRPr="006E7D8F">
              <w:rPr>
                <w:sz w:val="18"/>
                <w:szCs w:val="18"/>
              </w:rPr>
              <w:t>,</w:t>
            </w:r>
            <w:r w:rsidRPr="006E7D8F">
              <w:rPr>
                <w:sz w:val="18"/>
                <w:szCs w:val="18"/>
              </w:rPr>
              <w:t>263</w:t>
            </w:r>
          </w:p>
        </w:tc>
        <w:tc>
          <w:tcPr>
            <w:tcW w:w="1044" w:type="dxa"/>
            <w:tcBorders>
              <w:top w:val="nil"/>
              <w:left w:val="nil"/>
              <w:bottom w:val="nil"/>
              <w:right w:val="nil"/>
            </w:tcBorders>
            <w:shd w:val="clear" w:color="auto" w:fill="auto"/>
            <w:noWrap/>
            <w:vAlign w:val="center"/>
            <w:hideMark/>
          </w:tcPr>
          <w:p w14:paraId="1B0EA73F" w14:textId="77777777" w:rsidR="001131E6" w:rsidRPr="006E7D8F" w:rsidRDefault="001131E6" w:rsidP="007728DA">
            <w:pPr>
              <w:pStyle w:val="ExhibitText"/>
              <w:jc w:val="right"/>
              <w:rPr>
                <w:sz w:val="18"/>
                <w:szCs w:val="18"/>
              </w:rPr>
            </w:pPr>
            <w:r w:rsidRPr="006E7D8F">
              <w:rPr>
                <w:sz w:val="18"/>
                <w:szCs w:val="18"/>
              </w:rPr>
              <w:t>12</w:t>
            </w:r>
            <w:r w:rsidR="003146E9" w:rsidRPr="006E7D8F">
              <w:rPr>
                <w:sz w:val="18"/>
                <w:szCs w:val="18"/>
              </w:rPr>
              <w:t>,</w:t>
            </w:r>
            <w:r w:rsidRPr="006E7D8F">
              <w:rPr>
                <w:sz w:val="18"/>
                <w:szCs w:val="18"/>
              </w:rPr>
              <w:t>111</w:t>
            </w:r>
          </w:p>
        </w:tc>
        <w:tc>
          <w:tcPr>
            <w:tcW w:w="1045" w:type="dxa"/>
            <w:tcBorders>
              <w:top w:val="nil"/>
              <w:left w:val="nil"/>
              <w:bottom w:val="nil"/>
              <w:right w:val="nil"/>
            </w:tcBorders>
            <w:shd w:val="clear" w:color="auto" w:fill="auto"/>
            <w:noWrap/>
            <w:vAlign w:val="center"/>
            <w:hideMark/>
          </w:tcPr>
          <w:p w14:paraId="1C32E937" w14:textId="77777777" w:rsidR="001131E6" w:rsidRPr="006E7D8F" w:rsidRDefault="001131E6" w:rsidP="007728DA">
            <w:pPr>
              <w:pStyle w:val="ExhibitText"/>
              <w:jc w:val="right"/>
              <w:rPr>
                <w:sz w:val="18"/>
                <w:szCs w:val="18"/>
              </w:rPr>
            </w:pPr>
            <w:r w:rsidRPr="006E7D8F">
              <w:rPr>
                <w:sz w:val="18"/>
                <w:szCs w:val="18"/>
              </w:rPr>
              <w:t>21</w:t>
            </w:r>
            <w:r w:rsidR="003146E9" w:rsidRPr="006E7D8F">
              <w:rPr>
                <w:sz w:val="18"/>
                <w:szCs w:val="18"/>
              </w:rPr>
              <w:t>,</w:t>
            </w:r>
            <w:r w:rsidRPr="006E7D8F">
              <w:rPr>
                <w:sz w:val="18"/>
                <w:szCs w:val="18"/>
              </w:rPr>
              <w:t>881</w:t>
            </w:r>
          </w:p>
        </w:tc>
      </w:tr>
      <w:tr w:rsidR="001131E6" w:rsidRPr="006E7D8F" w14:paraId="15053CFA" w14:textId="77777777" w:rsidTr="00667F3C">
        <w:trPr>
          <w:trHeight w:val="288"/>
          <w:jc w:val="center"/>
        </w:trPr>
        <w:tc>
          <w:tcPr>
            <w:tcW w:w="3015" w:type="dxa"/>
            <w:tcBorders>
              <w:top w:val="nil"/>
              <w:left w:val="nil"/>
              <w:bottom w:val="nil"/>
              <w:right w:val="nil"/>
            </w:tcBorders>
            <w:shd w:val="clear" w:color="auto" w:fill="auto"/>
            <w:vAlign w:val="center"/>
            <w:hideMark/>
          </w:tcPr>
          <w:p w14:paraId="2118BA2D" w14:textId="77777777" w:rsidR="001131E6" w:rsidRPr="006E7D8F" w:rsidRDefault="001131E6" w:rsidP="007728DA">
            <w:pPr>
              <w:pStyle w:val="ExhibitText"/>
              <w:jc w:val="left"/>
              <w:rPr>
                <w:sz w:val="18"/>
                <w:szCs w:val="18"/>
              </w:rPr>
            </w:pPr>
            <w:r w:rsidRPr="006E7D8F">
              <w:rPr>
                <w:sz w:val="18"/>
                <w:szCs w:val="18"/>
              </w:rPr>
              <w:t>Investments</w:t>
            </w:r>
          </w:p>
        </w:tc>
        <w:tc>
          <w:tcPr>
            <w:tcW w:w="1043" w:type="dxa"/>
            <w:tcBorders>
              <w:top w:val="nil"/>
              <w:left w:val="nil"/>
              <w:bottom w:val="nil"/>
              <w:right w:val="nil"/>
            </w:tcBorders>
            <w:shd w:val="clear" w:color="auto" w:fill="auto"/>
            <w:noWrap/>
            <w:vAlign w:val="center"/>
            <w:hideMark/>
          </w:tcPr>
          <w:p w14:paraId="4CAB065F" w14:textId="77777777" w:rsidR="001131E6" w:rsidRPr="006E7D8F" w:rsidRDefault="001131E6" w:rsidP="007728DA">
            <w:pPr>
              <w:pStyle w:val="ExhibitText"/>
              <w:jc w:val="right"/>
              <w:rPr>
                <w:sz w:val="18"/>
                <w:szCs w:val="18"/>
              </w:rPr>
            </w:pPr>
            <w:r w:rsidRPr="006E7D8F">
              <w:rPr>
                <w:sz w:val="18"/>
                <w:szCs w:val="18"/>
              </w:rPr>
              <w:t>33</w:t>
            </w:r>
            <w:r w:rsidR="003146E9" w:rsidRPr="006E7D8F">
              <w:rPr>
                <w:sz w:val="18"/>
                <w:szCs w:val="18"/>
              </w:rPr>
              <w:t>,</w:t>
            </w:r>
            <w:r w:rsidRPr="006E7D8F">
              <w:rPr>
                <w:sz w:val="18"/>
                <w:szCs w:val="18"/>
              </w:rPr>
              <w:t>011</w:t>
            </w:r>
          </w:p>
        </w:tc>
        <w:tc>
          <w:tcPr>
            <w:tcW w:w="1043" w:type="dxa"/>
            <w:tcBorders>
              <w:top w:val="nil"/>
              <w:left w:val="nil"/>
              <w:bottom w:val="nil"/>
              <w:right w:val="nil"/>
            </w:tcBorders>
            <w:shd w:val="clear" w:color="auto" w:fill="auto"/>
            <w:noWrap/>
            <w:vAlign w:val="center"/>
            <w:hideMark/>
          </w:tcPr>
          <w:p w14:paraId="582042ED" w14:textId="77777777" w:rsidR="001131E6" w:rsidRPr="006E7D8F" w:rsidRDefault="001131E6" w:rsidP="007728DA">
            <w:pPr>
              <w:pStyle w:val="ExhibitText"/>
              <w:jc w:val="right"/>
              <w:rPr>
                <w:sz w:val="18"/>
                <w:szCs w:val="18"/>
              </w:rPr>
            </w:pPr>
            <w:r w:rsidRPr="006E7D8F">
              <w:rPr>
                <w:sz w:val="18"/>
                <w:szCs w:val="18"/>
              </w:rPr>
              <w:t>51</w:t>
            </w:r>
            <w:r w:rsidR="003146E9" w:rsidRPr="006E7D8F">
              <w:rPr>
                <w:sz w:val="18"/>
                <w:szCs w:val="18"/>
              </w:rPr>
              <w:t>,</w:t>
            </w:r>
            <w:r w:rsidRPr="006E7D8F">
              <w:rPr>
                <w:sz w:val="18"/>
                <w:szCs w:val="18"/>
              </w:rPr>
              <w:t>317</w:t>
            </w:r>
          </w:p>
        </w:tc>
        <w:tc>
          <w:tcPr>
            <w:tcW w:w="1045" w:type="dxa"/>
            <w:tcBorders>
              <w:top w:val="nil"/>
              <w:left w:val="nil"/>
              <w:bottom w:val="nil"/>
              <w:right w:val="nil"/>
            </w:tcBorders>
            <w:shd w:val="clear" w:color="auto" w:fill="auto"/>
            <w:noWrap/>
            <w:vAlign w:val="center"/>
            <w:hideMark/>
          </w:tcPr>
          <w:p w14:paraId="68B464D2" w14:textId="77777777" w:rsidR="001131E6" w:rsidRPr="006E7D8F" w:rsidRDefault="001131E6" w:rsidP="007728DA">
            <w:pPr>
              <w:pStyle w:val="ExhibitText"/>
              <w:jc w:val="right"/>
              <w:rPr>
                <w:sz w:val="18"/>
                <w:szCs w:val="18"/>
              </w:rPr>
            </w:pPr>
            <w:r w:rsidRPr="006E7D8F">
              <w:rPr>
                <w:sz w:val="18"/>
                <w:szCs w:val="18"/>
              </w:rPr>
              <w:t>44</w:t>
            </w:r>
            <w:r w:rsidR="003146E9" w:rsidRPr="006E7D8F">
              <w:rPr>
                <w:sz w:val="18"/>
                <w:szCs w:val="18"/>
              </w:rPr>
              <w:t>,</w:t>
            </w:r>
            <w:r w:rsidRPr="006E7D8F">
              <w:rPr>
                <w:sz w:val="18"/>
                <w:szCs w:val="18"/>
              </w:rPr>
              <w:t>271</w:t>
            </w:r>
          </w:p>
        </w:tc>
        <w:tc>
          <w:tcPr>
            <w:tcW w:w="1044" w:type="dxa"/>
            <w:tcBorders>
              <w:top w:val="nil"/>
              <w:left w:val="nil"/>
              <w:bottom w:val="nil"/>
              <w:right w:val="nil"/>
            </w:tcBorders>
            <w:shd w:val="clear" w:color="auto" w:fill="auto"/>
            <w:noWrap/>
            <w:vAlign w:val="center"/>
            <w:hideMark/>
          </w:tcPr>
          <w:p w14:paraId="6B8CCD9D" w14:textId="77777777" w:rsidR="001131E6" w:rsidRPr="006E7D8F" w:rsidRDefault="001131E6" w:rsidP="007728DA">
            <w:pPr>
              <w:pStyle w:val="ExhibitText"/>
              <w:jc w:val="right"/>
              <w:rPr>
                <w:sz w:val="18"/>
                <w:szCs w:val="18"/>
              </w:rPr>
            </w:pPr>
            <w:r w:rsidRPr="006E7D8F">
              <w:rPr>
                <w:sz w:val="18"/>
                <w:szCs w:val="18"/>
              </w:rPr>
              <w:t>59</w:t>
            </w:r>
            <w:r w:rsidR="003146E9" w:rsidRPr="006E7D8F">
              <w:rPr>
                <w:sz w:val="18"/>
                <w:szCs w:val="18"/>
              </w:rPr>
              <w:t>,</w:t>
            </w:r>
            <w:r w:rsidRPr="006E7D8F">
              <w:rPr>
                <w:sz w:val="18"/>
                <w:szCs w:val="18"/>
              </w:rPr>
              <w:t>867</w:t>
            </w:r>
          </w:p>
        </w:tc>
        <w:tc>
          <w:tcPr>
            <w:tcW w:w="1044" w:type="dxa"/>
            <w:tcBorders>
              <w:top w:val="nil"/>
              <w:left w:val="nil"/>
              <w:bottom w:val="nil"/>
              <w:right w:val="nil"/>
            </w:tcBorders>
            <w:shd w:val="clear" w:color="auto" w:fill="auto"/>
            <w:noWrap/>
            <w:vAlign w:val="center"/>
            <w:hideMark/>
          </w:tcPr>
          <w:p w14:paraId="13B8ED82" w14:textId="77777777" w:rsidR="001131E6" w:rsidRPr="006E7D8F" w:rsidRDefault="001131E6" w:rsidP="007728DA">
            <w:pPr>
              <w:pStyle w:val="ExhibitText"/>
              <w:jc w:val="right"/>
              <w:rPr>
                <w:sz w:val="18"/>
                <w:szCs w:val="18"/>
              </w:rPr>
            </w:pPr>
            <w:r w:rsidRPr="006E7D8F">
              <w:rPr>
                <w:sz w:val="18"/>
                <w:szCs w:val="18"/>
              </w:rPr>
              <w:t>57</w:t>
            </w:r>
            <w:r w:rsidR="003146E9" w:rsidRPr="006E7D8F">
              <w:rPr>
                <w:sz w:val="18"/>
                <w:szCs w:val="18"/>
              </w:rPr>
              <w:t>,</w:t>
            </w:r>
            <w:r w:rsidRPr="006E7D8F">
              <w:rPr>
                <w:sz w:val="18"/>
                <w:szCs w:val="18"/>
              </w:rPr>
              <w:t>615</w:t>
            </w:r>
          </w:p>
        </w:tc>
        <w:tc>
          <w:tcPr>
            <w:tcW w:w="1045" w:type="dxa"/>
            <w:tcBorders>
              <w:top w:val="nil"/>
              <w:left w:val="nil"/>
              <w:bottom w:val="nil"/>
              <w:right w:val="nil"/>
            </w:tcBorders>
            <w:shd w:val="clear" w:color="auto" w:fill="auto"/>
            <w:noWrap/>
            <w:vAlign w:val="center"/>
            <w:hideMark/>
          </w:tcPr>
          <w:p w14:paraId="387C563D" w14:textId="77777777" w:rsidR="001131E6" w:rsidRPr="006E7D8F" w:rsidRDefault="001131E6" w:rsidP="007728DA">
            <w:pPr>
              <w:pStyle w:val="ExhibitText"/>
              <w:jc w:val="right"/>
              <w:rPr>
                <w:sz w:val="18"/>
                <w:szCs w:val="18"/>
              </w:rPr>
            </w:pPr>
            <w:r w:rsidRPr="006E7D8F">
              <w:rPr>
                <w:sz w:val="18"/>
                <w:szCs w:val="18"/>
              </w:rPr>
              <w:t>39</w:t>
            </w:r>
            <w:r w:rsidR="003146E9" w:rsidRPr="006E7D8F">
              <w:rPr>
                <w:sz w:val="18"/>
                <w:szCs w:val="18"/>
              </w:rPr>
              <w:t>,</w:t>
            </w:r>
            <w:r w:rsidRPr="006E7D8F">
              <w:rPr>
                <w:sz w:val="18"/>
                <w:szCs w:val="18"/>
              </w:rPr>
              <w:t>780</w:t>
            </w:r>
          </w:p>
        </w:tc>
      </w:tr>
      <w:tr w:rsidR="001131E6" w:rsidRPr="006E7D8F" w14:paraId="29AD2BCC" w14:textId="77777777" w:rsidTr="00667F3C">
        <w:trPr>
          <w:trHeight w:val="288"/>
          <w:jc w:val="center"/>
        </w:trPr>
        <w:tc>
          <w:tcPr>
            <w:tcW w:w="3015" w:type="dxa"/>
            <w:tcBorders>
              <w:top w:val="nil"/>
              <w:left w:val="nil"/>
              <w:bottom w:val="nil"/>
              <w:right w:val="nil"/>
            </w:tcBorders>
            <w:shd w:val="clear" w:color="auto" w:fill="auto"/>
            <w:vAlign w:val="center"/>
            <w:hideMark/>
          </w:tcPr>
          <w:p w14:paraId="0500FBFF" w14:textId="77777777" w:rsidR="001131E6" w:rsidRPr="006E7D8F" w:rsidRDefault="001131E6" w:rsidP="007728DA">
            <w:pPr>
              <w:pStyle w:val="ExhibitText"/>
              <w:jc w:val="left"/>
              <w:rPr>
                <w:sz w:val="18"/>
                <w:szCs w:val="18"/>
              </w:rPr>
            </w:pPr>
            <w:r w:rsidRPr="006E7D8F">
              <w:rPr>
                <w:sz w:val="18"/>
                <w:szCs w:val="18"/>
              </w:rPr>
              <w:t>Advances</w:t>
            </w:r>
          </w:p>
        </w:tc>
        <w:tc>
          <w:tcPr>
            <w:tcW w:w="1043" w:type="dxa"/>
            <w:tcBorders>
              <w:top w:val="nil"/>
              <w:left w:val="nil"/>
              <w:bottom w:val="nil"/>
              <w:right w:val="nil"/>
            </w:tcBorders>
            <w:shd w:val="clear" w:color="auto" w:fill="auto"/>
            <w:noWrap/>
            <w:vAlign w:val="center"/>
            <w:hideMark/>
          </w:tcPr>
          <w:p w14:paraId="11D00975" w14:textId="77777777" w:rsidR="001131E6" w:rsidRPr="006E7D8F" w:rsidRDefault="001131E6" w:rsidP="007728DA">
            <w:pPr>
              <w:pStyle w:val="ExhibitText"/>
              <w:jc w:val="right"/>
              <w:rPr>
                <w:sz w:val="18"/>
                <w:szCs w:val="18"/>
              </w:rPr>
            </w:pPr>
            <w:r w:rsidRPr="006E7D8F">
              <w:rPr>
                <w:sz w:val="18"/>
                <w:szCs w:val="18"/>
              </w:rPr>
              <w:t>88</w:t>
            </w:r>
            <w:r w:rsidR="003146E9" w:rsidRPr="006E7D8F">
              <w:rPr>
                <w:sz w:val="18"/>
                <w:szCs w:val="18"/>
              </w:rPr>
              <w:t>,</w:t>
            </w:r>
            <w:r w:rsidRPr="006E7D8F">
              <w:rPr>
                <w:sz w:val="18"/>
                <w:szCs w:val="18"/>
              </w:rPr>
              <w:t>515</w:t>
            </w:r>
          </w:p>
        </w:tc>
        <w:tc>
          <w:tcPr>
            <w:tcW w:w="1043" w:type="dxa"/>
            <w:tcBorders>
              <w:top w:val="nil"/>
              <w:left w:val="nil"/>
              <w:bottom w:val="nil"/>
              <w:right w:val="nil"/>
            </w:tcBorders>
            <w:shd w:val="clear" w:color="auto" w:fill="auto"/>
            <w:noWrap/>
            <w:vAlign w:val="center"/>
            <w:hideMark/>
          </w:tcPr>
          <w:p w14:paraId="75077A3C" w14:textId="77777777" w:rsidR="001131E6" w:rsidRPr="006E7D8F" w:rsidRDefault="001131E6" w:rsidP="007728DA">
            <w:pPr>
              <w:pStyle w:val="ExhibitText"/>
              <w:jc w:val="right"/>
              <w:rPr>
                <w:sz w:val="18"/>
                <w:szCs w:val="18"/>
              </w:rPr>
            </w:pPr>
            <w:r w:rsidRPr="006E7D8F">
              <w:rPr>
                <w:sz w:val="18"/>
                <w:szCs w:val="18"/>
              </w:rPr>
              <w:t>87</w:t>
            </w:r>
            <w:r w:rsidR="003146E9" w:rsidRPr="006E7D8F">
              <w:rPr>
                <w:sz w:val="18"/>
                <w:szCs w:val="18"/>
              </w:rPr>
              <w:t>,</w:t>
            </w:r>
            <w:r w:rsidRPr="006E7D8F">
              <w:rPr>
                <w:sz w:val="18"/>
                <w:szCs w:val="18"/>
              </w:rPr>
              <w:t>074</w:t>
            </w:r>
          </w:p>
        </w:tc>
        <w:tc>
          <w:tcPr>
            <w:tcW w:w="1045" w:type="dxa"/>
            <w:tcBorders>
              <w:top w:val="nil"/>
              <w:left w:val="nil"/>
              <w:bottom w:val="nil"/>
              <w:right w:val="nil"/>
            </w:tcBorders>
            <w:shd w:val="clear" w:color="auto" w:fill="auto"/>
            <w:noWrap/>
            <w:vAlign w:val="center"/>
            <w:hideMark/>
          </w:tcPr>
          <w:p w14:paraId="3AE93A7F" w14:textId="77777777" w:rsidR="001131E6" w:rsidRPr="006E7D8F" w:rsidRDefault="001131E6" w:rsidP="007728DA">
            <w:pPr>
              <w:pStyle w:val="ExhibitText"/>
              <w:jc w:val="right"/>
              <w:rPr>
                <w:sz w:val="18"/>
                <w:szCs w:val="18"/>
              </w:rPr>
            </w:pPr>
            <w:r w:rsidRPr="006E7D8F">
              <w:rPr>
                <w:sz w:val="18"/>
                <w:szCs w:val="18"/>
              </w:rPr>
              <w:t>94</w:t>
            </w:r>
            <w:r w:rsidR="003146E9" w:rsidRPr="006E7D8F">
              <w:rPr>
                <w:sz w:val="18"/>
                <w:szCs w:val="18"/>
              </w:rPr>
              <w:t>,</w:t>
            </w:r>
            <w:r w:rsidRPr="006E7D8F">
              <w:rPr>
                <w:sz w:val="18"/>
                <w:szCs w:val="18"/>
              </w:rPr>
              <w:t>694</w:t>
            </w:r>
          </w:p>
        </w:tc>
        <w:tc>
          <w:tcPr>
            <w:tcW w:w="1044" w:type="dxa"/>
            <w:tcBorders>
              <w:top w:val="nil"/>
              <w:left w:val="nil"/>
              <w:bottom w:val="nil"/>
              <w:right w:val="nil"/>
            </w:tcBorders>
            <w:shd w:val="clear" w:color="auto" w:fill="auto"/>
            <w:noWrap/>
            <w:vAlign w:val="center"/>
            <w:hideMark/>
          </w:tcPr>
          <w:p w14:paraId="2075E6CA" w14:textId="77777777" w:rsidR="001131E6" w:rsidRPr="006E7D8F" w:rsidRDefault="001131E6" w:rsidP="007728DA">
            <w:pPr>
              <w:pStyle w:val="ExhibitText"/>
              <w:jc w:val="right"/>
              <w:rPr>
                <w:sz w:val="18"/>
                <w:szCs w:val="18"/>
              </w:rPr>
            </w:pPr>
            <w:r w:rsidRPr="006E7D8F">
              <w:rPr>
                <w:sz w:val="18"/>
                <w:szCs w:val="18"/>
              </w:rPr>
              <w:t>78</w:t>
            </w:r>
            <w:r w:rsidR="003146E9" w:rsidRPr="006E7D8F">
              <w:rPr>
                <w:sz w:val="18"/>
                <w:szCs w:val="18"/>
              </w:rPr>
              <w:t>,</w:t>
            </w:r>
            <w:r w:rsidRPr="006E7D8F">
              <w:rPr>
                <w:sz w:val="18"/>
                <w:szCs w:val="18"/>
              </w:rPr>
              <w:t>526</w:t>
            </w:r>
          </w:p>
        </w:tc>
        <w:tc>
          <w:tcPr>
            <w:tcW w:w="1044" w:type="dxa"/>
            <w:tcBorders>
              <w:top w:val="nil"/>
              <w:left w:val="nil"/>
              <w:bottom w:val="nil"/>
              <w:right w:val="nil"/>
            </w:tcBorders>
            <w:shd w:val="clear" w:color="auto" w:fill="auto"/>
            <w:noWrap/>
            <w:vAlign w:val="center"/>
            <w:hideMark/>
          </w:tcPr>
          <w:p w14:paraId="6623A640" w14:textId="77777777" w:rsidR="001131E6" w:rsidRPr="006E7D8F" w:rsidRDefault="001131E6" w:rsidP="007728DA">
            <w:pPr>
              <w:pStyle w:val="ExhibitText"/>
              <w:jc w:val="right"/>
              <w:rPr>
                <w:sz w:val="18"/>
                <w:szCs w:val="18"/>
              </w:rPr>
            </w:pPr>
            <w:r w:rsidRPr="006E7D8F">
              <w:rPr>
                <w:sz w:val="18"/>
                <w:szCs w:val="18"/>
              </w:rPr>
              <w:t>81</w:t>
            </w:r>
            <w:r w:rsidR="003146E9" w:rsidRPr="006E7D8F">
              <w:rPr>
                <w:sz w:val="18"/>
                <w:szCs w:val="18"/>
              </w:rPr>
              <w:t>,</w:t>
            </w:r>
            <w:r w:rsidRPr="006E7D8F">
              <w:rPr>
                <w:sz w:val="18"/>
                <w:szCs w:val="18"/>
              </w:rPr>
              <w:t>189</w:t>
            </w:r>
          </w:p>
        </w:tc>
        <w:tc>
          <w:tcPr>
            <w:tcW w:w="1045" w:type="dxa"/>
            <w:tcBorders>
              <w:top w:val="nil"/>
              <w:left w:val="nil"/>
              <w:bottom w:val="nil"/>
              <w:right w:val="nil"/>
            </w:tcBorders>
            <w:shd w:val="clear" w:color="auto" w:fill="auto"/>
            <w:noWrap/>
            <w:vAlign w:val="center"/>
            <w:hideMark/>
          </w:tcPr>
          <w:p w14:paraId="00ADE169" w14:textId="77777777" w:rsidR="001131E6" w:rsidRPr="006E7D8F" w:rsidRDefault="001131E6" w:rsidP="007728DA">
            <w:pPr>
              <w:pStyle w:val="ExhibitText"/>
              <w:jc w:val="right"/>
              <w:rPr>
                <w:sz w:val="18"/>
                <w:szCs w:val="18"/>
              </w:rPr>
            </w:pPr>
            <w:r w:rsidRPr="006E7D8F">
              <w:rPr>
                <w:sz w:val="18"/>
                <w:szCs w:val="18"/>
              </w:rPr>
              <w:t>90</w:t>
            </w:r>
            <w:r w:rsidR="003146E9" w:rsidRPr="006E7D8F">
              <w:rPr>
                <w:sz w:val="18"/>
                <w:szCs w:val="18"/>
              </w:rPr>
              <w:t>,</w:t>
            </w:r>
            <w:r w:rsidRPr="006E7D8F">
              <w:rPr>
                <w:sz w:val="18"/>
                <w:szCs w:val="18"/>
              </w:rPr>
              <w:t>440</w:t>
            </w:r>
          </w:p>
        </w:tc>
      </w:tr>
      <w:tr w:rsidR="001131E6" w:rsidRPr="006E7D8F" w14:paraId="594DDFB2" w14:textId="77777777" w:rsidTr="00667F3C">
        <w:trPr>
          <w:trHeight w:val="288"/>
          <w:jc w:val="center"/>
        </w:trPr>
        <w:tc>
          <w:tcPr>
            <w:tcW w:w="3015" w:type="dxa"/>
            <w:tcBorders>
              <w:top w:val="nil"/>
              <w:left w:val="nil"/>
              <w:bottom w:val="nil"/>
              <w:right w:val="nil"/>
            </w:tcBorders>
            <w:shd w:val="clear" w:color="auto" w:fill="auto"/>
            <w:vAlign w:val="center"/>
            <w:hideMark/>
          </w:tcPr>
          <w:p w14:paraId="737602DB" w14:textId="6259D182" w:rsidR="001131E6" w:rsidRPr="006E7D8F" w:rsidRDefault="00D97A03" w:rsidP="007728DA">
            <w:pPr>
              <w:pStyle w:val="ExhibitText"/>
              <w:jc w:val="left"/>
              <w:rPr>
                <w:sz w:val="18"/>
                <w:szCs w:val="18"/>
              </w:rPr>
            </w:pPr>
            <w:r>
              <w:rPr>
                <w:sz w:val="18"/>
                <w:szCs w:val="18"/>
              </w:rPr>
              <w:t xml:space="preserve">  </w:t>
            </w:r>
            <w:r w:rsidR="001131E6" w:rsidRPr="006E7D8F">
              <w:rPr>
                <w:sz w:val="18"/>
                <w:szCs w:val="18"/>
              </w:rPr>
              <w:t>Bills purchased and discounted</w:t>
            </w:r>
          </w:p>
        </w:tc>
        <w:tc>
          <w:tcPr>
            <w:tcW w:w="1043" w:type="dxa"/>
            <w:tcBorders>
              <w:top w:val="nil"/>
              <w:left w:val="nil"/>
              <w:bottom w:val="nil"/>
              <w:right w:val="nil"/>
            </w:tcBorders>
            <w:shd w:val="clear" w:color="auto" w:fill="auto"/>
            <w:noWrap/>
            <w:vAlign w:val="center"/>
            <w:hideMark/>
          </w:tcPr>
          <w:p w14:paraId="1158776C"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548</w:t>
            </w:r>
          </w:p>
        </w:tc>
        <w:tc>
          <w:tcPr>
            <w:tcW w:w="1043" w:type="dxa"/>
            <w:tcBorders>
              <w:top w:val="nil"/>
              <w:left w:val="nil"/>
              <w:bottom w:val="nil"/>
              <w:right w:val="nil"/>
            </w:tcBorders>
            <w:shd w:val="clear" w:color="auto" w:fill="auto"/>
            <w:noWrap/>
            <w:vAlign w:val="center"/>
            <w:hideMark/>
          </w:tcPr>
          <w:p w14:paraId="09EA1CAA" w14:textId="77777777" w:rsidR="001131E6" w:rsidRPr="006E7D8F" w:rsidRDefault="001131E6" w:rsidP="007728DA">
            <w:pPr>
              <w:pStyle w:val="ExhibitText"/>
              <w:jc w:val="right"/>
              <w:rPr>
                <w:sz w:val="18"/>
                <w:szCs w:val="18"/>
              </w:rPr>
            </w:pPr>
            <w:r w:rsidRPr="006E7D8F">
              <w:rPr>
                <w:sz w:val="18"/>
                <w:szCs w:val="18"/>
              </w:rPr>
              <w:t>4</w:t>
            </w:r>
            <w:r w:rsidR="003146E9" w:rsidRPr="006E7D8F">
              <w:rPr>
                <w:sz w:val="18"/>
                <w:szCs w:val="18"/>
              </w:rPr>
              <w:t>,</w:t>
            </w:r>
            <w:r w:rsidRPr="006E7D8F">
              <w:rPr>
                <w:sz w:val="18"/>
                <w:szCs w:val="18"/>
              </w:rPr>
              <w:t>743</w:t>
            </w:r>
          </w:p>
        </w:tc>
        <w:tc>
          <w:tcPr>
            <w:tcW w:w="1045" w:type="dxa"/>
            <w:tcBorders>
              <w:top w:val="nil"/>
              <w:left w:val="nil"/>
              <w:bottom w:val="nil"/>
              <w:right w:val="nil"/>
            </w:tcBorders>
            <w:shd w:val="clear" w:color="auto" w:fill="auto"/>
            <w:noWrap/>
            <w:vAlign w:val="center"/>
            <w:hideMark/>
          </w:tcPr>
          <w:p w14:paraId="755A6299" w14:textId="77777777" w:rsidR="001131E6" w:rsidRPr="006E7D8F" w:rsidRDefault="001131E6" w:rsidP="007728DA">
            <w:pPr>
              <w:pStyle w:val="ExhibitText"/>
              <w:jc w:val="right"/>
              <w:rPr>
                <w:sz w:val="18"/>
                <w:szCs w:val="18"/>
              </w:rPr>
            </w:pPr>
            <w:r w:rsidRPr="006E7D8F">
              <w:rPr>
                <w:sz w:val="18"/>
                <w:szCs w:val="18"/>
              </w:rPr>
              <w:t>7</w:t>
            </w:r>
            <w:r w:rsidR="003146E9" w:rsidRPr="006E7D8F">
              <w:rPr>
                <w:sz w:val="18"/>
                <w:szCs w:val="18"/>
              </w:rPr>
              <w:t>,</w:t>
            </w:r>
            <w:r w:rsidRPr="006E7D8F">
              <w:rPr>
                <w:sz w:val="18"/>
                <w:szCs w:val="18"/>
              </w:rPr>
              <w:t>506</w:t>
            </w:r>
          </w:p>
        </w:tc>
        <w:tc>
          <w:tcPr>
            <w:tcW w:w="1044" w:type="dxa"/>
            <w:tcBorders>
              <w:top w:val="nil"/>
              <w:left w:val="nil"/>
              <w:bottom w:val="nil"/>
              <w:right w:val="nil"/>
            </w:tcBorders>
            <w:shd w:val="clear" w:color="auto" w:fill="auto"/>
            <w:noWrap/>
            <w:vAlign w:val="center"/>
            <w:hideMark/>
          </w:tcPr>
          <w:p w14:paraId="2785744E"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520</w:t>
            </w:r>
          </w:p>
        </w:tc>
        <w:tc>
          <w:tcPr>
            <w:tcW w:w="1044" w:type="dxa"/>
            <w:tcBorders>
              <w:top w:val="nil"/>
              <w:left w:val="nil"/>
              <w:bottom w:val="nil"/>
              <w:right w:val="nil"/>
            </w:tcBorders>
            <w:shd w:val="clear" w:color="auto" w:fill="auto"/>
            <w:noWrap/>
            <w:vAlign w:val="center"/>
            <w:hideMark/>
          </w:tcPr>
          <w:p w14:paraId="45CB9D64" w14:textId="77777777" w:rsidR="001131E6" w:rsidRPr="006E7D8F" w:rsidRDefault="001131E6" w:rsidP="007728DA">
            <w:pPr>
              <w:pStyle w:val="ExhibitText"/>
              <w:jc w:val="right"/>
              <w:rPr>
                <w:sz w:val="18"/>
                <w:szCs w:val="18"/>
              </w:rPr>
            </w:pPr>
            <w:r w:rsidRPr="006E7D8F">
              <w:rPr>
                <w:sz w:val="18"/>
                <w:szCs w:val="18"/>
              </w:rPr>
              <w:t>5</w:t>
            </w:r>
            <w:r w:rsidR="003146E9" w:rsidRPr="006E7D8F">
              <w:rPr>
                <w:sz w:val="18"/>
                <w:szCs w:val="18"/>
              </w:rPr>
              <w:t>,</w:t>
            </w:r>
            <w:r w:rsidRPr="006E7D8F">
              <w:rPr>
                <w:sz w:val="18"/>
                <w:szCs w:val="18"/>
              </w:rPr>
              <w:t>792</w:t>
            </w:r>
          </w:p>
        </w:tc>
        <w:tc>
          <w:tcPr>
            <w:tcW w:w="1045" w:type="dxa"/>
            <w:tcBorders>
              <w:top w:val="nil"/>
              <w:left w:val="nil"/>
              <w:bottom w:val="nil"/>
              <w:right w:val="nil"/>
            </w:tcBorders>
            <w:shd w:val="clear" w:color="auto" w:fill="auto"/>
            <w:noWrap/>
            <w:vAlign w:val="center"/>
            <w:hideMark/>
          </w:tcPr>
          <w:p w14:paraId="2F61E2FD" w14:textId="77777777" w:rsidR="001131E6" w:rsidRPr="006E7D8F" w:rsidRDefault="001131E6" w:rsidP="007728DA">
            <w:pPr>
              <w:pStyle w:val="ExhibitText"/>
              <w:jc w:val="right"/>
              <w:rPr>
                <w:sz w:val="18"/>
                <w:szCs w:val="18"/>
              </w:rPr>
            </w:pPr>
          </w:p>
        </w:tc>
      </w:tr>
      <w:tr w:rsidR="001131E6" w:rsidRPr="006E7D8F" w14:paraId="1C4C90EC" w14:textId="77777777" w:rsidTr="00667F3C">
        <w:trPr>
          <w:trHeight w:val="288"/>
          <w:jc w:val="center"/>
        </w:trPr>
        <w:tc>
          <w:tcPr>
            <w:tcW w:w="3015" w:type="dxa"/>
            <w:tcBorders>
              <w:top w:val="nil"/>
              <w:left w:val="nil"/>
              <w:bottom w:val="nil"/>
              <w:right w:val="nil"/>
            </w:tcBorders>
            <w:shd w:val="clear" w:color="auto" w:fill="auto"/>
            <w:vAlign w:val="center"/>
            <w:hideMark/>
          </w:tcPr>
          <w:p w14:paraId="1B8B9D10" w14:textId="2AC76356" w:rsidR="001131E6" w:rsidRPr="006E7D8F" w:rsidRDefault="00D97A03" w:rsidP="007728DA">
            <w:pPr>
              <w:pStyle w:val="ExhibitText"/>
              <w:jc w:val="left"/>
              <w:rPr>
                <w:sz w:val="18"/>
                <w:szCs w:val="18"/>
              </w:rPr>
            </w:pPr>
            <w:r>
              <w:rPr>
                <w:sz w:val="18"/>
                <w:szCs w:val="18"/>
              </w:rPr>
              <w:t xml:space="preserve">  </w:t>
            </w:r>
            <w:r w:rsidR="001131E6" w:rsidRPr="006E7D8F">
              <w:rPr>
                <w:sz w:val="18"/>
                <w:szCs w:val="18"/>
              </w:rPr>
              <w:t>Cash credits, overdrafts &amp; loans</w:t>
            </w:r>
          </w:p>
        </w:tc>
        <w:tc>
          <w:tcPr>
            <w:tcW w:w="1043" w:type="dxa"/>
            <w:tcBorders>
              <w:top w:val="nil"/>
              <w:left w:val="nil"/>
              <w:bottom w:val="nil"/>
              <w:right w:val="nil"/>
            </w:tcBorders>
            <w:shd w:val="clear" w:color="auto" w:fill="auto"/>
            <w:noWrap/>
            <w:vAlign w:val="center"/>
            <w:hideMark/>
          </w:tcPr>
          <w:p w14:paraId="561529C8" w14:textId="77777777" w:rsidR="001131E6" w:rsidRPr="006E7D8F" w:rsidRDefault="001131E6" w:rsidP="007728DA">
            <w:pPr>
              <w:pStyle w:val="ExhibitText"/>
              <w:jc w:val="right"/>
              <w:rPr>
                <w:sz w:val="18"/>
                <w:szCs w:val="18"/>
              </w:rPr>
            </w:pPr>
            <w:r w:rsidRPr="006E7D8F">
              <w:rPr>
                <w:sz w:val="18"/>
                <w:szCs w:val="18"/>
              </w:rPr>
              <w:t>63</w:t>
            </w:r>
            <w:r w:rsidR="003146E9" w:rsidRPr="006E7D8F">
              <w:rPr>
                <w:sz w:val="18"/>
                <w:szCs w:val="18"/>
              </w:rPr>
              <w:t>,</w:t>
            </w:r>
            <w:r w:rsidRPr="006E7D8F">
              <w:rPr>
                <w:sz w:val="18"/>
                <w:szCs w:val="18"/>
              </w:rPr>
              <w:t>680</w:t>
            </w:r>
          </w:p>
        </w:tc>
        <w:tc>
          <w:tcPr>
            <w:tcW w:w="1043" w:type="dxa"/>
            <w:tcBorders>
              <w:top w:val="nil"/>
              <w:left w:val="nil"/>
              <w:bottom w:val="nil"/>
              <w:right w:val="nil"/>
            </w:tcBorders>
            <w:shd w:val="clear" w:color="auto" w:fill="auto"/>
            <w:noWrap/>
            <w:vAlign w:val="center"/>
            <w:hideMark/>
          </w:tcPr>
          <w:p w14:paraId="04F0B5A0" w14:textId="77777777" w:rsidR="001131E6" w:rsidRPr="006E7D8F" w:rsidRDefault="001131E6" w:rsidP="007728DA">
            <w:pPr>
              <w:pStyle w:val="ExhibitText"/>
              <w:jc w:val="right"/>
              <w:rPr>
                <w:sz w:val="18"/>
                <w:szCs w:val="18"/>
              </w:rPr>
            </w:pPr>
            <w:r w:rsidRPr="006E7D8F">
              <w:rPr>
                <w:sz w:val="18"/>
                <w:szCs w:val="18"/>
              </w:rPr>
              <w:t>57</w:t>
            </w:r>
            <w:r w:rsidR="003146E9" w:rsidRPr="006E7D8F">
              <w:rPr>
                <w:sz w:val="18"/>
                <w:szCs w:val="18"/>
              </w:rPr>
              <w:t>,</w:t>
            </w:r>
            <w:r w:rsidRPr="006E7D8F">
              <w:rPr>
                <w:sz w:val="18"/>
                <w:szCs w:val="18"/>
              </w:rPr>
              <w:t>132</w:t>
            </w:r>
          </w:p>
        </w:tc>
        <w:tc>
          <w:tcPr>
            <w:tcW w:w="1045" w:type="dxa"/>
            <w:tcBorders>
              <w:top w:val="nil"/>
              <w:left w:val="nil"/>
              <w:bottom w:val="nil"/>
              <w:right w:val="nil"/>
            </w:tcBorders>
            <w:shd w:val="clear" w:color="auto" w:fill="auto"/>
            <w:noWrap/>
            <w:vAlign w:val="center"/>
            <w:hideMark/>
          </w:tcPr>
          <w:p w14:paraId="2174780B" w14:textId="77777777" w:rsidR="001131E6" w:rsidRPr="006E7D8F" w:rsidRDefault="001131E6" w:rsidP="007728DA">
            <w:pPr>
              <w:pStyle w:val="ExhibitText"/>
              <w:jc w:val="right"/>
              <w:rPr>
                <w:sz w:val="18"/>
                <w:szCs w:val="18"/>
              </w:rPr>
            </w:pPr>
            <w:r w:rsidRPr="006E7D8F">
              <w:rPr>
                <w:sz w:val="18"/>
                <w:szCs w:val="18"/>
              </w:rPr>
              <w:t>58</w:t>
            </w:r>
            <w:r w:rsidR="003146E9" w:rsidRPr="006E7D8F">
              <w:rPr>
                <w:sz w:val="18"/>
                <w:szCs w:val="18"/>
              </w:rPr>
              <w:t>,</w:t>
            </w:r>
            <w:r w:rsidRPr="006E7D8F">
              <w:rPr>
                <w:sz w:val="18"/>
                <w:szCs w:val="18"/>
              </w:rPr>
              <w:t>752</w:t>
            </w:r>
          </w:p>
        </w:tc>
        <w:tc>
          <w:tcPr>
            <w:tcW w:w="1044" w:type="dxa"/>
            <w:tcBorders>
              <w:top w:val="nil"/>
              <w:left w:val="nil"/>
              <w:bottom w:val="nil"/>
              <w:right w:val="nil"/>
            </w:tcBorders>
            <w:shd w:val="clear" w:color="auto" w:fill="auto"/>
            <w:noWrap/>
            <w:vAlign w:val="center"/>
            <w:hideMark/>
          </w:tcPr>
          <w:p w14:paraId="0C2E0B53" w14:textId="77777777" w:rsidR="001131E6" w:rsidRPr="006E7D8F" w:rsidRDefault="001131E6" w:rsidP="007728DA">
            <w:pPr>
              <w:pStyle w:val="ExhibitText"/>
              <w:jc w:val="right"/>
              <w:rPr>
                <w:sz w:val="18"/>
                <w:szCs w:val="18"/>
              </w:rPr>
            </w:pPr>
            <w:r w:rsidRPr="006E7D8F">
              <w:rPr>
                <w:sz w:val="18"/>
                <w:szCs w:val="18"/>
              </w:rPr>
              <w:t>48</w:t>
            </w:r>
            <w:r w:rsidR="003146E9" w:rsidRPr="006E7D8F">
              <w:rPr>
                <w:sz w:val="18"/>
                <w:szCs w:val="18"/>
              </w:rPr>
              <w:t>,</w:t>
            </w:r>
            <w:r w:rsidRPr="006E7D8F">
              <w:rPr>
                <w:sz w:val="18"/>
                <w:szCs w:val="18"/>
              </w:rPr>
              <w:t>696</w:t>
            </w:r>
          </w:p>
        </w:tc>
        <w:tc>
          <w:tcPr>
            <w:tcW w:w="1044" w:type="dxa"/>
            <w:tcBorders>
              <w:top w:val="nil"/>
              <w:left w:val="nil"/>
              <w:bottom w:val="nil"/>
              <w:right w:val="nil"/>
            </w:tcBorders>
            <w:shd w:val="clear" w:color="auto" w:fill="auto"/>
            <w:noWrap/>
            <w:vAlign w:val="center"/>
            <w:hideMark/>
          </w:tcPr>
          <w:p w14:paraId="5D753403" w14:textId="77777777" w:rsidR="001131E6" w:rsidRPr="006E7D8F" w:rsidRDefault="001131E6" w:rsidP="007728DA">
            <w:pPr>
              <w:pStyle w:val="ExhibitText"/>
              <w:jc w:val="right"/>
              <w:rPr>
                <w:sz w:val="18"/>
                <w:szCs w:val="18"/>
              </w:rPr>
            </w:pPr>
            <w:r w:rsidRPr="006E7D8F">
              <w:rPr>
                <w:sz w:val="18"/>
                <w:szCs w:val="18"/>
              </w:rPr>
              <w:t>50</w:t>
            </w:r>
            <w:r w:rsidR="003146E9" w:rsidRPr="006E7D8F">
              <w:rPr>
                <w:sz w:val="18"/>
                <w:szCs w:val="18"/>
              </w:rPr>
              <w:t>,</w:t>
            </w:r>
            <w:r w:rsidRPr="006E7D8F">
              <w:rPr>
                <w:sz w:val="18"/>
                <w:szCs w:val="18"/>
              </w:rPr>
              <w:t>416</w:t>
            </w:r>
          </w:p>
        </w:tc>
        <w:tc>
          <w:tcPr>
            <w:tcW w:w="1045" w:type="dxa"/>
            <w:tcBorders>
              <w:top w:val="nil"/>
              <w:left w:val="nil"/>
              <w:bottom w:val="nil"/>
              <w:right w:val="nil"/>
            </w:tcBorders>
            <w:shd w:val="clear" w:color="auto" w:fill="auto"/>
            <w:noWrap/>
            <w:vAlign w:val="center"/>
            <w:hideMark/>
          </w:tcPr>
          <w:p w14:paraId="74592E27" w14:textId="77777777" w:rsidR="001131E6" w:rsidRPr="006E7D8F" w:rsidRDefault="001131E6" w:rsidP="007728DA">
            <w:pPr>
              <w:pStyle w:val="ExhibitText"/>
              <w:jc w:val="right"/>
              <w:rPr>
                <w:sz w:val="18"/>
                <w:szCs w:val="18"/>
              </w:rPr>
            </w:pPr>
          </w:p>
        </w:tc>
      </w:tr>
      <w:tr w:rsidR="001131E6" w:rsidRPr="006E7D8F" w14:paraId="59BDA84B" w14:textId="77777777" w:rsidTr="00667F3C">
        <w:trPr>
          <w:trHeight w:val="288"/>
          <w:jc w:val="center"/>
        </w:trPr>
        <w:tc>
          <w:tcPr>
            <w:tcW w:w="3015" w:type="dxa"/>
            <w:tcBorders>
              <w:top w:val="nil"/>
              <w:left w:val="nil"/>
              <w:bottom w:val="nil"/>
              <w:right w:val="nil"/>
            </w:tcBorders>
            <w:shd w:val="clear" w:color="auto" w:fill="auto"/>
            <w:vAlign w:val="center"/>
            <w:hideMark/>
          </w:tcPr>
          <w:p w14:paraId="40605FDD" w14:textId="3E3A9E6D" w:rsidR="001131E6" w:rsidRPr="006E7D8F" w:rsidRDefault="00D97A03" w:rsidP="00903380">
            <w:pPr>
              <w:pStyle w:val="ExhibitText"/>
              <w:jc w:val="left"/>
              <w:rPr>
                <w:sz w:val="18"/>
                <w:szCs w:val="18"/>
              </w:rPr>
            </w:pPr>
            <w:r>
              <w:rPr>
                <w:sz w:val="18"/>
                <w:szCs w:val="18"/>
              </w:rPr>
              <w:t xml:space="preserve">  </w:t>
            </w:r>
            <w:r w:rsidR="001131E6" w:rsidRPr="006E7D8F">
              <w:rPr>
                <w:sz w:val="18"/>
                <w:szCs w:val="18"/>
              </w:rPr>
              <w:t>Term loans</w:t>
            </w:r>
          </w:p>
        </w:tc>
        <w:tc>
          <w:tcPr>
            <w:tcW w:w="1043" w:type="dxa"/>
            <w:tcBorders>
              <w:top w:val="nil"/>
              <w:left w:val="nil"/>
              <w:bottom w:val="nil"/>
              <w:right w:val="nil"/>
            </w:tcBorders>
            <w:shd w:val="clear" w:color="auto" w:fill="auto"/>
            <w:noWrap/>
            <w:vAlign w:val="center"/>
            <w:hideMark/>
          </w:tcPr>
          <w:p w14:paraId="4C4A689E" w14:textId="77777777" w:rsidR="001131E6" w:rsidRPr="006E7D8F" w:rsidRDefault="001131E6" w:rsidP="007728DA">
            <w:pPr>
              <w:pStyle w:val="ExhibitText"/>
              <w:jc w:val="right"/>
              <w:rPr>
                <w:sz w:val="18"/>
                <w:szCs w:val="18"/>
              </w:rPr>
            </w:pPr>
            <w:r w:rsidRPr="006E7D8F">
              <w:rPr>
                <w:sz w:val="18"/>
                <w:szCs w:val="18"/>
              </w:rPr>
              <w:t>22</w:t>
            </w:r>
            <w:r w:rsidR="003146E9" w:rsidRPr="006E7D8F">
              <w:rPr>
                <w:sz w:val="18"/>
                <w:szCs w:val="18"/>
              </w:rPr>
              <w:t>,</w:t>
            </w:r>
            <w:r w:rsidRPr="006E7D8F">
              <w:rPr>
                <w:sz w:val="18"/>
                <w:szCs w:val="18"/>
              </w:rPr>
              <w:t>288</w:t>
            </w:r>
          </w:p>
        </w:tc>
        <w:tc>
          <w:tcPr>
            <w:tcW w:w="1043" w:type="dxa"/>
            <w:tcBorders>
              <w:top w:val="nil"/>
              <w:left w:val="nil"/>
              <w:bottom w:val="nil"/>
              <w:right w:val="nil"/>
            </w:tcBorders>
            <w:shd w:val="clear" w:color="auto" w:fill="auto"/>
            <w:noWrap/>
            <w:vAlign w:val="center"/>
            <w:hideMark/>
          </w:tcPr>
          <w:p w14:paraId="5D9C4C3D" w14:textId="77777777" w:rsidR="001131E6" w:rsidRPr="006E7D8F" w:rsidRDefault="001131E6" w:rsidP="007728DA">
            <w:pPr>
              <w:pStyle w:val="ExhibitText"/>
              <w:jc w:val="right"/>
              <w:rPr>
                <w:sz w:val="18"/>
                <w:szCs w:val="18"/>
              </w:rPr>
            </w:pPr>
            <w:r w:rsidRPr="006E7D8F">
              <w:rPr>
                <w:sz w:val="18"/>
                <w:szCs w:val="18"/>
              </w:rPr>
              <w:t>25</w:t>
            </w:r>
            <w:r w:rsidR="003146E9" w:rsidRPr="006E7D8F">
              <w:rPr>
                <w:sz w:val="18"/>
                <w:szCs w:val="18"/>
              </w:rPr>
              <w:t>,</w:t>
            </w:r>
            <w:r w:rsidRPr="006E7D8F">
              <w:rPr>
                <w:sz w:val="18"/>
                <w:szCs w:val="18"/>
              </w:rPr>
              <w:t>199</w:t>
            </w:r>
          </w:p>
        </w:tc>
        <w:tc>
          <w:tcPr>
            <w:tcW w:w="1045" w:type="dxa"/>
            <w:tcBorders>
              <w:top w:val="nil"/>
              <w:left w:val="nil"/>
              <w:bottom w:val="nil"/>
              <w:right w:val="nil"/>
            </w:tcBorders>
            <w:shd w:val="clear" w:color="auto" w:fill="auto"/>
            <w:noWrap/>
            <w:vAlign w:val="center"/>
            <w:hideMark/>
          </w:tcPr>
          <w:p w14:paraId="5025AE01" w14:textId="77777777" w:rsidR="001131E6" w:rsidRPr="006E7D8F" w:rsidRDefault="001131E6" w:rsidP="007728DA">
            <w:pPr>
              <w:pStyle w:val="ExhibitText"/>
              <w:jc w:val="right"/>
              <w:rPr>
                <w:sz w:val="18"/>
                <w:szCs w:val="18"/>
              </w:rPr>
            </w:pPr>
            <w:r w:rsidRPr="006E7D8F">
              <w:rPr>
                <w:sz w:val="18"/>
                <w:szCs w:val="18"/>
              </w:rPr>
              <w:t>28</w:t>
            </w:r>
            <w:r w:rsidR="003146E9" w:rsidRPr="006E7D8F">
              <w:rPr>
                <w:sz w:val="18"/>
                <w:szCs w:val="18"/>
              </w:rPr>
              <w:t>,</w:t>
            </w:r>
            <w:r w:rsidRPr="006E7D8F">
              <w:rPr>
                <w:sz w:val="18"/>
                <w:szCs w:val="18"/>
              </w:rPr>
              <w:t>435</w:t>
            </w:r>
          </w:p>
        </w:tc>
        <w:tc>
          <w:tcPr>
            <w:tcW w:w="1044" w:type="dxa"/>
            <w:tcBorders>
              <w:top w:val="nil"/>
              <w:left w:val="nil"/>
              <w:bottom w:val="nil"/>
              <w:right w:val="nil"/>
            </w:tcBorders>
            <w:shd w:val="clear" w:color="auto" w:fill="auto"/>
            <w:noWrap/>
            <w:vAlign w:val="center"/>
            <w:hideMark/>
          </w:tcPr>
          <w:p w14:paraId="50914124" w14:textId="77777777" w:rsidR="001131E6" w:rsidRPr="006E7D8F" w:rsidRDefault="001131E6" w:rsidP="007728DA">
            <w:pPr>
              <w:pStyle w:val="ExhibitText"/>
              <w:jc w:val="right"/>
              <w:rPr>
                <w:sz w:val="18"/>
                <w:szCs w:val="18"/>
              </w:rPr>
            </w:pPr>
            <w:r w:rsidRPr="006E7D8F">
              <w:rPr>
                <w:sz w:val="18"/>
                <w:szCs w:val="18"/>
              </w:rPr>
              <w:t>26</w:t>
            </w:r>
            <w:r w:rsidR="003146E9" w:rsidRPr="006E7D8F">
              <w:rPr>
                <w:sz w:val="18"/>
                <w:szCs w:val="18"/>
              </w:rPr>
              <w:t>,</w:t>
            </w:r>
            <w:r w:rsidRPr="006E7D8F">
              <w:rPr>
                <w:sz w:val="18"/>
                <w:szCs w:val="18"/>
              </w:rPr>
              <w:t>311</w:t>
            </w:r>
          </w:p>
        </w:tc>
        <w:tc>
          <w:tcPr>
            <w:tcW w:w="1044" w:type="dxa"/>
            <w:tcBorders>
              <w:top w:val="nil"/>
              <w:left w:val="nil"/>
              <w:bottom w:val="nil"/>
              <w:right w:val="nil"/>
            </w:tcBorders>
            <w:shd w:val="clear" w:color="auto" w:fill="auto"/>
            <w:noWrap/>
            <w:vAlign w:val="center"/>
            <w:hideMark/>
          </w:tcPr>
          <w:p w14:paraId="6F7CE7AE" w14:textId="77777777" w:rsidR="001131E6" w:rsidRPr="006E7D8F" w:rsidRDefault="001131E6" w:rsidP="007728DA">
            <w:pPr>
              <w:pStyle w:val="ExhibitText"/>
              <w:jc w:val="right"/>
              <w:rPr>
                <w:sz w:val="18"/>
                <w:szCs w:val="18"/>
              </w:rPr>
            </w:pPr>
            <w:r w:rsidRPr="006E7D8F">
              <w:rPr>
                <w:sz w:val="18"/>
                <w:szCs w:val="18"/>
              </w:rPr>
              <w:t>24</w:t>
            </w:r>
            <w:r w:rsidR="003146E9" w:rsidRPr="006E7D8F">
              <w:rPr>
                <w:sz w:val="18"/>
                <w:szCs w:val="18"/>
              </w:rPr>
              <w:t>,</w:t>
            </w:r>
            <w:r w:rsidRPr="006E7D8F">
              <w:rPr>
                <w:sz w:val="18"/>
                <w:szCs w:val="18"/>
              </w:rPr>
              <w:t>981</w:t>
            </w:r>
          </w:p>
        </w:tc>
        <w:tc>
          <w:tcPr>
            <w:tcW w:w="1045" w:type="dxa"/>
            <w:tcBorders>
              <w:top w:val="nil"/>
              <w:left w:val="nil"/>
              <w:bottom w:val="nil"/>
              <w:right w:val="nil"/>
            </w:tcBorders>
            <w:shd w:val="clear" w:color="auto" w:fill="auto"/>
            <w:noWrap/>
            <w:vAlign w:val="center"/>
            <w:hideMark/>
          </w:tcPr>
          <w:p w14:paraId="25D0E3BE" w14:textId="77777777" w:rsidR="001131E6" w:rsidRPr="006E7D8F" w:rsidRDefault="001131E6" w:rsidP="007728DA">
            <w:pPr>
              <w:pStyle w:val="ExhibitText"/>
              <w:jc w:val="right"/>
              <w:rPr>
                <w:sz w:val="18"/>
                <w:szCs w:val="18"/>
              </w:rPr>
            </w:pPr>
          </w:p>
        </w:tc>
      </w:tr>
      <w:tr w:rsidR="001131E6" w:rsidRPr="006E7D8F" w14:paraId="4EFEEADB"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5BEE2EE5" w14:textId="77777777" w:rsidR="001131E6" w:rsidRPr="006E7D8F" w:rsidRDefault="001131E6" w:rsidP="007728DA">
            <w:pPr>
              <w:pStyle w:val="ExhibitText"/>
              <w:jc w:val="left"/>
              <w:rPr>
                <w:sz w:val="18"/>
                <w:szCs w:val="18"/>
              </w:rPr>
            </w:pPr>
            <w:r w:rsidRPr="006E7D8F">
              <w:rPr>
                <w:sz w:val="18"/>
                <w:szCs w:val="18"/>
              </w:rPr>
              <w:t xml:space="preserve">Fixed </w:t>
            </w:r>
            <w:r w:rsidR="00C329D4" w:rsidRPr="006E7D8F">
              <w:rPr>
                <w:sz w:val="18"/>
                <w:szCs w:val="18"/>
              </w:rPr>
              <w:t>a</w:t>
            </w:r>
            <w:r w:rsidRPr="006E7D8F">
              <w:rPr>
                <w:sz w:val="18"/>
                <w:szCs w:val="18"/>
              </w:rPr>
              <w:t>ssets</w:t>
            </w:r>
          </w:p>
        </w:tc>
        <w:tc>
          <w:tcPr>
            <w:tcW w:w="1043" w:type="dxa"/>
            <w:tcBorders>
              <w:top w:val="nil"/>
              <w:left w:val="nil"/>
              <w:bottom w:val="nil"/>
              <w:right w:val="nil"/>
            </w:tcBorders>
            <w:shd w:val="clear" w:color="auto" w:fill="auto"/>
            <w:noWrap/>
            <w:vAlign w:val="center"/>
            <w:hideMark/>
          </w:tcPr>
          <w:p w14:paraId="5B89E560" w14:textId="77777777" w:rsidR="001131E6" w:rsidRPr="006E7D8F" w:rsidRDefault="001131E6" w:rsidP="007728DA">
            <w:pPr>
              <w:pStyle w:val="ExhibitText"/>
              <w:jc w:val="right"/>
              <w:rPr>
                <w:sz w:val="18"/>
                <w:szCs w:val="18"/>
              </w:rPr>
            </w:pPr>
            <w:r w:rsidRPr="006E7D8F">
              <w:rPr>
                <w:sz w:val="18"/>
                <w:szCs w:val="18"/>
              </w:rPr>
              <w:t>1</w:t>
            </w:r>
            <w:r w:rsidR="003146E9" w:rsidRPr="006E7D8F">
              <w:rPr>
                <w:sz w:val="18"/>
                <w:szCs w:val="18"/>
              </w:rPr>
              <w:t>,</w:t>
            </w:r>
            <w:r w:rsidRPr="006E7D8F">
              <w:rPr>
                <w:sz w:val="18"/>
                <w:szCs w:val="18"/>
              </w:rPr>
              <w:t>692</w:t>
            </w:r>
          </w:p>
        </w:tc>
        <w:tc>
          <w:tcPr>
            <w:tcW w:w="1043" w:type="dxa"/>
            <w:tcBorders>
              <w:top w:val="nil"/>
              <w:left w:val="nil"/>
              <w:bottom w:val="nil"/>
              <w:right w:val="nil"/>
            </w:tcBorders>
            <w:shd w:val="clear" w:color="auto" w:fill="auto"/>
            <w:noWrap/>
            <w:vAlign w:val="center"/>
            <w:hideMark/>
          </w:tcPr>
          <w:p w14:paraId="54317A14" w14:textId="77777777" w:rsidR="001131E6" w:rsidRPr="006E7D8F" w:rsidRDefault="001131E6" w:rsidP="007728DA">
            <w:pPr>
              <w:pStyle w:val="ExhibitText"/>
              <w:jc w:val="right"/>
              <w:rPr>
                <w:sz w:val="18"/>
                <w:szCs w:val="18"/>
              </w:rPr>
            </w:pPr>
            <w:r w:rsidRPr="006E7D8F">
              <w:rPr>
                <w:sz w:val="18"/>
                <w:szCs w:val="18"/>
              </w:rPr>
              <w:t>1</w:t>
            </w:r>
            <w:r w:rsidR="003146E9" w:rsidRPr="006E7D8F">
              <w:rPr>
                <w:sz w:val="18"/>
                <w:szCs w:val="18"/>
              </w:rPr>
              <w:t>,</w:t>
            </w:r>
            <w:r w:rsidRPr="006E7D8F">
              <w:rPr>
                <w:sz w:val="18"/>
                <w:szCs w:val="18"/>
              </w:rPr>
              <w:t>733</w:t>
            </w:r>
          </w:p>
        </w:tc>
        <w:tc>
          <w:tcPr>
            <w:tcW w:w="1045" w:type="dxa"/>
            <w:tcBorders>
              <w:top w:val="nil"/>
              <w:left w:val="nil"/>
              <w:bottom w:val="nil"/>
              <w:right w:val="nil"/>
            </w:tcBorders>
            <w:shd w:val="clear" w:color="auto" w:fill="auto"/>
            <w:noWrap/>
            <w:vAlign w:val="center"/>
            <w:hideMark/>
          </w:tcPr>
          <w:p w14:paraId="092521D1" w14:textId="77777777" w:rsidR="001131E6" w:rsidRPr="006E7D8F" w:rsidRDefault="001131E6" w:rsidP="007728DA">
            <w:pPr>
              <w:pStyle w:val="ExhibitText"/>
              <w:jc w:val="right"/>
              <w:rPr>
                <w:sz w:val="18"/>
                <w:szCs w:val="18"/>
              </w:rPr>
            </w:pPr>
            <w:r w:rsidRPr="006E7D8F">
              <w:rPr>
                <w:sz w:val="18"/>
                <w:szCs w:val="18"/>
              </w:rPr>
              <w:t>1</w:t>
            </w:r>
            <w:r w:rsidR="003146E9" w:rsidRPr="006E7D8F">
              <w:rPr>
                <w:sz w:val="18"/>
                <w:szCs w:val="18"/>
              </w:rPr>
              <w:t>,</w:t>
            </w:r>
            <w:r w:rsidRPr="006E7D8F">
              <w:rPr>
                <w:sz w:val="18"/>
                <w:szCs w:val="18"/>
              </w:rPr>
              <w:t>751</w:t>
            </w:r>
          </w:p>
        </w:tc>
        <w:tc>
          <w:tcPr>
            <w:tcW w:w="1044" w:type="dxa"/>
            <w:tcBorders>
              <w:top w:val="nil"/>
              <w:left w:val="nil"/>
              <w:bottom w:val="nil"/>
              <w:right w:val="nil"/>
            </w:tcBorders>
            <w:shd w:val="clear" w:color="auto" w:fill="auto"/>
            <w:noWrap/>
            <w:vAlign w:val="center"/>
            <w:hideMark/>
          </w:tcPr>
          <w:p w14:paraId="708F0C84"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151</w:t>
            </w:r>
          </w:p>
        </w:tc>
        <w:tc>
          <w:tcPr>
            <w:tcW w:w="1044" w:type="dxa"/>
            <w:tcBorders>
              <w:top w:val="nil"/>
              <w:left w:val="nil"/>
              <w:bottom w:val="nil"/>
              <w:right w:val="nil"/>
            </w:tcBorders>
            <w:shd w:val="clear" w:color="auto" w:fill="auto"/>
            <w:noWrap/>
            <w:vAlign w:val="center"/>
            <w:hideMark/>
          </w:tcPr>
          <w:p w14:paraId="3AE009A2"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153</w:t>
            </w:r>
          </w:p>
        </w:tc>
        <w:tc>
          <w:tcPr>
            <w:tcW w:w="1045" w:type="dxa"/>
            <w:tcBorders>
              <w:top w:val="nil"/>
              <w:left w:val="nil"/>
              <w:bottom w:val="nil"/>
              <w:right w:val="nil"/>
            </w:tcBorders>
            <w:shd w:val="clear" w:color="auto" w:fill="auto"/>
            <w:noWrap/>
            <w:vAlign w:val="center"/>
            <w:hideMark/>
          </w:tcPr>
          <w:p w14:paraId="3FDE520F"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132</w:t>
            </w:r>
          </w:p>
        </w:tc>
      </w:tr>
      <w:tr w:rsidR="001131E6" w:rsidRPr="006E7D8F" w14:paraId="437ECF8B"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2484B27F" w14:textId="77777777" w:rsidR="001131E6" w:rsidRPr="006E7D8F" w:rsidRDefault="001131E6" w:rsidP="007728DA">
            <w:pPr>
              <w:pStyle w:val="ExhibitText"/>
              <w:jc w:val="left"/>
              <w:rPr>
                <w:sz w:val="18"/>
                <w:szCs w:val="18"/>
              </w:rPr>
            </w:pPr>
            <w:r w:rsidRPr="006E7D8F">
              <w:rPr>
                <w:sz w:val="18"/>
                <w:szCs w:val="18"/>
              </w:rPr>
              <w:t xml:space="preserve">Other </w:t>
            </w:r>
            <w:r w:rsidR="00C329D4" w:rsidRPr="006E7D8F">
              <w:rPr>
                <w:sz w:val="18"/>
                <w:szCs w:val="18"/>
              </w:rPr>
              <w:t>a</w:t>
            </w:r>
            <w:r w:rsidRPr="006E7D8F">
              <w:rPr>
                <w:sz w:val="18"/>
                <w:szCs w:val="18"/>
              </w:rPr>
              <w:t>ssets</w:t>
            </w:r>
          </w:p>
        </w:tc>
        <w:tc>
          <w:tcPr>
            <w:tcW w:w="1043" w:type="dxa"/>
            <w:tcBorders>
              <w:top w:val="nil"/>
              <w:left w:val="nil"/>
              <w:bottom w:val="nil"/>
              <w:right w:val="nil"/>
            </w:tcBorders>
            <w:shd w:val="clear" w:color="auto" w:fill="auto"/>
            <w:noWrap/>
            <w:vAlign w:val="center"/>
            <w:hideMark/>
          </w:tcPr>
          <w:p w14:paraId="11C06AEF"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333</w:t>
            </w:r>
          </w:p>
        </w:tc>
        <w:tc>
          <w:tcPr>
            <w:tcW w:w="1043" w:type="dxa"/>
            <w:tcBorders>
              <w:top w:val="nil"/>
              <w:left w:val="nil"/>
              <w:bottom w:val="nil"/>
              <w:right w:val="nil"/>
            </w:tcBorders>
            <w:shd w:val="clear" w:color="auto" w:fill="auto"/>
            <w:noWrap/>
            <w:vAlign w:val="center"/>
            <w:hideMark/>
          </w:tcPr>
          <w:p w14:paraId="1DD32087"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289</w:t>
            </w:r>
          </w:p>
        </w:tc>
        <w:tc>
          <w:tcPr>
            <w:tcW w:w="1045" w:type="dxa"/>
            <w:tcBorders>
              <w:top w:val="nil"/>
              <w:left w:val="nil"/>
              <w:bottom w:val="nil"/>
              <w:right w:val="nil"/>
            </w:tcBorders>
            <w:shd w:val="clear" w:color="auto" w:fill="auto"/>
            <w:noWrap/>
            <w:vAlign w:val="center"/>
            <w:hideMark/>
          </w:tcPr>
          <w:p w14:paraId="47939C61" w14:textId="77777777" w:rsidR="001131E6" w:rsidRPr="006E7D8F" w:rsidRDefault="001131E6" w:rsidP="007728DA">
            <w:pPr>
              <w:pStyle w:val="ExhibitText"/>
              <w:jc w:val="right"/>
              <w:rPr>
                <w:sz w:val="18"/>
                <w:szCs w:val="18"/>
              </w:rPr>
            </w:pPr>
            <w:r w:rsidRPr="006E7D8F">
              <w:rPr>
                <w:sz w:val="18"/>
                <w:szCs w:val="18"/>
              </w:rPr>
              <w:t>8</w:t>
            </w:r>
            <w:r w:rsidR="003146E9" w:rsidRPr="006E7D8F">
              <w:rPr>
                <w:sz w:val="18"/>
                <w:szCs w:val="18"/>
              </w:rPr>
              <w:t>,</w:t>
            </w:r>
            <w:r w:rsidRPr="006E7D8F">
              <w:rPr>
                <w:sz w:val="18"/>
                <w:szCs w:val="18"/>
              </w:rPr>
              <w:t>895</w:t>
            </w:r>
          </w:p>
        </w:tc>
        <w:tc>
          <w:tcPr>
            <w:tcW w:w="1044" w:type="dxa"/>
            <w:tcBorders>
              <w:top w:val="nil"/>
              <w:left w:val="nil"/>
              <w:bottom w:val="nil"/>
              <w:right w:val="nil"/>
            </w:tcBorders>
            <w:shd w:val="clear" w:color="auto" w:fill="auto"/>
            <w:noWrap/>
            <w:vAlign w:val="center"/>
            <w:hideMark/>
          </w:tcPr>
          <w:p w14:paraId="04E31E11" w14:textId="77777777" w:rsidR="001131E6" w:rsidRPr="006E7D8F" w:rsidRDefault="001131E6" w:rsidP="007728DA">
            <w:pPr>
              <w:pStyle w:val="ExhibitText"/>
              <w:jc w:val="right"/>
              <w:rPr>
                <w:sz w:val="18"/>
                <w:szCs w:val="18"/>
              </w:rPr>
            </w:pPr>
            <w:r w:rsidRPr="006E7D8F">
              <w:rPr>
                <w:sz w:val="18"/>
                <w:szCs w:val="18"/>
              </w:rPr>
              <w:t>8</w:t>
            </w:r>
            <w:r w:rsidR="003146E9" w:rsidRPr="006E7D8F">
              <w:rPr>
                <w:sz w:val="18"/>
                <w:szCs w:val="18"/>
              </w:rPr>
              <w:t>,</w:t>
            </w:r>
            <w:r w:rsidRPr="006E7D8F">
              <w:rPr>
                <w:sz w:val="18"/>
                <w:szCs w:val="18"/>
              </w:rPr>
              <w:t>712</w:t>
            </w:r>
          </w:p>
        </w:tc>
        <w:tc>
          <w:tcPr>
            <w:tcW w:w="1044" w:type="dxa"/>
            <w:tcBorders>
              <w:top w:val="nil"/>
              <w:left w:val="nil"/>
              <w:bottom w:val="nil"/>
              <w:right w:val="nil"/>
            </w:tcBorders>
            <w:shd w:val="clear" w:color="auto" w:fill="auto"/>
            <w:noWrap/>
            <w:vAlign w:val="center"/>
            <w:hideMark/>
          </w:tcPr>
          <w:p w14:paraId="18052A13" w14:textId="77777777" w:rsidR="001131E6" w:rsidRPr="006E7D8F" w:rsidRDefault="001131E6" w:rsidP="007728DA">
            <w:pPr>
              <w:pStyle w:val="ExhibitText"/>
              <w:jc w:val="right"/>
              <w:rPr>
                <w:sz w:val="18"/>
                <w:szCs w:val="18"/>
              </w:rPr>
            </w:pPr>
            <w:r w:rsidRPr="006E7D8F">
              <w:rPr>
                <w:sz w:val="18"/>
                <w:szCs w:val="18"/>
              </w:rPr>
              <w:t>9</w:t>
            </w:r>
            <w:r w:rsidR="003146E9" w:rsidRPr="006E7D8F">
              <w:rPr>
                <w:sz w:val="18"/>
                <w:szCs w:val="18"/>
              </w:rPr>
              <w:t>,</w:t>
            </w:r>
            <w:r w:rsidRPr="006E7D8F">
              <w:rPr>
                <w:sz w:val="18"/>
                <w:szCs w:val="18"/>
              </w:rPr>
              <w:t>164</w:t>
            </w:r>
          </w:p>
        </w:tc>
        <w:tc>
          <w:tcPr>
            <w:tcW w:w="1045" w:type="dxa"/>
            <w:tcBorders>
              <w:top w:val="nil"/>
              <w:left w:val="nil"/>
              <w:bottom w:val="nil"/>
              <w:right w:val="nil"/>
            </w:tcBorders>
            <w:shd w:val="clear" w:color="auto" w:fill="auto"/>
            <w:noWrap/>
            <w:vAlign w:val="center"/>
            <w:hideMark/>
          </w:tcPr>
          <w:p w14:paraId="192BE1B6" w14:textId="77777777" w:rsidR="001131E6" w:rsidRPr="006E7D8F" w:rsidRDefault="001131E6" w:rsidP="007728DA">
            <w:pPr>
              <w:pStyle w:val="ExhibitText"/>
              <w:jc w:val="right"/>
              <w:rPr>
                <w:sz w:val="18"/>
                <w:szCs w:val="18"/>
              </w:rPr>
            </w:pPr>
            <w:r w:rsidRPr="006E7D8F">
              <w:rPr>
                <w:sz w:val="18"/>
                <w:szCs w:val="18"/>
              </w:rPr>
              <w:t>9</w:t>
            </w:r>
            <w:r w:rsidR="003146E9" w:rsidRPr="006E7D8F">
              <w:rPr>
                <w:sz w:val="18"/>
                <w:szCs w:val="18"/>
              </w:rPr>
              <w:t>,</w:t>
            </w:r>
            <w:r w:rsidRPr="006E7D8F">
              <w:rPr>
                <w:sz w:val="18"/>
                <w:szCs w:val="18"/>
              </w:rPr>
              <w:t>341</w:t>
            </w:r>
          </w:p>
        </w:tc>
      </w:tr>
      <w:tr w:rsidR="001131E6" w:rsidRPr="006E7D8F" w14:paraId="6F474A81" w14:textId="77777777" w:rsidTr="00667F3C">
        <w:trPr>
          <w:trHeight w:val="288"/>
          <w:jc w:val="center"/>
        </w:trPr>
        <w:tc>
          <w:tcPr>
            <w:tcW w:w="3015" w:type="dxa"/>
            <w:tcBorders>
              <w:top w:val="single" w:sz="4" w:space="0" w:color="auto"/>
              <w:left w:val="nil"/>
              <w:bottom w:val="single" w:sz="4" w:space="0" w:color="auto"/>
              <w:right w:val="nil"/>
            </w:tcBorders>
            <w:shd w:val="clear" w:color="auto" w:fill="auto"/>
            <w:noWrap/>
            <w:vAlign w:val="center"/>
            <w:hideMark/>
          </w:tcPr>
          <w:p w14:paraId="72ECEBD3" w14:textId="3C209E5B" w:rsidR="001131E6" w:rsidRPr="006E7D8F" w:rsidRDefault="001131E6" w:rsidP="007728DA">
            <w:pPr>
              <w:pStyle w:val="ExhibitText"/>
              <w:jc w:val="left"/>
              <w:rPr>
                <w:b/>
                <w:sz w:val="18"/>
                <w:szCs w:val="18"/>
              </w:rPr>
            </w:pPr>
            <w:r w:rsidRPr="006E7D8F">
              <w:rPr>
                <w:b/>
                <w:sz w:val="18"/>
                <w:szCs w:val="18"/>
              </w:rPr>
              <w:t xml:space="preserve">Total </w:t>
            </w:r>
            <w:r w:rsidR="00840F91">
              <w:rPr>
                <w:b/>
                <w:sz w:val="18"/>
                <w:szCs w:val="18"/>
              </w:rPr>
              <w:t>assets</w:t>
            </w:r>
          </w:p>
        </w:tc>
        <w:tc>
          <w:tcPr>
            <w:tcW w:w="1043" w:type="dxa"/>
            <w:tcBorders>
              <w:top w:val="single" w:sz="4" w:space="0" w:color="auto"/>
              <w:left w:val="nil"/>
              <w:bottom w:val="single" w:sz="4" w:space="0" w:color="auto"/>
              <w:right w:val="nil"/>
            </w:tcBorders>
            <w:shd w:val="clear" w:color="auto" w:fill="auto"/>
            <w:noWrap/>
            <w:vAlign w:val="center"/>
            <w:hideMark/>
          </w:tcPr>
          <w:p w14:paraId="061FDFD0" w14:textId="77777777" w:rsidR="001131E6" w:rsidRPr="006E7D8F" w:rsidRDefault="001131E6" w:rsidP="007728DA">
            <w:pPr>
              <w:pStyle w:val="ExhibitText"/>
              <w:jc w:val="right"/>
              <w:rPr>
                <w:b/>
                <w:sz w:val="18"/>
                <w:szCs w:val="18"/>
              </w:rPr>
            </w:pPr>
            <w:r w:rsidRPr="006E7D8F">
              <w:rPr>
                <w:b/>
                <w:sz w:val="18"/>
                <w:szCs w:val="18"/>
              </w:rPr>
              <w:t>136</w:t>
            </w:r>
            <w:r w:rsidR="003146E9" w:rsidRPr="006E7D8F">
              <w:rPr>
                <w:b/>
                <w:sz w:val="18"/>
                <w:szCs w:val="18"/>
              </w:rPr>
              <w:t>,</w:t>
            </w:r>
            <w:r w:rsidRPr="006E7D8F">
              <w:rPr>
                <w:b/>
                <w:sz w:val="18"/>
                <w:szCs w:val="18"/>
              </w:rPr>
              <w:t>201</w:t>
            </w:r>
          </w:p>
        </w:tc>
        <w:tc>
          <w:tcPr>
            <w:tcW w:w="1043" w:type="dxa"/>
            <w:tcBorders>
              <w:top w:val="single" w:sz="4" w:space="0" w:color="auto"/>
              <w:left w:val="nil"/>
              <w:bottom w:val="single" w:sz="4" w:space="0" w:color="auto"/>
              <w:right w:val="nil"/>
            </w:tcBorders>
            <w:shd w:val="clear" w:color="auto" w:fill="auto"/>
            <w:noWrap/>
            <w:vAlign w:val="center"/>
            <w:hideMark/>
          </w:tcPr>
          <w:p w14:paraId="0FD9E03E" w14:textId="77777777" w:rsidR="001131E6" w:rsidRPr="006E7D8F" w:rsidRDefault="001131E6" w:rsidP="007728DA">
            <w:pPr>
              <w:pStyle w:val="ExhibitText"/>
              <w:jc w:val="right"/>
              <w:rPr>
                <w:b/>
                <w:sz w:val="18"/>
                <w:szCs w:val="18"/>
              </w:rPr>
            </w:pPr>
            <w:r w:rsidRPr="006E7D8F">
              <w:rPr>
                <w:b/>
                <w:sz w:val="18"/>
                <w:szCs w:val="18"/>
              </w:rPr>
              <w:t>153</w:t>
            </w:r>
            <w:r w:rsidR="003146E9" w:rsidRPr="006E7D8F">
              <w:rPr>
                <w:b/>
                <w:sz w:val="18"/>
                <w:szCs w:val="18"/>
              </w:rPr>
              <w:t>,</w:t>
            </w:r>
            <w:r w:rsidRPr="006E7D8F">
              <w:rPr>
                <w:b/>
                <w:sz w:val="18"/>
                <w:szCs w:val="18"/>
              </w:rPr>
              <w:t>155</w:t>
            </w:r>
          </w:p>
        </w:tc>
        <w:tc>
          <w:tcPr>
            <w:tcW w:w="1045" w:type="dxa"/>
            <w:tcBorders>
              <w:top w:val="single" w:sz="4" w:space="0" w:color="auto"/>
              <w:left w:val="nil"/>
              <w:bottom w:val="single" w:sz="4" w:space="0" w:color="auto"/>
              <w:right w:val="nil"/>
            </w:tcBorders>
            <w:shd w:val="clear" w:color="auto" w:fill="auto"/>
            <w:noWrap/>
            <w:vAlign w:val="center"/>
            <w:hideMark/>
          </w:tcPr>
          <w:p w14:paraId="347C6E69" w14:textId="77777777" w:rsidR="001131E6" w:rsidRPr="006E7D8F" w:rsidRDefault="001131E6" w:rsidP="007728DA">
            <w:pPr>
              <w:pStyle w:val="ExhibitText"/>
              <w:jc w:val="right"/>
              <w:rPr>
                <w:b/>
                <w:sz w:val="18"/>
                <w:szCs w:val="18"/>
              </w:rPr>
            </w:pPr>
            <w:r w:rsidRPr="006E7D8F">
              <w:rPr>
                <w:b/>
                <w:sz w:val="18"/>
                <w:szCs w:val="18"/>
              </w:rPr>
              <w:t>157</w:t>
            </w:r>
            <w:r w:rsidR="003146E9" w:rsidRPr="006E7D8F">
              <w:rPr>
                <w:b/>
                <w:sz w:val="18"/>
                <w:szCs w:val="18"/>
              </w:rPr>
              <w:t>,</w:t>
            </w:r>
            <w:r w:rsidRPr="006E7D8F">
              <w:rPr>
                <w:b/>
                <w:sz w:val="18"/>
                <w:szCs w:val="18"/>
              </w:rPr>
              <w:t>597</w:t>
            </w:r>
          </w:p>
        </w:tc>
        <w:tc>
          <w:tcPr>
            <w:tcW w:w="1044" w:type="dxa"/>
            <w:tcBorders>
              <w:top w:val="single" w:sz="4" w:space="0" w:color="auto"/>
              <w:left w:val="nil"/>
              <w:bottom w:val="single" w:sz="4" w:space="0" w:color="auto"/>
              <w:right w:val="nil"/>
            </w:tcBorders>
            <w:shd w:val="clear" w:color="auto" w:fill="auto"/>
            <w:noWrap/>
            <w:vAlign w:val="center"/>
            <w:hideMark/>
          </w:tcPr>
          <w:p w14:paraId="24A47B5A" w14:textId="77777777" w:rsidR="001131E6" w:rsidRPr="006E7D8F" w:rsidRDefault="001131E6" w:rsidP="007728DA">
            <w:pPr>
              <w:pStyle w:val="ExhibitText"/>
              <w:jc w:val="right"/>
              <w:rPr>
                <w:b/>
                <w:sz w:val="18"/>
                <w:szCs w:val="18"/>
              </w:rPr>
            </w:pPr>
            <w:r w:rsidRPr="006E7D8F">
              <w:rPr>
                <w:b/>
                <w:sz w:val="18"/>
                <w:szCs w:val="18"/>
              </w:rPr>
              <w:t>156</w:t>
            </w:r>
            <w:r w:rsidR="003146E9" w:rsidRPr="006E7D8F">
              <w:rPr>
                <w:b/>
                <w:sz w:val="18"/>
                <w:szCs w:val="18"/>
              </w:rPr>
              <w:t>,</w:t>
            </w:r>
            <w:r w:rsidRPr="006E7D8F">
              <w:rPr>
                <w:b/>
                <w:sz w:val="18"/>
                <w:szCs w:val="18"/>
              </w:rPr>
              <w:t>519</w:t>
            </w:r>
          </w:p>
        </w:tc>
        <w:tc>
          <w:tcPr>
            <w:tcW w:w="1044" w:type="dxa"/>
            <w:tcBorders>
              <w:top w:val="single" w:sz="4" w:space="0" w:color="auto"/>
              <w:left w:val="nil"/>
              <w:bottom w:val="single" w:sz="4" w:space="0" w:color="auto"/>
              <w:right w:val="nil"/>
            </w:tcBorders>
            <w:shd w:val="clear" w:color="auto" w:fill="auto"/>
            <w:noWrap/>
            <w:vAlign w:val="center"/>
            <w:hideMark/>
          </w:tcPr>
          <w:p w14:paraId="551CF0EE" w14:textId="77777777" w:rsidR="001131E6" w:rsidRPr="006E7D8F" w:rsidRDefault="001131E6" w:rsidP="007728DA">
            <w:pPr>
              <w:pStyle w:val="ExhibitText"/>
              <w:jc w:val="right"/>
              <w:rPr>
                <w:b/>
                <w:sz w:val="18"/>
                <w:szCs w:val="18"/>
              </w:rPr>
            </w:pPr>
            <w:r w:rsidRPr="006E7D8F">
              <w:rPr>
                <w:b/>
                <w:sz w:val="18"/>
                <w:szCs w:val="18"/>
              </w:rPr>
              <w:t>162</w:t>
            </w:r>
            <w:r w:rsidR="003146E9" w:rsidRPr="006E7D8F">
              <w:rPr>
                <w:b/>
                <w:sz w:val="18"/>
                <w:szCs w:val="18"/>
              </w:rPr>
              <w:t>,</w:t>
            </w:r>
            <w:r w:rsidRPr="006E7D8F">
              <w:rPr>
                <w:b/>
                <w:sz w:val="18"/>
                <w:szCs w:val="18"/>
              </w:rPr>
              <w:t>232</w:t>
            </w:r>
          </w:p>
        </w:tc>
        <w:tc>
          <w:tcPr>
            <w:tcW w:w="1045" w:type="dxa"/>
            <w:tcBorders>
              <w:top w:val="single" w:sz="4" w:space="0" w:color="auto"/>
              <w:left w:val="nil"/>
              <w:bottom w:val="single" w:sz="4" w:space="0" w:color="auto"/>
              <w:right w:val="nil"/>
            </w:tcBorders>
            <w:shd w:val="clear" w:color="auto" w:fill="auto"/>
            <w:noWrap/>
            <w:vAlign w:val="center"/>
            <w:hideMark/>
          </w:tcPr>
          <w:p w14:paraId="5253AE01" w14:textId="77777777" w:rsidR="001131E6" w:rsidRPr="006E7D8F" w:rsidRDefault="001131E6" w:rsidP="007728DA">
            <w:pPr>
              <w:pStyle w:val="ExhibitText"/>
              <w:jc w:val="right"/>
              <w:rPr>
                <w:b/>
                <w:sz w:val="18"/>
                <w:szCs w:val="18"/>
              </w:rPr>
            </w:pPr>
            <w:r w:rsidRPr="006E7D8F">
              <w:rPr>
                <w:b/>
                <w:sz w:val="18"/>
                <w:szCs w:val="18"/>
              </w:rPr>
              <w:t>163</w:t>
            </w:r>
            <w:r w:rsidR="003146E9" w:rsidRPr="006E7D8F">
              <w:rPr>
                <w:b/>
                <w:sz w:val="18"/>
                <w:szCs w:val="18"/>
              </w:rPr>
              <w:t>,</w:t>
            </w:r>
            <w:r w:rsidRPr="006E7D8F">
              <w:rPr>
                <w:b/>
                <w:sz w:val="18"/>
                <w:szCs w:val="18"/>
              </w:rPr>
              <w:t>574</w:t>
            </w:r>
          </w:p>
        </w:tc>
      </w:tr>
      <w:tr w:rsidR="001131E6" w:rsidRPr="006E7D8F" w14:paraId="690FBE7E"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1D023785" w14:textId="77777777" w:rsidR="001131E6" w:rsidRPr="006E7D8F" w:rsidRDefault="001131E6" w:rsidP="007728DA">
            <w:pPr>
              <w:pStyle w:val="ExhibitText"/>
              <w:jc w:val="left"/>
              <w:rPr>
                <w:b/>
                <w:sz w:val="18"/>
                <w:szCs w:val="18"/>
              </w:rPr>
            </w:pPr>
            <w:r w:rsidRPr="006E7D8F">
              <w:rPr>
                <w:b/>
                <w:sz w:val="18"/>
                <w:szCs w:val="18"/>
              </w:rPr>
              <w:t>EQUITY AND LIABILITIES</w:t>
            </w:r>
          </w:p>
        </w:tc>
        <w:tc>
          <w:tcPr>
            <w:tcW w:w="1043" w:type="dxa"/>
            <w:tcBorders>
              <w:top w:val="nil"/>
              <w:left w:val="nil"/>
              <w:bottom w:val="nil"/>
              <w:right w:val="nil"/>
            </w:tcBorders>
            <w:shd w:val="clear" w:color="auto" w:fill="auto"/>
            <w:noWrap/>
            <w:vAlign w:val="center"/>
            <w:hideMark/>
          </w:tcPr>
          <w:p w14:paraId="79189825" w14:textId="77777777" w:rsidR="001131E6" w:rsidRPr="006E7D8F" w:rsidRDefault="001131E6" w:rsidP="007728DA">
            <w:pPr>
              <w:pStyle w:val="ExhibitText"/>
              <w:jc w:val="right"/>
              <w:rPr>
                <w:sz w:val="18"/>
                <w:szCs w:val="18"/>
              </w:rPr>
            </w:pPr>
          </w:p>
        </w:tc>
        <w:tc>
          <w:tcPr>
            <w:tcW w:w="1043" w:type="dxa"/>
            <w:tcBorders>
              <w:top w:val="nil"/>
              <w:left w:val="nil"/>
              <w:bottom w:val="nil"/>
              <w:right w:val="nil"/>
            </w:tcBorders>
            <w:shd w:val="clear" w:color="auto" w:fill="auto"/>
            <w:noWrap/>
            <w:vAlign w:val="center"/>
            <w:hideMark/>
          </w:tcPr>
          <w:p w14:paraId="3F91B170" w14:textId="77777777" w:rsidR="001131E6" w:rsidRPr="006E7D8F" w:rsidRDefault="001131E6" w:rsidP="007728DA">
            <w:pPr>
              <w:pStyle w:val="ExhibitText"/>
              <w:jc w:val="right"/>
              <w:rPr>
                <w:sz w:val="18"/>
                <w:szCs w:val="18"/>
              </w:rPr>
            </w:pPr>
          </w:p>
        </w:tc>
        <w:tc>
          <w:tcPr>
            <w:tcW w:w="1045" w:type="dxa"/>
            <w:tcBorders>
              <w:top w:val="nil"/>
              <w:left w:val="nil"/>
              <w:bottom w:val="nil"/>
              <w:right w:val="nil"/>
            </w:tcBorders>
            <w:shd w:val="clear" w:color="auto" w:fill="auto"/>
            <w:noWrap/>
            <w:vAlign w:val="center"/>
            <w:hideMark/>
          </w:tcPr>
          <w:p w14:paraId="5350E20A" w14:textId="77777777" w:rsidR="001131E6" w:rsidRPr="006E7D8F" w:rsidRDefault="001131E6" w:rsidP="007728DA">
            <w:pPr>
              <w:pStyle w:val="ExhibitText"/>
              <w:jc w:val="right"/>
              <w:rPr>
                <w:sz w:val="18"/>
                <w:szCs w:val="18"/>
              </w:rPr>
            </w:pPr>
          </w:p>
        </w:tc>
        <w:tc>
          <w:tcPr>
            <w:tcW w:w="1044" w:type="dxa"/>
            <w:tcBorders>
              <w:top w:val="nil"/>
              <w:left w:val="nil"/>
              <w:bottom w:val="nil"/>
              <w:right w:val="nil"/>
            </w:tcBorders>
            <w:shd w:val="clear" w:color="auto" w:fill="auto"/>
            <w:noWrap/>
            <w:vAlign w:val="center"/>
            <w:hideMark/>
          </w:tcPr>
          <w:p w14:paraId="60FC76FE" w14:textId="77777777" w:rsidR="001131E6" w:rsidRPr="006E7D8F" w:rsidRDefault="001131E6" w:rsidP="007728DA">
            <w:pPr>
              <w:pStyle w:val="ExhibitText"/>
              <w:jc w:val="right"/>
              <w:rPr>
                <w:sz w:val="18"/>
                <w:szCs w:val="18"/>
              </w:rPr>
            </w:pPr>
          </w:p>
        </w:tc>
        <w:tc>
          <w:tcPr>
            <w:tcW w:w="1044" w:type="dxa"/>
            <w:tcBorders>
              <w:top w:val="nil"/>
              <w:left w:val="nil"/>
              <w:bottom w:val="nil"/>
              <w:right w:val="nil"/>
            </w:tcBorders>
            <w:shd w:val="clear" w:color="auto" w:fill="auto"/>
            <w:noWrap/>
            <w:vAlign w:val="center"/>
            <w:hideMark/>
          </w:tcPr>
          <w:p w14:paraId="506DD48D" w14:textId="77777777" w:rsidR="001131E6" w:rsidRPr="006E7D8F" w:rsidRDefault="001131E6" w:rsidP="007728DA">
            <w:pPr>
              <w:pStyle w:val="ExhibitText"/>
              <w:jc w:val="right"/>
              <w:rPr>
                <w:sz w:val="18"/>
                <w:szCs w:val="18"/>
              </w:rPr>
            </w:pPr>
          </w:p>
        </w:tc>
        <w:tc>
          <w:tcPr>
            <w:tcW w:w="1045" w:type="dxa"/>
            <w:tcBorders>
              <w:top w:val="nil"/>
              <w:left w:val="nil"/>
              <w:bottom w:val="nil"/>
              <w:right w:val="nil"/>
            </w:tcBorders>
            <w:shd w:val="clear" w:color="auto" w:fill="auto"/>
            <w:noWrap/>
            <w:vAlign w:val="center"/>
            <w:hideMark/>
          </w:tcPr>
          <w:p w14:paraId="207FFCBE" w14:textId="77777777" w:rsidR="001131E6" w:rsidRPr="006E7D8F" w:rsidRDefault="001131E6" w:rsidP="007728DA">
            <w:pPr>
              <w:pStyle w:val="ExhibitText"/>
              <w:jc w:val="right"/>
              <w:rPr>
                <w:sz w:val="18"/>
                <w:szCs w:val="18"/>
              </w:rPr>
            </w:pPr>
          </w:p>
        </w:tc>
      </w:tr>
      <w:tr w:rsidR="001131E6" w:rsidRPr="006E7D8F" w14:paraId="06219CC1"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1C0BCDD4" w14:textId="77777777" w:rsidR="001131E6" w:rsidRPr="006E7D8F" w:rsidRDefault="001131E6" w:rsidP="007728DA">
            <w:pPr>
              <w:pStyle w:val="ExhibitText"/>
              <w:jc w:val="left"/>
              <w:rPr>
                <w:sz w:val="18"/>
                <w:szCs w:val="18"/>
              </w:rPr>
            </w:pPr>
            <w:r w:rsidRPr="006E7D8F">
              <w:rPr>
                <w:sz w:val="18"/>
                <w:szCs w:val="18"/>
              </w:rPr>
              <w:t>Equity capital (80.96</w:t>
            </w:r>
            <w:r w:rsidR="00C329D4" w:rsidRPr="006E7D8F">
              <w:rPr>
                <w:sz w:val="18"/>
                <w:szCs w:val="18"/>
              </w:rPr>
              <w:t xml:space="preserve"> </w:t>
            </w:r>
            <w:r w:rsidRPr="006E7D8F">
              <w:rPr>
                <w:sz w:val="18"/>
                <w:szCs w:val="18"/>
              </w:rPr>
              <w:t>m</w:t>
            </w:r>
            <w:r w:rsidR="00C329D4" w:rsidRPr="006E7D8F">
              <w:rPr>
                <w:sz w:val="18"/>
                <w:szCs w:val="18"/>
              </w:rPr>
              <w:t>illion</w:t>
            </w:r>
            <w:r w:rsidRPr="006E7D8F">
              <w:rPr>
                <w:sz w:val="18"/>
                <w:szCs w:val="18"/>
              </w:rPr>
              <w:t xml:space="preserve"> equity shares paid</w:t>
            </w:r>
            <w:r w:rsidR="00C329D4" w:rsidRPr="006E7D8F">
              <w:rPr>
                <w:sz w:val="18"/>
                <w:szCs w:val="18"/>
              </w:rPr>
              <w:t xml:space="preserve"> </w:t>
            </w:r>
            <w:r w:rsidRPr="006E7D8F">
              <w:rPr>
                <w:sz w:val="18"/>
                <w:szCs w:val="18"/>
              </w:rPr>
              <w:t>up in FY</w:t>
            </w:r>
            <w:r w:rsidR="00C329D4" w:rsidRPr="006E7D8F">
              <w:rPr>
                <w:sz w:val="18"/>
                <w:szCs w:val="18"/>
              </w:rPr>
              <w:t xml:space="preserve"> </w:t>
            </w:r>
            <w:r w:rsidRPr="006E7D8F">
              <w:rPr>
                <w:sz w:val="18"/>
                <w:szCs w:val="18"/>
              </w:rPr>
              <w:t>2017)</w:t>
            </w:r>
          </w:p>
        </w:tc>
        <w:tc>
          <w:tcPr>
            <w:tcW w:w="1043" w:type="dxa"/>
            <w:tcBorders>
              <w:top w:val="nil"/>
              <w:left w:val="nil"/>
              <w:bottom w:val="nil"/>
              <w:right w:val="nil"/>
            </w:tcBorders>
            <w:shd w:val="clear" w:color="auto" w:fill="auto"/>
            <w:noWrap/>
            <w:vAlign w:val="center"/>
            <w:hideMark/>
          </w:tcPr>
          <w:p w14:paraId="0BE400A1" w14:textId="77777777" w:rsidR="001131E6" w:rsidRPr="006E7D8F" w:rsidRDefault="001131E6" w:rsidP="007728DA">
            <w:pPr>
              <w:pStyle w:val="ExhibitText"/>
              <w:jc w:val="right"/>
              <w:rPr>
                <w:sz w:val="18"/>
                <w:szCs w:val="18"/>
              </w:rPr>
            </w:pPr>
            <w:r w:rsidRPr="006E7D8F">
              <w:rPr>
                <w:sz w:val="18"/>
                <w:szCs w:val="18"/>
              </w:rPr>
              <w:t>419</w:t>
            </w:r>
          </w:p>
        </w:tc>
        <w:tc>
          <w:tcPr>
            <w:tcW w:w="1043" w:type="dxa"/>
            <w:tcBorders>
              <w:top w:val="nil"/>
              <w:left w:val="nil"/>
              <w:bottom w:val="nil"/>
              <w:right w:val="nil"/>
            </w:tcBorders>
            <w:shd w:val="clear" w:color="auto" w:fill="auto"/>
            <w:noWrap/>
            <w:vAlign w:val="center"/>
            <w:hideMark/>
          </w:tcPr>
          <w:p w14:paraId="44F8E652" w14:textId="77777777" w:rsidR="001131E6" w:rsidRPr="006E7D8F" w:rsidRDefault="001131E6" w:rsidP="007728DA">
            <w:pPr>
              <w:pStyle w:val="ExhibitText"/>
              <w:jc w:val="right"/>
              <w:rPr>
                <w:sz w:val="18"/>
                <w:szCs w:val="18"/>
              </w:rPr>
            </w:pPr>
            <w:r w:rsidRPr="006E7D8F">
              <w:rPr>
                <w:sz w:val="18"/>
                <w:szCs w:val="18"/>
              </w:rPr>
              <w:t>419</w:t>
            </w:r>
          </w:p>
        </w:tc>
        <w:tc>
          <w:tcPr>
            <w:tcW w:w="1045" w:type="dxa"/>
            <w:tcBorders>
              <w:top w:val="nil"/>
              <w:left w:val="nil"/>
              <w:bottom w:val="nil"/>
              <w:right w:val="nil"/>
            </w:tcBorders>
            <w:shd w:val="clear" w:color="auto" w:fill="auto"/>
            <w:vAlign w:val="center"/>
            <w:hideMark/>
          </w:tcPr>
          <w:p w14:paraId="1BA8BCB8" w14:textId="77777777" w:rsidR="001131E6" w:rsidRPr="006E7D8F" w:rsidRDefault="001131E6" w:rsidP="007728DA">
            <w:pPr>
              <w:pStyle w:val="ExhibitText"/>
              <w:jc w:val="right"/>
              <w:rPr>
                <w:sz w:val="18"/>
                <w:szCs w:val="18"/>
              </w:rPr>
            </w:pPr>
            <w:r w:rsidRPr="006E7D8F">
              <w:rPr>
                <w:sz w:val="18"/>
                <w:szCs w:val="18"/>
              </w:rPr>
              <w:t>604</w:t>
            </w:r>
          </w:p>
        </w:tc>
        <w:tc>
          <w:tcPr>
            <w:tcW w:w="1044" w:type="dxa"/>
            <w:tcBorders>
              <w:top w:val="nil"/>
              <w:left w:val="nil"/>
              <w:bottom w:val="nil"/>
              <w:right w:val="nil"/>
            </w:tcBorders>
            <w:shd w:val="clear" w:color="auto" w:fill="auto"/>
            <w:vAlign w:val="center"/>
            <w:hideMark/>
          </w:tcPr>
          <w:p w14:paraId="335CAC05" w14:textId="77777777" w:rsidR="001131E6" w:rsidRPr="006E7D8F" w:rsidRDefault="001131E6" w:rsidP="007728DA">
            <w:pPr>
              <w:pStyle w:val="ExhibitText"/>
              <w:jc w:val="right"/>
              <w:rPr>
                <w:sz w:val="18"/>
                <w:szCs w:val="18"/>
              </w:rPr>
            </w:pPr>
            <w:r w:rsidRPr="006E7D8F">
              <w:rPr>
                <w:sz w:val="18"/>
                <w:szCs w:val="18"/>
              </w:rPr>
              <w:t>718</w:t>
            </w:r>
          </w:p>
        </w:tc>
        <w:tc>
          <w:tcPr>
            <w:tcW w:w="1044" w:type="dxa"/>
            <w:tcBorders>
              <w:top w:val="nil"/>
              <w:left w:val="nil"/>
              <w:bottom w:val="nil"/>
              <w:right w:val="nil"/>
            </w:tcBorders>
            <w:shd w:val="clear" w:color="auto" w:fill="auto"/>
            <w:vAlign w:val="center"/>
            <w:hideMark/>
          </w:tcPr>
          <w:p w14:paraId="0540191B" w14:textId="77777777" w:rsidR="001131E6" w:rsidRPr="006E7D8F" w:rsidRDefault="001131E6" w:rsidP="007728DA">
            <w:pPr>
              <w:pStyle w:val="ExhibitText"/>
              <w:jc w:val="right"/>
              <w:rPr>
                <w:sz w:val="18"/>
                <w:szCs w:val="18"/>
              </w:rPr>
            </w:pPr>
            <w:r w:rsidRPr="006E7D8F">
              <w:rPr>
                <w:sz w:val="18"/>
                <w:szCs w:val="18"/>
              </w:rPr>
              <w:t>810</w:t>
            </w:r>
          </w:p>
        </w:tc>
        <w:tc>
          <w:tcPr>
            <w:tcW w:w="1045" w:type="dxa"/>
            <w:tcBorders>
              <w:top w:val="nil"/>
              <w:left w:val="nil"/>
              <w:bottom w:val="nil"/>
              <w:right w:val="nil"/>
            </w:tcBorders>
            <w:shd w:val="clear" w:color="auto" w:fill="auto"/>
            <w:noWrap/>
            <w:vAlign w:val="center"/>
            <w:hideMark/>
          </w:tcPr>
          <w:p w14:paraId="070FD9C2" w14:textId="77777777" w:rsidR="001131E6" w:rsidRPr="006E7D8F" w:rsidRDefault="001131E6" w:rsidP="007728DA">
            <w:pPr>
              <w:pStyle w:val="ExhibitText"/>
              <w:jc w:val="right"/>
              <w:rPr>
                <w:sz w:val="18"/>
                <w:szCs w:val="18"/>
              </w:rPr>
            </w:pPr>
            <w:r w:rsidRPr="006E7D8F">
              <w:rPr>
                <w:sz w:val="18"/>
                <w:szCs w:val="18"/>
              </w:rPr>
              <w:t>821</w:t>
            </w:r>
          </w:p>
        </w:tc>
      </w:tr>
      <w:tr w:rsidR="001131E6" w:rsidRPr="006E7D8F" w14:paraId="340176CF"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52875135" w14:textId="4A67DBA1" w:rsidR="001131E6" w:rsidRPr="006E7D8F" w:rsidRDefault="001131E6" w:rsidP="007728DA">
            <w:pPr>
              <w:pStyle w:val="ExhibitText"/>
              <w:jc w:val="left"/>
              <w:rPr>
                <w:sz w:val="18"/>
                <w:szCs w:val="18"/>
              </w:rPr>
            </w:pPr>
            <w:r w:rsidRPr="006E7D8F">
              <w:rPr>
                <w:sz w:val="18"/>
                <w:szCs w:val="18"/>
              </w:rPr>
              <w:t xml:space="preserve">Reserves and </w:t>
            </w:r>
            <w:r w:rsidR="00840F91">
              <w:rPr>
                <w:sz w:val="18"/>
                <w:szCs w:val="18"/>
              </w:rPr>
              <w:t>surplus</w:t>
            </w:r>
          </w:p>
        </w:tc>
        <w:tc>
          <w:tcPr>
            <w:tcW w:w="1043" w:type="dxa"/>
            <w:tcBorders>
              <w:top w:val="nil"/>
              <w:left w:val="nil"/>
              <w:bottom w:val="nil"/>
              <w:right w:val="nil"/>
            </w:tcBorders>
            <w:shd w:val="clear" w:color="auto" w:fill="auto"/>
            <w:noWrap/>
            <w:vAlign w:val="center"/>
            <w:hideMark/>
          </w:tcPr>
          <w:p w14:paraId="2C4347D4" w14:textId="77777777" w:rsidR="001131E6" w:rsidRPr="006E7D8F" w:rsidRDefault="001131E6" w:rsidP="007728DA">
            <w:pPr>
              <w:pStyle w:val="ExhibitText"/>
              <w:jc w:val="right"/>
              <w:rPr>
                <w:sz w:val="18"/>
                <w:szCs w:val="18"/>
              </w:rPr>
            </w:pPr>
            <w:r w:rsidRPr="006E7D8F">
              <w:rPr>
                <w:sz w:val="18"/>
                <w:szCs w:val="18"/>
              </w:rPr>
              <w:t>7</w:t>
            </w:r>
            <w:r w:rsidR="003146E9" w:rsidRPr="006E7D8F">
              <w:rPr>
                <w:sz w:val="18"/>
                <w:szCs w:val="18"/>
              </w:rPr>
              <w:t>,</w:t>
            </w:r>
            <w:r w:rsidRPr="006E7D8F">
              <w:rPr>
                <w:sz w:val="18"/>
                <w:szCs w:val="18"/>
              </w:rPr>
              <w:t>157</w:t>
            </w:r>
          </w:p>
        </w:tc>
        <w:tc>
          <w:tcPr>
            <w:tcW w:w="1043" w:type="dxa"/>
            <w:tcBorders>
              <w:top w:val="nil"/>
              <w:left w:val="nil"/>
              <w:bottom w:val="nil"/>
              <w:right w:val="nil"/>
            </w:tcBorders>
            <w:shd w:val="clear" w:color="auto" w:fill="auto"/>
            <w:noWrap/>
            <w:vAlign w:val="center"/>
            <w:hideMark/>
          </w:tcPr>
          <w:p w14:paraId="2C27673C" w14:textId="77777777" w:rsidR="001131E6" w:rsidRPr="006E7D8F" w:rsidRDefault="001131E6" w:rsidP="007728DA">
            <w:pPr>
              <w:pStyle w:val="ExhibitText"/>
              <w:jc w:val="right"/>
              <w:rPr>
                <w:sz w:val="18"/>
                <w:szCs w:val="18"/>
              </w:rPr>
            </w:pPr>
            <w:r w:rsidRPr="006E7D8F">
              <w:rPr>
                <w:sz w:val="18"/>
                <w:szCs w:val="18"/>
              </w:rPr>
              <w:t>7</w:t>
            </w:r>
            <w:r w:rsidR="003146E9" w:rsidRPr="006E7D8F">
              <w:rPr>
                <w:sz w:val="18"/>
                <w:szCs w:val="18"/>
              </w:rPr>
              <w:t>,</w:t>
            </w:r>
            <w:r w:rsidRPr="006E7D8F">
              <w:rPr>
                <w:sz w:val="18"/>
                <w:szCs w:val="18"/>
              </w:rPr>
              <w:t>281</w:t>
            </w:r>
          </w:p>
        </w:tc>
        <w:tc>
          <w:tcPr>
            <w:tcW w:w="1045" w:type="dxa"/>
            <w:tcBorders>
              <w:top w:val="nil"/>
              <w:left w:val="nil"/>
              <w:bottom w:val="nil"/>
              <w:right w:val="nil"/>
            </w:tcBorders>
            <w:shd w:val="clear" w:color="auto" w:fill="auto"/>
            <w:vAlign w:val="center"/>
            <w:hideMark/>
          </w:tcPr>
          <w:p w14:paraId="7EB02CC1" w14:textId="77777777" w:rsidR="001131E6" w:rsidRPr="006E7D8F" w:rsidRDefault="001131E6" w:rsidP="007728DA">
            <w:pPr>
              <w:pStyle w:val="ExhibitText"/>
              <w:jc w:val="right"/>
              <w:rPr>
                <w:sz w:val="18"/>
                <w:szCs w:val="18"/>
              </w:rPr>
            </w:pPr>
            <w:r w:rsidRPr="006E7D8F">
              <w:rPr>
                <w:sz w:val="18"/>
                <w:szCs w:val="18"/>
              </w:rPr>
              <w:t>8</w:t>
            </w:r>
            <w:r w:rsidR="003146E9" w:rsidRPr="006E7D8F">
              <w:rPr>
                <w:sz w:val="18"/>
                <w:szCs w:val="18"/>
              </w:rPr>
              <w:t>,</w:t>
            </w:r>
            <w:r w:rsidRPr="006E7D8F">
              <w:rPr>
                <w:sz w:val="18"/>
                <w:szCs w:val="18"/>
              </w:rPr>
              <w:t>281</w:t>
            </w:r>
          </w:p>
        </w:tc>
        <w:tc>
          <w:tcPr>
            <w:tcW w:w="1044" w:type="dxa"/>
            <w:tcBorders>
              <w:top w:val="nil"/>
              <w:left w:val="nil"/>
              <w:bottom w:val="nil"/>
              <w:right w:val="nil"/>
            </w:tcBorders>
            <w:shd w:val="clear" w:color="auto" w:fill="auto"/>
            <w:vAlign w:val="center"/>
            <w:hideMark/>
          </w:tcPr>
          <w:p w14:paraId="47B1DEA6" w14:textId="77777777" w:rsidR="001131E6" w:rsidRPr="006E7D8F" w:rsidRDefault="001131E6" w:rsidP="007728DA">
            <w:pPr>
              <w:pStyle w:val="ExhibitText"/>
              <w:jc w:val="right"/>
              <w:rPr>
                <w:sz w:val="18"/>
                <w:szCs w:val="18"/>
              </w:rPr>
            </w:pPr>
            <w:r w:rsidRPr="006E7D8F">
              <w:rPr>
                <w:sz w:val="18"/>
                <w:szCs w:val="18"/>
              </w:rPr>
              <w:t>8</w:t>
            </w:r>
            <w:r w:rsidR="003146E9" w:rsidRPr="006E7D8F">
              <w:rPr>
                <w:sz w:val="18"/>
                <w:szCs w:val="18"/>
              </w:rPr>
              <w:t>,</w:t>
            </w:r>
            <w:r w:rsidRPr="006E7D8F">
              <w:rPr>
                <w:sz w:val="18"/>
                <w:szCs w:val="18"/>
              </w:rPr>
              <w:t>210</w:t>
            </w:r>
          </w:p>
        </w:tc>
        <w:tc>
          <w:tcPr>
            <w:tcW w:w="1044" w:type="dxa"/>
            <w:tcBorders>
              <w:top w:val="nil"/>
              <w:left w:val="nil"/>
              <w:bottom w:val="nil"/>
              <w:right w:val="nil"/>
            </w:tcBorders>
            <w:shd w:val="clear" w:color="auto" w:fill="auto"/>
            <w:vAlign w:val="center"/>
            <w:hideMark/>
          </w:tcPr>
          <w:p w14:paraId="0DB76DEF" w14:textId="77777777" w:rsidR="001131E6" w:rsidRPr="006E7D8F" w:rsidRDefault="001131E6" w:rsidP="007728DA">
            <w:pPr>
              <w:pStyle w:val="ExhibitText"/>
              <w:jc w:val="right"/>
              <w:rPr>
                <w:sz w:val="18"/>
                <w:szCs w:val="18"/>
              </w:rPr>
            </w:pPr>
            <w:r w:rsidRPr="006E7D8F">
              <w:rPr>
                <w:sz w:val="18"/>
                <w:szCs w:val="18"/>
              </w:rPr>
              <w:t>9</w:t>
            </w:r>
            <w:r w:rsidR="003146E9" w:rsidRPr="006E7D8F">
              <w:rPr>
                <w:sz w:val="18"/>
                <w:szCs w:val="18"/>
              </w:rPr>
              <w:t>,</w:t>
            </w:r>
            <w:r w:rsidRPr="006E7D8F">
              <w:rPr>
                <w:sz w:val="18"/>
                <w:szCs w:val="18"/>
              </w:rPr>
              <w:t>183</w:t>
            </w:r>
          </w:p>
        </w:tc>
        <w:tc>
          <w:tcPr>
            <w:tcW w:w="1045" w:type="dxa"/>
            <w:tcBorders>
              <w:top w:val="nil"/>
              <w:left w:val="nil"/>
              <w:bottom w:val="nil"/>
              <w:right w:val="nil"/>
            </w:tcBorders>
            <w:shd w:val="clear" w:color="auto" w:fill="auto"/>
            <w:noWrap/>
            <w:vAlign w:val="center"/>
            <w:hideMark/>
          </w:tcPr>
          <w:p w14:paraId="51012551" w14:textId="77777777" w:rsidR="001131E6" w:rsidRPr="006E7D8F" w:rsidRDefault="001131E6" w:rsidP="007728DA">
            <w:pPr>
              <w:pStyle w:val="ExhibitText"/>
              <w:jc w:val="right"/>
              <w:rPr>
                <w:sz w:val="18"/>
                <w:szCs w:val="18"/>
              </w:rPr>
            </w:pPr>
            <w:r w:rsidRPr="006E7D8F">
              <w:rPr>
                <w:sz w:val="18"/>
                <w:szCs w:val="18"/>
              </w:rPr>
              <w:t>9</w:t>
            </w:r>
            <w:r w:rsidR="003146E9" w:rsidRPr="006E7D8F">
              <w:rPr>
                <w:sz w:val="18"/>
                <w:szCs w:val="18"/>
              </w:rPr>
              <w:t>,</w:t>
            </w:r>
            <w:r w:rsidRPr="006E7D8F">
              <w:rPr>
                <w:sz w:val="18"/>
                <w:szCs w:val="18"/>
              </w:rPr>
              <w:t>103</w:t>
            </w:r>
          </w:p>
        </w:tc>
      </w:tr>
      <w:tr w:rsidR="001131E6" w:rsidRPr="006E7D8F" w14:paraId="0EAF7D51"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3737A9A2" w14:textId="77777777" w:rsidR="001131E6" w:rsidRPr="006E7D8F" w:rsidRDefault="001131E6" w:rsidP="007728DA">
            <w:pPr>
              <w:pStyle w:val="ExhibitText"/>
              <w:jc w:val="left"/>
              <w:rPr>
                <w:sz w:val="18"/>
                <w:szCs w:val="18"/>
              </w:rPr>
            </w:pPr>
            <w:r w:rsidRPr="006E7D8F">
              <w:rPr>
                <w:sz w:val="18"/>
                <w:szCs w:val="18"/>
              </w:rPr>
              <w:t>Deposits</w:t>
            </w:r>
          </w:p>
        </w:tc>
        <w:tc>
          <w:tcPr>
            <w:tcW w:w="1043" w:type="dxa"/>
            <w:tcBorders>
              <w:top w:val="nil"/>
              <w:left w:val="nil"/>
              <w:bottom w:val="nil"/>
              <w:right w:val="nil"/>
            </w:tcBorders>
            <w:shd w:val="clear" w:color="auto" w:fill="auto"/>
            <w:noWrap/>
            <w:vAlign w:val="center"/>
            <w:hideMark/>
          </w:tcPr>
          <w:p w14:paraId="6D737BCC" w14:textId="77777777" w:rsidR="001131E6" w:rsidRPr="006E7D8F" w:rsidRDefault="001131E6" w:rsidP="007728DA">
            <w:pPr>
              <w:pStyle w:val="ExhibitText"/>
              <w:jc w:val="right"/>
              <w:rPr>
                <w:sz w:val="18"/>
                <w:szCs w:val="18"/>
              </w:rPr>
            </w:pPr>
            <w:r w:rsidRPr="006E7D8F">
              <w:rPr>
                <w:sz w:val="18"/>
                <w:szCs w:val="18"/>
              </w:rPr>
              <w:t>123</w:t>
            </w:r>
            <w:r w:rsidR="003146E9" w:rsidRPr="006E7D8F">
              <w:rPr>
                <w:sz w:val="18"/>
                <w:szCs w:val="18"/>
              </w:rPr>
              <w:t>,</w:t>
            </w:r>
            <w:r w:rsidRPr="006E7D8F">
              <w:rPr>
                <w:sz w:val="18"/>
                <w:szCs w:val="18"/>
              </w:rPr>
              <w:t>416</w:t>
            </w:r>
          </w:p>
        </w:tc>
        <w:tc>
          <w:tcPr>
            <w:tcW w:w="1043" w:type="dxa"/>
            <w:tcBorders>
              <w:top w:val="nil"/>
              <w:left w:val="nil"/>
              <w:bottom w:val="nil"/>
              <w:right w:val="nil"/>
            </w:tcBorders>
            <w:shd w:val="clear" w:color="auto" w:fill="auto"/>
            <w:noWrap/>
            <w:vAlign w:val="center"/>
            <w:hideMark/>
          </w:tcPr>
          <w:p w14:paraId="02613A0C" w14:textId="77777777" w:rsidR="001131E6" w:rsidRPr="006E7D8F" w:rsidRDefault="001131E6" w:rsidP="007728DA">
            <w:pPr>
              <w:pStyle w:val="ExhibitText"/>
              <w:jc w:val="right"/>
              <w:rPr>
                <w:sz w:val="18"/>
                <w:szCs w:val="18"/>
              </w:rPr>
            </w:pPr>
            <w:r w:rsidRPr="006E7D8F">
              <w:rPr>
                <w:sz w:val="18"/>
                <w:szCs w:val="18"/>
              </w:rPr>
              <w:t>136</w:t>
            </w:r>
            <w:r w:rsidR="003146E9" w:rsidRPr="006E7D8F">
              <w:rPr>
                <w:sz w:val="18"/>
                <w:szCs w:val="18"/>
              </w:rPr>
              <w:t>,</w:t>
            </w:r>
            <w:r w:rsidRPr="006E7D8F">
              <w:rPr>
                <w:sz w:val="18"/>
                <w:szCs w:val="18"/>
              </w:rPr>
              <w:t>739</w:t>
            </w:r>
          </w:p>
        </w:tc>
        <w:tc>
          <w:tcPr>
            <w:tcW w:w="1045" w:type="dxa"/>
            <w:tcBorders>
              <w:top w:val="nil"/>
              <w:left w:val="nil"/>
              <w:bottom w:val="nil"/>
              <w:right w:val="nil"/>
            </w:tcBorders>
            <w:shd w:val="clear" w:color="auto" w:fill="auto"/>
            <w:vAlign w:val="center"/>
            <w:hideMark/>
          </w:tcPr>
          <w:p w14:paraId="66FC986D" w14:textId="77777777" w:rsidR="001131E6" w:rsidRPr="006E7D8F" w:rsidRDefault="001131E6" w:rsidP="007728DA">
            <w:pPr>
              <w:pStyle w:val="ExhibitText"/>
              <w:jc w:val="right"/>
              <w:rPr>
                <w:sz w:val="18"/>
                <w:szCs w:val="18"/>
              </w:rPr>
            </w:pPr>
            <w:r w:rsidRPr="006E7D8F">
              <w:rPr>
                <w:sz w:val="18"/>
                <w:szCs w:val="18"/>
              </w:rPr>
              <w:t>144</w:t>
            </w:r>
            <w:r w:rsidR="003146E9" w:rsidRPr="006E7D8F">
              <w:rPr>
                <w:sz w:val="18"/>
                <w:szCs w:val="18"/>
              </w:rPr>
              <w:t>,</w:t>
            </w:r>
            <w:r w:rsidRPr="006E7D8F">
              <w:rPr>
                <w:sz w:val="18"/>
                <w:szCs w:val="18"/>
              </w:rPr>
              <w:t>745</w:t>
            </w:r>
          </w:p>
        </w:tc>
        <w:tc>
          <w:tcPr>
            <w:tcW w:w="1044" w:type="dxa"/>
            <w:tcBorders>
              <w:top w:val="nil"/>
              <w:left w:val="nil"/>
              <w:bottom w:val="nil"/>
              <w:right w:val="nil"/>
            </w:tcBorders>
            <w:shd w:val="clear" w:color="auto" w:fill="auto"/>
            <w:vAlign w:val="center"/>
            <w:hideMark/>
          </w:tcPr>
          <w:p w14:paraId="0370850A" w14:textId="77777777" w:rsidR="001131E6" w:rsidRPr="006E7D8F" w:rsidRDefault="001131E6" w:rsidP="007728DA">
            <w:pPr>
              <w:pStyle w:val="ExhibitText"/>
              <w:jc w:val="right"/>
              <w:rPr>
                <w:sz w:val="18"/>
                <w:szCs w:val="18"/>
              </w:rPr>
            </w:pPr>
            <w:r w:rsidRPr="006E7D8F">
              <w:rPr>
                <w:sz w:val="18"/>
                <w:szCs w:val="18"/>
              </w:rPr>
              <w:t>144</w:t>
            </w:r>
            <w:r w:rsidR="003146E9" w:rsidRPr="006E7D8F">
              <w:rPr>
                <w:sz w:val="18"/>
                <w:szCs w:val="18"/>
              </w:rPr>
              <w:t>,</w:t>
            </w:r>
            <w:r w:rsidRPr="006E7D8F">
              <w:rPr>
                <w:sz w:val="18"/>
                <w:szCs w:val="18"/>
              </w:rPr>
              <w:t>384</w:t>
            </w:r>
          </w:p>
        </w:tc>
        <w:tc>
          <w:tcPr>
            <w:tcW w:w="1044" w:type="dxa"/>
            <w:tcBorders>
              <w:top w:val="nil"/>
              <w:left w:val="nil"/>
              <w:bottom w:val="nil"/>
              <w:right w:val="nil"/>
            </w:tcBorders>
            <w:shd w:val="clear" w:color="auto" w:fill="auto"/>
            <w:vAlign w:val="center"/>
            <w:hideMark/>
          </w:tcPr>
          <w:p w14:paraId="0EAC8948" w14:textId="77777777" w:rsidR="001131E6" w:rsidRPr="006E7D8F" w:rsidRDefault="001131E6" w:rsidP="007728DA">
            <w:pPr>
              <w:pStyle w:val="ExhibitText"/>
              <w:jc w:val="right"/>
              <w:rPr>
                <w:sz w:val="18"/>
                <w:szCs w:val="18"/>
              </w:rPr>
            </w:pPr>
            <w:r w:rsidRPr="006E7D8F">
              <w:rPr>
                <w:sz w:val="18"/>
                <w:szCs w:val="18"/>
              </w:rPr>
              <w:t>149</w:t>
            </w:r>
            <w:r w:rsidR="003146E9" w:rsidRPr="006E7D8F">
              <w:rPr>
                <w:sz w:val="18"/>
                <w:szCs w:val="18"/>
              </w:rPr>
              <w:t>,</w:t>
            </w:r>
            <w:r w:rsidRPr="006E7D8F">
              <w:rPr>
                <w:sz w:val="18"/>
                <w:szCs w:val="18"/>
              </w:rPr>
              <w:t>116</w:t>
            </w:r>
          </w:p>
        </w:tc>
        <w:tc>
          <w:tcPr>
            <w:tcW w:w="1045" w:type="dxa"/>
            <w:tcBorders>
              <w:top w:val="nil"/>
              <w:left w:val="nil"/>
              <w:bottom w:val="nil"/>
              <w:right w:val="nil"/>
            </w:tcBorders>
            <w:shd w:val="clear" w:color="auto" w:fill="auto"/>
            <w:noWrap/>
            <w:vAlign w:val="center"/>
            <w:hideMark/>
          </w:tcPr>
          <w:p w14:paraId="0C1B4EEC" w14:textId="77777777" w:rsidR="001131E6" w:rsidRPr="006E7D8F" w:rsidRDefault="001131E6" w:rsidP="007728DA">
            <w:pPr>
              <w:pStyle w:val="ExhibitText"/>
              <w:jc w:val="right"/>
              <w:rPr>
                <w:sz w:val="18"/>
                <w:szCs w:val="18"/>
              </w:rPr>
            </w:pPr>
            <w:r w:rsidRPr="006E7D8F">
              <w:rPr>
                <w:sz w:val="18"/>
                <w:szCs w:val="18"/>
              </w:rPr>
              <w:t>148</w:t>
            </w:r>
            <w:r w:rsidR="003146E9" w:rsidRPr="006E7D8F">
              <w:rPr>
                <w:sz w:val="18"/>
                <w:szCs w:val="18"/>
              </w:rPr>
              <w:t>,</w:t>
            </w:r>
            <w:r w:rsidRPr="006E7D8F">
              <w:rPr>
                <w:sz w:val="18"/>
                <w:szCs w:val="18"/>
              </w:rPr>
              <w:t>555</w:t>
            </w:r>
          </w:p>
        </w:tc>
      </w:tr>
      <w:tr w:rsidR="001131E6" w:rsidRPr="006E7D8F" w14:paraId="2EE3E31D"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7D674E22" w14:textId="53CFE221" w:rsidR="001131E6" w:rsidRPr="006E7D8F" w:rsidRDefault="00D97A03" w:rsidP="007728DA">
            <w:pPr>
              <w:pStyle w:val="ExhibitText"/>
              <w:jc w:val="left"/>
              <w:rPr>
                <w:sz w:val="18"/>
                <w:szCs w:val="18"/>
              </w:rPr>
            </w:pPr>
            <w:r>
              <w:rPr>
                <w:sz w:val="18"/>
                <w:szCs w:val="18"/>
              </w:rPr>
              <w:t xml:space="preserve">  </w:t>
            </w:r>
            <w:r w:rsidR="001131E6" w:rsidRPr="006E7D8F">
              <w:rPr>
                <w:sz w:val="18"/>
                <w:szCs w:val="18"/>
              </w:rPr>
              <w:t>Demand deposits</w:t>
            </w:r>
          </w:p>
        </w:tc>
        <w:tc>
          <w:tcPr>
            <w:tcW w:w="1043" w:type="dxa"/>
            <w:tcBorders>
              <w:top w:val="nil"/>
              <w:left w:val="nil"/>
              <w:bottom w:val="nil"/>
              <w:right w:val="nil"/>
            </w:tcBorders>
            <w:shd w:val="clear" w:color="auto" w:fill="auto"/>
            <w:noWrap/>
            <w:vAlign w:val="center"/>
            <w:hideMark/>
          </w:tcPr>
          <w:p w14:paraId="7F2D7A04"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294</w:t>
            </w:r>
          </w:p>
        </w:tc>
        <w:tc>
          <w:tcPr>
            <w:tcW w:w="1043" w:type="dxa"/>
            <w:tcBorders>
              <w:top w:val="nil"/>
              <w:left w:val="nil"/>
              <w:bottom w:val="nil"/>
              <w:right w:val="nil"/>
            </w:tcBorders>
            <w:shd w:val="clear" w:color="auto" w:fill="auto"/>
            <w:noWrap/>
            <w:vAlign w:val="center"/>
            <w:hideMark/>
          </w:tcPr>
          <w:p w14:paraId="0EAEDB79"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314</w:t>
            </w:r>
          </w:p>
        </w:tc>
        <w:tc>
          <w:tcPr>
            <w:tcW w:w="1045" w:type="dxa"/>
            <w:tcBorders>
              <w:top w:val="nil"/>
              <w:left w:val="nil"/>
              <w:bottom w:val="nil"/>
              <w:right w:val="nil"/>
            </w:tcBorders>
            <w:shd w:val="clear" w:color="auto" w:fill="auto"/>
            <w:vAlign w:val="center"/>
            <w:hideMark/>
          </w:tcPr>
          <w:p w14:paraId="652679B6"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763</w:t>
            </w:r>
          </w:p>
        </w:tc>
        <w:tc>
          <w:tcPr>
            <w:tcW w:w="1044" w:type="dxa"/>
            <w:tcBorders>
              <w:top w:val="nil"/>
              <w:left w:val="nil"/>
              <w:bottom w:val="nil"/>
              <w:right w:val="nil"/>
            </w:tcBorders>
            <w:shd w:val="clear" w:color="auto" w:fill="auto"/>
            <w:vAlign w:val="center"/>
            <w:hideMark/>
          </w:tcPr>
          <w:p w14:paraId="10182345"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857</w:t>
            </w:r>
          </w:p>
        </w:tc>
        <w:tc>
          <w:tcPr>
            <w:tcW w:w="1044" w:type="dxa"/>
            <w:tcBorders>
              <w:top w:val="nil"/>
              <w:left w:val="nil"/>
              <w:bottom w:val="nil"/>
              <w:right w:val="nil"/>
            </w:tcBorders>
            <w:shd w:val="clear" w:color="auto" w:fill="auto"/>
            <w:vAlign w:val="center"/>
            <w:hideMark/>
          </w:tcPr>
          <w:p w14:paraId="090DD3FA" w14:textId="77777777" w:rsidR="001131E6" w:rsidRPr="006E7D8F" w:rsidRDefault="001131E6" w:rsidP="007728DA">
            <w:pPr>
              <w:pStyle w:val="ExhibitText"/>
              <w:jc w:val="right"/>
              <w:rPr>
                <w:sz w:val="18"/>
                <w:szCs w:val="18"/>
              </w:rPr>
            </w:pPr>
            <w:r w:rsidRPr="006E7D8F">
              <w:rPr>
                <w:sz w:val="18"/>
                <w:szCs w:val="18"/>
              </w:rPr>
              <w:t>6</w:t>
            </w:r>
            <w:r w:rsidR="003146E9" w:rsidRPr="006E7D8F">
              <w:rPr>
                <w:sz w:val="18"/>
                <w:szCs w:val="18"/>
              </w:rPr>
              <w:t>,</w:t>
            </w:r>
            <w:r w:rsidRPr="006E7D8F">
              <w:rPr>
                <w:sz w:val="18"/>
                <w:szCs w:val="18"/>
              </w:rPr>
              <w:t>078</w:t>
            </w:r>
          </w:p>
        </w:tc>
        <w:tc>
          <w:tcPr>
            <w:tcW w:w="1045" w:type="dxa"/>
            <w:tcBorders>
              <w:top w:val="nil"/>
              <w:left w:val="nil"/>
              <w:bottom w:val="nil"/>
              <w:right w:val="nil"/>
            </w:tcBorders>
            <w:shd w:val="clear" w:color="auto" w:fill="auto"/>
            <w:noWrap/>
            <w:vAlign w:val="center"/>
            <w:hideMark/>
          </w:tcPr>
          <w:p w14:paraId="7289E35A" w14:textId="77777777" w:rsidR="001131E6" w:rsidRPr="006E7D8F" w:rsidRDefault="001131E6" w:rsidP="007728DA">
            <w:pPr>
              <w:pStyle w:val="ExhibitText"/>
              <w:jc w:val="right"/>
              <w:rPr>
                <w:sz w:val="18"/>
                <w:szCs w:val="18"/>
              </w:rPr>
            </w:pPr>
          </w:p>
        </w:tc>
      </w:tr>
      <w:tr w:rsidR="001131E6" w:rsidRPr="006E7D8F" w14:paraId="775B2F76"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778CAD44" w14:textId="6C8C0CB1" w:rsidR="001131E6" w:rsidRPr="006E7D8F" w:rsidRDefault="00D97A03" w:rsidP="007728DA">
            <w:pPr>
              <w:pStyle w:val="ExhibitText"/>
              <w:jc w:val="left"/>
              <w:rPr>
                <w:sz w:val="18"/>
                <w:szCs w:val="18"/>
              </w:rPr>
            </w:pPr>
            <w:r>
              <w:rPr>
                <w:sz w:val="18"/>
                <w:szCs w:val="18"/>
              </w:rPr>
              <w:t xml:space="preserve">  </w:t>
            </w:r>
            <w:r w:rsidR="001131E6" w:rsidRPr="006E7D8F">
              <w:rPr>
                <w:sz w:val="18"/>
                <w:szCs w:val="18"/>
              </w:rPr>
              <w:t>Savings bank deposits</w:t>
            </w:r>
          </w:p>
        </w:tc>
        <w:tc>
          <w:tcPr>
            <w:tcW w:w="1043" w:type="dxa"/>
            <w:tcBorders>
              <w:top w:val="nil"/>
              <w:left w:val="nil"/>
              <w:bottom w:val="nil"/>
              <w:right w:val="nil"/>
            </w:tcBorders>
            <w:shd w:val="clear" w:color="auto" w:fill="auto"/>
            <w:noWrap/>
            <w:vAlign w:val="center"/>
            <w:hideMark/>
          </w:tcPr>
          <w:p w14:paraId="6AE012D2" w14:textId="77777777" w:rsidR="001131E6" w:rsidRPr="006E7D8F" w:rsidRDefault="001131E6" w:rsidP="007728DA">
            <w:pPr>
              <w:pStyle w:val="ExhibitText"/>
              <w:jc w:val="right"/>
              <w:rPr>
                <w:sz w:val="18"/>
                <w:szCs w:val="18"/>
              </w:rPr>
            </w:pPr>
            <w:r w:rsidRPr="006E7D8F">
              <w:rPr>
                <w:sz w:val="18"/>
                <w:szCs w:val="18"/>
              </w:rPr>
              <w:t>18</w:t>
            </w:r>
            <w:r w:rsidR="003146E9" w:rsidRPr="006E7D8F">
              <w:rPr>
                <w:sz w:val="18"/>
                <w:szCs w:val="18"/>
              </w:rPr>
              <w:t>,</w:t>
            </w:r>
            <w:r w:rsidRPr="006E7D8F">
              <w:rPr>
                <w:sz w:val="18"/>
                <w:szCs w:val="18"/>
              </w:rPr>
              <w:t>340</w:t>
            </w:r>
          </w:p>
        </w:tc>
        <w:tc>
          <w:tcPr>
            <w:tcW w:w="1043" w:type="dxa"/>
            <w:tcBorders>
              <w:top w:val="nil"/>
              <w:left w:val="nil"/>
              <w:bottom w:val="nil"/>
              <w:right w:val="nil"/>
            </w:tcBorders>
            <w:shd w:val="clear" w:color="auto" w:fill="auto"/>
            <w:noWrap/>
            <w:vAlign w:val="center"/>
            <w:hideMark/>
          </w:tcPr>
          <w:p w14:paraId="313EEBB7" w14:textId="77777777" w:rsidR="001131E6" w:rsidRPr="006E7D8F" w:rsidRDefault="001131E6" w:rsidP="007728DA">
            <w:pPr>
              <w:pStyle w:val="ExhibitText"/>
              <w:jc w:val="right"/>
              <w:rPr>
                <w:sz w:val="18"/>
                <w:szCs w:val="18"/>
              </w:rPr>
            </w:pPr>
            <w:r w:rsidRPr="006E7D8F">
              <w:rPr>
                <w:sz w:val="18"/>
                <w:szCs w:val="18"/>
              </w:rPr>
              <w:t>20</w:t>
            </w:r>
            <w:r w:rsidR="003146E9" w:rsidRPr="006E7D8F">
              <w:rPr>
                <w:sz w:val="18"/>
                <w:szCs w:val="18"/>
              </w:rPr>
              <w:t>,</w:t>
            </w:r>
            <w:r w:rsidRPr="006E7D8F">
              <w:rPr>
                <w:sz w:val="18"/>
                <w:szCs w:val="18"/>
              </w:rPr>
              <w:t>295</w:t>
            </w:r>
          </w:p>
        </w:tc>
        <w:tc>
          <w:tcPr>
            <w:tcW w:w="1045" w:type="dxa"/>
            <w:tcBorders>
              <w:top w:val="nil"/>
              <w:left w:val="nil"/>
              <w:bottom w:val="nil"/>
              <w:right w:val="nil"/>
            </w:tcBorders>
            <w:shd w:val="clear" w:color="auto" w:fill="auto"/>
            <w:vAlign w:val="center"/>
            <w:hideMark/>
          </w:tcPr>
          <w:p w14:paraId="55E594D6" w14:textId="77777777" w:rsidR="001131E6" w:rsidRPr="006E7D8F" w:rsidRDefault="001131E6" w:rsidP="007728DA">
            <w:pPr>
              <w:pStyle w:val="ExhibitText"/>
              <w:jc w:val="right"/>
              <w:rPr>
                <w:sz w:val="18"/>
                <w:szCs w:val="18"/>
              </w:rPr>
            </w:pPr>
            <w:r w:rsidRPr="006E7D8F">
              <w:rPr>
                <w:sz w:val="18"/>
                <w:szCs w:val="18"/>
              </w:rPr>
              <w:t>22</w:t>
            </w:r>
            <w:r w:rsidR="003146E9" w:rsidRPr="006E7D8F">
              <w:rPr>
                <w:sz w:val="18"/>
                <w:szCs w:val="18"/>
              </w:rPr>
              <w:t>,</w:t>
            </w:r>
            <w:r w:rsidRPr="006E7D8F">
              <w:rPr>
                <w:sz w:val="18"/>
                <w:szCs w:val="18"/>
              </w:rPr>
              <w:t>293</w:t>
            </w:r>
          </w:p>
        </w:tc>
        <w:tc>
          <w:tcPr>
            <w:tcW w:w="1044" w:type="dxa"/>
            <w:tcBorders>
              <w:top w:val="nil"/>
              <w:left w:val="nil"/>
              <w:bottom w:val="nil"/>
              <w:right w:val="nil"/>
            </w:tcBorders>
            <w:shd w:val="clear" w:color="auto" w:fill="auto"/>
            <w:vAlign w:val="center"/>
            <w:hideMark/>
          </w:tcPr>
          <w:p w14:paraId="638BA8E9" w14:textId="77777777" w:rsidR="001131E6" w:rsidRPr="006E7D8F" w:rsidRDefault="001131E6" w:rsidP="007728DA">
            <w:pPr>
              <w:pStyle w:val="ExhibitText"/>
              <w:jc w:val="right"/>
              <w:rPr>
                <w:sz w:val="18"/>
                <w:szCs w:val="18"/>
              </w:rPr>
            </w:pPr>
            <w:r w:rsidRPr="006E7D8F">
              <w:rPr>
                <w:sz w:val="18"/>
                <w:szCs w:val="18"/>
              </w:rPr>
              <w:t>25</w:t>
            </w:r>
            <w:r w:rsidR="003146E9" w:rsidRPr="006E7D8F">
              <w:rPr>
                <w:sz w:val="18"/>
                <w:szCs w:val="18"/>
              </w:rPr>
              <w:t>,</w:t>
            </w:r>
            <w:r w:rsidRPr="006E7D8F">
              <w:rPr>
                <w:sz w:val="18"/>
                <w:szCs w:val="18"/>
              </w:rPr>
              <w:t>064</w:t>
            </w:r>
          </w:p>
        </w:tc>
        <w:tc>
          <w:tcPr>
            <w:tcW w:w="1044" w:type="dxa"/>
            <w:tcBorders>
              <w:top w:val="nil"/>
              <w:left w:val="nil"/>
              <w:bottom w:val="nil"/>
              <w:right w:val="nil"/>
            </w:tcBorders>
            <w:shd w:val="clear" w:color="auto" w:fill="auto"/>
            <w:vAlign w:val="center"/>
            <w:hideMark/>
          </w:tcPr>
          <w:p w14:paraId="7FDBE44F" w14:textId="77777777" w:rsidR="001131E6" w:rsidRPr="006E7D8F" w:rsidRDefault="001131E6" w:rsidP="007728DA">
            <w:pPr>
              <w:pStyle w:val="ExhibitText"/>
              <w:jc w:val="right"/>
              <w:rPr>
                <w:sz w:val="18"/>
                <w:szCs w:val="18"/>
              </w:rPr>
            </w:pPr>
            <w:r w:rsidRPr="006E7D8F">
              <w:rPr>
                <w:sz w:val="18"/>
                <w:szCs w:val="18"/>
              </w:rPr>
              <w:t>30</w:t>
            </w:r>
            <w:r w:rsidR="003146E9" w:rsidRPr="006E7D8F">
              <w:rPr>
                <w:sz w:val="18"/>
                <w:szCs w:val="18"/>
              </w:rPr>
              <w:t>,</w:t>
            </w:r>
            <w:r w:rsidRPr="006E7D8F">
              <w:rPr>
                <w:sz w:val="18"/>
                <w:szCs w:val="18"/>
              </w:rPr>
              <w:t>868</w:t>
            </w:r>
          </w:p>
        </w:tc>
        <w:tc>
          <w:tcPr>
            <w:tcW w:w="1045" w:type="dxa"/>
            <w:tcBorders>
              <w:top w:val="nil"/>
              <w:left w:val="nil"/>
              <w:bottom w:val="nil"/>
              <w:right w:val="nil"/>
            </w:tcBorders>
            <w:shd w:val="clear" w:color="auto" w:fill="auto"/>
            <w:noWrap/>
            <w:vAlign w:val="center"/>
            <w:hideMark/>
          </w:tcPr>
          <w:p w14:paraId="31D29998" w14:textId="77777777" w:rsidR="001131E6" w:rsidRPr="006E7D8F" w:rsidRDefault="001131E6" w:rsidP="007728DA">
            <w:pPr>
              <w:pStyle w:val="ExhibitText"/>
              <w:jc w:val="right"/>
              <w:rPr>
                <w:sz w:val="18"/>
                <w:szCs w:val="18"/>
              </w:rPr>
            </w:pPr>
          </w:p>
        </w:tc>
      </w:tr>
      <w:tr w:rsidR="001131E6" w:rsidRPr="006E7D8F" w14:paraId="1F1774F5"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0038BA82" w14:textId="4A279BAD" w:rsidR="001131E6" w:rsidRPr="006E7D8F" w:rsidRDefault="00D97A03" w:rsidP="007728DA">
            <w:pPr>
              <w:pStyle w:val="ExhibitText"/>
              <w:jc w:val="left"/>
              <w:rPr>
                <w:sz w:val="18"/>
                <w:szCs w:val="18"/>
              </w:rPr>
            </w:pPr>
            <w:r>
              <w:rPr>
                <w:sz w:val="18"/>
                <w:szCs w:val="18"/>
              </w:rPr>
              <w:t xml:space="preserve">  </w:t>
            </w:r>
            <w:r w:rsidR="001131E6" w:rsidRPr="006E7D8F">
              <w:rPr>
                <w:sz w:val="18"/>
                <w:szCs w:val="18"/>
              </w:rPr>
              <w:t>Term deposits</w:t>
            </w:r>
          </w:p>
        </w:tc>
        <w:tc>
          <w:tcPr>
            <w:tcW w:w="1043" w:type="dxa"/>
            <w:tcBorders>
              <w:top w:val="nil"/>
              <w:left w:val="nil"/>
              <w:bottom w:val="nil"/>
              <w:right w:val="nil"/>
            </w:tcBorders>
            <w:shd w:val="clear" w:color="auto" w:fill="auto"/>
            <w:noWrap/>
            <w:vAlign w:val="center"/>
            <w:hideMark/>
          </w:tcPr>
          <w:p w14:paraId="1B57AB6D" w14:textId="77777777" w:rsidR="001131E6" w:rsidRPr="006E7D8F" w:rsidRDefault="001131E6" w:rsidP="007728DA">
            <w:pPr>
              <w:pStyle w:val="ExhibitText"/>
              <w:jc w:val="right"/>
              <w:rPr>
                <w:sz w:val="18"/>
                <w:szCs w:val="18"/>
              </w:rPr>
            </w:pPr>
            <w:r w:rsidRPr="006E7D8F">
              <w:rPr>
                <w:sz w:val="18"/>
                <w:szCs w:val="18"/>
              </w:rPr>
              <w:t>101</w:t>
            </w:r>
            <w:r w:rsidR="003146E9" w:rsidRPr="006E7D8F">
              <w:rPr>
                <w:sz w:val="18"/>
                <w:szCs w:val="18"/>
              </w:rPr>
              <w:t>,</w:t>
            </w:r>
            <w:r w:rsidRPr="006E7D8F">
              <w:rPr>
                <w:sz w:val="18"/>
                <w:szCs w:val="18"/>
              </w:rPr>
              <w:t>782</w:t>
            </w:r>
          </w:p>
        </w:tc>
        <w:tc>
          <w:tcPr>
            <w:tcW w:w="1043" w:type="dxa"/>
            <w:tcBorders>
              <w:top w:val="nil"/>
              <w:left w:val="nil"/>
              <w:bottom w:val="nil"/>
              <w:right w:val="nil"/>
            </w:tcBorders>
            <w:shd w:val="clear" w:color="auto" w:fill="auto"/>
            <w:noWrap/>
            <w:vAlign w:val="center"/>
            <w:hideMark/>
          </w:tcPr>
          <w:p w14:paraId="0D582FCC" w14:textId="77777777" w:rsidR="001131E6" w:rsidRPr="006E7D8F" w:rsidRDefault="001131E6" w:rsidP="007728DA">
            <w:pPr>
              <w:pStyle w:val="ExhibitText"/>
              <w:jc w:val="right"/>
              <w:rPr>
                <w:sz w:val="18"/>
                <w:szCs w:val="18"/>
              </w:rPr>
            </w:pPr>
            <w:r w:rsidRPr="006E7D8F">
              <w:rPr>
                <w:sz w:val="18"/>
                <w:szCs w:val="18"/>
              </w:rPr>
              <w:t>113</w:t>
            </w:r>
            <w:r w:rsidR="003146E9" w:rsidRPr="006E7D8F">
              <w:rPr>
                <w:sz w:val="18"/>
                <w:szCs w:val="18"/>
              </w:rPr>
              <w:t>,</w:t>
            </w:r>
            <w:r w:rsidRPr="006E7D8F">
              <w:rPr>
                <w:sz w:val="18"/>
                <w:szCs w:val="18"/>
              </w:rPr>
              <w:t>129</w:t>
            </w:r>
          </w:p>
        </w:tc>
        <w:tc>
          <w:tcPr>
            <w:tcW w:w="1045" w:type="dxa"/>
            <w:tcBorders>
              <w:top w:val="nil"/>
              <w:left w:val="nil"/>
              <w:bottom w:val="nil"/>
              <w:right w:val="nil"/>
            </w:tcBorders>
            <w:shd w:val="clear" w:color="auto" w:fill="auto"/>
            <w:vAlign w:val="center"/>
            <w:hideMark/>
          </w:tcPr>
          <w:p w14:paraId="0B2E53A5" w14:textId="77777777" w:rsidR="001131E6" w:rsidRPr="006E7D8F" w:rsidRDefault="001131E6" w:rsidP="007728DA">
            <w:pPr>
              <w:pStyle w:val="ExhibitText"/>
              <w:jc w:val="right"/>
              <w:rPr>
                <w:sz w:val="18"/>
                <w:szCs w:val="18"/>
              </w:rPr>
            </w:pPr>
            <w:r w:rsidRPr="006E7D8F">
              <w:rPr>
                <w:sz w:val="18"/>
                <w:szCs w:val="18"/>
              </w:rPr>
              <w:t>118</w:t>
            </w:r>
            <w:r w:rsidR="003146E9" w:rsidRPr="006E7D8F">
              <w:rPr>
                <w:sz w:val="18"/>
                <w:szCs w:val="18"/>
              </w:rPr>
              <w:t>,</w:t>
            </w:r>
            <w:r w:rsidRPr="006E7D8F">
              <w:rPr>
                <w:sz w:val="18"/>
                <w:szCs w:val="18"/>
              </w:rPr>
              <w:t>688</w:t>
            </w:r>
          </w:p>
        </w:tc>
        <w:tc>
          <w:tcPr>
            <w:tcW w:w="1044" w:type="dxa"/>
            <w:tcBorders>
              <w:top w:val="nil"/>
              <w:left w:val="nil"/>
              <w:bottom w:val="nil"/>
              <w:right w:val="nil"/>
            </w:tcBorders>
            <w:shd w:val="clear" w:color="auto" w:fill="auto"/>
            <w:vAlign w:val="center"/>
            <w:hideMark/>
          </w:tcPr>
          <w:p w14:paraId="0B4B8CB4" w14:textId="77777777" w:rsidR="001131E6" w:rsidRPr="006E7D8F" w:rsidRDefault="001131E6" w:rsidP="007728DA">
            <w:pPr>
              <w:pStyle w:val="ExhibitText"/>
              <w:jc w:val="right"/>
              <w:rPr>
                <w:sz w:val="18"/>
                <w:szCs w:val="18"/>
              </w:rPr>
            </w:pPr>
            <w:r w:rsidRPr="006E7D8F">
              <w:rPr>
                <w:sz w:val="18"/>
                <w:szCs w:val="18"/>
              </w:rPr>
              <w:t>115</w:t>
            </w:r>
            <w:r w:rsidR="003146E9" w:rsidRPr="006E7D8F">
              <w:rPr>
                <w:sz w:val="18"/>
                <w:szCs w:val="18"/>
              </w:rPr>
              <w:t>,</w:t>
            </w:r>
            <w:r w:rsidRPr="006E7D8F">
              <w:rPr>
                <w:sz w:val="18"/>
                <w:szCs w:val="18"/>
              </w:rPr>
              <w:t>464</w:t>
            </w:r>
          </w:p>
        </w:tc>
        <w:tc>
          <w:tcPr>
            <w:tcW w:w="1044" w:type="dxa"/>
            <w:tcBorders>
              <w:top w:val="nil"/>
              <w:left w:val="nil"/>
              <w:bottom w:val="nil"/>
              <w:right w:val="nil"/>
            </w:tcBorders>
            <w:shd w:val="clear" w:color="auto" w:fill="auto"/>
            <w:vAlign w:val="center"/>
            <w:hideMark/>
          </w:tcPr>
          <w:p w14:paraId="6C618BDC" w14:textId="77777777" w:rsidR="001131E6" w:rsidRPr="006E7D8F" w:rsidRDefault="001131E6" w:rsidP="007728DA">
            <w:pPr>
              <w:pStyle w:val="ExhibitText"/>
              <w:jc w:val="right"/>
              <w:rPr>
                <w:sz w:val="18"/>
                <w:szCs w:val="18"/>
              </w:rPr>
            </w:pPr>
            <w:r w:rsidRPr="006E7D8F">
              <w:rPr>
                <w:sz w:val="18"/>
                <w:szCs w:val="18"/>
              </w:rPr>
              <w:t>112</w:t>
            </w:r>
            <w:r w:rsidR="003146E9" w:rsidRPr="006E7D8F">
              <w:rPr>
                <w:sz w:val="18"/>
                <w:szCs w:val="18"/>
              </w:rPr>
              <w:t>,</w:t>
            </w:r>
            <w:r w:rsidRPr="006E7D8F">
              <w:rPr>
                <w:sz w:val="18"/>
                <w:szCs w:val="18"/>
              </w:rPr>
              <w:t>170</w:t>
            </w:r>
          </w:p>
        </w:tc>
        <w:tc>
          <w:tcPr>
            <w:tcW w:w="1045" w:type="dxa"/>
            <w:tcBorders>
              <w:top w:val="nil"/>
              <w:left w:val="nil"/>
              <w:bottom w:val="nil"/>
              <w:right w:val="nil"/>
            </w:tcBorders>
            <w:shd w:val="clear" w:color="auto" w:fill="auto"/>
            <w:noWrap/>
            <w:vAlign w:val="center"/>
            <w:hideMark/>
          </w:tcPr>
          <w:p w14:paraId="753F7925" w14:textId="77777777" w:rsidR="001131E6" w:rsidRPr="006E7D8F" w:rsidRDefault="001131E6" w:rsidP="007728DA">
            <w:pPr>
              <w:pStyle w:val="ExhibitText"/>
              <w:jc w:val="right"/>
              <w:rPr>
                <w:sz w:val="18"/>
                <w:szCs w:val="18"/>
              </w:rPr>
            </w:pPr>
          </w:p>
        </w:tc>
      </w:tr>
      <w:tr w:rsidR="001131E6" w:rsidRPr="006E7D8F" w14:paraId="772E88A7"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61EE9FDC" w14:textId="77777777" w:rsidR="001131E6" w:rsidRPr="006E7D8F" w:rsidRDefault="001131E6" w:rsidP="007728DA">
            <w:pPr>
              <w:pStyle w:val="ExhibitText"/>
              <w:jc w:val="left"/>
              <w:rPr>
                <w:sz w:val="18"/>
                <w:szCs w:val="18"/>
              </w:rPr>
            </w:pPr>
            <w:r w:rsidRPr="006E7D8F">
              <w:rPr>
                <w:sz w:val="18"/>
                <w:szCs w:val="18"/>
              </w:rPr>
              <w:t>Borrowings</w:t>
            </w:r>
          </w:p>
        </w:tc>
        <w:tc>
          <w:tcPr>
            <w:tcW w:w="1043" w:type="dxa"/>
            <w:tcBorders>
              <w:top w:val="nil"/>
              <w:left w:val="nil"/>
              <w:bottom w:val="nil"/>
              <w:right w:val="nil"/>
            </w:tcBorders>
            <w:shd w:val="clear" w:color="auto" w:fill="auto"/>
            <w:noWrap/>
            <w:vAlign w:val="center"/>
            <w:hideMark/>
          </w:tcPr>
          <w:p w14:paraId="1A77B85B" w14:textId="77777777" w:rsidR="001131E6" w:rsidRPr="006E7D8F" w:rsidRDefault="001131E6" w:rsidP="007728DA">
            <w:pPr>
              <w:pStyle w:val="ExhibitText"/>
              <w:jc w:val="right"/>
              <w:rPr>
                <w:sz w:val="18"/>
                <w:szCs w:val="18"/>
              </w:rPr>
            </w:pPr>
            <w:r w:rsidRPr="006E7D8F">
              <w:rPr>
                <w:sz w:val="18"/>
                <w:szCs w:val="18"/>
              </w:rPr>
              <w:t>1</w:t>
            </w:r>
            <w:r w:rsidR="003146E9" w:rsidRPr="006E7D8F">
              <w:rPr>
                <w:sz w:val="18"/>
                <w:szCs w:val="18"/>
              </w:rPr>
              <w:t>,</w:t>
            </w:r>
            <w:r w:rsidRPr="006E7D8F">
              <w:rPr>
                <w:sz w:val="18"/>
                <w:szCs w:val="18"/>
              </w:rPr>
              <w:t>994</w:t>
            </w:r>
          </w:p>
        </w:tc>
        <w:tc>
          <w:tcPr>
            <w:tcW w:w="1043" w:type="dxa"/>
            <w:tcBorders>
              <w:top w:val="nil"/>
              <w:left w:val="nil"/>
              <w:bottom w:val="nil"/>
              <w:right w:val="nil"/>
            </w:tcBorders>
            <w:shd w:val="clear" w:color="auto" w:fill="auto"/>
            <w:noWrap/>
            <w:vAlign w:val="center"/>
            <w:hideMark/>
          </w:tcPr>
          <w:p w14:paraId="7DE83114" w14:textId="77777777" w:rsidR="001131E6" w:rsidRPr="006E7D8F" w:rsidRDefault="001131E6" w:rsidP="007728DA">
            <w:pPr>
              <w:pStyle w:val="ExhibitText"/>
              <w:jc w:val="right"/>
              <w:rPr>
                <w:sz w:val="18"/>
                <w:szCs w:val="18"/>
              </w:rPr>
            </w:pPr>
            <w:r w:rsidRPr="006E7D8F">
              <w:rPr>
                <w:sz w:val="18"/>
                <w:szCs w:val="18"/>
              </w:rPr>
              <w:t>5</w:t>
            </w:r>
            <w:r w:rsidR="003146E9" w:rsidRPr="006E7D8F">
              <w:rPr>
                <w:sz w:val="18"/>
                <w:szCs w:val="18"/>
              </w:rPr>
              <w:t>,</w:t>
            </w:r>
            <w:r w:rsidRPr="006E7D8F">
              <w:rPr>
                <w:sz w:val="18"/>
                <w:szCs w:val="18"/>
              </w:rPr>
              <w:t>555</w:t>
            </w:r>
          </w:p>
        </w:tc>
        <w:tc>
          <w:tcPr>
            <w:tcW w:w="1045" w:type="dxa"/>
            <w:tcBorders>
              <w:top w:val="nil"/>
              <w:left w:val="nil"/>
              <w:bottom w:val="nil"/>
              <w:right w:val="nil"/>
            </w:tcBorders>
            <w:shd w:val="clear" w:color="auto" w:fill="auto"/>
            <w:vAlign w:val="center"/>
            <w:hideMark/>
          </w:tcPr>
          <w:p w14:paraId="4FAFCB0B" w14:textId="77777777" w:rsidR="001131E6" w:rsidRPr="006E7D8F" w:rsidRDefault="001131E6" w:rsidP="007728DA">
            <w:pPr>
              <w:pStyle w:val="ExhibitText"/>
              <w:jc w:val="right"/>
              <w:rPr>
                <w:sz w:val="18"/>
                <w:szCs w:val="18"/>
              </w:rPr>
            </w:pPr>
            <w:r w:rsidRPr="006E7D8F">
              <w:rPr>
                <w:sz w:val="18"/>
                <w:szCs w:val="18"/>
              </w:rPr>
              <w:t>454</w:t>
            </w:r>
          </w:p>
        </w:tc>
        <w:tc>
          <w:tcPr>
            <w:tcW w:w="1044" w:type="dxa"/>
            <w:tcBorders>
              <w:top w:val="nil"/>
              <w:left w:val="nil"/>
              <w:bottom w:val="nil"/>
              <w:right w:val="nil"/>
            </w:tcBorders>
            <w:shd w:val="clear" w:color="auto" w:fill="auto"/>
            <w:vAlign w:val="center"/>
            <w:hideMark/>
          </w:tcPr>
          <w:p w14:paraId="260D4BBA" w14:textId="77777777" w:rsidR="001131E6" w:rsidRPr="006E7D8F" w:rsidRDefault="001131E6" w:rsidP="007728DA">
            <w:pPr>
              <w:pStyle w:val="ExhibitText"/>
              <w:jc w:val="right"/>
              <w:rPr>
                <w:sz w:val="18"/>
                <w:szCs w:val="18"/>
              </w:rPr>
            </w:pPr>
            <w:r w:rsidRPr="006E7D8F">
              <w:rPr>
                <w:sz w:val="18"/>
                <w:szCs w:val="18"/>
              </w:rPr>
              <w:t>418</w:t>
            </w:r>
          </w:p>
        </w:tc>
        <w:tc>
          <w:tcPr>
            <w:tcW w:w="1044" w:type="dxa"/>
            <w:tcBorders>
              <w:top w:val="nil"/>
              <w:left w:val="nil"/>
              <w:bottom w:val="nil"/>
              <w:right w:val="nil"/>
            </w:tcBorders>
            <w:shd w:val="clear" w:color="auto" w:fill="auto"/>
            <w:vAlign w:val="center"/>
            <w:hideMark/>
          </w:tcPr>
          <w:p w14:paraId="671ED32B" w14:textId="77777777" w:rsidR="001131E6" w:rsidRPr="006E7D8F" w:rsidRDefault="001131E6" w:rsidP="007728DA">
            <w:pPr>
              <w:pStyle w:val="ExhibitText"/>
              <w:jc w:val="right"/>
              <w:rPr>
                <w:sz w:val="18"/>
                <w:szCs w:val="18"/>
              </w:rPr>
            </w:pPr>
            <w:r w:rsidRPr="006E7D8F">
              <w:rPr>
                <w:sz w:val="18"/>
                <w:szCs w:val="18"/>
              </w:rPr>
              <w:t>418</w:t>
            </w:r>
          </w:p>
        </w:tc>
        <w:tc>
          <w:tcPr>
            <w:tcW w:w="1045" w:type="dxa"/>
            <w:tcBorders>
              <w:top w:val="nil"/>
              <w:left w:val="nil"/>
              <w:bottom w:val="nil"/>
              <w:right w:val="nil"/>
            </w:tcBorders>
            <w:shd w:val="clear" w:color="auto" w:fill="auto"/>
            <w:noWrap/>
            <w:vAlign w:val="center"/>
            <w:hideMark/>
          </w:tcPr>
          <w:p w14:paraId="24980618"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429</w:t>
            </w:r>
          </w:p>
        </w:tc>
      </w:tr>
      <w:tr w:rsidR="001131E6" w:rsidRPr="006E7D8F" w14:paraId="2DC33E6E" w14:textId="77777777" w:rsidTr="00667F3C">
        <w:trPr>
          <w:trHeight w:val="288"/>
          <w:jc w:val="center"/>
        </w:trPr>
        <w:tc>
          <w:tcPr>
            <w:tcW w:w="3015" w:type="dxa"/>
            <w:tcBorders>
              <w:top w:val="nil"/>
              <w:left w:val="nil"/>
              <w:bottom w:val="nil"/>
              <w:right w:val="nil"/>
            </w:tcBorders>
            <w:shd w:val="clear" w:color="auto" w:fill="auto"/>
            <w:noWrap/>
            <w:vAlign w:val="center"/>
            <w:hideMark/>
          </w:tcPr>
          <w:p w14:paraId="4F3D68E0" w14:textId="77777777" w:rsidR="001131E6" w:rsidRPr="006E7D8F" w:rsidRDefault="001131E6" w:rsidP="007728DA">
            <w:pPr>
              <w:pStyle w:val="ExhibitText"/>
              <w:jc w:val="left"/>
              <w:rPr>
                <w:sz w:val="18"/>
                <w:szCs w:val="18"/>
              </w:rPr>
            </w:pPr>
            <w:r w:rsidRPr="006E7D8F">
              <w:rPr>
                <w:sz w:val="18"/>
                <w:szCs w:val="18"/>
              </w:rPr>
              <w:t xml:space="preserve">Other liabilities </w:t>
            </w:r>
            <w:r w:rsidR="00C329D4" w:rsidRPr="006E7D8F">
              <w:rPr>
                <w:sz w:val="18"/>
                <w:szCs w:val="18"/>
              </w:rPr>
              <w:t xml:space="preserve">and </w:t>
            </w:r>
            <w:r w:rsidRPr="006E7D8F">
              <w:rPr>
                <w:sz w:val="18"/>
                <w:szCs w:val="18"/>
              </w:rPr>
              <w:t>provisions</w:t>
            </w:r>
          </w:p>
        </w:tc>
        <w:tc>
          <w:tcPr>
            <w:tcW w:w="1043" w:type="dxa"/>
            <w:tcBorders>
              <w:top w:val="nil"/>
              <w:left w:val="nil"/>
              <w:bottom w:val="nil"/>
              <w:right w:val="nil"/>
            </w:tcBorders>
            <w:shd w:val="clear" w:color="auto" w:fill="auto"/>
            <w:noWrap/>
            <w:vAlign w:val="center"/>
            <w:hideMark/>
          </w:tcPr>
          <w:p w14:paraId="01ED3D1C"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215</w:t>
            </w:r>
          </w:p>
        </w:tc>
        <w:tc>
          <w:tcPr>
            <w:tcW w:w="1043" w:type="dxa"/>
            <w:tcBorders>
              <w:top w:val="nil"/>
              <w:left w:val="nil"/>
              <w:bottom w:val="nil"/>
              <w:right w:val="nil"/>
            </w:tcBorders>
            <w:shd w:val="clear" w:color="auto" w:fill="auto"/>
            <w:noWrap/>
            <w:vAlign w:val="center"/>
            <w:hideMark/>
          </w:tcPr>
          <w:p w14:paraId="054E0596"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161</w:t>
            </w:r>
          </w:p>
        </w:tc>
        <w:tc>
          <w:tcPr>
            <w:tcW w:w="1045" w:type="dxa"/>
            <w:tcBorders>
              <w:top w:val="nil"/>
              <w:left w:val="nil"/>
              <w:bottom w:val="nil"/>
              <w:right w:val="nil"/>
            </w:tcBorders>
            <w:shd w:val="clear" w:color="auto" w:fill="auto"/>
            <w:vAlign w:val="center"/>
            <w:hideMark/>
          </w:tcPr>
          <w:p w14:paraId="1D38F7A1"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513</w:t>
            </w:r>
          </w:p>
        </w:tc>
        <w:tc>
          <w:tcPr>
            <w:tcW w:w="1044" w:type="dxa"/>
            <w:tcBorders>
              <w:top w:val="nil"/>
              <w:left w:val="nil"/>
              <w:bottom w:val="nil"/>
              <w:right w:val="nil"/>
            </w:tcBorders>
            <w:shd w:val="clear" w:color="auto" w:fill="auto"/>
            <w:vAlign w:val="center"/>
            <w:hideMark/>
          </w:tcPr>
          <w:p w14:paraId="2D80A56F"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789</w:t>
            </w:r>
          </w:p>
        </w:tc>
        <w:tc>
          <w:tcPr>
            <w:tcW w:w="1044" w:type="dxa"/>
            <w:tcBorders>
              <w:top w:val="nil"/>
              <w:left w:val="nil"/>
              <w:bottom w:val="nil"/>
              <w:right w:val="nil"/>
            </w:tcBorders>
            <w:shd w:val="clear" w:color="auto" w:fill="auto"/>
            <w:vAlign w:val="center"/>
            <w:hideMark/>
          </w:tcPr>
          <w:p w14:paraId="3B5768A1"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705</w:t>
            </w:r>
          </w:p>
        </w:tc>
        <w:tc>
          <w:tcPr>
            <w:tcW w:w="1045" w:type="dxa"/>
            <w:tcBorders>
              <w:top w:val="nil"/>
              <w:left w:val="nil"/>
              <w:bottom w:val="nil"/>
              <w:right w:val="nil"/>
            </w:tcBorders>
            <w:shd w:val="clear" w:color="auto" w:fill="auto"/>
            <w:noWrap/>
            <w:vAlign w:val="center"/>
            <w:hideMark/>
          </w:tcPr>
          <w:p w14:paraId="2355CDC2"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666</w:t>
            </w:r>
          </w:p>
        </w:tc>
      </w:tr>
      <w:tr w:rsidR="001131E6" w:rsidRPr="006E7D8F" w14:paraId="507B7BCB" w14:textId="77777777" w:rsidTr="00667F3C">
        <w:trPr>
          <w:trHeight w:val="288"/>
          <w:jc w:val="center"/>
        </w:trPr>
        <w:tc>
          <w:tcPr>
            <w:tcW w:w="3015" w:type="dxa"/>
            <w:tcBorders>
              <w:top w:val="single" w:sz="4" w:space="0" w:color="auto"/>
              <w:left w:val="nil"/>
              <w:bottom w:val="single" w:sz="4" w:space="0" w:color="auto"/>
              <w:right w:val="nil"/>
            </w:tcBorders>
            <w:shd w:val="clear" w:color="auto" w:fill="auto"/>
            <w:noWrap/>
            <w:vAlign w:val="center"/>
            <w:hideMark/>
          </w:tcPr>
          <w:p w14:paraId="363EC938" w14:textId="0D618FC6" w:rsidR="001131E6" w:rsidRPr="006E7D8F" w:rsidRDefault="001131E6" w:rsidP="007728DA">
            <w:pPr>
              <w:pStyle w:val="ExhibitText"/>
              <w:jc w:val="left"/>
              <w:rPr>
                <w:b/>
                <w:sz w:val="18"/>
                <w:szCs w:val="18"/>
              </w:rPr>
            </w:pPr>
            <w:r w:rsidRPr="006E7D8F">
              <w:rPr>
                <w:b/>
                <w:sz w:val="18"/>
                <w:szCs w:val="18"/>
              </w:rPr>
              <w:t xml:space="preserve">Total </w:t>
            </w:r>
            <w:r w:rsidR="00840F91">
              <w:rPr>
                <w:b/>
                <w:sz w:val="18"/>
                <w:szCs w:val="18"/>
              </w:rPr>
              <w:t>liabilities</w:t>
            </w:r>
          </w:p>
        </w:tc>
        <w:tc>
          <w:tcPr>
            <w:tcW w:w="1043" w:type="dxa"/>
            <w:tcBorders>
              <w:top w:val="single" w:sz="4" w:space="0" w:color="auto"/>
              <w:left w:val="nil"/>
              <w:bottom w:val="single" w:sz="4" w:space="0" w:color="auto"/>
              <w:right w:val="nil"/>
            </w:tcBorders>
            <w:shd w:val="clear" w:color="auto" w:fill="auto"/>
            <w:noWrap/>
            <w:vAlign w:val="center"/>
            <w:hideMark/>
          </w:tcPr>
          <w:p w14:paraId="21BA3938" w14:textId="77777777" w:rsidR="001131E6" w:rsidRPr="006E7D8F" w:rsidRDefault="001131E6" w:rsidP="007728DA">
            <w:pPr>
              <w:pStyle w:val="ExhibitText"/>
              <w:jc w:val="right"/>
              <w:rPr>
                <w:b/>
                <w:sz w:val="18"/>
                <w:szCs w:val="18"/>
              </w:rPr>
            </w:pPr>
            <w:r w:rsidRPr="006E7D8F">
              <w:rPr>
                <w:b/>
                <w:sz w:val="18"/>
                <w:szCs w:val="18"/>
              </w:rPr>
              <w:t>136</w:t>
            </w:r>
            <w:r w:rsidR="003146E9" w:rsidRPr="006E7D8F">
              <w:rPr>
                <w:b/>
                <w:sz w:val="18"/>
                <w:szCs w:val="18"/>
              </w:rPr>
              <w:t>,</w:t>
            </w:r>
            <w:r w:rsidRPr="006E7D8F">
              <w:rPr>
                <w:b/>
                <w:sz w:val="18"/>
                <w:szCs w:val="18"/>
              </w:rPr>
              <w:t>201</w:t>
            </w:r>
          </w:p>
        </w:tc>
        <w:tc>
          <w:tcPr>
            <w:tcW w:w="1043" w:type="dxa"/>
            <w:tcBorders>
              <w:top w:val="single" w:sz="4" w:space="0" w:color="auto"/>
              <w:left w:val="nil"/>
              <w:bottom w:val="single" w:sz="4" w:space="0" w:color="auto"/>
              <w:right w:val="nil"/>
            </w:tcBorders>
            <w:shd w:val="clear" w:color="auto" w:fill="auto"/>
            <w:noWrap/>
            <w:vAlign w:val="center"/>
            <w:hideMark/>
          </w:tcPr>
          <w:p w14:paraId="0031E4F3" w14:textId="77777777" w:rsidR="001131E6" w:rsidRPr="006E7D8F" w:rsidRDefault="001131E6" w:rsidP="007728DA">
            <w:pPr>
              <w:pStyle w:val="ExhibitText"/>
              <w:jc w:val="right"/>
              <w:rPr>
                <w:b/>
                <w:sz w:val="18"/>
                <w:szCs w:val="18"/>
              </w:rPr>
            </w:pPr>
            <w:r w:rsidRPr="006E7D8F">
              <w:rPr>
                <w:b/>
                <w:sz w:val="18"/>
                <w:szCs w:val="18"/>
              </w:rPr>
              <w:t>153</w:t>
            </w:r>
            <w:r w:rsidR="003146E9" w:rsidRPr="006E7D8F">
              <w:rPr>
                <w:b/>
                <w:sz w:val="18"/>
                <w:szCs w:val="18"/>
              </w:rPr>
              <w:t>,</w:t>
            </w:r>
            <w:r w:rsidRPr="006E7D8F">
              <w:rPr>
                <w:b/>
                <w:sz w:val="18"/>
                <w:szCs w:val="18"/>
              </w:rPr>
              <w:t>155</w:t>
            </w:r>
          </w:p>
        </w:tc>
        <w:tc>
          <w:tcPr>
            <w:tcW w:w="1045" w:type="dxa"/>
            <w:tcBorders>
              <w:top w:val="single" w:sz="4" w:space="0" w:color="auto"/>
              <w:left w:val="nil"/>
              <w:bottom w:val="single" w:sz="4" w:space="0" w:color="auto"/>
              <w:right w:val="nil"/>
            </w:tcBorders>
            <w:shd w:val="clear" w:color="auto" w:fill="auto"/>
            <w:noWrap/>
            <w:vAlign w:val="center"/>
            <w:hideMark/>
          </w:tcPr>
          <w:p w14:paraId="1528FC52" w14:textId="77777777" w:rsidR="001131E6" w:rsidRPr="006E7D8F" w:rsidRDefault="001131E6" w:rsidP="007728DA">
            <w:pPr>
              <w:pStyle w:val="ExhibitText"/>
              <w:jc w:val="right"/>
              <w:rPr>
                <w:b/>
                <w:sz w:val="18"/>
                <w:szCs w:val="18"/>
              </w:rPr>
            </w:pPr>
            <w:r w:rsidRPr="006E7D8F">
              <w:rPr>
                <w:b/>
                <w:sz w:val="18"/>
                <w:szCs w:val="18"/>
              </w:rPr>
              <w:t>157</w:t>
            </w:r>
            <w:r w:rsidR="003146E9" w:rsidRPr="006E7D8F">
              <w:rPr>
                <w:b/>
                <w:sz w:val="18"/>
                <w:szCs w:val="18"/>
              </w:rPr>
              <w:t>,</w:t>
            </w:r>
            <w:r w:rsidRPr="006E7D8F">
              <w:rPr>
                <w:b/>
                <w:sz w:val="18"/>
                <w:szCs w:val="18"/>
              </w:rPr>
              <w:t>597</w:t>
            </w:r>
          </w:p>
        </w:tc>
        <w:tc>
          <w:tcPr>
            <w:tcW w:w="1044" w:type="dxa"/>
            <w:tcBorders>
              <w:top w:val="single" w:sz="4" w:space="0" w:color="auto"/>
              <w:left w:val="nil"/>
              <w:bottom w:val="single" w:sz="4" w:space="0" w:color="auto"/>
              <w:right w:val="nil"/>
            </w:tcBorders>
            <w:shd w:val="clear" w:color="auto" w:fill="auto"/>
            <w:noWrap/>
            <w:vAlign w:val="center"/>
            <w:hideMark/>
          </w:tcPr>
          <w:p w14:paraId="6064988D" w14:textId="77777777" w:rsidR="001131E6" w:rsidRPr="006E7D8F" w:rsidRDefault="001131E6" w:rsidP="007728DA">
            <w:pPr>
              <w:pStyle w:val="ExhibitText"/>
              <w:jc w:val="right"/>
              <w:rPr>
                <w:b/>
                <w:sz w:val="18"/>
                <w:szCs w:val="18"/>
              </w:rPr>
            </w:pPr>
            <w:r w:rsidRPr="006E7D8F">
              <w:rPr>
                <w:b/>
                <w:sz w:val="18"/>
                <w:szCs w:val="18"/>
              </w:rPr>
              <w:t>156</w:t>
            </w:r>
            <w:r w:rsidR="003146E9" w:rsidRPr="006E7D8F">
              <w:rPr>
                <w:b/>
                <w:sz w:val="18"/>
                <w:szCs w:val="18"/>
              </w:rPr>
              <w:t>,</w:t>
            </w:r>
            <w:r w:rsidRPr="006E7D8F">
              <w:rPr>
                <w:b/>
                <w:sz w:val="18"/>
                <w:szCs w:val="18"/>
              </w:rPr>
              <w:t>519</w:t>
            </w:r>
          </w:p>
        </w:tc>
        <w:tc>
          <w:tcPr>
            <w:tcW w:w="1044" w:type="dxa"/>
            <w:tcBorders>
              <w:top w:val="single" w:sz="4" w:space="0" w:color="auto"/>
              <w:left w:val="nil"/>
              <w:bottom w:val="single" w:sz="4" w:space="0" w:color="auto"/>
              <w:right w:val="nil"/>
            </w:tcBorders>
            <w:shd w:val="clear" w:color="auto" w:fill="auto"/>
            <w:noWrap/>
            <w:vAlign w:val="center"/>
            <w:hideMark/>
          </w:tcPr>
          <w:p w14:paraId="0E3D3B5D" w14:textId="77777777" w:rsidR="001131E6" w:rsidRPr="006E7D8F" w:rsidRDefault="001131E6" w:rsidP="007728DA">
            <w:pPr>
              <w:pStyle w:val="ExhibitText"/>
              <w:jc w:val="right"/>
              <w:rPr>
                <w:b/>
                <w:sz w:val="18"/>
                <w:szCs w:val="18"/>
              </w:rPr>
            </w:pPr>
            <w:r w:rsidRPr="006E7D8F">
              <w:rPr>
                <w:b/>
                <w:sz w:val="18"/>
                <w:szCs w:val="18"/>
              </w:rPr>
              <w:t>162</w:t>
            </w:r>
            <w:r w:rsidR="003146E9" w:rsidRPr="006E7D8F">
              <w:rPr>
                <w:b/>
                <w:sz w:val="18"/>
                <w:szCs w:val="18"/>
              </w:rPr>
              <w:t>,</w:t>
            </w:r>
            <w:r w:rsidRPr="006E7D8F">
              <w:rPr>
                <w:b/>
                <w:sz w:val="18"/>
                <w:szCs w:val="18"/>
              </w:rPr>
              <w:t>232</w:t>
            </w:r>
          </w:p>
        </w:tc>
        <w:tc>
          <w:tcPr>
            <w:tcW w:w="1045" w:type="dxa"/>
            <w:tcBorders>
              <w:top w:val="single" w:sz="4" w:space="0" w:color="auto"/>
              <w:left w:val="nil"/>
              <w:bottom w:val="single" w:sz="4" w:space="0" w:color="auto"/>
              <w:right w:val="nil"/>
            </w:tcBorders>
            <w:shd w:val="clear" w:color="auto" w:fill="auto"/>
            <w:noWrap/>
            <w:vAlign w:val="center"/>
            <w:hideMark/>
          </w:tcPr>
          <w:p w14:paraId="5E1B182E" w14:textId="77777777" w:rsidR="001131E6" w:rsidRPr="006E7D8F" w:rsidRDefault="001131E6" w:rsidP="007728DA">
            <w:pPr>
              <w:pStyle w:val="ExhibitText"/>
              <w:jc w:val="right"/>
              <w:rPr>
                <w:b/>
                <w:sz w:val="18"/>
                <w:szCs w:val="18"/>
              </w:rPr>
            </w:pPr>
            <w:r w:rsidRPr="006E7D8F">
              <w:rPr>
                <w:b/>
                <w:sz w:val="18"/>
                <w:szCs w:val="18"/>
              </w:rPr>
              <w:t>163</w:t>
            </w:r>
            <w:r w:rsidR="003146E9" w:rsidRPr="006E7D8F">
              <w:rPr>
                <w:b/>
                <w:sz w:val="18"/>
                <w:szCs w:val="18"/>
              </w:rPr>
              <w:t>,</w:t>
            </w:r>
            <w:r w:rsidRPr="006E7D8F">
              <w:rPr>
                <w:b/>
                <w:sz w:val="18"/>
                <w:szCs w:val="18"/>
              </w:rPr>
              <w:t>574</w:t>
            </w:r>
          </w:p>
        </w:tc>
      </w:tr>
      <w:tr w:rsidR="001131E6" w:rsidRPr="006E7D8F" w14:paraId="2B232119" w14:textId="77777777" w:rsidTr="00667F3C">
        <w:trPr>
          <w:trHeight w:val="288"/>
          <w:jc w:val="center"/>
        </w:trPr>
        <w:tc>
          <w:tcPr>
            <w:tcW w:w="3015" w:type="dxa"/>
            <w:tcBorders>
              <w:top w:val="single" w:sz="4" w:space="0" w:color="auto"/>
              <w:left w:val="nil"/>
              <w:bottom w:val="single" w:sz="4" w:space="0" w:color="auto"/>
              <w:right w:val="nil"/>
            </w:tcBorders>
            <w:shd w:val="clear" w:color="auto" w:fill="auto"/>
            <w:noWrap/>
            <w:vAlign w:val="center"/>
            <w:hideMark/>
          </w:tcPr>
          <w:p w14:paraId="2C4907D8" w14:textId="72D56210" w:rsidR="001131E6" w:rsidRPr="006E7D8F" w:rsidRDefault="001131E6" w:rsidP="007728DA">
            <w:pPr>
              <w:pStyle w:val="ExhibitText"/>
              <w:jc w:val="left"/>
              <w:rPr>
                <w:sz w:val="18"/>
                <w:szCs w:val="18"/>
              </w:rPr>
            </w:pPr>
            <w:r w:rsidRPr="006E7D8F">
              <w:rPr>
                <w:sz w:val="18"/>
                <w:szCs w:val="18"/>
              </w:rPr>
              <w:t xml:space="preserve">Gross non-performing assets </w:t>
            </w:r>
          </w:p>
        </w:tc>
        <w:tc>
          <w:tcPr>
            <w:tcW w:w="1043" w:type="dxa"/>
            <w:tcBorders>
              <w:top w:val="single" w:sz="4" w:space="0" w:color="auto"/>
              <w:left w:val="nil"/>
              <w:bottom w:val="single" w:sz="4" w:space="0" w:color="auto"/>
              <w:right w:val="nil"/>
            </w:tcBorders>
            <w:shd w:val="clear" w:color="auto" w:fill="auto"/>
            <w:noWrap/>
            <w:vAlign w:val="center"/>
            <w:hideMark/>
          </w:tcPr>
          <w:p w14:paraId="08BEAEEE" w14:textId="77777777" w:rsidR="001131E6" w:rsidRPr="006E7D8F" w:rsidRDefault="001131E6" w:rsidP="007728DA">
            <w:pPr>
              <w:pStyle w:val="ExhibitText"/>
              <w:jc w:val="right"/>
              <w:rPr>
                <w:sz w:val="18"/>
                <w:szCs w:val="18"/>
              </w:rPr>
            </w:pPr>
            <w:r w:rsidRPr="006E7D8F">
              <w:rPr>
                <w:sz w:val="18"/>
                <w:szCs w:val="18"/>
              </w:rPr>
              <w:t>2</w:t>
            </w:r>
            <w:r w:rsidR="003146E9" w:rsidRPr="006E7D8F">
              <w:rPr>
                <w:sz w:val="18"/>
                <w:szCs w:val="18"/>
              </w:rPr>
              <w:t>,</w:t>
            </w:r>
            <w:r w:rsidRPr="006E7D8F">
              <w:rPr>
                <w:sz w:val="18"/>
                <w:szCs w:val="18"/>
              </w:rPr>
              <w:t>109</w:t>
            </w:r>
          </w:p>
        </w:tc>
        <w:tc>
          <w:tcPr>
            <w:tcW w:w="1043" w:type="dxa"/>
            <w:tcBorders>
              <w:top w:val="single" w:sz="4" w:space="0" w:color="auto"/>
              <w:left w:val="nil"/>
              <w:bottom w:val="single" w:sz="4" w:space="0" w:color="auto"/>
              <w:right w:val="nil"/>
            </w:tcBorders>
            <w:shd w:val="clear" w:color="auto" w:fill="auto"/>
            <w:noWrap/>
            <w:vAlign w:val="center"/>
            <w:hideMark/>
          </w:tcPr>
          <w:p w14:paraId="1649A28D"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336</w:t>
            </w:r>
          </w:p>
        </w:tc>
        <w:tc>
          <w:tcPr>
            <w:tcW w:w="1045" w:type="dxa"/>
            <w:tcBorders>
              <w:top w:val="single" w:sz="4" w:space="0" w:color="auto"/>
              <w:left w:val="nil"/>
              <w:bottom w:val="single" w:sz="4" w:space="0" w:color="auto"/>
              <w:right w:val="nil"/>
            </w:tcBorders>
            <w:shd w:val="clear" w:color="auto" w:fill="auto"/>
            <w:noWrap/>
            <w:vAlign w:val="center"/>
            <w:hideMark/>
          </w:tcPr>
          <w:p w14:paraId="21EDB6A5" w14:textId="77777777" w:rsidR="001131E6" w:rsidRPr="006E7D8F" w:rsidRDefault="001131E6" w:rsidP="007728DA">
            <w:pPr>
              <w:pStyle w:val="ExhibitText"/>
              <w:jc w:val="right"/>
              <w:rPr>
                <w:sz w:val="18"/>
                <w:szCs w:val="18"/>
              </w:rPr>
            </w:pPr>
            <w:r w:rsidRPr="006E7D8F">
              <w:rPr>
                <w:sz w:val="18"/>
                <w:szCs w:val="18"/>
              </w:rPr>
              <w:t>4</w:t>
            </w:r>
            <w:r w:rsidR="003146E9" w:rsidRPr="006E7D8F">
              <w:rPr>
                <w:sz w:val="18"/>
                <w:szCs w:val="18"/>
              </w:rPr>
              <w:t>,</w:t>
            </w:r>
            <w:r w:rsidRPr="006E7D8F">
              <w:rPr>
                <w:sz w:val="18"/>
                <w:szCs w:val="18"/>
              </w:rPr>
              <w:t>748</w:t>
            </w:r>
          </w:p>
        </w:tc>
        <w:tc>
          <w:tcPr>
            <w:tcW w:w="1044" w:type="dxa"/>
            <w:tcBorders>
              <w:top w:val="single" w:sz="4" w:space="0" w:color="auto"/>
              <w:left w:val="nil"/>
              <w:bottom w:val="single" w:sz="4" w:space="0" w:color="auto"/>
              <w:right w:val="nil"/>
            </w:tcBorders>
            <w:shd w:val="clear" w:color="auto" w:fill="auto"/>
            <w:noWrap/>
            <w:vAlign w:val="center"/>
            <w:hideMark/>
          </w:tcPr>
          <w:p w14:paraId="37848CFE" w14:textId="77777777" w:rsidR="001131E6" w:rsidRPr="006E7D8F" w:rsidRDefault="001131E6" w:rsidP="007728DA">
            <w:pPr>
              <w:pStyle w:val="ExhibitText"/>
              <w:jc w:val="right"/>
              <w:rPr>
                <w:sz w:val="18"/>
                <w:szCs w:val="18"/>
              </w:rPr>
            </w:pPr>
            <w:r w:rsidRPr="006E7D8F">
              <w:rPr>
                <w:sz w:val="18"/>
                <w:szCs w:val="18"/>
              </w:rPr>
              <w:t>4</w:t>
            </w:r>
            <w:r w:rsidR="003146E9" w:rsidRPr="006E7D8F">
              <w:rPr>
                <w:sz w:val="18"/>
                <w:szCs w:val="18"/>
              </w:rPr>
              <w:t>,</w:t>
            </w:r>
            <w:r w:rsidRPr="006E7D8F">
              <w:rPr>
                <w:sz w:val="18"/>
                <w:szCs w:val="18"/>
              </w:rPr>
              <w:t>469</w:t>
            </w:r>
          </w:p>
        </w:tc>
        <w:tc>
          <w:tcPr>
            <w:tcW w:w="1044" w:type="dxa"/>
            <w:tcBorders>
              <w:top w:val="single" w:sz="4" w:space="0" w:color="auto"/>
              <w:left w:val="nil"/>
              <w:bottom w:val="single" w:sz="4" w:space="0" w:color="auto"/>
              <w:right w:val="nil"/>
            </w:tcBorders>
            <w:shd w:val="clear" w:color="auto" w:fill="auto"/>
            <w:noWrap/>
            <w:vAlign w:val="center"/>
            <w:hideMark/>
          </w:tcPr>
          <w:p w14:paraId="7321B6D3" w14:textId="77777777" w:rsidR="001131E6" w:rsidRPr="006E7D8F" w:rsidRDefault="001131E6" w:rsidP="007728DA">
            <w:pPr>
              <w:pStyle w:val="ExhibitText"/>
              <w:jc w:val="right"/>
              <w:rPr>
                <w:sz w:val="18"/>
                <w:szCs w:val="18"/>
              </w:rPr>
            </w:pPr>
            <w:r w:rsidRPr="006E7D8F">
              <w:rPr>
                <w:sz w:val="18"/>
                <w:szCs w:val="18"/>
              </w:rPr>
              <w:t>6</w:t>
            </w:r>
            <w:r w:rsidR="003146E9" w:rsidRPr="006E7D8F">
              <w:rPr>
                <w:sz w:val="18"/>
                <w:szCs w:val="18"/>
              </w:rPr>
              <w:t>,</w:t>
            </w:r>
            <w:r w:rsidRPr="006E7D8F">
              <w:rPr>
                <w:sz w:val="18"/>
                <w:szCs w:val="18"/>
              </w:rPr>
              <w:t>001</w:t>
            </w:r>
          </w:p>
        </w:tc>
        <w:tc>
          <w:tcPr>
            <w:tcW w:w="1045" w:type="dxa"/>
            <w:tcBorders>
              <w:top w:val="single" w:sz="4" w:space="0" w:color="auto"/>
              <w:left w:val="nil"/>
              <w:bottom w:val="single" w:sz="4" w:space="0" w:color="auto"/>
              <w:right w:val="nil"/>
            </w:tcBorders>
            <w:shd w:val="clear" w:color="auto" w:fill="auto"/>
            <w:noWrap/>
            <w:vAlign w:val="center"/>
            <w:hideMark/>
          </w:tcPr>
          <w:p w14:paraId="6F6FB296" w14:textId="77777777" w:rsidR="001131E6" w:rsidRPr="006E7D8F" w:rsidRDefault="001131E6" w:rsidP="007728DA">
            <w:pPr>
              <w:pStyle w:val="ExhibitText"/>
              <w:jc w:val="right"/>
              <w:rPr>
                <w:sz w:val="18"/>
                <w:szCs w:val="18"/>
              </w:rPr>
            </w:pPr>
            <w:r w:rsidRPr="006E7D8F">
              <w:rPr>
                <w:sz w:val="18"/>
                <w:szCs w:val="18"/>
              </w:rPr>
              <w:t>6</w:t>
            </w:r>
            <w:r w:rsidR="003146E9" w:rsidRPr="006E7D8F">
              <w:rPr>
                <w:sz w:val="18"/>
                <w:szCs w:val="18"/>
              </w:rPr>
              <w:t>,</w:t>
            </w:r>
            <w:r w:rsidRPr="006E7D8F">
              <w:rPr>
                <w:sz w:val="18"/>
                <w:szCs w:val="18"/>
              </w:rPr>
              <w:t>237</w:t>
            </w:r>
          </w:p>
        </w:tc>
      </w:tr>
      <w:tr w:rsidR="001131E6" w:rsidRPr="006E7D8F" w14:paraId="506E24CF" w14:textId="77777777" w:rsidTr="00667F3C">
        <w:trPr>
          <w:trHeight w:val="288"/>
          <w:jc w:val="center"/>
        </w:trPr>
        <w:tc>
          <w:tcPr>
            <w:tcW w:w="3015" w:type="dxa"/>
            <w:tcBorders>
              <w:top w:val="single" w:sz="4" w:space="0" w:color="auto"/>
              <w:left w:val="nil"/>
              <w:bottom w:val="single" w:sz="4" w:space="0" w:color="auto"/>
              <w:right w:val="nil"/>
            </w:tcBorders>
            <w:shd w:val="clear" w:color="auto" w:fill="auto"/>
            <w:noWrap/>
            <w:vAlign w:val="center"/>
            <w:hideMark/>
          </w:tcPr>
          <w:p w14:paraId="7DB9989D" w14:textId="7F1FF66C" w:rsidR="001131E6" w:rsidRPr="006E7D8F" w:rsidRDefault="001131E6" w:rsidP="007728DA">
            <w:pPr>
              <w:pStyle w:val="ExhibitText"/>
              <w:jc w:val="left"/>
              <w:rPr>
                <w:sz w:val="18"/>
                <w:szCs w:val="18"/>
              </w:rPr>
            </w:pPr>
            <w:r w:rsidRPr="006E7D8F">
              <w:rPr>
                <w:sz w:val="18"/>
                <w:szCs w:val="18"/>
              </w:rPr>
              <w:t>Net non-performing assets</w:t>
            </w:r>
          </w:p>
        </w:tc>
        <w:tc>
          <w:tcPr>
            <w:tcW w:w="1043" w:type="dxa"/>
            <w:tcBorders>
              <w:top w:val="single" w:sz="4" w:space="0" w:color="auto"/>
              <w:left w:val="nil"/>
              <w:bottom w:val="single" w:sz="4" w:space="0" w:color="auto"/>
              <w:right w:val="nil"/>
            </w:tcBorders>
            <w:shd w:val="clear" w:color="auto" w:fill="auto"/>
            <w:noWrap/>
            <w:vAlign w:val="center"/>
            <w:hideMark/>
          </w:tcPr>
          <w:p w14:paraId="5420CBC0" w14:textId="77777777" w:rsidR="001131E6" w:rsidRPr="006E7D8F" w:rsidRDefault="001131E6" w:rsidP="007728DA">
            <w:pPr>
              <w:pStyle w:val="ExhibitText"/>
              <w:jc w:val="right"/>
              <w:rPr>
                <w:sz w:val="18"/>
                <w:szCs w:val="18"/>
              </w:rPr>
            </w:pPr>
            <w:r w:rsidRPr="006E7D8F">
              <w:rPr>
                <w:sz w:val="18"/>
                <w:szCs w:val="18"/>
              </w:rPr>
              <w:t>993</w:t>
            </w:r>
          </w:p>
        </w:tc>
        <w:tc>
          <w:tcPr>
            <w:tcW w:w="1043" w:type="dxa"/>
            <w:tcBorders>
              <w:top w:val="single" w:sz="4" w:space="0" w:color="auto"/>
              <w:left w:val="nil"/>
              <w:bottom w:val="single" w:sz="4" w:space="0" w:color="auto"/>
              <w:right w:val="nil"/>
            </w:tcBorders>
            <w:shd w:val="clear" w:color="auto" w:fill="auto"/>
            <w:noWrap/>
            <w:vAlign w:val="center"/>
            <w:hideMark/>
          </w:tcPr>
          <w:p w14:paraId="09356363" w14:textId="77777777" w:rsidR="001131E6" w:rsidRPr="006E7D8F" w:rsidRDefault="001131E6" w:rsidP="007728DA">
            <w:pPr>
              <w:pStyle w:val="ExhibitText"/>
              <w:jc w:val="right"/>
              <w:rPr>
                <w:sz w:val="18"/>
                <w:szCs w:val="18"/>
              </w:rPr>
            </w:pPr>
            <w:r w:rsidRPr="006E7D8F">
              <w:rPr>
                <w:sz w:val="18"/>
                <w:szCs w:val="18"/>
              </w:rPr>
              <w:t>1</w:t>
            </w:r>
            <w:r w:rsidR="003146E9" w:rsidRPr="006E7D8F">
              <w:rPr>
                <w:sz w:val="18"/>
                <w:szCs w:val="18"/>
              </w:rPr>
              <w:t>,</w:t>
            </w:r>
            <w:r w:rsidRPr="006E7D8F">
              <w:rPr>
                <w:sz w:val="18"/>
                <w:szCs w:val="18"/>
              </w:rPr>
              <w:t>932</w:t>
            </w:r>
          </w:p>
        </w:tc>
        <w:tc>
          <w:tcPr>
            <w:tcW w:w="1045" w:type="dxa"/>
            <w:tcBorders>
              <w:top w:val="single" w:sz="4" w:space="0" w:color="auto"/>
              <w:left w:val="nil"/>
              <w:bottom w:val="single" w:sz="4" w:space="0" w:color="auto"/>
              <w:right w:val="nil"/>
            </w:tcBorders>
            <w:shd w:val="clear" w:color="auto" w:fill="auto"/>
            <w:noWrap/>
            <w:vAlign w:val="center"/>
            <w:hideMark/>
          </w:tcPr>
          <w:p w14:paraId="60329040"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646</w:t>
            </w:r>
          </w:p>
        </w:tc>
        <w:tc>
          <w:tcPr>
            <w:tcW w:w="1044" w:type="dxa"/>
            <w:tcBorders>
              <w:top w:val="single" w:sz="4" w:space="0" w:color="auto"/>
              <w:left w:val="nil"/>
              <w:bottom w:val="single" w:sz="4" w:space="0" w:color="auto"/>
              <w:right w:val="nil"/>
            </w:tcBorders>
            <w:shd w:val="clear" w:color="auto" w:fill="auto"/>
            <w:noWrap/>
            <w:vAlign w:val="center"/>
            <w:hideMark/>
          </w:tcPr>
          <w:p w14:paraId="0ED4C570" w14:textId="77777777" w:rsidR="001131E6" w:rsidRPr="006E7D8F" w:rsidRDefault="001131E6" w:rsidP="007728DA">
            <w:pPr>
              <w:pStyle w:val="ExhibitText"/>
              <w:jc w:val="right"/>
              <w:rPr>
                <w:sz w:val="18"/>
                <w:szCs w:val="18"/>
              </w:rPr>
            </w:pPr>
            <w:r w:rsidRPr="006E7D8F">
              <w:rPr>
                <w:sz w:val="18"/>
                <w:szCs w:val="18"/>
              </w:rPr>
              <w:t>3</w:t>
            </w:r>
            <w:r w:rsidR="003146E9" w:rsidRPr="006E7D8F">
              <w:rPr>
                <w:sz w:val="18"/>
                <w:szCs w:val="18"/>
              </w:rPr>
              <w:t>,</w:t>
            </w:r>
            <w:r w:rsidRPr="006E7D8F">
              <w:rPr>
                <w:sz w:val="18"/>
                <w:szCs w:val="18"/>
              </w:rPr>
              <w:t>452</w:t>
            </w:r>
          </w:p>
        </w:tc>
        <w:tc>
          <w:tcPr>
            <w:tcW w:w="1044" w:type="dxa"/>
            <w:tcBorders>
              <w:top w:val="single" w:sz="4" w:space="0" w:color="auto"/>
              <w:left w:val="nil"/>
              <w:bottom w:val="single" w:sz="4" w:space="0" w:color="auto"/>
              <w:right w:val="nil"/>
            </w:tcBorders>
            <w:shd w:val="clear" w:color="auto" w:fill="auto"/>
            <w:noWrap/>
            <w:vAlign w:val="center"/>
            <w:hideMark/>
          </w:tcPr>
          <w:p w14:paraId="13A71988" w14:textId="77777777" w:rsidR="001131E6" w:rsidRPr="006E7D8F" w:rsidRDefault="001131E6" w:rsidP="007728DA">
            <w:pPr>
              <w:pStyle w:val="ExhibitText"/>
              <w:jc w:val="right"/>
              <w:rPr>
                <w:sz w:val="18"/>
                <w:szCs w:val="18"/>
              </w:rPr>
            </w:pPr>
            <w:r w:rsidRPr="006E7D8F">
              <w:rPr>
                <w:sz w:val="18"/>
                <w:szCs w:val="18"/>
              </w:rPr>
              <w:t>4</w:t>
            </w:r>
            <w:r w:rsidR="003146E9" w:rsidRPr="006E7D8F">
              <w:rPr>
                <w:sz w:val="18"/>
                <w:szCs w:val="18"/>
              </w:rPr>
              <w:t>,</w:t>
            </w:r>
            <w:r w:rsidRPr="006E7D8F">
              <w:rPr>
                <w:sz w:val="18"/>
                <w:szCs w:val="18"/>
              </w:rPr>
              <w:t>476</w:t>
            </w:r>
          </w:p>
        </w:tc>
        <w:tc>
          <w:tcPr>
            <w:tcW w:w="1045" w:type="dxa"/>
            <w:tcBorders>
              <w:top w:val="single" w:sz="4" w:space="0" w:color="auto"/>
              <w:left w:val="nil"/>
              <w:bottom w:val="single" w:sz="4" w:space="0" w:color="auto"/>
              <w:right w:val="nil"/>
            </w:tcBorders>
            <w:shd w:val="clear" w:color="auto" w:fill="auto"/>
            <w:noWrap/>
            <w:vAlign w:val="center"/>
            <w:hideMark/>
          </w:tcPr>
          <w:p w14:paraId="0C8B2098" w14:textId="77777777" w:rsidR="001131E6" w:rsidRPr="006E7D8F" w:rsidRDefault="001131E6" w:rsidP="007728DA">
            <w:pPr>
              <w:pStyle w:val="ExhibitText"/>
              <w:jc w:val="right"/>
              <w:rPr>
                <w:sz w:val="18"/>
                <w:szCs w:val="18"/>
              </w:rPr>
            </w:pPr>
            <w:r w:rsidRPr="006E7D8F">
              <w:rPr>
                <w:sz w:val="18"/>
                <w:szCs w:val="18"/>
              </w:rPr>
              <w:t>4</w:t>
            </w:r>
            <w:r w:rsidR="003146E9" w:rsidRPr="006E7D8F">
              <w:rPr>
                <w:sz w:val="18"/>
                <w:szCs w:val="18"/>
              </w:rPr>
              <w:t>,</w:t>
            </w:r>
            <w:r w:rsidRPr="006E7D8F">
              <w:rPr>
                <w:sz w:val="18"/>
                <w:szCs w:val="18"/>
              </w:rPr>
              <w:t>278</w:t>
            </w:r>
          </w:p>
        </w:tc>
      </w:tr>
    </w:tbl>
    <w:p w14:paraId="2C86FEE1" w14:textId="77777777" w:rsidR="001131E6" w:rsidRPr="006E7D8F" w:rsidRDefault="001131E6" w:rsidP="00642D25">
      <w:pPr>
        <w:pStyle w:val="ExhibitText"/>
      </w:pPr>
    </w:p>
    <w:p w14:paraId="51ECC3DF" w14:textId="77777777" w:rsidR="00C1320C" w:rsidRPr="006E7D8F" w:rsidRDefault="00C1320C" w:rsidP="00531DC2">
      <w:pPr>
        <w:pStyle w:val="Footnote"/>
        <w:jc w:val="both"/>
      </w:pPr>
      <w:r w:rsidRPr="006E7D8F">
        <w:t>Note: ₹ = INR = Indian rupees</w:t>
      </w:r>
      <w:r w:rsidR="00DB64BE" w:rsidRPr="006E7D8F">
        <w:t>; FY = fiscal year, expressed as fiscal year ending; HY = half year</w:t>
      </w:r>
      <w:r w:rsidRPr="006E7D8F">
        <w:t>.</w:t>
      </w:r>
    </w:p>
    <w:p w14:paraId="03231C74" w14:textId="7BFBF6CA" w:rsidR="00F71427" w:rsidRPr="006E7D8F" w:rsidRDefault="00C1320C" w:rsidP="00531DC2">
      <w:pPr>
        <w:pStyle w:val="Footnote"/>
        <w:jc w:val="both"/>
      </w:pPr>
      <w:r w:rsidRPr="006E7D8F">
        <w:t xml:space="preserve">Source: </w:t>
      </w:r>
      <w:r w:rsidR="00880548" w:rsidRPr="006E7D8F">
        <w:rPr>
          <w:spacing w:val="-4"/>
        </w:rPr>
        <w:t xml:space="preserve">Catholic Syrian Bank Limited, </w:t>
      </w:r>
      <w:r w:rsidR="00880548" w:rsidRPr="008473F4">
        <w:rPr>
          <w:i/>
          <w:spacing w:val="-4"/>
        </w:rPr>
        <w:t>Unaudited Financial Results for Half Year Ended September 30, 2017</w:t>
      </w:r>
      <w:r w:rsidR="00880548" w:rsidRPr="006E7D8F">
        <w:rPr>
          <w:spacing w:val="-4"/>
        </w:rPr>
        <w:t>, accessed March 9, 2018, www.csb.co.in/pdf/Financials%2030092017.pdf</w:t>
      </w:r>
      <w:r w:rsidR="00903380" w:rsidRPr="006E7D8F">
        <w:t xml:space="preserve">; </w:t>
      </w:r>
      <w:r w:rsidR="00D812EF">
        <w:t xml:space="preserve">Reserve Bank of India, </w:t>
      </w:r>
      <w:r w:rsidR="00903380" w:rsidRPr="006E7D8F">
        <w:t>“Liabilities and Assets of Scheduled Commercial Banks</w:t>
      </w:r>
      <w:r w:rsidR="00ED063D" w:rsidRPr="006E7D8F">
        <w:t>,</w:t>
      </w:r>
      <w:r w:rsidR="00903380" w:rsidRPr="006E7D8F">
        <w:t xml:space="preserve">” </w:t>
      </w:r>
      <w:r w:rsidR="00D812EF">
        <w:t>Database on Indian Economy</w:t>
      </w:r>
      <w:r w:rsidR="00D812EF" w:rsidRPr="008B0936">
        <w:t>,</w:t>
      </w:r>
      <w:r w:rsidR="001F146C">
        <w:t xml:space="preserve"> </w:t>
      </w:r>
      <w:r w:rsidR="00903380" w:rsidRPr="006E7D8F">
        <w:t xml:space="preserve">accessed March 9, 2018, https://dbie.rbi.org.in/DBIE/dbie.rbi?site=publications; </w:t>
      </w:r>
      <w:r w:rsidR="00833E7E">
        <w:t>Reserve Bank of India</w:t>
      </w:r>
      <w:r w:rsidR="00903380" w:rsidRPr="006E7D8F">
        <w:t>, “Movement of Non-Performing Assets (NPAs) of Scheduled Commercial Banks</w:t>
      </w:r>
      <w:r w:rsidR="00ED063D" w:rsidRPr="006E7D8F">
        <w:t>,</w:t>
      </w:r>
      <w:r w:rsidR="00903380" w:rsidRPr="006E7D8F">
        <w:t>”</w:t>
      </w:r>
      <w:r w:rsidR="001F146C">
        <w:t xml:space="preserve"> </w:t>
      </w:r>
      <w:r w:rsidR="00D812EF">
        <w:t>Database on Indian Economy</w:t>
      </w:r>
      <w:r w:rsidR="00D812EF" w:rsidRPr="008B0936">
        <w:t>,</w:t>
      </w:r>
      <w:r w:rsidR="00903380" w:rsidRPr="006E7D8F">
        <w:t xml:space="preserve"> https://dbie.rbi.org.in/DBIE/dbie.rbi?site=publications.</w:t>
      </w:r>
    </w:p>
    <w:p w14:paraId="75074AD4" w14:textId="77777777" w:rsidR="00F71427" w:rsidRPr="006E7D8F" w:rsidRDefault="00F71427" w:rsidP="00642D25">
      <w:pPr>
        <w:pStyle w:val="ExhibitText"/>
      </w:pPr>
    </w:p>
    <w:p w14:paraId="33CEAC2B" w14:textId="77777777" w:rsidR="00F71427" w:rsidRPr="006E7D8F" w:rsidRDefault="00F71427" w:rsidP="00642D25">
      <w:pPr>
        <w:pStyle w:val="ExhibitText"/>
      </w:pPr>
    </w:p>
    <w:p w14:paraId="1AAFAF7C" w14:textId="012CC1EB" w:rsidR="00C1320C" w:rsidRPr="006E7D8F" w:rsidRDefault="00F71427" w:rsidP="00F71427">
      <w:pPr>
        <w:pStyle w:val="ExhibitHeading"/>
        <w:rPr>
          <w:rFonts w:eastAsiaTheme="minorHAnsi"/>
        </w:rPr>
      </w:pPr>
      <w:r w:rsidRPr="006E7D8F">
        <w:rPr>
          <w:rFonts w:eastAsiaTheme="minorHAnsi"/>
        </w:rPr>
        <w:t>EXHIBIT 3: SHAREHOLDING IN CATHOLIC SYRIAN BANK</w:t>
      </w:r>
      <w:r w:rsidR="00071CD0">
        <w:rPr>
          <w:rFonts w:eastAsiaTheme="minorHAnsi"/>
        </w:rPr>
        <w:t>,</w:t>
      </w:r>
    </w:p>
    <w:p w14:paraId="60EBF4EC" w14:textId="77777777" w:rsidR="00F71427" w:rsidRPr="006E7D8F" w:rsidRDefault="00F71427" w:rsidP="00F71427">
      <w:pPr>
        <w:pStyle w:val="ExhibitHeading"/>
        <w:rPr>
          <w:rFonts w:eastAsiaTheme="minorHAnsi"/>
        </w:rPr>
      </w:pPr>
      <w:r w:rsidRPr="006E7D8F">
        <w:rPr>
          <w:rFonts w:eastAsiaTheme="minorHAnsi"/>
        </w:rPr>
        <w:t>AS O</w:t>
      </w:r>
      <w:r w:rsidR="00C1320C" w:rsidRPr="006E7D8F">
        <w:rPr>
          <w:rFonts w:eastAsiaTheme="minorHAnsi"/>
        </w:rPr>
        <w:t>f</w:t>
      </w:r>
      <w:r w:rsidRPr="006E7D8F">
        <w:rPr>
          <w:rFonts w:eastAsiaTheme="minorHAnsi"/>
        </w:rPr>
        <w:t xml:space="preserve"> MARCH</w:t>
      </w:r>
      <w:r w:rsidR="00C1320C" w:rsidRPr="006E7D8F">
        <w:rPr>
          <w:rFonts w:eastAsiaTheme="minorHAnsi"/>
        </w:rPr>
        <w:t xml:space="preserve"> 31</w:t>
      </w:r>
      <w:r w:rsidRPr="006E7D8F">
        <w:rPr>
          <w:rFonts w:eastAsiaTheme="minorHAnsi"/>
        </w:rPr>
        <w:t>, 2017</w:t>
      </w:r>
    </w:p>
    <w:p w14:paraId="571FE982" w14:textId="77777777" w:rsidR="00F71427" w:rsidRPr="006E7D8F" w:rsidRDefault="00F71427" w:rsidP="00642D25">
      <w:pPr>
        <w:pStyle w:val="ExhibitText"/>
        <w:rPr>
          <w:rFonts w:eastAsiaTheme="minorHAnsi"/>
        </w:rPr>
      </w:pPr>
    </w:p>
    <w:tbl>
      <w:tblPr>
        <w:tblW w:w="3000" w:type="pct"/>
        <w:jc w:val="center"/>
        <w:tblLook w:val="04A0" w:firstRow="1" w:lastRow="0" w:firstColumn="1" w:lastColumn="0" w:noHBand="0" w:noVBand="1"/>
      </w:tblPr>
      <w:tblGrid>
        <w:gridCol w:w="3416"/>
        <w:gridCol w:w="1100"/>
        <w:gridCol w:w="1100"/>
      </w:tblGrid>
      <w:tr w:rsidR="00F71427" w:rsidRPr="006E7D8F" w14:paraId="676E1136" w14:textId="77777777" w:rsidTr="00D812EF">
        <w:trPr>
          <w:trHeight w:val="288"/>
          <w:jc w:val="center"/>
        </w:trPr>
        <w:tc>
          <w:tcPr>
            <w:tcW w:w="3416" w:type="dxa"/>
            <w:tcBorders>
              <w:top w:val="single" w:sz="4" w:space="0" w:color="auto"/>
              <w:left w:val="nil"/>
              <w:right w:val="nil"/>
            </w:tcBorders>
            <w:shd w:val="clear" w:color="auto" w:fill="auto"/>
            <w:noWrap/>
            <w:vAlign w:val="center"/>
            <w:hideMark/>
          </w:tcPr>
          <w:p w14:paraId="7E4E1004" w14:textId="77777777" w:rsidR="00F71427" w:rsidRPr="006E7D8F" w:rsidRDefault="00F71427" w:rsidP="007728DA">
            <w:pPr>
              <w:pStyle w:val="ExhibitText"/>
              <w:jc w:val="left"/>
              <w:rPr>
                <w:b/>
                <w:sz w:val="18"/>
                <w:szCs w:val="18"/>
              </w:rPr>
            </w:pPr>
            <w:r w:rsidRPr="006E7D8F">
              <w:rPr>
                <w:b/>
                <w:sz w:val="18"/>
                <w:szCs w:val="18"/>
              </w:rPr>
              <w:t xml:space="preserve">Shareholder </w:t>
            </w:r>
            <w:r w:rsidR="00C1320C" w:rsidRPr="006E7D8F">
              <w:rPr>
                <w:b/>
                <w:sz w:val="18"/>
                <w:szCs w:val="18"/>
              </w:rPr>
              <w:t>C</w:t>
            </w:r>
            <w:r w:rsidRPr="006E7D8F">
              <w:rPr>
                <w:b/>
                <w:sz w:val="18"/>
                <w:szCs w:val="18"/>
              </w:rPr>
              <w:t>ategory</w:t>
            </w:r>
          </w:p>
        </w:tc>
        <w:tc>
          <w:tcPr>
            <w:tcW w:w="1100" w:type="dxa"/>
            <w:tcBorders>
              <w:top w:val="single" w:sz="4" w:space="0" w:color="auto"/>
              <w:left w:val="nil"/>
              <w:right w:val="nil"/>
            </w:tcBorders>
            <w:shd w:val="clear" w:color="auto" w:fill="auto"/>
            <w:noWrap/>
            <w:vAlign w:val="center"/>
            <w:hideMark/>
          </w:tcPr>
          <w:p w14:paraId="13C969F5" w14:textId="77777777" w:rsidR="00F71427" w:rsidRPr="006E7D8F" w:rsidRDefault="00F71427" w:rsidP="00D812EF">
            <w:pPr>
              <w:pStyle w:val="ExhibitText"/>
              <w:jc w:val="center"/>
              <w:rPr>
                <w:b/>
                <w:sz w:val="18"/>
                <w:szCs w:val="18"/>
              </w:rPr>
            </w:pPr>
            <w:r w:rsidRPr="006E7D8F">
              <w:rPr>
                <w:b/>
                <w:sz w:val="18"/>
                <w:szCs w:val="18"/>
              </w:rPr>
              <w:t>Indian</w:t>
            </w:r>
          </w:p>
        </w:tc>
        <w:tc>
          <w:tcPr>
            <w:tcW w:w="1100" w:type="dxa"/>
            <w:tcBorders>
              <w:top w:val="single" w:sz="4" w:space="0" w:color="auto"/>
              <w:left w:val="nil"/>
              <w:right w:val="nil"/>
            </w:tcBorders>
            <w:shd w:val="clear" w:color="auto" w:fill="auto"/>
            <w:noWrap/>
            <w:vAlign w:val="center"/>
            <w:hideMark/>
          </w:tcPr>
          <w:p w14:paraId="30F2A343" w14:textId="77777777" w:rsidR="00F71427" w:rsidRPr="006E7D8F" w:rsidRDefault="00F71427" w:rsidP="00D812EF">
            <w:pPr>
              <w:pStyle w:val="ExhibitText"/>
              <w:jc w:val="center"/>
              <w:rPr>
                <w:b/>
                <w:sz w:val="18"/>
                <w:szCs w:val="18"/>
              </w:rPr>
            </w:pPr>
            <w:r w:rsidRPr="006E7D8F">
              <w:rPr>
                <w:b/>
                <w:sz w:val="18"/>
                <w:szCs w:val="18"/>
              </w:rPr>
              <w:t>Foreign</w:t>
            </w:r>
          </w:p>
        </w:tc>
      </w:tr>
      <w:tr w:rsidR="00F71427" w:rsidRPr="006E7D8F" w14:paraId="39581D2D" w14:textId="77777777" w:rsidTr="00642D25">
        <w:trPr>
          <w:trHeight w:val="288"/>
          <w:jc w:val="center"/>
        </w:trPr>
        <w:tc>
          <w:tcPr>
            <w:tcW w:w="3416" w:type="dxa"/>
            <w:tcBorders>
              <w:top w:val="single" w:sz="12" w:space="0" w:color="auto"/>
              <w:left w:val="nil"/>
              <w:bottom w:val="nil"/>
              <w:right w:val="nil"/>
            </w:tcBorders>
            <w:shd w:val="clear" w:color="auto" w:fill="auto"/>
            <w:noWrap/>
            <w:vAlign w:val="center"/>
            <w:hideMark/>
          </w:tcPr>
          <w:p w14:paraId="04973696" w14:textId="77777777" w:rsidR="00F71427" w:rsidRPr="006E7D8F" w:rsidRDefault="00F71427" w:rsidP="007728DA">
            <w:pPr>
              <w:pStyle w:val="ExhibitText"/>
              <w:jc w:val="left"/>
              <w:rPr>
                <w:sz w:val="18"/>
                <w:szCs w:val="18"/>
              </w:rPr>
            </w:pPr>
            <w:r w:rsidRPr="006E7D8F">
              <w:rPr>
                <w:sz w:val="18"/>
                <w:szCs w:val="18"/>
              </w:rPr>
              <w:t>Institutional investors</w:t>
            </w:r>
          </w:p>
        </w:tc>
        <w:tc>
          <w:tcPr>
            <w:tcW w:w="1100" w:type="dxa"/>
            <w:tcBorders>
              <w:top w:val="single" w:sz="12" w:space="0" w:color="auto"/>
              <w:left w:val="nil"/>
              <w:bottom w:val="nil"/>
              <w:right w:val="nil"/>
            </w:tcBorders>
            <w:shd w:val="clear" w:color="auto" w:fill="auto"/>
            <w:noWrap/>
            <w:vAlign w:val="center"/>
            <w:hideMark/>
          </w:tcPr>
          <w:p w14:paraId="3815D689" w14:textId="77777777" w:rsidR="00F71427" w:rsidRPr="006E7D8F" w:rsidRDefault="00F71427" w:rsidP="007728DA">
            <w:pPr>
              <w:pStyle w:val="ExhibitText"/>
              <w:jc w:val="right"/>
              <w:rPr>
                <w:sz w:val="18"/>
                <w:szCs w:val="18"/>
              </w:rPr>
            </w:pPr>
            <w:r w:rsidRPr="006E7D8F">
              <w:rPr>
                <w:sz w:val="18"/>
                <w:szCs w:val="18"/>
              </w:rPr>
              <w:t>5.28%</w:t>
            </w:r>
          </w:p>
        </w:tc>
        <w:tc>
          <w:tcPr>
            <w:tcW w:w="1100" w:type="dxa"/>
            <w:tcBorders>
              <w:top w:val="single" w:sz="12" w:space="0" w:color="auto"/>
              <w:left w:val="nil"/>
              <w:bottom w:val="nil"/>
              <w:right w:val="nil"/>
            </w:tcBorders>
            <w:shd w:val="clear" w:color="auto" w:fill="auto"/>
            <w:noWrap/>
            <w:vAlign w:val="center"/>
            <w:hideMark/>
          </w:tcPr>
          <w:p w14:paraId="38D40888" w14:textId="77777777" w:rsidR="00F71427" w:rsidRPr="006E7D8F" w:rsidRDefault="00F71427" w:rsidP="007728DA">
            <w:pPr>
              <w:pStyle w:val="ExhibitText"/>
              <w:jc w:val="right"/>
              <w:rPr>
                <w:sz w:val="18"/>
                <w:szCs w:val="18"/>
              </w:rPr>
            </w:pPr>
            <w:r w:rsidRPr="006E7D8F">
              <w:rPr>
                <w:sz w:val="18"/>
                <w:szCs w:val="18"/>
              </w:rPr>
              <w:t>3.49%</w:t>
            </w:r>
          </w:p>
        </w:tc>
      </w:tr>
      <w:tr w:rsidR="00F71427" w:rsidRPr="006E7D8F" w14:paraId="3DF3493E" w14:textId="77777777" w:rsidTr="00642D25">
        <w:trPr>
          <w:trHeight w:val="288"/>
          <w:jc w:val="center"/>
        </w:trPr>
        <w:tc>
          <w:tcPr>
            <w:tcW w:w="3416" w:type="dxa"/>
            <w:tcBorders>
              <w:top w:val="nil"/>
              <w:left w:val="nil"/>
              <w:bottom w:val="nil"/>
              <w:right w:val="nil"/>
            </w:tcBorders>
            <w:shd w:val="clear" w:color="auto" w:fill="auto"/>
            <w:noWrap/>
            <w:vAlign w:val="center"/>
            <w:hideMark/>
          </w:tcPr>
          <w:p w14:paraId="0464240A" w14:textId="77777777" w:rsidR="00F71427" w:rsidRPr="006E7D8F" w:rsidRDefault="00F71427" w:rsidP="007728DA">
            <w:pPr>
              <w:pStyle w:val="ExhibitText"/>
              <w:jc w:val="left"/>
              <w:rPr>
                <w:sz w:val="18"/>
                <w:szCs w:val="18"/>
              </w:rPr>
            </w:pPr>
            <w:r w:rsidRPr="006E7D8F">
              <w:rPr>
                <w:sz w:val="18"/>
                <w:szCs w:val="18"/>
              </w:rPr>
              <w:t>Bodies corporate</w:t>
            </w:r>
          </w:p>
        </w:tc>
        <w:tc>
          <w:tcPr>
            <w:tcW w:w="1100" w:type="dxa"/>
            <w:tcBorders>
              <w:top w:val="nil"/>
              <w:left w:val="nil"/>
              <w:bottom w:val="nil"/>
              <w:right w:val="nil"/>
            </w:tcBorders>
            <w:shd w:val="clear" w:color="auto" w:fill="auto"/>
            <w:noWrap/>
            <w:vAlign w:val="center"/>
            <w:hideMark/>
          </w:tcPr>
          <w:p w14:paraId="10C73B33" w14:textId="77777777" w:rsidR="00F71427" w:rsidRPr="006E7D8F" w:rsidRDefault="00F71427" w:rsidP="007728DA">
            <w:pPr>
              <w:pStyle w:val="ExhibitText"/>
              <w:jc w:val="right"/>
              <w:rPr>
                <w:sz w:val="18"/>
                <w:szCs w:val="18"/>
              </w:rPr>
            </w:pPr>
            <w:r w:rsidRPr="006E7D8F">
              <w:rPr>
                <w:sz w:val="18"/>
                <w:szCs w:val="18"/>
              </w:rPr>
              <w:t>23.40%</w:t>
            </w:r>
          </w:p>
        </w:tc>
        <w:tc>
          <w:tcPr>
            <w:tcW w:w="1100" w:type="dxa"/>
            <w:tcBorders>
              <w:top w:val="nil"/>
              <w:left w:val="nil"/>
              <w:bottom w:val="nil"/>
              <w:right w:val="nil"/>
            </w:tcBorders>
            <w:shd w:val="clear" w:color="auto" w:fill="auto"/>
            <w:noWrap/>
            <w:vAlign w:val="center"/>
            <w:hideMark/>
          </w:tcPr>
          <w:p w14:paraId="4636C368" w14:textId="77777777" w:rsidR="00F71427" w:rsidRPr="006E7D8F" w:rsidRDefault="00F71427" w:rsidP="007728DA">
            <w:pPr>
              <w:pStyle w:val="ExhibitText"/>
              <w:jc w:val="right"/>
              <w:rPr>
                <w:sz w:val="18"/>
                <w:szCs w:val="18"/>
              </w:rPr>
            </w:pPr>
            <w:r w:rsidRPr="006E7D8F">
              <w:rPr>
                <w:sz w:val="18"/>
                <w:szCs w:val="18"/>
              </w:rPr>
              <w:t>14.99%</w:t>
            </w:r>
          </w:p>
        </w:tc>
      </w:tr>
      <w:tr w:rsidR="00F71427" w:rsidRPr="006E7D8F" w14:paraId="08B86180" w14:textId="77777777" w:rsidTr="00642D25">
        <w:trPr>
          <w:trHeight w:val="288"/>
          <w:jc w:val="center"/>
        </w:trPr>
        <w:tc>
          <w:tcPr>
            <w:tcW w:w="3416" w:type="dxa"/>
            <w:tcBorders>
              <w:top w:val="nil"/>
              <w:left w:val="nil"/>
              <w:bottom w:val="nil"/>
              <w:right w:val="nil"/>
            </w:tcBorders>
            <w:shd w:val="clear" w:color="auto" w:fill="auto"/>
            <w:noWrap/>
            <w:vAlign w:val="center"/>
            <w:hideMark/>
          </w:tcPr>
          <w:p w14:paraId="394DAEE8" w14:textId="77777777" w:rsidR="00F71427" w:rsidRPr="006E7D8F" w:rsidRDefault="00F71427" w:rsidP="007728DA">
            <w:pPr>
              <w:pStyle w:val="ExhibitText"/>
              <w:jc w:val="left"/>
              <w:rPr>
                <w:sz w:val="18"/>
                <w:szCs w:val="18"/>
              </w:rPr>
            </w:pPr>
            <w:r w:rsidRPr="006E7D8F">
              <w:rPr>
                <w:sz w:val="18"/>
                <w:szCs w:val="18"/>
              </w:rPr>
              <w:t>Individuals</w:t>
            </w:r>
          </w:p>
        </w:tc>
        <w:tc>
          <w:tcPr>
            <w:tcW w:w="1100" w:type="dxa"/>
            <w:tcBorders>
              <w:top w:val="nil"/>
              <w:left w:val="nil"/>
              <w:bottom w:val="nil"/>
              <w:right w:val="nil"/>
            </w:tcBorders>
            <w:shd w:val="clear" w:color="auto" w:fill="auto"/>
            <w:noWrap/>
            <w:vAlign w:val="center"/>
            <w:hideMark/>
          </w:tcPr>
          <w:p w14:paraId="743BDCE2" w14:textId="77777777" w:rsidR="00F71427" w:rsidRPr="006E7D8F" w:rsidRDefault="00F71427" w:rsidP="007728DA">
            <w:pPr>
              <w:pStyle w:val="ExhibitText"/>
              <w:jc w:val="right"/>
              <w:rPr>
                <w:sz w:val="18"/>
                <w:szCs w:val="18"/>
              </w:rPr>
            </w:pPr>
            <w:r w:rsidRPr="006E7D8F">
              <w:rPr>
                <w:sz w:val="18"/>
                <w:szCs w:val="18"/>
              </w:rPr>
              <w:t>27.02%</w:t>
            </w:r>
          </w:p>
        </w:tc>
        <w:tc>
          <w:tcPr>
            <w:tcW w:w="1100" w:type="dxa"/>
            <w:tcBorders>
              <w:top w:val="nil"/>
              <w:left w:val="nil"/>
              <w:bottom w:val="nil"/>
              <w:right w:val="nil"/>
            </w:tcBorders>
            <w:shd w:val="clear" w:color="auto" w:fill="auto"/>
            <w:noWrap/>
            <w:vAlign w:val="center"/>
            <w:hideMark/>
          </w:tcPr>
          <w:p w14:paraId="3795CBCE" w14:textId="77777777" w:rsidR="00F71427" w:rsidRPr="006E7D8F" w:rsidRDefault="00F71427" w:rsidP="007728DA">
            <w:pPr>
              <w:pStyle w:val="ExhibitText"/>
              <w:jc w:val="right"/>
              <w:rPr>
                <w:sz w:val="18"/>
                <w:szCs w:val="18"/>
              </w:rPr>
            </w:pPr>
            <w:r w:rsidRPr="006E7D8F">
              <w:rPr>
                <w:sz w:val="18"/>
                <w:szCs w:val="18"/>
              </w:rPr>
              <w:t>0.00%</w:t>
            </w:r>
          </w:p>
        </w:tc>
      </w:tr>
      <w:tr w:rsidR="00F71427" w:rsidRPr="006E7D8F" w14:paraId="513B98B6" w14:textId="77777777" w:rsidTr="00642D25">
        <w:trPr>
          <w:trHeight w:val="288"/>
          <w:jc w:val="center"/>
        </w:trPr>
        <w:tc>
          <w:tcPr>
            <w:tcW w:w="3416" w:type="dxa"/>
            <w:tcBorders>
              <w:top w:val="nil"/>
              <w:left w:val="nil"/>
              <w:bottom w:val="nil"/>
              <w:right w:val="nil"/>
            </w:tcBorders>
            <w:shd w:val="clear" w:color="auto" w:fill="auto"/>
            <w:noWrap/>
            <w:vAlign w:val="center"/>
            <w:hideMark/>
          </w:tcPr>
          <w:p w14:paraId="24811FCD" w14:textId="77777777" w:rsidR="00F71427" w:rsidRPr="006E7D8F" w:rsidRDefault="00F71427" w:rsidP="007728DA">
            <w:pPr>
              <w:pStyle w:val="ExhibitText"/>
              <w:jc w:val="left"/>
              <w:rPr>
                <w:sz w:val="18"/>
                <w:szCs w:val="18"/>
              </w:rPr>
            </w:pPr>
            <w:r w:rsidRPr="006E7D8F">
              <w:rPr>
                <w:sz w:val="18"/>
                <w:szCs w:val="18"/>
              </w:rPr>
              <w:t>Others</w:t>
            </w:r>
          </w:p>
        </w:tc>
        <w:tc>
          <w:tcPr>
            <w:tcW w:w="1100" w:type="dxa"/>
            <w:tcBorders>
              <w:top w:val="nil"/>
              <w:left w:val="nil"/>
              <w:bottom w:val="nil"/>
              <w:right w:val="nil"/>
            </w:tcBorders>
            <w:shd w:val="clear" w:color="auto" w:fill="auto"/>
            <w:noWrap/>
            <w:vAlign w:val="center"/>
            <w:hideMark/>
          </w:tcPr>
          <w:p w14:paraId="08ADCD13" w14:textId="77777777" w:rsidR="00F71427" w:rsidRPr="006E7D8F" w:rsidRDefault="00F71427" w:rsidP="007728DA">
            <w:pPr>
              <w:pStyle w:val="ExhibitText"/>
              <w:jc w:val="right"/>
              <w:rPr>
                <w:sz w:val="18"/>
                <w:szCs w:val="18"/>
              </w:rPr>
            </w:pPr>
            <w:r w:rsidRPr="006E7D8F">
              <w:rPr>
                <w:sz w:val="18"/>
                <w:szCs w:val="18"/>
              </w:rPr>
              <w:t>6.06%</w:t>
            </w:r>
          </w:p>
        </w:tc>
        <w:tc>
          <w:tcPr>
            <w:tcW w:w="1100" w:type="dxa"/>
            <w:tcBorders>
              <w:top w:val="nil"/>
              <w:left w:val="nil"/>
              <w:bottom w:val="nil"/>
              <w:right w:val="nil"/>
            </w:tcBorders>
            <w:shd w:val="clear" w:color="auto" w:fill="auto"/>
            <w:noWrap/>
            <w:vAlign w:val="center"/>
            <w:hideMark/>
          </w:tcPr>
          <w:p w14:paraId="0EA0FDF7" w14:textId="77777777" w:rsidR="00F71427" w:rsidRPr="006E7D8F" w:rsidRDefault="00F71427" w:rsidP="007728DA">
            <w:pPr>
              <w:pStyle w:val="ExhibitText"/>
              <w:jc w:val="right"/>
              <w:rPr>
                <w:sz w:val="18"/>
                <w:szCs w:val="18"/>
              </w:rPr>
            </w:pPr>
            <w:r w:rsidRPr="006E7D8F">
              <w:rPr>
                <w:sz w:val="18"/>
                <w:szCs w:val="18"/>
              </w:rPr>
              <w:t>19.76%</w:t>
            </w:r>
          </w:p>
        </w:tc>
      </w:tr>
      <w:tr w:rsidR="00F71427" w:rsidRPr="006E7D8F" w14:paraId="71C62BF0" w14:textId="77777777" w:rsidTr="00642D25">
        <w:trPr>
          <w:trHeight w:val="288"/>
          <w:jc w:val="center"/>
        </w:trPr>
        <w:tc>
          <w:tcPr>
            <w:tcW w:w="3416" w:type="dxa"/>
            <w:tcBorders>
              <w:top w:val="single" w:sz="4" w:space="0" w:color="auto"/>
              <w:left w:val="nil"/>
              <w:bottom w:val="single" w:sz="4" w:space="0" w:color="auto"/>
              <w:right w:val="nil"/>
            </w:tcBorders>
            <w:shd w:val="clear" w:color="auto" w:fill="auto"/>
            <w:noWrap/>
            <w:vAlign w:val="center"/>
            <w:hideMark/>
          </w:tcPr>
          <w:p w14:paraId="765E6FDB" w14:textId="77777777" w:rsidR="00F71427" w:rsidRPr="006E7D8F" w:rsidRDefault="00F71427" w:rsidP="007728DA">
            <w:pPr>
              <w:pStyle w:val="ExhibitText"/>
              <w:jc w:val="left"/>
              <w:rPr>
                <w:sz w:val="18"/>
                <w:szCs w:val="18"/>
              </w:rPr>
            </w:pPr>
            <w:r w:rsidRPr="006E7D8F">
              <w:rPr>
                <w:sz w:val="18"/>
                <w:szCs w:val="18"/>
              </w:rPr>
              <w:t>Total shareholding</w:t>
            </w:r>
          </w:p>
        </w:tc>
        <w:tc>
          <w:tcPr>
            <w:tcW w:w="1100" w:type="dxa"/>
            <w:tcBorders>
              <w:top w:val="single" w:sz="4" w:space="0" w:color="auto"/>
              <w:left w:val="nil"/>
              <w:bottom w:val="single" w:sz="4" w:space="0" w:color="auto"/>
              <w:right w:val="nil"/>
            </w:tcBorders>
            <w:shd w:val="clear" w:color="auto" w:fill="auto"/>
            <w:noWrap/>
            <w:vAlign w:val="center"/>
            <w:hideMark/>
          </w:tcPr>
          <w:p w14:paraId="1FF61A6C" w14:textId="77777777" w:rsidR="00F71427" w:rsidRPr="006E7D8F" w:rsidRDefault="00F71427" w:rsidP="007728DA">
            <w:pPr>
              <w:pStyle w:val="ExhibitText"/>
              <w:jc w:val="right"/>
              <w:rPr>
                <w:sz w:val="18"/>
                <w:szCs w:val="18"/>
              </w:rPr>
            </w:pPr>
            <w:r w:rsidRPr="006E7D8F">
              <w:rPr>
                <w:sz w:val="18"/>
                <w:szCs w:val="18"/>
              </w:rPr>
              <w:t>61.76%</w:t>
            </w:r>
          </w:p>
        </w:tc>
        <w:tc>
          <w:tcPr>
            <w:tcW w:w="1100" w:type="dxa"/>
            <w:tcBorders>
              <w:top w:val="single" w:sz="4" w:space="0" w:color="auto"/>
              <w:left w:val="nil"/>
              <w:bottom w:val="single" w:sz="4" w:space="0" w:color="auto"/>
              <w:right w:val="nil"/>
            </w:tcBorders>
            <w:shd w:val="clear" w:color="auto" w:fill="auto"/>
            <w:noWrap/>
            <w:vAlign w:val="center"/>
            <w:hideMark/>
          </w:tcPr>
          <w:p w14:paraId="3F60706F" w14:textId="77777777" w:rsidR="00F71427" w:rsidRPr="006E7D8F" w:rsidRDefault="00F71427" w:rsidP="007728DA">
            <w:pPr>
              <w:pStyle w:val="ExhibitText"/>
              <w:jc w:val="right"/>
              <w:rPr>
                <w:sz w:val="18"/>
                <w:szCs w:val="18"/>
              </w:rPr>
            </w:pPr>
            <w:r w:rsidRPr="006E7D8F">
              <w:rPr>
                <w:sz w:val="18"/>
                <w:szCs w:val="18"/>
              </w:rPr>
              <w:t>38.24%</w:t>
            </w:r>
          </w:p>
        </w:tc>
      </w:tr>
    </w:tbl>
    <w:p w14:paraId="5A907951" w14:textId="77777777" w:rsidR="00F71427" w:rsidRPr="006E7D8F" w:rsidRDefault="00F71427" w:rsidP="00642D25">
      <w:pPr>
        <w:pStyle w:val="ExhibitText"/>
        <w:rPr>
          <w:rFonts w:eastAsiaTheme="minorHAnsi"/>
        </w:rPr>
      </w:pPr>
    </w:p>
    <w:p w14:paraId="738AFE40" w14:textId="77777777" w:rsidR="00F71427" w:rsidRPr="006E7D8F" w:rsidRDefault="00F71427" w:rsidP="00667F3C">
      <w:pPr>
        <w:pStyle w:val="Footnote"/>
        <w:jc w:val="both"/>
        <w:rPr>
          <w:rFonts w:eastAsiaTheme="minorHAnsi"/>
          <w:b/>
        </w:rPr>
      </w:pPr>
      <w:bookmarkStart w:id="5" w:name="OLE_LINK1"/>
      <w:r w:rsidRPr="006E7D8F">
        <w:rPr>
          <w:rFonts w:eastAsiaTheme="minorHAnsi"/>
        </w:rPr>
        <w:t>Source: Catholic Syrian Bank</w:t>
      </w:r>
      <w:r w:rsidR="00C1320C" w:rsidRPr="006E7D8F">
        <w:rPr>
          <w:rFonts w:eastAsiaTheme="minorHAnsi"/>
        </w:rPr>
        <w:t xml:space="preserve"> Limited, </w:t>
      </w:r>
      <w:r w:rsidR="00C1320C" w:rsidRPr="006E7D8F">
        <w:rPr>
          <w:rFonts w:eastAsiaTheme="minorHAnsi"/>
          <w:i/>
        </w:rPr>
        <w:t>Annual Report 2016–2017</w:t>
      </w:r>
      <w:r w:rsidRPr="006E7D8F">
        <w:rPr>
          <w:rFonts w:eastAsiaTheme="minorHAnsi"/>
        </w:rPr>
        <w:t>, 27, accessed March 9, 2018</w:t>
      </w:r>
      <w:r w:rsidR="00C1320C" w:rsidRPr="006E7D8F">
        <w:rPr>
          <w:rFonts w:eastAsiaTheme="minorHAnsi"/>
        </w:rPr>
        <w:t>, www.csb.co.in/pdf/CSB%20AR%202016-17%20WEB.pdf.</w:t>
      </w:r>
      <w:bookmarkEnd w:id="5"/>
      <w:r w:rsidRPr="006E7D8F">
        <w:rPr>
          <w:rFonts w:eastAsiaTheme="minorHAnsi"/>
          <w:b/>
        </w:rPr>
        <w:br w:type="page"/>
      </w:r>
    </w:p>
    <w:p w14:paraId="3648D7AF" w14:textId="096D1926" w:rsidR="00DB3309" w:rsidRPr="006E7D8F" w:rsidRDefault="00F71427" w:rsidP="00F71427">
      <w:pPr>
        <w:pStyle w:val="ExhibitHeading"/>
        <w:rPr>
          <w:rFonts w:eastAsiaTheme="minorHAnsi"/>
        </w:rPr>
      </w:pPr>
      <w:r w:rsidRPr="006E7D8F">
        <w:rPr>
          <w:rFonts w:eastAsiaTheme="minorHAnsi"/>
        </w:rPr>
        <w:t xml:space="preserve">EXHIBIT 4: </w:t>
      </w:r>
      <w:r w:rsidR="000C151F" w:rsidRPr="006E7D8F">
        <w:rPr>
          <w:rFonts w:eastAsiaTheme="minorHAnsi"/>
        </w:rPr>
        <w:t xml:space="preserve">Catholic Syrian Bank and Industry, </w:t>
      </w:r>
      <w:r w:rsidRPr="006E7D8F">
        <w:rPr>
          <w:rFonts w:eastAsiaTheme="minorHAnsi"/>
        </w:rPr>
        <w:t>KEY FINANCIAL RATIOS</w:t>
      </w:r>
      <w:r w:rsidR="00DB3309" w:rsidRPr="006E7D8F">
        <w:rPr>
          <w:rFonts w:eastAsiaTheme="minorHAnsi"/>
        </w:rPr>
        <w:t xml:space="preserve"> </w:t>
      </w:r>
    </w:p>
    <w:p w14:paraId="238726EC" w14:textId="0B935CCC" w:rsidR="00F71427" w:rsidRPr="006E7D8F" w:rsidRDefault="00DB3309" w:rsidP="00F71427">
      <w:pPr>
        <w:pStyle w:val="ExhibitHeading"/>
        <w:rPr>
          <w:rFonts w:eastAsiaTheme="minorHAnsi"/>
        </w:rPr>
      </w:pPr>
      <w:r w:rsidRPr="006E7D8F">
        <w:rPr>
          <w:rFonts w:eastAsiaTheme="minorHAnsi"/>
        </w:rPr>
        <w:t>(</w:t>
      </w:r>
      <w:r w:rsidR="007F2F32">
        <w:rPr>
          <w:rFonts w:eastAsiaTheme="minorHAnsi"/>
        </w:rPr>
        <w:t>%</w:t>
      </w:r>
      <w:r w:rsidR="00071CD0">
        <w:rPr>
          <w:rFonts w:eastAsiaTheme="minorHAnsi"/>
        </w:rPr>
        <w:t xml:space="preserve"> unless otherwise specified</w:t>
      </w:r>
      <w:r w:rsidRPr="006E7D8F">
        <w:rPr>
          <w:rFonts w:eastAsiaTheme="minorHAnsi"/>
        </w:rPr>
        <w:t>)</w:t>
      </w:r>
    </w:p>
    <w:p w14:paraId="12ECF71E" w14:textId="77777777" w:rsidR="00F71427" w:rsidRPr="006E7D8F" w:rsidRDefault="00F71427" w:rsidP="00642D25">
      <w:pPr>
        <w:pStyle w:val="ExhibitText"/>
        <w:rPr>
          <w:rFonts w:eastAsiaTheme="minorHAnsi"/>
        </w:rPr>
      </w:pPr>
    </w:p>
    <w:tbl>
      <w:tblPr>
        <w:tblW w:w="5000" w:type="pct"/>
        <w:jc w:val="center"/>
        <w:tblLayout w:type="fixed"/>
        <w:tblLook w:val="04A0" w:firstRow="1" w:lastRow="0" w:firstColumn="1" w:lastColumn="0" w:noHBand="0" w:noVBand="1"/>
      </w:tblPr>
      <w:tblGrid>
        <w:gridCol w:w="3420"/>
        <w:gridCol w:w="990"/>
        <w:gridCol w:w="967"/>
        <w:gridCol w:w="968"/>
        <w:gridCol w:w="967"/>
        <w:gridCol w:w="968"/>
        <w:gridCol w:w="1080"/>
      </w:tblGrid>
      <w:tr w:rsidR="00F71427" w:rsidRPr="006E7D8F" w14:paraId="30E10EE5" w14:textId="77777777" w:rsidTr="00642D25">
        <w:trPr>
          <w:trHeight w:val="288"/>
          <w:jc w:val="center"/>
        </w:trPr>
        <w:tc>
          <w:tcPr>
            <w:tcW w:w="3420" w:type="dxa"/>
            <w:tcBorders>
              <w:top w:val="single" w:sz="4" w:space="0" w:color="auto"/>
              <w:left w:val="nil"/>
              <w:bottom w:val="single" w:sz="12" w:space="0" w:color="auto"/>
              <w:right w:val="nil"/>
            </w:tcBorders>
            <w:shd w:val="clear" w:color="auto" w:fill="auto"/>
            <w:noWrap/>
            <w:vAlign w:val="center"/>
            <w:hideMark/>
          </w:tcPr>
          <w:p w14:paraId="27D0E309" w14:textId="77777777" w:rsidR="00F71427" w:rsidRPr="006E7D8F" w:rsidRDefault="00F71427" w:rsidP="00EB329C">
            <w:pPr>
              <w:pStyle w:val="ExhibitText"/>
              <w:jc w:val="left"/>
              <w:rPr>
                <w:b/>
                <w:sz w:val="18"/>
                <w:szCs w:val="18"/>
              </w:rPr>
            </w:pPr>
            <w:r w:rsidRPr="006E7D8F">
              <w:rPr>
                <w:b/>
                <w:sz w:val="18"/>
                <w:szCs w:val="18"/>
              </w:rPr>
              <w:t xml:space="preserve">Key </w:t>
            </w:r>
            <w:r w:rsidR="000C151F" w:rsidRPr="006E7D8F">
              <w:rPr>
                <w:b/>
                <w:sz w:val="18"/>
                <w:szCs w:val="18"/>
              </w:rPr>
              <w:t>R</w:t>
            </w:r>
            <w:r w:rsidRPr="006E7D8F">
              <w:rPr>
                <w:b/>
                <w:sz w:val="18"/>
                <w:szCs w:val="18"/>
              </w:rPr>
              <w:t>atios for CSB</w:t>
            </w:r>
          </w:p>
        </w:tc>
        <w:tc>
          <w:tcPr>
            <w:tcW w:w="990" w:type="dxa"/>
            <w:tcBorders>
              <w:top w:val="single" w:sz="4" w:space="0" w:color="auto"/>
              <w:left w:val="nil"/>
              <w:bottom w:val="single" w:sz="12" w:space="0" w:color="auto"/>
              <w:right w:val="nil"/>
            </w:tcBorders>
            <w:shd w:val="clear" w:color="auto" w:fill="auto"/>
            <w:noWrap/>
            <w:vAlign w:val="center"/>
            <w:hideMark/>
          </w:tcPr>
          <w:p w14:paraId="13A29F66" w14:textId="77777777" w:rsidR="00F71427" w:rsidRPr="006E7D8F" w:rsidRDefault="00F71427" w:rsidP="00EB329C">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2013</w:t>
            </w:r>
          </w:p>
        </w:tc>
        <w:tc>
          <w:tcPr>
            <w:tcW w:w="967" w:type="dxa"/>
            <w:tcBorders>
              <w:top w:val="single" w:sz="4" w:space="0" w:color="auto"/>
              <w:left w:val="nil"/>
              <w:bottom w:val="single" w:sz="12" w:space="0" w:color="auto"/>
              <w:right w:val="nil"/>
            </w:tcBorders>
            <w:shd w:val="clear" w:color="auto" w:fill="auto"/>
            <w:noWrap/>
            <w:vAlign w:val="center"/>
            <w:hideMark/>
          </w:tcPr>
          <w:p w14:paraId="60C9B856" w14:textId="77777777" w:rsidR="00F71427" w:rsidRPr="006E7D8F" w:rsidRDefault="00F71427" w:rsidP="00EB329C">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2014</w:t>
            </w:r>
          </w:p>
        </w:tc>
        <w:tc>
          <w:tcPr>
            <w:tcW w:w="968" w:type="dxa"/>
            <w:tcBorders>
              <w:top w:val="single" w:sz="4" w:space="0" w:color="auto"/>
              <w:left w:val="nil"/>
              <w:bottom w:val="single" w:sz="12" w:space="0" w:color="auto"/>
              <w:right w:val="nil"/>
            </w:tcBorders>
            <w:shd w:val="clear" w:color="auto" w:fill="auto"/>
            <w:noWrap/>
            <w:vAlign w:val="center"/>
            <w:hideMark/>
          </w:tcPr>
          <w:p w14:paraId="35B1A27F" w14:textId="77777777" w:rsidR="00F71427" w:rsidRPr="006E7D8F" w:rsidRDefault="00F71427" w:rsidP="00EB329C">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2015</w:t>
            </w:r>
          </w:p>
        </w:tc>
        <w:tc>
          <w:tcPr>
            <w:tcW w:w="967" w:type="dxa"/>
            <w:tcBorders>
              <w:top w:val="single" w:sz="4" w:space="0" w:color="auto"/>
              <w:left w:val="nil"/>
              <w:bottom w:val="single" w:sz="12" w:space="0" w:color="auto"/>
              <w:right w:val="nil"/>
            </w:tcBorders>
            <w:shd w:val="clear" w:color="auto" w:fill="auto"/>
            <w:noWrap/>
            <w:vAlign w:val="center"/>
            <w:hideMark/>
          </w:tcPr>
          <w:p w14:paraId="7AB3A126" w14:textId="77777777" w:rsidR="00F71427" w:rsidRPr="006E7D8F" w:rsidRDefault="00F71427" w:rsidP="00EB329C">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2016</w:t>
            </w:r>
          </w:p>
        </w:tc>
        <w:tc>
          <w:tcPr>
            <w:tcW w:w="968" w:type="dxa"/>
            <w:tcBorders>
              <w:top w:val="single" w:sz="4" w:space="0" w:color="auto"/>
              <w:left w:val="nil"/>
              <w:bottom w:val="single" w:sz="12" w:space="0" w:color="auto"/>
              <w:right w:val="nil"/>
            </w:tcBorders>
            <w:shd w:val="clear" w:color="auto" w:fill="auto"/>
            <w:noWrap/>
            <w:vAlign w:val="center"/>
            <w:hideMark/>
          </w:tcPr>
          <w:p w14:paraId="583A25CA" w14:textId="77777777" w:rsidR="00F71427" w:rsidRPr="006E7D8F" w:rsidRDefault="00F71427" w:rsidP="00EB329C">
            <w:pPr>
              <w:pStyle w:val="ExhibitText"/>
              <w:jc w:val="right"/>
              <w:rPr>
                <w:b/>
                <w:sz w:val="18"/>
                <w:szCs w:val="18"/>
              </w:rPr>
            </w:pPr>
            <w:r w:rsidRPr="006E7D8F">
              <w:rPr>
                <w:b/>
                <w:sz w:val="18"/>
                <w:szCs w:val="18"/>
              </w:rPr>
              <w:t>FY</w:t>
            </w:r>
            <w:r w:rsidR="000C151F" w:rsidRPr="006E7D8F">
              <w:rPr>
                <w:b/>
                <w:sz w:val="18"/>
                <w:szCs w:val="18"/>
              </w:rPr>
              <w:t xml:space="preserve"> </w:t>
            </w:r>
            <w:r w:rsidRPr="006E7D8F">
              <w:rPr>
                <w:b/>
                <w:sz w:val="18"/>
                <w:szCs w:val="18"/>
              </w:rPr>
              <w:t>2017</w:t>
            </w:r>
          </w:p>
        </w:tc>
        <w:tc>
          <w:tcPr>
            <w:tcW w:w="1080" w:type="dxa"/>
            <w:tcBorders>
              <w:top w:val="single" w:sz="4" w:space="0" w:color="auto"/>
              <w:left w:val="nil"/>
              <w:bottom w:val="single" w:sz="12" w:space="0" w:color="auto"/>
              <w:right w:val="nil"/>
            </w:tcBorders>
            <w:shd w:val="clear" w:color="auto" w:fill="auto"/>
            <w:noWrap/>
            <w:vAlign w:val="center"/>
            <w:hideMark/>
          </w:tcPr>
          <w:p w14:paraId="49C8A14E" w14:textId="77777777" w:rsidR="00F71427" w:rsidRPr="006E7D8F" w:rsidRDefault="00F71427" w:rsidP="00EB329C">
            <w:pPr>
              <w:pStyle w:val="ExhibitText"/>
              <w:jc w:val="right"/>
              <w:rPr>
                <w:b/>
                <w:sz w:val="18"/>
                <w:szCs w:val="18"/>
              </w:rPr>
            </w:pPr>
            <w:r w:rsidRPr="006E7D8F">
              <w:rPr>
                <w:b/>
                <w:sz w:val="18"/>
                <w:szCs w:val="18"/>
              </w:rPr>
              <w:t>1HY</w:t>
            </w:r>
            <w:r w:rsidR="000C151F" w:rsidRPr="006E7D8F">
              <w:rPr>
                <w:b/>
                <w:sz w:val="18"/>
                <w:szCs w:val="18"/>
              </w:rPr>
              <w:t xml:space="preserve"> </w:t>
            </w:r>
            <w:r w:rsidRPr="006E7D8F">
              <w:rPr>
                <w:b/>
                <w:sz w:val="18"/>
                <w:szCs w:val="18"/>
              </w:rPr>
              <w:t>2018</w:t>
            </w:r>
          </w:p>
        </w:tc>
      </w:tr>
      <w:tr w:rsidR="00F71427" w:rsidRPr="006E7D8F" w14:paraId="40D7465D" w14:textId="77777777" w:rsidTr="00642D25">
        <w:trPr>
          <w:trHeight w:val="288"/>
          <w:jc w:val="center"/>
        </w:trPr>
        <w:tc>
          <w:tcPr>
            <w:tcW w:w="3420" w:type="dxa"/>
            <w:tcBorders>
              <w:top w:val="single" w:sz="12" w:space="0" w:color="auto"/>
              <w:left w:val="nil"/>
              <w:bottom w:val="nil"/>
              <w:right w:val="nil"/>
            </w:tcBorders>
            <w:shd w:val="clear" w:color="auto" w:fill="auto"/>
            <w:vAlign w:val="center"/>
            <w:hideMark/>
          </w:tcPr>
          <w:p w14:paraId="45052DB3" w14:textId="77777777" w:rsidR="00F71427" w:rsidRPr="006E7D8F" w:rsidRDefault="00F71427" w:rsidP="00EB329C">
            <w:pPr>
              <w:pStyle w:val="ExhibitText"/>
              <w:jc w:val="left"/>
              <w:rPr>
                <w:sz w:val="18"/>
                <w:szCs w:val="18"/>
              </w:rPr>
            </w:pPr>
            <w:r w:rsidRPr="006E7D8F">
              <w:rPr>
                <w:sz w:val="18"/>
                <w:szCs w:val="18"/>
              </w:rPr>
              <w:t>Return on assets</w:t>
            </w:r>
          </w:p>
        </w:tc>
        <w:tc>
          <w:tcPr>
            <w:tcW w:w="990" w:type="dxa"/>
            <w:tcBorders>
              <w:top w:val="single" w:sz="12" w:space="0" w:color="auto"/>
              <w:left w:val="nil"/>
              <w:bottom w:val="nil"/>
              <w:right w:val="nil"/>
            </w:tcBorders>
            <w:shd w:val="clear" w:color="auto" w:fill="auto"/>
            <w:noWrap/>
            <w:vAlign w:val="center"/>
            <w:hideMark/>
          </w:tcPr>
          <w:p w14:paraId="72B702F1" w14:textId="77777777" w:rsidR="00F71427" w:rsidRPr="006E7D8F" w:rsidRDefault="00F71427" w:rsidP="00EB329C">
            <w:pPr>
              <w:pStyle w:val="ExhibitText"/>
              <w:jc w:val="right"/>
              <w:rPr>
                <w:sz w:val="18"/>
                <w:szCs w:val="18"/>
              </w:rPr>
            </w:pPr>
            <w:r w:rsidRPr="006E7D8F">
              <w:rPr>
                <w:sz w:val="18"/>
                <w:szCs w:val="18"/>
              </w:rPr>
              <w:t>0.25</w:t>
            </w:r>
          </w:p>
        </w:tc>
        <w:tc>
          <w:tcPr>
            <w:tcW w:w="967" w:type="dxa"/>
            <w:tcBorders>
              <w:top w:val="single" w:sz="12" w:space="0" w:color="auto"/>
              <w:left w:val="nil"/>
              <w:bottom w:val="nil"/>
              <w:right w:val="nil"/>
            </w:tcBorders>
            <w:shd w:val="clear" w:color="auto" w:fill="auto"/>
            <w:noWrap/>
            <w:vAlign w:val="center"/>
            <w:hideMark/>
          </w:tcPr>
          <w:p w14:paraId="71F8CC5C" w14:textId="77777777" w:rsidR="00F71427" w:rsidRPr="006E7D8F" w:rsidRDefault="00F71427" w:rsidP="00EB329C">
            <w:pPr>
              <w:pStyle w:val="ExhibitText"/>
              <w:jc w:val="right"/>
              <w:rPr>
                <w:sz w:val="18"/>
                <w:szCs w:val="18"/>
              </w:rPr>
            </w:pPr>
            <w:r w:rsidRPr="006E7D8F">
              <w:rPr>
                <w:sz w:val="18"/>
                <w:szCs w:val="18"/>
              </w:rPr>
              <w:t>0.18</w:t>
            </w:r>
          </w:p>
        </w:tc>
        <w:tc>
          <w:tcPr>
            <w:tcW w:w="968" w:type="dxa"/>
            <w:tcBorders>
              <w:top w:val="single" w:sz="12" w:space="0" w:color="auto"/>
              <w:left w:val="nil"/>
              <w:bottom w:val="nil"/>
              <w:right w:val="nil"/>
            </w:tcBorders>
            <w:shd w:val="clear" w:color="auto" w:fill="auto"/>
            <w:noWrap/>
            <w:vAlign w:val="center"/>
            <w:hideMark/>
          </w:tcPr>
          <w:p w14:paraId="70C4EC84" w14:textId="77777777" w:rsidR="00F71427" w:rsidRPr="006E7D8F" w:rsidRDefault="0083746B" w:rsidP="00EB329C">
            <w:pPr>
              <w:pStyle w:val="ExhibitText"/>
              <w:jc w:val="right"/>
              <w:rPr>
                <w:sz w:val="18"/>
                <w:szCs w:val="18"/>
              </w:rPr>
            </w:pPr>
            <w:r w:rsidRPr="006E7D8F">
              <w:rPr>
                <w:sz w:val="18"/>
                <w:szCs w:val="18"/>
              </w:rPr>
              <w:t>−</w:t>
            </w:r>
            <w:r w:rsidR="00F71427" w:rsidRPr="006E7D8F">
              <w:rPr>
                <w:sz w:val="18"/>
                <w:szCs w:val="18"/>
              </w:rPr>
              <w:t>0.34</w:t>
            </w:r>
          </w:p>
        </w:tc>
        <w:tc>
          <w:tcPr>
            <w:tcW w:w="967" w:type="dxa"/>
            <w:tcBorders>
              <w:top w:val="single" w:sz="12" w:space="0" w:color="auto"/>
              <w:left w:val="nil"/>
              <w:bottom w:val="nil"/>
              <w:right w:val="nil"/>
            </w:tcBorders>
            <w:shd w:val="clear" w:color="auto" w:fill="auto"/>
            <w:noWrap/>
            <w:vAlign w:val="center"/>
            <w:hideMark/>
          </w:tcPr>
          <w:p w14:paraId="4DB270F9" w14:textId="77777777" w:rsidR="00F71427" w:rsidRPr="006E7D8F" w:rsidRDefault="0083746B" w:rsidP="00EB329C">
            <w:pPr>
              <w:pStyle w:val="ExhibitText"/>
              <w:jc w:val="right"/>
              <w:rPr>
                <w:sz w:val="18"/>
                <w:szCs w:val="18"/>
              </w:rPr>
            </w:pPr>
            <w:r w:rsidRPr="006E7D8F">
              <w:rPr>
                <w:sz w:val="18"/>
                <w:szCs w:val="18"/>
              </w:rPr>
              <w:t>−</w:t>
            </w:r>
            <w:r w:rsidR="00F71427" w:rsidRPr="006E7D8F">
              <w:rPr>
                <w:sz w:val="18"/>
                <w:szCs w:val="18"/>
              </w:rPr>
              <w:t>0.92</w:t>
            </w:r>
          </w:p>
        </w:tc>
        <w:tc>
          <w:tcPr>
            <w:tcW w:w="968" w:type="dxa"/>
            <w:tcBorders>
              <w:top w:val="single" w:sz="12" w:space="0" w:color="auto"/>
              <w:left w:val="nil"/>
              <w:bottom w:val="nil"/>
              <w:right w:val="nil"/>
            </w:tcBorders>
            <w:shd w:val="clear" w:color="auto" w:fill="auto"/>
            <w:noWrap/>
            <w:vAlign w:val="center"/>
            <w:hideMark/>
          </w:tcPr>
          <w:p w14:paraId="51A4E562" w14:textId="77777777" w:rsidR="00F71427" w:rsidRPr="006E7D8F" w:rsidRDefault="00F71427" w:rsidP="00EB329C">
            <w:pPr>
              <w:pStyle w:val="ExhibitText"/>
              <w:jc w:val="right"/>
              <w:rPr>
                <w:sz w:val="18"/>
                <w:szCs w:val="18"/>
              </w:rPr>
            </w:pPr>
            <w:r w:rsidRPr="006E7D8F">
              <w:rPr>
                <w:sz w:val="18"/>
                <w:szCs w:val="18"/>
              </w:rPr>
              <w:t>0.01</w:t>
            </w:r>
          </w:p>
        </w:tc>
        <w:tc>
          <w:tcPr>
            <w:tcW w:w="1080" w:type="dxa"/>
            <w:tcBorders>
              <w:top w:val="single" w:sz="12" w:space="0" w:color="auto"/>
              <w:left w:val="nil"/>
              <w:bottom w:val="nil"/>
              <w:right w:val="nil"/>
            </w:tcBorders>
            <w:shd w:val="clear" w:color="auto" w:fill="auto"/>
            <w:noWrap/>
            <w:vAlign w:val="center"/>
            <w:hideMark/>
          </w:tcPr>
          <w:p w14:paraId="3E00D424" w14:textId="77777777" w:rsidR="00F71427" w:rsidRPr="006E7D8F" w:rsidRDefault="00F71427" w:rsidP="00EB329C">
            <w:pPr>
              <w:pStyle w:val="ExhibitText"/>
              <w:jc w:val="right"/>
              <w:rPr>
                <w:color w:val="000000"/>
                <w:sz w:val="18"/>
                <w:szCs w:val="18"/>
              </w:rPr>
            </w:pPr>
          </w:p>
        </w:tc>
      </w:tr>
      <w:tr w:rsidR="00F71427" w:rsidRPr="006E7D8F" w14:paraId="6EBEA21D" w14:textId="77777777" w:rsidTr="00642D25">
        <w:trPr>
          <w:trHeight w:val="288"/>
          <w:jc w:val="center"/>
        </w:trPr>
        <w:tc>
          <w:tcPr>
            <w:tcW w:w="3420" w:type="dxa"/>
            <w:tcBorders>
              <w:top w:val="nil"/>
              <w:left w:val="nil"/>
              <w:bottom w:val="nil"/>
              <w:right w:val="nil"/>
            </w:tcBorders>
            <w:shd w:val="clear" w:color="auto" w:fill="auto"/>
            <w:vAlign w:val="center"/>
            <w:hideMark/>
          </w:tcPr>
          <w:p w14:paraId="1DB33D19" w14:textId="77777777" w:rsidR="00F71427" w:rsidRPr="006E7D8F" w:rsidRDefault="00F71427" w:rsidP="00EB329C">
            <w:pPr>
              <w:pStyle w:val="ExhibitText"/>
              <w:jc w:val="left"/>
              <w:rPr>
                <w:sz w:val="18"/>
                <w:szCs w:val="18"/>
              </w:rPr>
            </w:pPr>
            <w:r w:rsidRPr="006E7D8F">
              <w:rPr>
                <w:sz w:val="18"/>
                <w:szCs w:val="18"/>
              </w:rPr>
              <w:t>Return on equity</w:t>
            </w:r>
          </w:p>
        </w:tc>
        <w:tc>
          <w:tcPr>
            <w:tcW w:w="990" w:type="dxa"/>
            <w:tcBorders>
              <w:top w:val="nil"/>
              <w:left w:val="nil"/>
              <w:bottom w:val="nil"/>
              <w:right w:val="nil"/>
            </w:tcBorders>
            <w:shd w:val="clear" w:color="auto" w:fill="auto"/>
            <w:noWrap/>
            <w:vAlign w:val="center"/>
            <w:hideMark/>
          </w:tcPr>
          <w:p w14:paraId="003B9D5C" w14:textId="77777777" w:rsidR="00F71427" w:rsidRPr="006E7D8F" w:rsidRDefault="00F71427" w:rsidP="00EB329C">
            <w:pPr>
              <w:pStyle w:val="ExhibitText"/>
              <w:jc w:val="right"/>
              <w:rPr>
                <w:sz w:val="18"/>
                <w:szCs w:val="18"/>
              </w:rPr>
            </w:pPr>
            <w:r w:rsidRPr="006E7D8F">
              <w:rPr>
                <w:sz w:val="18"/>
                <w:szCs w:val="18"/>
              </w:rPr>
              <w:t>4.94</w:t>
            </w:r>
          </w:p>
        </w:tc>
        <w:tc>
          <w:tcPr>
            <w:tcW w:w="967" w:type="dxa"/>
            <w:tcBorders>
              <w:top w:val="nil"/>
              <w:left w:val="nil"/>
              <w:bottom w:val="nil"/>
              <w:right w:val="nil"/>
            </w:tcBorders>
            <w:shd w:val="clear" w:color="auto" w:fill="auto"/>
            <w:noWrap/>
            <w:vAlign w:val="center"/>
            <w:hideMark/>
          </w:tcPr>
          <w:p w14:paraId="0A108B85" w14:textId="77777777" w:rsidR="00F71427" w:rsidRPr="006E7D8F" w:rsidRDefault="00F71427" w:rsidP="00EB329C">
            <w:pPr>
              <w:pStyle w:val="ExhibitText"/>
              <w:jc w:val="right"/>
              <w:rPr>
                <w:sz w:val="18"/>
                <w:szCs w:val="18"/>
              </w:rPr>
            </w:pPr>
            <w:r w:rsidRPr="006E7D8F">
              <w:rPr>
                <w:sz w:val="18"/>
                <w:szCs w:val="18"/>
              </w:rPr>
              <w:t>3.52</w:t>
            </w:r>
          </w:p>
        </w:tc>
        <w:tc>
          <w:tcPr>
            <w:tcW w:w="968" w:type="dxa"/>
            <w:tcBorders>
              <w:top w:val="nil"/>
              <w:left w:val="nil"/>
              <w:bottom w:val="nil"/>
              <w:right w:val="nil"/>
            </w:tcBorders>
            <w:shd w:val="clear" w:color="auto" w:fill="auto"/>
            <w:noWrap/>
            <w:vAlign w:val="center"/>
            <w:hideMark/>
          </w:tcPr>
          <w:p w14:paraId="37C53088" w14:textId="77777777" w:rsidR="00F71427" w:rsidRPr="006E7D8F" w:rsidRDefault="0083746B" w:rsidP="00EB329C">
            <w:pPr>
              <w:pStyle w:val="ExhibitText"/>
              <w:jc w:val="right"/>
              <w:rPr>
                <w:sz w:val="18"/>
                <w:szCs w:val="18"/>
              </w:rPr>
            </w:pPr>
            <w:r w:rsidRPr="006E7D8F">
              <w:rPr>
                <w:sz w:val="18"/>
                <w:szCs w:val="18"/>
              </w:rPr>
              <w:t>−</w:t>
            </w:r>
            <w:r w:rsidR="00F71427" w:rsidRPr="006E7D8F">
              <w:rPr>
                <w:sz w:val="18"/>
                <w:szCs w:val="18"/>
              </w:rPr>
              <w:t>6.41</w:t>
            </w:r>
          </w:p>
        </w:tc>
        <w:tc>
          <w:tcPr>
            <w:tcW w:w="967" w:type="dxa"/>
            <w:tcBorders>
              <w:top w:val="nil"/>
              <w:left w:val="nil"/>
              <w:bottom w:val="nil"/>
              <w:right w:val="nil"/>
            </w:tcBorders>
            <w:shd w:val="clear" w:color="auto" w:fill="auto"/>
            <w:noWrap/>
            <w:vAlign w:val="center"/>
            <w:hideMark/>
          </w:tcPr>
          <w:p w14:paraId="22E390A3" w14:textId="77777777" w:rsidR="00F71427" w:rsidRPr="006E7D8F" w:rsidRDefault="0083746B" w:rsidP="00EB329C">
            <w:pPr>
              <w:pStyle w:val="ExhibitText"/>
              <w:jc w:val="right"/>
              <w:rPr>
                <w:sz w:val="18"/>
                <w:szCs w:val="18"/>
              </w:rPr>
            </w:pPr>
            <w:r w:rsidRPr="006E7D8F">
              <w:rPr>
                <w:sz w:val="18"/>
                <w:szCs w:val="18"/>
              </w:rPr>
              <w:t>−</w:t>
            </w:r>
            <w:r w:rsidR="00F71427" w:rsidRPr="006E7D8F">
              <w:rPr>
                <w:sz w:val="18"/>
                <w:szCs w:val="18"/>
              </w:rPr>
              <w:t>16.81</w:t>
            </w:r>
          </w:p>
        </w:tc>
        <w:tc>
          <w:tcPr>
            <w:tcW w:w="968" w:type="dxa"/>
            <w:tcBorders>
              <w:top w:val="nil"/>
              <w:left w:val="nil"/>
              <w:bottom w:val="nil"/>
              <w:right w:val="nil"/>
            </w:tcBorders>
            <w:shd w:val="clear" w:color="auto" w:fill="auto"/>
            <w:noWrap/>
            <w:vAlign w:val="center"/>
            <w:hideMark/>
          </w:tcPr>
          <w:p w14:paraId="0F309376" w14:textId="77777777" w:rsidR="00F71427" w:rsidRPr="006E7D8F" w:rsidRDefault="00F71427" w:rsidP="00EB329C">
            <w:pPr>
              <w:pStyle w:val="ExhibitText"/>
              <w:jc w:val="right"/>
              <w:rPr>
                <w:sz w:val="18"/>
                <w:szCs w:val="18"/>
              </w:rPr>
            </w:pPr>
            <w:r w:rsidRPr="006E7D8F">
              <w:rPr>
                <w:sz w:val="18"/>
                <w:szCs w:val="18"/>
              </w:rPr>
              <w:t>0.16</w:t>
            </w:r>
          </w:p>
        </w:tc>
        <w:tc>
          <w:tcPr>
            <w:tcW w:w="1080" w:type="dxa"/>
            <w:tcBorders>
              <w:top w:val="nil"/>
              <w:left w:val="nil"/>
              <w:bottom w:val="nil"/>
              <w:right w:val="nil"/>
            </w:tcBorders>
            <w:shd w:val="clear" w:color="auto" w:fill="auto"/>
            <w:noWrap/>
            <w:vAlign w:val="center"/>
            <w:hideMark/>
          </w:tcPr>
          <w:p w14:paraId="5595CBF7" w14:textId="77777777" w:rsidR="00F71427" w:rsidRPr="006E7D8F" w:rsidRDefault="00F71427" w:rsidP="00EB329C">
            <w:pPr>
              <w:pStyle w:val="ExhibitText"/>
              <w:jc w:val="right"/>
              <w:rPr>
                <w:color w:val="000000"/>
                <w:sz w:val="18"/>
                <w:szCs w:val="18"/>
              </w:rPr>
            </w:pPr>
          </w:p>
        </w:tc>
      </w:tr>
      <w:tr w:rsidR="00F71427" w:rsidRPr="006E7D8F" w14:paraId="0FA2D94A" w14:textId="77777777" w:rsidTr="00642D25">
        <w:trPr>
          <w:trHeight w:val="288"/>
          <w:jc w:val="center"/>
        </w:trPr>
        <w:tc>
          <w:tcPr>
            <w:tcW w:w="3420" w:type="dxa"/>
            <w:tcBorders>
              <w:top w:val="nil"/>
              <w:left w:val="nil"/>
              <w:bottom w:val="nil"/>
              <w:right w:val="nil"/>
            </w:tcBorders>
            <w:shd w:val="clear" w:color="auto" w:fill="auto"/>
            <w:noWrap/>
            <w:vAlign w:val="center"/>
            <w:hideMark/>
          </w:tcPr>
          <w:p w14:paraId="225E1525" w14:textId="77777777" w:rsidR="00F71427" w:rsidRPr="006E7D8F" w:rsidRDefault="00F71427" w:rsidP="00EB329C">
            <w:pPr>
              <w:pStyle w:val="ExhibitText"/>
              <w:jc w:val="left"/>
              <w:rPr>
                <w:sz w:val="18"/>
                <w:szCs w:val="18"/>
              </w:rPr>
            </w:pPr>
            <w:r w:rsidRPr="006E7D8F">
              <w:rPr>
                <w:sz w:val="18"/>
                <w:szCs w:val="18"/>
              </w:rPr>
              <w:t>Credit</w:t>
            </w:r>
            <w:r w:rsidR="000C151F" w:rsidRPr="006E7D8F">
              <w:rPr>
                <w:sz w:val="18"/>
                <w:szCs w:val="18"/>
              </w:rPr>
              <w:t>–d</w:t>
            </w:r>
            <w:r w:rsidRPr="006E7D8F">
              <w:rPr>
                <w:sz w:val="18"/>
                <w:szCs w:val="18"/>
              </w:rPr>
              <w:t xml:space="preserve">eposit </w:t>
            </w:r>
            <w:r w:rsidR="000C151F" w:rsidRPr="006E7D8F">
              <w:rPr>
                <w:sz w:val="18"/>
                <w:szCs w:val="18"/>
              </w:rPr>
              <w:t>r</w:t>
            </w:r>
            <w:r w:rsidRPr="006E7D8F">
              <w:rPr>
                <w:sz w:val="18"/>
                <w:szCs w:val="18"/>
              </w:rPr>
              <w:t>atio</w:t>
            </w:r>
          </w:p>
        </w:tc>
        <w:tc>
          <w:tcPr>
            <w:tcW w:w="990" w:type="dxa"/>
            <w:tcBorders>
              <w:top w:val="nil"/>
              <w:left w:val="nil"/>
              <w:bottom w:val="nil"/>
              <w:right w:val="nil"/>
            </w:tcBorders>
            <w:shd w:val="clear" w:color="auto" w:fill="auto"/>
            <w:noWrap/>
            <w:vAlign w:val="center"/>
            <w:hideMark/>
          </w:tcPr>
          <w:p w14:paraId="0E5DE16B" w14:textId="77777777" w:rsidR="00F71427" w:rsidRPr="006E7D8F" w:rsidRDefault="00F71427" w:rsidP="00EB329C">
            <w:pPr>
              <w:pStyle w:val="ExhibitText"/>
              <w:jc w:val="right"/>
              <w:rPr>
                <w:sz w:val="18"/>
                <w:szCs w:val="18"/>
              </w:rPr>
            </w:pPr>
            <w:r w:rsidRPr="006E7D8F">
              <w:rPr>
                <w:sz w:val="18"/>
                <w:szCs w:val="18"/>
              </w:rPr>
              <w:t>71.72</w:t>
            </w:r>
          </w:p>
        </w:tc>
        <w:tc>
          <w:tcPr>
            <w:tcW w:w="967" w:type="dxa"/>
            <w:tcBorders>
              <w:top w:val="nil"/>
              <w:left w:val="nil"/>
              <w:bottom w:val="nil"/>
              <w:right w:val="nil"/>
            </w:tcBorders>
            <w:shd w:val="clear" w:color="auto" w:fill="auto"/>
            <w:noWrap/>
            <w:vAlign w:val="center"/>
            <w:hideMark/>
          </w:tcPr>
          <w:p w14:paraId="429D8975" w14:textId="77777777" w:rsidR="00F71427" w:rsidRPr="006E7D8F" w:rsidRDefault="00F71427" w:rsidP="00EB329C">
            <w:pPr>
              <w:pStyle w:val="ExhibitText"/>
              <w:jc w:val="right"/>
              <w:rPr>
                <w:sz w:val="18"/>
                <w:szCs w:val="18"/>
              </w:rPr>
            </w:pPr>
            <w:r w:rsidRPr="006E7D8F">
              <w:rPr>
                <w:sz w:val="18"/>
                <w:szCs w:val="18"/>
              </w:rPr>
              <w:t>63.68</w:t>
            </w:r>
          </w:p>
        </w:tc>
        <w:tc>
          <w:tcPr>
            <w:tcW w:w="968" w:type="dxa"/>
            <w:tcBorders>
              <w:top w:val="nil"/>
              <w:left w:val="nil"/>
              <w:bottom w:val="nil"/>
              <w:right w:val="nil"/>
            </w:tcBorders>
            <w:shd w:val="clear" w:color="auto" w:fill="auto"/>
            <w:noWrap/>
            <w:vAlign w:val="center"/>
            <w:hideMark/>
          </w:tcPr>
          <w:p w14:paraId="30AF2133" w14:textId="77777777" w:rsidR="00F71427" w:rsidRPr="006E7D8F" w:rsidRDefault="00F71427" w:rsidP="00EB329C">
            <w:pPr>
              <w:pStyle w:val="ExhibitText"/>
              <w:jc w:val="right"/>
              <w:rPr>
                <w:sz w:val="18"/>
                <w:szCs w:val="18"/>
              </w:rPr>
            </w:pPr>
            <w:r w:rsidRPr="006E7D8F">
              <w:rPr>
                <w:sz w:val="18"/>
                <w:szCs w:val="18"/>
              </w:rPr>
              <w:t>65.42</w:t>
            </w:r>
          </w:p>
        </w:tc>
        <w:tc>
          <w:tcPr>
            <w:tcW w:w="967" w:type="dxa"/>
            <w:tcBorders>
              <w:top w:val="nil"/>
              <w:left w:val="nil"/>
              <w:bottom w:val="nil"/>
              <w:right w:val="nil"/>
            </w:tcBorders>
            <w:shd w:val="clear" w:color="auto" w:fill="auto"/>
            <w:noWrap/>
            <w:vAlign w:val="center"/>
            <w:hideMark/>
          </w:tcPr>
          <w:p w14:paraId="4999773F" w14:textId="77777777" w:rsidR="00F71427" w:rsidRPr="006E7D8F" w:rsidRDefault="00F71427" w:rsidP="00EB329C">
            <w:pPr>
              <w:pStyle w:val="ExhibitText"/>
              <w:jc w:val="right"/>
              <w:rPr>
                <w:sz w:val="18"/>
                <w:szCs w:val="18"/>
              </w:rPr>
            </w:pPr>
            <w:r w:rsidRPr="006E7D8F">
              <w:rPr>
                <w:sz w:val="18"/>
                <w:szCs w:val="18"/>
              </w:rPr>
              <w:t>54.39</w:t>
            </w:r>
          </w:p>
        </w:tc>
        <w:tc>
          <w:tcPr>
            <w:tcW w:w="968" w:type="dxa"/>
            <w:tcBorders>
              <w:top w:val="nil"/>
              <w:left w:val="nil"/>
              <w:bottom w:val="nil"/>
              <w:right w:val="nil"/>
            </w:tcBorders>
            <w:shd w:val="clear" w:color="auto" w:fill="auto"/>
            <w:noWrap/>
            <w:vAlign w:val="center"/>
            <w:hideMark/>
          </w:tcPr>
          <w:p w14:paraId="1F807DEF" w14:textId="77777777" w:rsidR="00F71427" w:rsidRPr="006E7D8F" w:rsidRDefault="00F71427" w:rsidP="00EB329C">
            <w:pPr>
              <w:pStyle w:val="ExhibitText"/>
              <w:jc w:val="right"/>
              <w:rPr>
                <w:sz w:val="18"/>
                <w:szCs w:val="18"/>
              </w:rPr>
            </w:pPr>
            <w:r w:rsidRPr="006E7D8F">
              <w:rPr>
                <w:sz w:val="18"/>
                <w:szCs w:val="18"/>
              </w:rPr>
              <w:t>54.45</w:t>
            </w:r>
          </w:p>
        </w:tc>
        <w:tc>
          <w:tcPr>
            <w:tcW w:w="1080" w:type="dxa"/>
            <w:tcBorders>
              <w:top w:val="nil"/>
              <w:left w:val="nil"/>
              <w:bottom w:val="nil"/>
              <w:right w:val="nil"/>
            </w:tcBorders>
            <w:shd w:val="clear" w:color="auto" w:fill="auto"/>
            <w:noWrap/>
            <w:vAlign w:val="center"/>
            <w:hideMark/>
          </w:tcPr>
          <w:p w14:paraId="1F6C0FB2" w14:textId="77777777" w:rsidR="00F71427" w:rsidRPr="006E7D8F" w:rsidRDefault="00F71427" w:rsidP="00EB329C">
            <w:pPr>
              <w:pStyle w:val="ExhibitText"/>
              <w:jc w:val="right"/>
              <w:rPr>
                <w:color w:val="000000"/>
                <w:sz w:val="18"/>
                <w:szCs w:val="18"/>
              </w:rPr>
            </w:pPr>
          </w:p>
        </w:tc>
      </w:tr>
      <w:tr w:rsidR="00F71427" w:rsidRPr="006E7D8F" w14:paraId="7F43CC64" w14:textId="77777777" w:rsidTr="00642D25">
        <w:trPr>
          <w:trHeight w:val="288"/>
          <w:jc w:val="center"/>
        </w:trPr>
        <w:tc>
          <w:tcPr>
            <w:tcW w:w="3420" w:type="dxa"/>
            <w:tcBorders>
              <w:top w:val="nil"/>
              <w:left w:val="nil"/>
              <w:bottom w:val="nil"/>
              <w:right w:val="nil"/>
            </w:tcBorders>
            <w:shd w:val="clear" w:color="auto" w:fill="auto"/>
            <w:noWrap/>
            <w:vAlign w:val="center"/>
            <w:hideMark/>
          </w:tcPr>
          <w:p w14:paraId="75769324" w14:textId="77777777" w:rsidR="00F71427" w:rsidRPr="006E7D8F" w:rsidRDefault="00F71427" w:rsidP="00EB329C">
            <w:pPr>
              <w:pStyle w:val="ExhibitText"/>
              <w:jc w:val="left"/>
              <w:rPr>
                <w:sz w:val="18"/>
                <w:szCs w:val="18"/>
              </w:rPr>
            </w:pPr>
            <w:r w:rsidRPr="006E7D8F">
              <w:rPr>
                <w:sz w:val="18"/>
                <w:szCs w:val="18"/>
              </w:rPr>
              <w:t>Investment</w:t>
            </w:r>
            <w:r w:rsidR="000C151F" w:rsidRPr="006E7D8F">
              <w:rPr>
                <w:sz w:val="18"/>
                <w:szCs w:val="18"/>
              </w:rPr>
              <w:t>–d</w:t>
            </w:r>
            <w:r w:rsidRPr="006E7D8F">
              <w:rPr>
                <w:sz w:val="18"/>
                <w:szCs w:val="18"/>
              </w:rPr>
              <w:t xml:space="preserve">eposit </w:t>
            </w:r>
            <w:r w:rsidR="000C151F" w:rsidRPr="006E7D8F">
              <w:rPr>
                <w:sz w:val="18"/>
                <w:szCs w:val="18"/>
              </w:rPr>
              <w:t>r</w:t>
            </w:r>
            <w:r w:rsidRPr="006E7D8F">
              <w:rPr>
                <w:sz w:val="18"/>
                <w:szCs w:val="18"/>
              </w:rPr>
              <w:t>atio</w:t>
            </w:r>
          </w:p>
        </w:tc>
        <w:tc>
          <w:tcPr>
            <w:tcW w:w="990" w:type="dxa"/>
            <w:tcBorders>
              <w:top w:val="nil"/>
              <w:left w:val="nil"/>
              <w:bottom w:val="nil"/>
              <w:right w:val="nil"/>
            </w:tcBorders>
            <w:shd w:val="clear" w:color="auto" w:fill="auto"/>
            <w:noWrap/>
            <w:vAlign w:val="center"/>
            <w:hideMark/>
          </w:tcPr>
          <w:p w14:paraId="60F7D32C" w14:textId="77777777" w:rsidR="00F71427" w:rsidRPr="006E7D8F" w:rsidRDefault="00F71427" w:rsidP="00EB329C">
            <w:pPr>
              <w:pStyle w:val="ExhibitText"/>
              <w:jc w:val="right"/>
              <w:rPr>
                <w:sz w:val="18"/>
                <w:szCs w:val="18"/>
              </w:rPr>
            </w:pPr>
            <w:r w:rsidRPr="006E7D8F">
              <w:rPr>
                <w:sz w:val="18"/>
                <w:szCs w:val="18"/>
              </w:rPr>
              <w:t>26.75</w:t>
            </w:r>
          </w:p>
        </w:tc>
        <w:tc>
          <w:tcPr>
            <w:tcW w:w="967" w:type="dxa"/>
            <w:tcBorders>
              <w:top w:val="nil"/>
              <w:left w:val="nil"/>
              <w:bottom w:val="nil"/>
              <w:right w:val="nil"/>
            </w:tcBorders>
            <w:shd w:val="clear" w:color="auto" w:fill="auto"/>
            <w:noWrap/>
            <w:vAlign w:val="center"/>
            <w:hideMark/>
          </w:tcPr>
          <w:p w14:paraId="1E6D2C02" w14:textId="77777777" w:rsidR="00F71427" w:rsidRPr="006E7D8F" w:rsidRDefault="00F71427" w:rsidP="00EB329C">
            <w:pPr>
              <w:pStyle w:val="ExhibitText"/>
              <w:jc w:val="right"/>
              <w:rPr>
                <w:sz w:val="18"/>
                <w:szCs w:val="18"/>
              </w:rPr>
            </w:pPr>
            <w:r w:rsidRPr="006E7D8F">
              <w:rPr>
                <w:sz w:val="18"/>
                <w:szCs w:val="18"/>
              </w:rPr>
              <w:t>37.53</w:t>
            </w:r>
          </w:p>
        </w:tc>
        <w:tc>
          <w:tcPr>
            <w:tcW w:w="968" w:type="dxa"/>
            <w:tcBorders>
              <w:top w:val="nil"/>
              <w:left w:val="nil"/>
              <w:bottom w:val="nil"/>
              <w:right w:val="nil"/>
            </w:tcBorders>
            <w:shd w:val="clear" w:color="auto" w:fill="auto"/>
            <w:noWrap/>
            <w:vAlign w:val="center"/>
            <w:hideMark/>
          </w:tcPr>
          <w:p w14:paraId="5D3E0737" w14:textId="77777777" w:rsidR="00F71427" w:rsidRPr="006E7D8F" w:rsidRDefault="00F71427" w:rsidP="00EB329C">
            <w:pPr>
              <w:pStyle w:val="ExhibitText"/>
              <w:jc w:val="right"/>
              <w:rPr>
                <w:sz w:val="18"/>
                <w:szCs w:val="18"/>
              </w:rPr>
            </w:pPr>
            <w:r w:rsidRPr="006E7D8F">
              <w:rPr>
                <w:sz w:val="18"/>
                <w:szCs w:val="18"/>
              </w:rPr>
              <w:t>30.59</w:t>
            </w:r>
          </w:p>
        </w:tc>
        <w:tc>
          <w:tcPr>
            <w:tcW w:w="967" w:type="dxa"/>
            <w:tcBorders>
              <w:top w:val="nil"/>
              <w:left w:val="nil"/>
              <w:bottom w:val="nil"/>
              <w:right w:val="nil"/>
            </w:tcBorders>
            <w:shd w:val="clear" w:color="auto" w:fill="auto"/>
            <w:noWrap/>
            <w:vAlign w:val="center"/>
            <w:hideMark/>
          </w:tcPr>
          <w:p w14:paraId="2FA7B58E" w14:textId="77777777" w:rsidR="00F71427" w:rsidRPr="006E7D8F" w:rsidRDefault="00F71427" w:rsidP="00EB329C">
            <w:pPr>
              <w:pStyle w:val="ExhibitText"/>
              <w:jc w:val="right"/>
              <w:rPr>
                <w:sz w:val="18"/>
                <w:szCs w:val="18"/>
              </w:rPr>
            </w:pPr>
            <w:r w:rsidRPr="006E7D8F">
              <w:rPr>
                <w:sz w:val="18"/>
                <w:szCs w:val="18"/>
              </w:rPr>
              <w:t>41.46</w:t>
            </w:r>
          </w:p>
        </w:tc>
        <w:tc>
          <w:tcPr>
            <w:tcW w:w="968" w:type="dxa"/>
            <w:tcBorders>
              <w:top w:val="nil"/>
              <w:left w:val="nil"/>
              <w:bottom w:val="nil"/>
              <w:right w:val="nil"/>
            </w:tcBorders>
            <w:shd w:val="clear" w:color="auto" w:fill="auto"/>
            <w:noWrap/>
            <w:vAlign w:val="center"/>
            <w:hideMark/>
          </w:tcPr>
          <w:p w14:paraId="4FECC3A1" w14:textId="77777777" w:rsidR="00F71427" w:rsidRPr="006E7D8F" w:rsidRDefault="00F71427" w:rsidP="00EB329C">
            <w:pPr>
              <w:pStyle w:val="ExhibitText"/>
              <w:jc w:val="right"/>
              <w:rPr>
                <w:sz w:val="18"/>
                <w:szCs w:val="18"/>
              </w:rPr>
            </w:pPr>
            <w:r w:rsidRPr="006E7D8F">
              <w:rPr>
                <w:sz w:val="18"/>
                <w:szCs w:val="18"/>
              </w:rPr>
              <w:t>38.64</w:t>
            </w:r>
          </w:p>
        </w:tc>
        <w:tc>
          <w:tcPr>
            <w:tcW w:w="1080" w:type="dxa"/>
            <w:tcBorders>
              <w:top w:val="nil"/>
              <w:left w:val="nil"/>
              <w:bottom w:val="nil"/>
              <w:right w:val="nil"/>
            </w:tcBorders>
            <w:shd w:val="clear" w:color="auto" w:fill="auto"/>
            <w:noWrap/>
            <w:vAlign w:val="center"/>
            <w:hideMark/>
          </w:tcPr>
          <w:p w14:paraId="4919D66C" w14:textId="77777777" w:rsidR="00F71427" w:rsidRPr="006E7D8F" w:rsidRDefault="00F71427" w:rsidP="00EB329C">
            <w:pPr>
              <w:pStyle w:val="ExhibitText"/>
              <w:jc w:val="right"/>
              <w:rPr>
                <w:color w:val="000000"/>
                <w:sz w:val="18"/>
                <w:szCs w:val="18"/>
              </w:rPr>
            </w:pPr>
          </w:p>
        </w:tc>
      </w:tr>
      <w:tr w:rsidR="00F71427" w:rsidRPr="006E7D8F" w14:paraId="67167B2C" w14:textId="77777777" w:rsidTr="00642D25">
        <w:trPr>
          <w:trHeight w:val="288"/>
          <w:jc w:val="center"/>
        </w:trPr>
        <w:tc>
          <w:tcPr>
            <w:tcW w:w="3420" w:type="dxa"/>
            <w:tcBorders>
              <w:top w:val="nil"/>
              <w:left w:val="nil"/>
              <w:bottom w:val="nil"/>
              <w:right w:val="nil"/>
            </w:tcBorders>
            <w:shd w:val="clear" w:color="auto" w:fill="auto"/>
            <w:vAlign w:val="center"/>
            <w:hideMark/>
          </w:tcPr>
          <w:p w14:paraId="67050C64" w14:textId="77777777" w:rsidR="00F71427" w:rsidRPr="006E7D8F" w:rsidRDefault="00F71427" w:rsidP="00EB329C">
            <w:pPr>
              <w:pStyle w:val="ExhibitText"/>
              <w:jc w:val="left"/>
              <w:rPr>
                <w:sz w:val="18"/>
                <w:szCs w:val="18"/>
              </w:rPr>
            </w:pPr>
            <w:r w:rsidRPr="006E7D8F">
              <w:rPr>
                <w:sz w:val="18"/>
                <w:szCs w:val="18"/>
              </w:rPr>
              <w:t>Capital adequacy ratio</w:t>
            </w:r>
          </w:p>
        </w:tc>
        <w:tc>
          <w:tcPr>
            <w:tcW w:w="990" w:type="dxa"/>
            <w:tcBorders>
              <w:top w:val="nil"/>
              <w:left w:val="nil"/>
              <w:bottom w:val="nil"/>
              <w:right w:val="nil"/>
            </w:tcBorders>
            <w:shd w:val="clear" w:color="auto" w:fill="auto"/>
            <w:noWrap/>
            <w:vAlign w:val="center"/>
            <w:hideMark/>
          </w:tcPr>
          <w:p w14:paraId="47B9401B" w14:textId="77777777" w:rsidR="00F71427" w:rsidRPr="006E7D8F" w:rsidRDefault="00F71427" w:rsidP="00EB329C">
            <w:pPr>
              <w:pStyle w:val="ExhibitText"/>
              <w:jc w:val="right"/>
              <w:rPr>
                <w:sz w:val="18"/>
                <w:szCs w:val="18"/>
              </w:rPr>
            </w:pPr>
            <w:r w:rsidRPr="006E7D8F">
              <w:rPr>
                <w:sz w:val="18"/>
                <w:szCs w:val="18"/>
              </w:rPr>
              <w:t>12.29</w:t>
            </w:r>
          </w:p>
        </w:tc>
        <w:tc>
          <w:tcPr>
            <w:tcW w:w="967" w:type="dxa"/>
            <w:tcBorders>
              <w:top w:val="nil"/>
              <w:left w:val="nil"/>
              <w:bottom w:val="nil"/>
              <w:right w:val="nil"/>
            </w:tcBorders>
            <w:shd w:val="clear" w:color="auto" w:fill="auto"/>
            <w:noWrap/>
            <w:vAlign w:val="center"/>
            <w:hideMark/>
          </w:tcPr>
          <w:p w14:paraId="28DD153D" w14:textId="77777777" w:rsidR="00F71427" w:rsidRPr="006E7D8F" w:rsidRDefault="00F71427" w:rsidP="00EB329C">
            <w:pPr>
              <w:pStyle w:val="ExhibitText"/>
              <w:jc w:val="right"/>
              <w:rPr>
                <w:sz w:val="18"/>
                <w:szCs w:val="18"/>
              </w:rPr>
            </w:pPr>
            <w:r w:rsidRPr="006E7D8F">
              <w:rPr>
                <w:sz w:val="18"/>
                <w:szCs w:val="18"/>
              </w:rPr>
              <w:t>11.00</w:t>
            </w:r>
          </w:p>
        </w:tc>
        <w:tc>
          <w:tcPr>
            <w:tcW w:w="968" w:type="dxa"/>
            <w:tcBorders>
              <w:top w:val="nil"/>
              <w:left w:val="nil"/>
              <w:bottom w:val="nil"/>
              <w:right w:val="nil"/>
            </w:tcBorders>
            <w:shd w:val="clear" w:color="auto" w:fill="auto"/>
            <w:noWrap/>
            <w:vAlign w:val="center"/>
            <w:hideMark/>
          </w:tcPr>
          <w:p w14:paraId="44849F4D" w14:textId="77777777" w:rsidR="00F71427" w:rsidRPr="006E7D8F" w:rsidRDefault="00F71427" w:rsidP="00EB329C">
            <w:pPr>
              <w:pStyle w:val="ExhibitText"/>
              <w:jc w:val="right"/>
              <w:rPr>
                <w:sz w:val="18"/>
                <w:szCs w:val="18"/>
              </w:rPr>
            </w:pPr>
            <w:r w:rsidRPr="006E7D8F">
              <w:rPr>
                <w:sz w:val="18"/>
                <w:szCs w:val="18"/>
              </w:rPr>
              <w:t>11.00</w:t>
            </w:r>
          </w:p>
        </w:tc>
        <w:tc>
          <w:tcPr>
            <w:tcW w:w="967" w:type="dxa"/>
            <w:tcBorders>
              <w:top w:val="nil"/>
              <w:left w:val="nil"/>
              <w:bottom w:val="nil"/>
              <w:right w:val="nil"/>
            </w:tcBorders>
            <w:shd w:val="clear" w:color="auto" w:fill="auto"/>
            <w:noWrap/>
            <w:vAlign w:val="center"/>
            <w:hideMark/>
          </w:tcPr>
          <w:p w14:paraId="2EE01428" w14:textId="77777777" w:rsidR="00F71427" w:rsidRPr="006E7D8F" w:rsidRDefault="00F71427" w:rsidP="00EB329C">
            <w:pPr>
              <w:pStyle w:val="ExhibitText"/>
              <w:jc w:val="right"/>
              <w:rPr>
                <w:sz w:val="18"/>
                <w:szCs w:val="18"/>
              </w:rPr>
            </w:pPr>
            <w:r w:rsidRPr="006E7D8F">
              <w:rPr>
                <w:sz w:val="18"/>
                <w:szCs w:val="18"/>
              </w:rPr>
              <w:t>10.55</w:t>
            </w:r>
          </w:p>
        </w:tc>
        <w:tc>
          <w:tcPr>
            <w:tcW w:w="968" w:type="dxa"/>
            <w:tcBorders>
              <w:top w:val="nil"/>
              <w:left w:val="nil"/>
              <w:bottom w:val="nil"/>
              <w:right w:val="nil"/>
            </w:tcBorders>
            <w:shd w:val="clear" w:color="auto" w:fill="auto"/>
            <w:noWrap/>
            <w:vAlign w:val="center"/>
            <w:hideMark/>
          </w:tcPr>
          <w:p w14:paraId="65720B6F" w14:textId="77777777" w:rsidR="00F71427" w:rsidRPr="006E7D8F" w:rsidRDefault="00F71427" w:rsidP="00EB329C">
            <w:pPr>
              <w:pStyle w:val="ExhibitText"/>
              <w:jc w:val="right"/>
              <w:rPr>
                <w:sz w:val="18"/>
                <w:szCs w:val="18"/>
              </w:rPr>
            </w:pPr>
            <w:r w:rsidRPr="006E7D8F">
              <w:rPr>
                <w:sz w:val="18"/>
                <w:szCs w:val="18"/>
              </w:rPr>
              <w:t>12.15</w:t>
            </w:r>
          </w:p>
        </w:tc>
        <w:tc>
          <w:tcPr>
            <w:tcW w:w="1080" w:type="dxa"/>
            <w:tcBorders>
              <w:top w:val="nil"/>
              <w:left w:val="nil"/>
              <w:bottom w:val="nil"/>
              <w:right w:val="nil"/>
            </w:tcBorders>
            <w:shd w:val="clear" w:color="auto" w:fill="auto"/>
            <w:noWrap/>
            <w:vAlign w:val="center"/>
            <w:hideMark/>
          </w:tcPr>
          <w:p w14:paraId="632D9769" w14:textId="77777777" w:rsidR="00F71427" w:rsidRPr="006E7D8F" w:rsidRDefault="00F71427" w:rsidP="00EB329C">
            <w:pPr>
              <w:pStyle w:val="ExhibitText"/>
              <w:jc w:val="right"/>
              <w:rPr>
                <w:color w:val="000000"/>
                <w:sz w:val="18"/>
                <w:szCs w:val="18"/>
              </w:rPr>
            </w:pPr>
            <w:r w:rsidRPr="006E7D8F">
              <w:rPr>
                <w:color w:val="000000"/>
                <w:sz w:val="18"/>
                <w:szCs w:val="18"/>
              </w:rPr>
              <w:t>11.09</w:t>
            </w:r>
          </w:p>
        </w:tc>
      </w:tr>
      <w:tr w:rsidR="00F71427" w:rsidRPr="006E7D8F" w14:paraId="6F728769" w14:textId="77777777" w:rsidTr="00642D25">
        <w:trPr>
          <w:trHeight w:val="288"/>
          <w:jc w:val="center"/>
        </w:trPr>
        <w:tc>
          <w:tcPr>
            <w:tcW w:w="3420" w:type="dxa"/>
            <w:tcBorders>
              <w:top w:val="nil"/>
              <w:left w:val="nil"/>
              <w:bottom w:val="nil"/>
              <w:right w:val="nil"/>
            </w:tcBorders>
            <w:shd w:val="clear" w:color="auto" w:fill="auto"/>
            <w:vAlign w:val="center"/>
            <w:hideMark/>
          </w:tcPr>
          <w:p w14:paraId="648033A1" w14:textId="6B750C33" w:rsidR="00F71427" w:rsidRPr="006E7D8F" w:rsidRDefault="00F71427" w:rsidP="00EB329C">
            <w:pPr>
              <w:pStyle w:val="ExhibitText"/>
              <w:jc w:val="left"/>
              <w:rPr>
                <w:sz w:val="18"/>
                <w:szCs w:val="18"/>
              </w:rPr>
            </w:pPr>
            <w:r w:rsidRPr="006E7D8F">
              <w:rPr>
                <w:sz w:val="18"/>
                <w:szCs w:val="18"/>
              </w:rPr>
              <w:t>Cost</w:t>
            </w:r>
            <w:r w:rsidR="007D38FB">
              <w:rPr>
                <w:sz w:val="18"/>
                <w:szCs w:val="18"/>
              </w:rPr>
              <w:t>-</w:t>
            </w:r>
            <w:r w:rsidRPr="006E7D8F">
              <w:rPr>
                <w:sz w:val="18"/>
                <w:szCs w:val="18"/>
              </w:rPr>
              <w:t>to</w:t>
            </w:r>
            <w:r w:rsidR="007D38FB">
              <w:rPr>
                <w:sz w:val="18"/>
                <w:szCs w:val="18"/>
              </w:rPr>
              <w:t>-</w:t>
            </w:r>
            <w:r w:rsidR="000C151F" w:rsidRPr="006E7D8F">
              <w:rPr>
                <w:sz w:val="18"/>
                <w:szCs w:val="18"/>
              </w:rPr>
              <w:t>i</w:t>
            </w:r>
            <w:r w:rsidRPr="006E7D8F">
              <w:rPr>
                <w:sz w:val="18"/>
                <w:szCs w:val="18"/>
              </w:rPr>
              <w:t>ncome ratio</w:t>
            </w:r>
            <w:r w:rsidR="000C151F" w:rsidRPr="006E7D8F">
              <w:rPr>
                <w:sz w:val="18"/>
                <w:szCs w:val="18"/>
              </w:rPr>
              <w:t>*</w:t>
            </w:r>
          </w:p>
        </w:tc>
        <w:tc>
          <w:tcPr>
            <w:tcW w:w="990" w:type="dxa"/>
            <w:tcBorders>
              <w:top w:val="nil"/>
              <w:left w:val="nil"/>
              <w:bottom w:val="nil"/>
              <w:right w:val="nil"/>
            </w:tcBorders>
            <w:shd w:val="clear" w:color="auto" w:fill="auto"/>
            <w:noWrap/>
            <w:vAlign w:val="center"/>
            <w:hideMark/>
          </w:tcPr>
          <w:p w14:paraId="25498FDE" w14:textId="77777777" w:rsidR="00F71427" w:rsidRPr="006E7D8F" w:rsidRDefault="00F71427" w:rsidP="00EB329C">
            <w:pPr>
              <w:pStyle w:val="ExhibitText"/>
              <w:jc w:val="right"/>
              <w:rPr>
                <w:sz w:val="18"/>
                <w:szCs w:val="18"/>
              </w:rPr>
            </w:pPr>
            <w:r w:rsidRPr="006E7D8F">
              <w:rPr>
                <w:sz w:val="18"/>
                <w:szCs w:val="18"/>
              </w:rPr>
              <w:t>76.49</w:t>
            </w:r>
          </w:p>
        </w:tc>
        <w:tc>
          <w:tcPr>
            <w:tcW w:w="967" w:type="dxa"/>
            <w:tcBorders>
              <w:top w:val="nil"/>
              <w:left w:val="nil"/>
              <w:bottom w:val="nil"/>
              <w:right w:val="nil"/>
            </w:tcBorders>
            <w:shd w:val="clear" w:color="auto" w:fill="auto"/>
            <w:noWrap/>
            <w:vAlign w:val="center"/>
            <w:hideMark/>
          </w:tcPr>
          <w:p w14:paraId="1220EC1A" w14:textId="77777777" w:rsidR="00F71427" w:rsidRPr="006E7D8F" w:rsidRDefault="00F71427" w:rsidP="00EB329C">
            <w:pPr>
              <w:pStyle w:val="ExhibitText"/>
              <w:jc w:val="right"/>
              <w:rPr>
                <w:sz w:val="18"/>
                <w:szCs w:val="18"/>
              </w:rPr>
            </w:pPr>
            <w:r w:rsidRPr="006E7D8F">
              <w:rPr>
                <w:sz w:val="18"/>
                <w:szCs w:val="18"/>
              </w:rPr>
              <w:t>80.80</w:t>
            </w:r>
          </w:p>
        </w:tc>
        <w:tc>
          <w:tcPr>
            <w:tcW w:w="968" w:type="dxa"/>
            <w:tcBorders>
              <w:top w:val="nil"/>
              <w:left w:val="nil"/>
              <w:bottom w:val="nil"/>
              <w:right w:val="nil"/>
            </w:tcBorders>
            <w:shd w:val="clear" w:color="auto" w:fill="auto"/>
            <w:noWrap/>
            <w:vAlign w:val="center"/>
            <w:hideMark/>
          </w:tcPr>
          <w:p w14:paraId="140E5A9E" w14:textId="77777777" w:rsidR="00F71427" w:rsidRPr="006E7D8F" w:rsidRDefault="00F71427" w:rsidP="00EB329C">
            <w:pPr>
              <w:pStyle w:val="ExhibitText"/>
              <w:jc w:val="right"/>
              <w:rPr>
                <w:sz w:val="18"/>
                <w:szCs w:val="18"/>
              </w:rPr>
            </w:pPr>
            <w:r w:rsidRPr="006E7D8F">
              <w:rPr>
                <w:sz w:val="18"/>
                <w:szCs w:val="18"/>
              </w:rPr>
              <w:t>89.64</w:t>
            </w:r>
          </w:p>
        </w:tc>
        <w:tc>
          <w:tcPr>
            <w:tcW w:w="967" w:type="dxa"/>
            <w:tcBorders>
              <w:top w:val="nil"/>
              <w:left w:val="nil"/>
              <w:bottom w:val="nil"/>
              <w:right w:val="nil"/>
            </w:tcBorders>
            <w:shd w:val="clear" w:color="auto" w:fill="auto"/>
            <w:noWrap/>
            <w:vAlign w:val="center"/>
            <w:hideMark/>
          </w:tcPr>
          <w:p w14:paraId="05B72995" w14:textId="77777777" w:rsidR="00F71427" w:rsidRPr="006E7D8F" w:rsidRDefault="00F71427" w:rsidP="00EB329C">
            <w:pPr>
              <w:pStyle w:val="ExhibitText"/>
              <w:jc w:val="right"/>
              <w:rPr>
                <w:sz w:val="18"/>
                <w:szCs w:val="18"/>
              </w:rPr>
            </w:pPr>
            <w:r w:rsidRPr="006E7D8F">
              <w:rPr>
                <w:sz w:val="18"/>
                <w:szCs w:val="18"/>
              </w:rPr>
              <w:t>100.87</w:t>
            </w:r>
          </w:p>
        </w:tc>
        <w:tc>
          <w:tcPr>
            <w:tcW w:w="968" w:type="dxa"/>
            <w:tcBorders>
              <w:top w:val="nil"/>
              <w:left w:val="nil"/>
              <w:bottom w:val="nil"/>
              <w:right w:val="nil"/>
            </w:tcBorders>
            <w:shd w:val="clear" w:color="auto" w:fill="auto"/>
            <w:noWrap/>
            <w:vAlign w:val="center"/>
            <w:hideMark/>
          </w:tcPr>
          <w:p w14:paraId="5EC2E5DC" w14:textId="77777777" w:rsidR="00F71427" w:rsidRPr="006E7D8F" w:rsidRDefault="00F71427" w:rsidP="00EB329C">
            <w:pPr>
              <w:pStyle w:val="ExhibitText"/>
              <w:jc w:val="right"/>
              <w:rPr>
                <w:sz w:val="18"/>
                <w:szCs w:val="18"/>
              </w:rPr>
            </w:pPr>
            <w:r w:rsidRPr="006E7D8F">
              <w:rPr>
                <w:sz w:val="18"/>
                <w:szCs w:val="18"/>
              </w:rPr>
              <w:t>74.49</w:t>
            </w:r>
          </w:p>
        </w:tc>
        <w:tc>
          <w:tcPr>
            <w:tcW w:w="1080" w:type="dxa"/>
            <w:tcBorders>
              <w:top w:val="nil"/>
              <w:left w:val="nil"/>
              <w:bottom w:val="nil"/>
              <w:right w:val="nil"/>
            </w:tcBorders>
            <w:shd w:val="clear" w:color="auto" w:fill="auto"/>
            <w:noWrap/>
            <w:vAlign w:val="center"/>
            <w:hideMark/>
          </w:tcPr>
          <w:p w14:paraId="75F9139E" w14:textId="77777777" w:rsidR="00F71427" w:rsidRPr="006E7D8F" w:rsidRDefault="00F71427" w:rsidP="00EB329C">
            <w:pPr>
              <w:pStyle w:val="ExhibitText"/>
              <w:jc w:val="right"/>
              <w:rPr>
                <w:color w:val="000000"/>
                <w:sz w:val="18"/>
                <w:szCs w:val="18"/>
              </w:rPr>
            </w:pPr>
            <w:r w:rsidRPr="006E7D8F">
              <w:rPr>
                <w:color w:val="000000"/>
                <w:sz w:val="18"/>
                <w:szCs w:val="18"/>
              </w:rPr>
              <w:t>83.25</w:t>
            </w:r>
          </w:p>
        </w:tc>
      </w:tr>
      <w:tr w:rsidR="00F71427" w:rsidRPr="006E7D8F" w14:paraId="158E48AD" w14:textId="77777777" w:rsidTr="00642D25">
        <w:trPr>
          <w:trHeight w:val="288"/>
          <w:jc w:val="center"/>
        </w:trPr>
        <w:tc>
          <w:tcPr>
            <w:tcW w:w="3420" w:type="dxa"/>
            <w:tcBorders>
              <w:top w:val="nil"/>
              <w:left w:val="nil"/>
              <w:bottom w:val="nil"/>
              <w:right w:val="nil"/>
            </w:tcBorders>
            <w:shd w:val="clear" w:color="auto" w:fill="auto"/>
            <w:noWrap/>
            <w:vAlign w:val="center"/>
            <w:hideMark/>
          </w:tcPr>
          <w:p w14:paraId="17C1C075" w14:textId="77777777" w:rsidR="00F71427" w:rsidRPr="006E7D8F" w:rsidRDefault="00F71427" w:rsidP="00EB329C">
            <w:pPr>
              <w:pStyle w:val="ExhibitText"/>
              <w:jc w:val="left"/>
              <w:rPr>
                <w:sz w:val="18"/>
                <w:szCs w:val="18"/>
              </w:rPr>
            </w:pPr>
            <w:r w:rsidRPr="006E7D8F">
              <w:rPr>
                <w:sz w:val="18"/>
                <w:szCs w:val="18"/>
              </w:rPr>
              <w:t>Average cost of funds</w:t>
            </w:r>
          </w:p>
        </w:tc>
        <w:tc>
          <w:tcPr>
            <w:tcW w:w="990" w:type="dxa"/>
            <w:tcBorders>
              <w:top w:val="nil"/>
              <w:left w:val="nil"/>
              <w:bottom w:val="nil"/>
              <w:right w:val="nil"/>
            </w:tcBorders>
            <w:shd w:val="clear" w:color="auto" w:fill="auto"/>
            <w:noWrap/>
            <w:vAlign w:val="center"/>
            <w:hideMark/>
          </w:tcPr>
          <w:p w14:paraId="7F00FEF9" w14:textId="77777777" w:rsidR="00F71427" w:rsidRPr="006E7D8F" w:rsidRDefault="00F71427" w:rsidP="00EB329C">
            <w:pPr>
              <w:pStyle w:val="ExhibitText"/>
              <w:jc w:val="right"/>
              <w:rPr>
                <w:sz w:val="18"/>
                <w:szCs w:val="18"/>
              </w:rPr>
            </w:pPr>
            <w:r w:rsidRPr="006E7D8F">
              <w:rPr>
                <w:sz w:val="18"/>
                <w:szCs w:val="18"/>
              </w:rPr>
              <w:t>8.28</w:t>
            </w:r>
          </w:p>
        </w:tc>
        <w:tc>
          <w:tcPr>
            <w:tcW w:w="967" w:type="dxa"/>
            <w:tcBorders>
              <w:top w:val="nil"/>
              <w:left w:val="nil"/>
              <w:bottom w:val="nil"/>
              <w:right w:val="nil"/>
            </w:tcBorders>
            <w:shd w:val="clear" w:color="auto" w:fill="auto"/>
            <w:noWrap/>
            <w:vAlign w:val="center"/>
            <w:hideMark/>
          </w:tcPr>
          <w:p w14:paraId="644298AE" w14:textId="77777777" w:rsidR="00F71427" w:rsidRPr="006E7D8F" w:rsidRDefault="00F71427" w:rsidP="00EB329C">
            <w:pPr>
              <w:pStyle w:val="ExhibitText"/>
              <w:jc w:val="right"/>
              <w:rPr>
                <w:sz w:val="18"/>
                <w:szCs w:val="18"/>
              </w:rPr>
            </w:pPr>
            <w:r w:rsidRPr="006E7D8F">
              <w:rPr>
                <w:sz w:val="18"/>
                <w:szCs w:val="18"/>
              </w:rPr>
              <w:t>8.40</w:t>
            </w:r>
          </w:p>
        </w:tc>
        <w:tc>
          <w:tcPr>
            <w:tcW w:w="968" w:type="dxa"/>
            <w:tcBorders>
              <w:top w:val="nil"/>
              <w:left w:val="nil"/>
              <w:bottom w:val="nil"/>
              <w:right w:val="nil"/>
            </w:tcBorders>
            <w:shd w:val="clear" w:color="auto" w:fill="auto"/>
            <w:noWrap/>
            <w:vAlign w:val="center"/>
            <w:hideMark/>
          </w:tcPr>
          <w:p w14:paraId="69E83FB9" w14:textId="77777777" w:rsidR="00F71427" w:rsidRPr="006E7D8F" w:rsidRDefault="00F71427" w:rsidP="00EB329C">
            <w:pPr>
              <w:pStyle w:val="ExhibitText"/>
              <w:jc w:val="right"/>
              <w:rPr>
                <w:sz w:val="18"/>
                <w:szCs w:val="18"/>
              </w:rPr>
            </w:pPr>
            <w:r w:rsidRPr="006E7D8F">
              <w:rPr>
                <w:sz w:val="18"/>
                <w:szCs w:val="18"/>
              </w:rPr>
              <w:t>8.27</w:t>
            </w:r>
          </w:p>
        </w:tc>
        <w:tc>
          <w:tcPr>
            <w:tcW w:w="967" w:type="dxa"/>
            <w:tcBorders>
              <w:top w:val="nil"/>
              <w:left w:val="nil"/>
              <w:bottom w:val="nil"/>
              <w:right w:val="nil"/>
            </w:tcBorders>
            <w:shd w:val="clear" w:color="auto" w:fill="auto"/>
            <w:noWrap/>
            <w:vAlign w:val="center"/>
            <w:hideMark/>
          </w:tcPr>
          <w:p w14:paraId="0DE1875C" w14:textId="77777777" w:rsidR="00F71427" w:rsidRPr="006E7D8F" w:rsidRDefault="00F71427" w:rsidP="00EB329C">
            <w:pPr>
              <w:pStyle w:val="ExhibitText"/>
              <w:jc w:val="right"/>
              <w:rPr>
                <w:sz w:val="18"/>
                <w:szCs w:val="18"/>
              </w:rPr>
            </w:pPr>
            <w:r w:rsidRPr="006E7D8F">
              <w:rPr>
                <w:sz w:val="18"/>
                <w:szCs w:val="18"/>
              </w:rPr>
              <w:t>7.99</w:t>
            </w:r>
          </w:p>
        </w:tc>
        <w:tc>
          <w:tcPr>
            <w:tcW w:w="968" w:type="dxa"/>
            <w:tcBorders>
              <w:top w:val="nil"/>
              <w:left w:val="nil"/>
              <w:bottom w:val="nil"/>
              <w:right w:val="nil"/>
            </w:tcBorders>
            <w:shd w:val="clear" w:color="auto" w:fill="auto"/>
            <w:noWrap/>
            <w:vAlign w:val="center"/>
            <w:hideMark/>
          </w:tcPr>
          <w:p w14:paraId="20127E29" w14:textId="77777777" w:rsidR="00F71427" w:rsidRPr="006E7D8F" w:rsidRDefault="00F71427" w:rsidP="00EB329C">
            <w:pPr>
              <w:pStyle w:val="ExhibitText"/>
              <w:jc w:val="right"/>
              <w:rPr>
                <w:sz w:val="18"/>
                <w:szCs w:val="18"/>
              </w:rPr>
            </w:pPr>
            <w:r w:rsidRPr="006E7D8F">
              <w:rPr>
                <w:sz w:val="18"/>
                <w:szCs w:val="18"/>
              </w:rPr>
              <w:t>6.95</w:t>
            </w:r>
          </w:p>
        </w:tc>
        <w:tc>
          <w:tcPr>
            <w:tcW w:w="1080" w:type="dxa"/>
            <w:tcBorders>
              <w:top w:val="nil"/>
              <w:left w:val="nil"/>
              <w:bottom w:val="nil"/>
              <w:right w:val="nil"/>
            </w:tcBorders>
            <w:shd w:val="clear" w:color="auto" w:fill="auto"/>
            <w:noWrap/>
            <w:vAlign w:val="center"/>
            <w:hideMark/>
          </w:tcPr>
          <w:p w14:paraId="007EA50B" w14:textId="77777777" w:rsidR="00F71427" w:rsidRPr="006E7D8F" w:rsidRDefault="00F71427" w:rsidP="00EB329C">
            <w:pPr>
              <w:pStyle w:val="ExhibitText"/>
              <w:jc w:val="right"/>
              <w:rPr>
                <w:color w:val="000000"/>
                <w:sz w:val="18"/>
                <w:szCs w:val="18"/>
              </w:rPr>
            </w:pPr>
          </w:p>
        </w:tc>
      </w:tr>
      <w:tr w:rsidR="00F71427" w:rsidRPr="006E7D8F" w14:paraId="1759F367" w14:textId="77777777" w:rsidTr="00642D25">
        <w:trPr>
          <w:trHeight w:val="288"/>
          <w:jc w:val="center"/>
        </w:trPr>
        <w:tc>
          <w:tcPr>
            <w:tcW w:w="3420" w:type="dxa"/>
            <w:tcBorders>
              <w:top w:val="nil"/>
              <w:left w:val="nil"/>
              <w:bottom w:val="nil"/>
              <w:right w:val="nil"/>
            </w:tcBorders>
            <w:shd w:val="clear" w:color="auto" w:fill="auto"/>
            <w:noWrap/>
            <w:vAlign w:val="center"/>
            <w:hideMark/>
          </w:tcPr>
          <w:p w14:paraId="0E86D8BD" w14:textId="77777777" w:rsidR="00F71427" w:rsidRPr="006E7D8F" w:rsidRDefault="00F71427" w:rsidP="00EB329C">
            <w:pPr>
              <w:pStyle w:val="ExhibitText"/>
              <w:jc w:val="left"/>
              <w:rPr>
                <w:sz w:val="18"/>
                <w:szCs w:val="18"/>
              </w:rPr>
            </w:pPr>
            <w:r w:rsidRPr="006E7D8F">
              <w:rPr>
                <w:sz w:val="18"/>
                <w:szCs w:val="18"/>
              </w:rPr>
              <w:t>Return on advances</w:t>
            </w:r>
          </w:p>
        </w:tc>
        <w:tc>
          <w:tcPr>
            <w:tcW w:w="990" w:type="dxa"/>
            <w:tcBorders>
              <w:top w:val="nil"/>
              <w:left w:val="nil"/>
              <w:bottom w:val="nil"/>
              <w:right w:val="nil"/>
            </w:tcBorders>
            <w:shd w:val="clear" w:color="auto" w:fill="auto"/>
            <w:noWrap/>
            <w:vAlign w:val="center"/>
            <w:hideMark/>
          </w:tcPr>
          <w:p w14:paraId="66357900" w14:textId="77777777" w:rsidR="00F71427" w:rsidRPr="006E7D8F" w:rsidRDefault="00F71427" w:rsidP="00EB329C">
            <w:pPr>
              <w:pStyle w:val="ExhibitText"/>
              <w:jc w:val="right"/>
              <w:rPr>
                <w:sz w:val="18"/>
                <w:szCs w:val="18"/>
              </w:rPr>
            </w:pPr>
            <w:r w:rsidRPr="006E7D8F">
              <w:rPr>
                <w:sz w:val="18"/>
                <w:szCs w:val="18"/>
              </w:rPr>
              <w:t>13.01</w:t>
            </w:r>
          </w:p>
        </w:tc>
        <w:tc>
          <w:tcPr>
            <w:tcW w:w="967" w:type="dxa"/>
            <w:tcBorders>
              <w:top w:val="nil"/>
              <w:left w:val="nil"/>
              <w:bottom w:val="nil"/>
              <w:right w:val="nil"/>
            </w:tcBorders>
            <w:shd w:val="clear" w:color="auto" w:fill="auto"/>
            <w:noWrap/>
            <w:vAlign w:val="center"/>
            <w:hideMark/>
          </w:tcPr>
          <w:p w14:paraId="2C6FEF3F" w14:textId="77777777" w:rsidR="00F71427" w:rsidRPr="006E7D8F" w:rsidRDefault="00F71427" w:rsidP="00EB329C">
            <w:pPr>
              <w:pStyle w:val="ExhibitText"/>
              <w:jc w:val="right"/>
              <w:rPr>
                <w:sz w:val="18"/>
                <w:szCs w:val="18"/>
              </w:rPr>
            </w:pPr>
            <w:r w:rsidRPr="006E7D8F">
              <w:rPr>
                <w:sz w:val="18"/>
                <w:szCs w:val="18"/>
              </w:rPr>
              <w:t>12.97</w:t>
            </w:r>
          </w:p>
        </w:tc>
        <w:tc>
          <w:tcPr>
            <w:tcW w:w="968" w:type="dxa"/>
            <w:tcBorders>
              <w:top w:val="nil"/>
              <w:left w:val="nil"/>
              <w:bottom w:val="nil"/>
              <w:right w:val="nil"/>
            </w:tcBorders>
            <w:shd w:val="clear" w:color="auto" w:fill="auto"/>
            <w:noWrap/>
            <w:vAlign w:val="center"/>
            <w:hideMark/>
          </w:tcPr>
          <w:p w14:paraId="5D3A17CE" w14:textId="77777777" w:rsidR="00F71427" w:rsidRPr="006E7D8F" w:rsidRDefault="00F71427" w:rsidP="00EB329C">
            <w:pPr>
              <w:pStyle w:val="ExhibitText"/>
              <w:jc w:val="right"/>
              <w:rPr>
                <w:sz w:val="18"/>
                <w:szCs w:val="18"/>
              </w:rPr>
            </w:pPr>
            <w:r w:rsidRPr="006E7D8F">
              <w:rPr>
                <w:sz w:val="18"/>
                <w:szCs w:val="18"/>
              </w:rPr>
              <w:t>12.85</w:t>
            </w:r>
          </w:p>
        </w:tc>
        <w:tc>
          <w:tcPr>
            <w:tcW w:w="967" w:type="dxa"/>
            <w:tcBorders>
              <w:top w:val="nil"/>
              <w:left w:val="nil"/>
              <w:bottom w:val="nil"/>
              <w:right w:val="nil"/>
            </w:tcBorders>
            <w:shd w:val="clear" w:color="auto" w:fill="auto"/>
            <w:noWrap/>
            <w:vAlign w:val="center"/>
            <w:hideMark/>
          </w:tcPr>
          <w:p w14:paraId="18B02476" w14:textId="77777777" w:rsidR="00F71427" w:rsidRPr="006E7D8F" w:rsidRDefault="00F71427" w:rsidP="00EB329C">
            <w:pPr>
              <w:pStyle w:val="ExhibitText"/>
              <w:jc w:val="right"/>
              <w:rPr>
                <w:sz w:val="18"/>
                <w:szCs w:val="18"/>
              </w:rPr>
            </w:pPr>
            <w:r w:rsidRPr="006E7D8F">
              <w:rPr>
                <w:sz w:val="18"/>
                <w:szCs w:val="18"/>
              </w:rPr>
              <w:t>12.14</w:t>
            </w:r>
          </w:p>
        </w:tc>
        <w:tc>
          <w:tcPr>
            <w:tcW w:w="968" w:type="dxa"/>
            <w:tcBorders>
              <w:top w:val="nil"/>
              <w:left w:val="nil"/>
              <w:bottom w:val="nil"/>
              <w:right w:val="nil"/>
            </w:tcBorders>
            <w:shd w:val="clear" w:color="auto" w:fill="auto"/>
            <w:noWrap/>
            <w:vAlign w:val="center"/>
            <w:hideMark/>
          </w:tcPr>
          <w:p w14:paraId="3873888D" w14:textId="77777777" w:rsidR="00F71427" w:rsidRPr="006E7D8F" w:rsidRDefault="00F71427" w:rsidP="00EB329C">
            <w:pPr>
              <w:pStyle w:val="ExhibitText"/>
              <w:jc w:val="right"/>
              <w:rPr>
                <w:sz w:val="18"/>
                <w:szCs w:val="18"/>
              </w:rPr>
            </w:pPr>
            <w:r w:rsidRPr="006E7D8F">
              <w:rPr>
                <w:sz w:val="18"/>
                <w:szCs w:val="18"/>
              </w:rPr>
              <w:t>11.03</w:t>
            </w:r>
          </w:p>
        </w:tc>
        <w:tc>
          <w:tcPr>
            <w:tcW w:w="1080" w:type="dxa"/>
            <w:tcBorders>
              <w:top w:val="nil"/>
              <w:left w:val="nil"/>
              <w:bottom w:val="nil"/>
              <w:right w:val="nil"/>
            </w:tcBorders>
            <w:shd w:val="clear" w:color="auto" w:fill="auto"/>
            <w:noWrap/>
            <w:vAlign w:val="center"/>
            <w:hideMark/>
          </w:tcPr>
          <w:p w14:paraId="434A6037" w14:textId="77777777" w:rsidR="00F71427" w:rsidRPr="006E7D8F" w:rsidRDefault="00F71427" w:rsidP="00EB329C">
            <w:pPr>
              <w:pStyle w:val="ExhibitText"/>
              <w:jc w:val="right"/>
              <w:rPr>
                <w:color w:val="000000"/>
                <w:sz w:val="18"/>
                <w:szCs w:val="18"/>
              </w:rPr>
            </w:pPr>
          </w:p>
        </w:tc>
      </w:tr>
      <w:tr w:rsidR="00F71427" w:rsidRPr="006E7D8F" w14:paraId="05004968" w14:textId="77777777" w:rsidTr="00642D25">
        <w:trPr>
          <w:trHeight w:val="288"/>
          <w:jc w:val="center"/>
        </w:trPr>
        <w:tc>
          <w:tcPr>
            <w:tcW w:w="3420" w:type="dxa"/>
            <w:tcBorders>
              <w:top w:val="nil"/>
              <w:left w:val="nil"/>
              <w:bottom w:val="nil"/>
              <w:right w:val="nil"/>
            </w:tcBorders>
            <w:shd w:val="clear" w:color="auto" w:fill="auto"/>
            <w:noWrap/>
            <w:vAlign w:val="center"/>
            <w:hideMark/>
          </w:tcPr>
          <w:p w14:paraId="70DB6C97" w14:textId="77777777" w:rsidR="00F71427" w:rsidRPr="006E7D8F" w:rsidRDefault="00F71427" w:rsidP="00EB329C">
            <w:pPr>
              <w:pStyle w:val="ExhibitText"/>
              <w:jc w:val="left"/>
              <w:rPr>
                <w:sz w:val="18"/>
                <w:szCs w:val="18"/>
              </w:rPr>
            </w:pPr>
            <w:r w:rsidRPr="006E7D8F">
              <w:rPr>
                <w:sz w:val="18"/>
                <w:szCs w:val="18"/>
              </w:rPr>
              <w:t>Return on investments</w:t>
            </w:r>
          </w:p>
        </w:tc>
        <w:tc>
          <w:tcPr>
            <w:tcW w:w="990" w:type="dxa"/>
            <w:tcBorders>
              <w:top w:val="nil"/>
              <w:left w:val="nil"/>
              <w:bottom w:val="nil"/>
              <w:right w:val="nil"/>
            </w:tcBorders>
            <w:shd w:val="clear" w:color="auto" w:fill="auto"/>
            <w:noWrap/>
            <w:vAlign w:val="center"/>
            <w:hideMark/>
          </w:tcPr>
          <w:p w14:paraId="2CE1C336" w14:textId="77777777" w:rsidR="00F71427" w:rsidRPr="006E7D8F" w:rsidRDefault="00F71427" w:rsidP="00EB329C">
            <w:pPr>
              <w:pStyle w:val="ExhibitText"/>
              <w:jc w:val="right"/>
              <w:rPr>
                <w:sz w:val="18"/>
                <w:szCs w:val="18"/>
              </w:rPr>
            </w:pPr>
            <w:r w:rsidRPr="006E7D8F">
              <w:rPr>
                <w:sz w:val="18"/>
                <w:szCs w:val="18"/>
              </w:rPr>
              <w:t>7.02</w:t>
            </w:r>
          </w:p>
        </w:tc>
        <w:tc>
          <w:tcPr>
            <w:tcW w:w="967" w:type="dxa"/>
            <w:tcBorders>
              <w:top w:val="nil"/>
              <w:left w:val="nil"/>
              <w:bottom w:val="nil"/>
              <w:right w:val="nil"/>
            </w:tcBorders>
            <w:shd w:val="clear" w:color="auto" w:fill="auto"/>
            <w:noWrap/>
            <w:vAlign w:val="center"/>
            <w:hideMark/>
          </w:tcPr>
          <w:p w14:paraId="6C0AA6E3" w14:textId="77777777" w:rsidR="00F71427" w:rsidRPr="006E7D8F" w:rsidRDefault="00F71427" w:rsidP="00EB329C">
            <w:pPr>
              <w:pStyle w:val="ExhibitText"/>
              <w:jc w:val="right"/>
              <w:rPr>
                <w:sz w:val="18"/>
                <w:szCs w:val="18"/>
              </w:rPr>
            </w:pPr>
            <w:r w:rsidRPr="006E7D8F">
              <w:rPr>
                <w:sz w:val="18"/>
                <w:szCs w:val="18"/>
              </w:rPr>
              <w:t>7.84</w:t>
            </w:r>
          </w:p>
        </w:tc>
        <w:tc>
          <w:tcPr>
            <w:tcW w:w="968" w:type="dxa"/>
            <w:tcBorders>
              <w:top w:val="nil"/>
              <w:left w:val="nil"/>
              <w:bottom w:val="nil"/>
              <w:right w:val="nil"/>
            </w:tcBorders>
            <w:shd w:val="clear" w:color="auto" w:fill="auto"/>
            <w:noWrap/>
            <w:vAlign w:val="center"/>
            <w:hideMark/>
          </w:tcPr>
          <w:p w14:paraId="6FB13C1C" w14:textId="77777777" w:rsidR="00F71427" w:rsidRPr="006E7D8F" w:rsidRDefault="00F71427" w:rsidP="00EB329C">
            <w:pPr>
              <w:pStyle w:val="ExhibitText"/>
              <w:jc w:val="right"/>
              <w:rPr>
                <w:sz w:val="18"/>
                <w:szCs w:val="18"/>
              </w:rPr>
            </w:pPr>
            <w:r w:rsidRPr="006E7D8F">
              <w:rPr>
                <w:sz w:val="18"/>
                <w:szCs w:val="18"/>
              </w:rPr>
              <w:t>7.31</w:t>
            </w:r>
          </w:p>
        </w:tc>
        <w:tc>
          <w:tcPr>
            <w:tcW w:w="967" w:type="dxa"/>
            <w:tcBorders>
              <w:top w:val="nil"/>
              <w:left w:val="nil"/>
              <w:bottom w:val="nil"/>
              <w:right w:val="nil"/>
            </w:tcBorders>
            <w:shd w:val="clear" w:color="auto" w:fill="auto"/>
            <w:noWrap/>
            <w:vAlign w:val="center"/>
            <w:hideMark/>
          </w:tcPr>
          <w:p w14:paraId="7D5C02DE" w14:textId="77777777" w:rsidR="00F71427" w:rsidRPr="006E7D8F" w:rsidRDefault="00F71427" w:rsidP="00EB329C">
            <w:pPr>
              <w:pStyle w:val="ExhibitText"/>
              <w:jc w:val="right"/>
              <w:rPr>
                <w:sz w:val="18"/>
                <w:szCs w:val="18"/>
              </w:rPr>
            </w:pPr>
            <w:r w:rsidRPr="006E7D8F">
              <w:rPr>
                <w:sz w:val="18"/>
                <w:szCs w:val="18"/>
              </w:rPr>
              <w:t>7.58</w:t>
            </w:r>
          </w:p>
        </w:tc>
        <w:tc>
          <w:tcPr>
            <w:tcW w:w="968" w:type="dxa"/>
            <w:tcBorders>
              <w:top w:val="nil"/>
              <w:left w:val="nil"/>
              <w:bottom w:val="nil"/>
              <w:right w:val="nil"/>
            </w:tcBorders>
            <w:shd w:val="clear" w:color="auto" w:fill="auto"/>
            <w:noWrap/>
            <w:vAlign w:val="center"/>
            <w:hideMark/>
          </w:tcPr>
          <w:p w14:paraId="4DE6F2DD" w14:textId="77777777" w:rsidR="00F71427" w:rsidRPr="006E7D8F" w:rsidRDefault="00F71427" w:rsidP="00EB329C">
            <w:pPr>
              <w:pStyle w:val="ExhibitText"/>
              <w:jc w:val="right"/>
              <w:rPr>
                <w:sz w:val="18"/>
                <w:szCs w:val="18"/>
              </w:rPr>
            </w:pPr>
            <w:r w:rsidRPr="006E7D8F">
              <w:rPr>
                <w:sz w:val="18"/>
                <w:szCs w:val="18"/>
              </w:rPr>
              <w:t>7.02</w:t>
            </w:r>
          </w:p>
        </w:tc>
        <w:tc>
          <w:tcPr>
            <w:tcW w:w="1080" w:type="dxa"/>
            <w:tcBorders>
              <w:top w:val="nil"/>
              <w:left w:val="nil"/>
              <w:bottom w:val="nil"/>
              <w:right w:val="nil"/>
            </w:tcBorders>
            <w:shd w:val="clear" w:color="auto" w:fill="auto"/>
            <w:noWrap/>
            <w:vAlign w:val="center"/>
            <w:hideMark/>
          </w:tcPr>
          <w:p w14:paraId="2FFFD7A3" w14:textId="77777777" w:rsidR="00F71427" w:rsidRPr="006E7D8F" w:rsidRDefault="00F71427" w:rsidP="00EB329C">
            <w:pPr>
              <w:pStyle w:val="ExhibitText"/>
              <w:jc w:val="right"/>
              <w:rPr>
                <w:color w:val="000000"/>
                <w:sz w:val="18"/>
                <w:szCs w:val="18"/>
              </w:rPr>
            </w:pPr>
          </w:p>
        </w:tc>
      </w:tr>
      <w:tr w:rsidR="00F71427" w:rsidRPr="006E7D8F" w14:paraId="5460D5E9" w14:textId="77777777" w:rsidTr="00642D25">
        <w:trPr>
          <w:trHeight w:val="288"/>
          <w:jc w:val="center"/>
        </w:trPr>
        <w:tc>
          <w:tcPr>
            <w:tcW w:w="3420" w:type="dxa"/>
            <w:tcBorders>
              <w:top w:val="nil"/>
              <w:left w:val="nil"/>
              <w:right w:val="nil"/>
            </w:tcBorders>
            <w:shd w:val="clear" w:color="auto" w:fill="auto"/>
            <w:noWrap/>
            <w:vAlign w:val="center"/>
            <w:hideMark/>
          </w:tcPr>
          <w:p w14:paraId="770CCF4E" w14:textId="77777777" w:rsidR="00F71427" w:rsidRPr="006E7D8F" w:rsidRDefault="00F71427" w:rsidP="00EB329C">
            <w:pPr>
              <w:pStyle w:val="ExhibitText"/>
              <w:jc w:val="left"/>
              <w:rPr>
                <w:sz w:val="18"/>
                <w:szCs w:val="18"/>
              </w:rPr>
            </w:pPr>
            <w:r w:rsidRPr="006E7D8F">
              <w:rPr>
                <w:sz w:val="18"/>
                <w:szCs w:val="18"/>
              </w:rPr>
              <w:t xml:space="preserve">Ratio of </w:t>
            </w:r>
            <w:r w:rsidR="0083746B" w:rsidRPr="006E7D8F">
              <w:rPr>
                <w:sz w:val="18"/>
                <w:szCs w:val="18"/>
              </w:rPr>
              <w:t xml:space="preserve">gross </w:t>
            </w:r>
            <w:r w:rsidRPr="006E7D8F">
              <w:rPr>
                <w:sz w:val="18"/>
                <w:szCs w:val="18"/>
              </w:rPr>
              <w:t>NPA to gross advances</w:t>
            </w:r>
          </w:p>
        </w:tc>
        <w:tc>
          <w:tcPr>
            <w:tcW w:w="990" w:type="dxa"/>
            <w:tcBorders>
              <w:top w:val="nil"/>
              <w:left w:val="nil"/>
              <w:right w:val="nil"/>
            </w:tcBorders>
            <w:shd w:val="clear" w:color="auto" w:fill="auto"/>
            <w:noWrap/>
            <w:vAlign w:val="center"/>
            <w:hideMark/>
          </w:tcPr>
          <w:p w14:paraId="4179C9D7" w14:textId="77777777" w:rsidR="00F71427" w:rsidRPr="006E7D8F" w:rsidRDefault="00F71427" w:rsidP="00EB329C">
            <w:pPr>
              <w:pStyle w:val="ExhibitText"/>
              <w:jc w:val="right"/>
              <w:rPr>
                <w:sz w:val="18"/>
                <w:szCs w:val="18"/>
              </w:rPr>
            </w:pPr>
            <w:r w:rsidRPr="006E7D8F">
              <w:rPr>
                <w:sz w:val="18"/>
                <w:szCs w:val="18"/>
              </w:rPr>
              <w:t>2.35</w:t>
            </w:r>
          </w:p>
        </w:tc>
        <w:tc>
          <w:tcPr>
            <w:tcW w:w="967" w:type="dxa"/>
            <w:tcBorders>
              <w:top w:val="nil"/>
              <w:left w:val="nil"/>
              <w:right w:val="nil"/>
            </w:tcBorders>
            <w:shd w:val="clear" w:color="auto" w:fill="auto"/>
            <w:noWrap/>
            <w:vAlign w:val="center"/>
            <w:hideMark/>
          </w:tcPr>
          <w:p w14:paraId="78410329" w14:textId="77777777" w:rsidR="00F71427" w:rsidRPr="006E7D8F" w:rsidRDefault="00F71427" w:rsidP="00EB329C">
            <w:pPr>
              <w:pStyle w:val="ExhibitText"/>
              <w:jc w:val="right"/>
              <w:rPr>
                <w:sz w:val="18"/>
                <w:szCs w:val="18"/>
              </w:rPr>
            </w:pPr>
            <w:r w:rsidRPr="006E7D8F">
              <w:rPr>
                <w:sz w:val="18"/>
                <w:szCs w:val="18"/>
              </w:rPr>
              <w:t>3.77</w:t>
            </w:r>
          </w:p>
        </w:tc>
        <w:tc>
          <w:tcPr>
            <w:tcW w:w="968" w:type="dxa"/>
            <w:tcBorders>
              <w:top w:val="nil"/>
              <w:left w:val="nil"/>
              <w:right w:val="nil"/>
            </w:tcBorders>
            <w:shd w:val="clear" w:color="auto" w:fill="auto"/>
            <w:noWrap/>
            <w:vAlign w:val="center"/>
            <w:hideMark/>
          </w:tcPr>
          <w:p w14:paraId="712335BA" w14:textId="77777777" w:rsidR="00F71427" w:rsidRPr="006E7D8F" w:rsidRDefault="00F71427" w:rsidP="00EB329C">
            <w:pPr>
              <w:pStyle w:val="ExhibitText"/>
              <w:jc w:val="right"/>
              <w:rPr>
                <w:sz w:val="18"/>
                <w:szCs w:val="18"/>
              </w:rPr>
            </w:pPr>
            <w:r w:rsidRPr="006E7D8F">
              <w:rPr>
                <w:sz w:val="18"/>
                <w:szCs w:val="18"/>
              </w:rPr>
              <w:t>4.96</w:t>
            </w:r>
          </w:p>
        </w:tc>
        <w:tc>
          <w:tcPr>
            <w:tcW w:w="967" w:type="dxa"/>
            <w:tcBorders>
              <w:top w:val="nil"/>
              <w:left w:val="nil"/>
              <w:right w:val="nil"/>
            </w:tcBorders>
            <w:shd w:val="clear" w:color="auto" w:fill="auto"/>
            <w:noWrap/>
            <w:vAlign w:val="center"/>
            <w:hideMark/>
          </w:tcPr>
          <w:p w14:paraId="6ED107E5" w14:textId="77777777" w:rsidR="00F71427" w:rsidRPr="006E7D8F" w:rsidRDefault="00F71427" w:rsidP="00EB329C">
            <w:pPr>
              <w:pStyle w:val="ExhibitText"/>
              <w:jc w:val="right"/>
              <w:rPr>
                <w:sz w:val="18"/>
                <w:szCs w:val="18"/>
              </w:rPr>
            </w:pPr>
            <w:r w:rsidRPr="006E7D8F">
              <w:rPr>
                <w:sz w:val="18"/>
                <w:szCs w:val="18"/>
              </w:rPr>
              <w:t>5.62</w:t>
            </w:r>
          </w:p>
        </w:tc>
        <w:tc>
          <w:tcPr>
            <w:tcW w:w="968" w:type="dxa"/>
            <w:tcBorders>
              <w:top w:val="nil"/>
              <w:left w:val="nil"/>
              <w:right w:val="nil"/>
            </w:tcBorders>
            <w:shd w:val="clear" w:color="auto" w:fill="auto"/>
            <w:noWrap/>
            <w:vAlign w:val="center"/>
            <w:hideMark/>
          </w:tcPr>
          <w:p w14:paraId="6428C89C" w14:textId="77777777" w:rsidR="00F71427" w:rsidRPr="006E7D8F" w:rsidRDefault="00F71427" w:rsidP="00EB329C">
            <w:pPr>
              <w:pStyle w:val="ExhibitText"/>
              <w:jc w:val="right"/>
              <w:rPr>
                <w:sz w:val="18"/>
                <w:szCs w:val="18"/>
              </w:rPr>
            </w:pPr>
            <w:r w:rsidRPr="006E7D8F">
              <w:rPr>
                <w:sz w:val="18"/>
                <w:szCs w:val="18"/>
              </w:rPr>
              <w:t>7.25</w:t>
            </w:r>
          </w:p>
        </w:tc>
        <w:tc>
          <w:tcPr>
            <w:tcW w:w="1080" w:type="dxa"/>
            <w:tcBorders>
              <w:top w:val="nil"/>
              <w:left w:val="nil"/>
              <w:right w:val="nil"/>
            </w:tcBorders>
            <w:shd w:val="clear" w:color="auto" w:fill="auto"/>
            <w:noWrap/>
            <w:vAlign w:val="center"/>
            <w:hideMark/>
          </w:tcPr>
          <w:p w14:paraId="0BA50295" w14:textId="77777777" w:rsidR="00F71427" w:rsidRPr="006E7D8F" w:rsidRDefault="00F71427" w:rsidP="00EB329C">
            <w:pPr>
              <w:pStyle w:val="ExhibitText"/>
              <w:jc w:val="right"/>
              <w:rPr>
                <w:color w:val="000000"/>
                <w:sz w:val="18"/>
                <w:szCs w:val="18"/>
              </w:rPr>
            </w:pPr>
            <w:r w:rsidRPr="006E7D8F">
              <w:rPr>
                <w:color w:val="000000"/>
                <w:sz w:val="18"/>
                <w:szCs w:val="18"/>
              </w:rPr>
              <w:t>6.75</w:t>
            </w:r>
          </w:p>
        </w:tc>
      </w:tr>
      <w:tr w:rsidR="00F71427" w:rsidRPr="006E7D8F" w14:paraId="6EBFFC01" w14:textId="77777777" w:rsidTr="00642D25">
        <w:trPr>
          <w:trHeight w:val="288"/>
          <w:jc w:val="center"/>
        </w:trPr>
        <w:tc>
          <w:tcPr>
            <w:tcW w:w="3420" w:type="dxa"/>
            <w:tcBorders>
              <w:top w:val="nil"/>
              <w:left w:val="nil"/>
              <w:bottom w:val="single" w:sz="4" w:space="0" w:color="auto"/>
              <w:right w:val="nil"/>
            </w:tcBorders>
            <w:shd w:val="clear" w:color="auto" w:fill="auto"/>
            <w:noWrap/>
            <w:vAlign w:val="center"/>
            <w:hideMark/>
          </w:tcPr>
          <w:p w14:paraId="21FB25EF" w14:textId="77777777" w:rsidR="00F71427" w:rsidRPr="006E7D8F" w:rsidRDefault="00F71427" w:rsidP="00EB329C">
            <w:pPr>
              <w:pStyle w:val="ExhibitText"/>
              <w:jc w:val="left"/>
              <w:rPr>
                <w:sz w:val="18"/>
                <w:szCs w:val="18"/>
              </w:rPr>
            </w:pPr>
            <w:r w:rsidRPr="006E7D8F">
              <w:rPr>
                <w:sz w:val="18"/>
                <w:szCs w:val="18"/>
              </w:rPr>
              <w:t xml:space="preserve">Ratio of </w:t>
            </w:r>
            <w:r w:rsidR="0083746B" w:rsidRPr="006E7D8F">
              <w:rPr>
                <w:sz w:val="18"/>
                <w:szCs w:val="18"/>
              </w:rPr>
              <w:t xml:space="preserve">net </w:t>
            </w:r>
            <w:r w:rsidRPr="006E7D8F">
              <w:rPr>
                <w:sz w:val="18"/>
                <w:szCs w:val="18"/>
              </w:rPr>
              <w:t>NPA to net advances</w:t>
            </w:r>
          </w:p>
        </w:tc>
        <w:tc>
          <w:tcPr>
            <w:tcW w:w="990" w:type="dxa"/>
            <w:tcBorders>
              <w:top w:val="nil"/>
              <w:left w:val="nil"/>
              <w:bottom w:val="single" w:sz="4" w:space="0" w:color="auto"/>
              <w:right w:val="nil"/>
            </w:tcBorders>
            <w:shd w:val="clear" w:color="auto" w:fill="auto"/>
            <w:noWrap/>
            <w:vAlign w:val="center"/>
            <w:hideMark/>
          </w:tcPr>
          <w:p w14:paraId="3AEB16F2" w14:textId="77777777" w:rsidR="00F71427" w:rsidRPr="006E7D8F" w:rsidRDefault="00F71427" w:rsidP="00EB329C">
            <w:pPr>
              <w:pStyle w:val="ExhibitText"/>
              <w:jc w:val="right"/>
              <w:rPr>
                <w:sz w:val="18"/>
                <w:szCs w:val="18"/>
              </w:rPr>
            </w:pPr>
            <w:r w:rsidRPr="006E7D8F">
              <w:rPr>
                <w:sz w:val="18"/>
                <w:szCs w:val="18"/>
              </w:rPr>
              <w:t>1.12</w:t>
            </w:r>
          </w:p>
        </w:tc>
        <w:tc>
          <w:tcPr>
            <w:tcW w:w="967" w:type="dxa"/>
            <w:tcBorders>
              <w:top w:val="nil"/>
              <w:left w:val="nil"/>
              <w:bottom w:val="single" w:sz="4" w:space="0" w:color="auto"/>
              <w:right w:val="nil"/>
            </w:tcBorders>
            <w:shd w:val="clear" w:color="auto" w:fill="auto"/>
            <w:noWrap/>
            <w:vAlign w:val="center"/>
            <w:hideMark/>
          </w:tcPr>
          <w:p w14:paraId="67DC0293" w14:textId="77777777" w:rsidR="00F71427" w:rsidRPr="006E7D8F" w:rsidRDefault="00F71427" w:rsidP="00EB329C">
            <w:pPr>
              <w:pStyle w:val="ExhibitText"/>
              <w:jc w:val="right"/>
              <w:rPr>
                <w:sz w:val="18"/>
                <w:szCs w:val="18"/>
              </w:rPr>
            </w:pPr>
            <w:r w:rsidRPr="006E7D8F">
              <w:rPr>
                <w:sz w:val="18"/>
                <w:szCs w:val="18"/>
              </w:rPr>
              <w:t>2.22</w:t>
            </w:r>
          </w:p>
        </w:tc>
        <w:tc>
          <w:tcPr>
            <w:tcW w:w="968" w:type="dxa"/>
            <w:tcBorders>
              <w:top w:val="nil"/>
              <w:left w:val="nil"/>
              <w:bottom w:val="single" w:sz="4" w:space="0" w:color="auto"/>
              <w:right w:val="nil"/>
            </w:tcBorders>
            <w:shd w:val="clear" w:color="auto" w:fill="auto"/>
            <w:noWrap/>
            <w:vAlign w:val="center"/>
            <w:hideMark/>
          </w:tcPr>
          <w:p w14:paraId="7E5BB83C" w14:textId="77777777" w:rsidR="00F71427" w:rsidRPr="006E7D8F" w:rsidRDefault="00F71427" w:rsidP="00EB329C">
            <w:pPr>
              <w:pStyle w:val="ExhibitText"/>
              <w:jc w:val="right"/>
              <w:rPr>
                <w:sz w:val="18"/>
                <w:szCs w:val="18"/>
              </w:rPr>
            </w:pPr>
            <w:r w:rsidRPr="006E7D8F">
              <w:rPr>
                <w:sz w:val="18"/>
                <w:szCs w:val="18"/>
              </w:rPr>
              <w:t>3.85</w:t>
            </w:r>
          </w:p>
        </w:tc>
        <w:tc>
          <w:tcPr>
            <w:tcW w:w="967" w:type="dxa"/>
            <w:tcBorders>
              <w:top w:val="nil"/>
              <w:left w:val="nil"/>
              <w:bottom w:val="single" w:sz="4" w:space="0" w:color="auto"/>
              <w:right w:val="nil"/>
            </w:tcBorders>
            <w:shd w:val="clear" w:color="auto" w:fill="auto"/>
            <w:noWrap/>
            <w:vAlign w:val="center"/>
            <w:hideMark/>
          </w:tcPr>
          <w:p w14:paraId="1FB7D926" w14:textId="77777777" w:rsidR="00F71427" w:rsidRPr="006E7D8F" w:rsidRDefault="00F71427" w:rsidP="00EB329C">
            <w:pPr>
              <w:pStyle w:val="ExhibitText"/>
              <w:jc w:val="right"/>
              <w:rPr>
                <w:sz w:val="18"/>
                <w:szCs w:val="18"/>
              </w:rPr>
            </w:pPr>
            <w:r w:rsidRPr="006E7D8F">
              <w:rPr>
                <w:sz w:val="18"/>
                <w:szCs w:val="18"/>
              </w:rPr>
              <w:t>4.40</w:t>
            </w:r>
          </w:p>
        </w:tc>
        <w:tc>
          <w:tcPr>
            <w:tcW w:w="968" w:type="dxa"/>
            <w:tcBorders>
              <w:top w:val="nil"/>
              <w:left w:val="nil"/>
              <w:bottom w:val="single" w:sz="4" w:space="0" w:color="auto"/>
              <w:right w:val="nil"/>
            </w:tcBorders>
            <w:shd w:val="clear" w:color="auto" w:fill="auto"/>
            <w:noWrap/>
            <w:vAlign w:val="center"/>
            <w:hideMark/>
          </w:tcPr>
          <w:p w14:paraId="6B124A50" w14:textId="77777777" w:rsidR="00F71427" w:rsidRPr="006E7D8F" w:rsidRDefault="00F71427" w:rsidP="00EB329C">
            <w:pPr>
              <w:pStyle w:val="ExhibitText"/>
              <w:jc w:val="right"/>
              <w:rPr>
                <w:sz w:val="18"/>
                <w:szCs w:val="18"/>
              </w:rPr>
            </w:pPr>
            <w:r w:rsidRPr="006E7D8F">
              <w:rPr>
                <w:sz w:val="18"/>
                <w:szCs w:val="18"/>
              </w:rPr>
              <w:t>5.51</w:t>
            </w:r>
          </w:p>
        </w:tc>
        <w:tc>
          <w:tcPr>
            <w:tcW w:w="1080" w:type="dxa"/>
            <w:tcBorders>
              <w:top w:val="nil"/>
              <w:left w:val="nil"/>
              <w:bottom w:val="single" w:sz="4" w:space="0" w:color="auto"/>
              <w:right w:val="nil"/>
            </w:tcBorders>
            <w:shd w:val="clear" w:color="auto" w:fill="auto"/>
            <w:noWrap/>
            <w:vAlign w:val="center"/>
            <w:hideMark/>
          </w:tcPr>
          <w:p w14:paraId="37B9D227" w14:textId="77777777" w:rsidR="00F71427" w:rsidRPr="006E7D8F" w:rsidRDefault="00F71427" w:rsidP="00EB329C">
            <w:pPr>
              <w:pStyle w:val="ExhibitText"/>
              <w:jc w:val="right"/>
              <w:rPr>
                <w:color w:val="000000"/>
                <w:sz w:val="18"/>
                <w:szCs w:val="18"/>
              </w:rPr>
            </w:pPr>
            <w:r w:rsidRPr="006E7D8F">
              <w:rPr>
                <w:color w:val="000000"/>
                <w:sz w:val="18"/>
                <w:szCs w:val="18"/>
              </w:rPr>
              <w:t>4.73</w:t>
            </w:r>
          </w:p>
        </w:tc>
      </w:tr>
      <w:tr w:rsidR="00EB329C" w:rsidRPr="006E7D8F" w14:paraId="341E5B43" w14:textId="77777777" w:rsidTr="00642D25">
        <w:trPr>
          <w:trHeight w:val="288"/>
          <w:jc w:val="center"/>
        </w:trPr>
        <w:tc>
          <w:tcPr>
            <w:tcW w:w="3420" w:type="dxa"/>
            <w:vMerge w:val="restart"/>
            <w:tcBorders>
              <w:top w:val="single" w:sz="4" w:space="0" w:color="auto"/>
              <w:left w:val="nil"/>
              <w:right w:val="nil"/>
            </w:tcBorders>
            <w:shd w:val="clear" w:color="auto" w:fill="auto"/>
            <w:noWrap/>
            <w:vAlign w:val="center"/>
            <w:hideMark/>
          </w:tcPr>
          <w:p w14:paraId="5633AA66" w14:textId="77777777" w:rsidR="00EB329C" w:rsidRPr="006E7D8F" w:rsidRDefault="00EB329C" w:rsidP="00EB329C">
            <w:pPr>
              <w:pStyle w:val="ExhibitText"/>
              <w:jc w:val="left"/>
              <w:rPr>
                <w:b/>
                <w:sz w:val="18"/>
                <w:szCs w:val="18"/>
              </w:rPr>
            </w:pPr>
            <w:r w:rsidRPr="006E7D8F">
              <w:rPr>
                <w:b/>
                <w:sz w:val="18"/>
                <w:szCs w:val="18"/>
              </w:rPr>
              <w:t xml:space="preserve">Key </w:t>
            </w:r>
            <w:r w:rsidR="0043511E" w:rsidRPr="006E7D8F">
              <w:rPr>
                <w:b/>
                <w:sz w:val="18"/>
                <w:szCs w:val="18"/>
              </w:rPr>
              <w:t>R</w:t>
            </w:r>
            <w:r w:rsidRPr="006E7D8F">
              <w:rPr>
                <w:b/>
                <w:sz w:val="18"/>
                <w:szCs w:val="18"/>
              </w:rPr>
              <w:t xml:space="preserve">atios for </w:t>
            </w:r>
            <w:r w:rsidR="0043511E" w:rsidRPr="006E7D8F">
              <w:rPr>
                <w:b/>
                <w:sz w:val="18"/>
                <w:szCs w:val="18"/>
              </w:rPr>
              <w:t>P</w:t>
            </w:r>
            <w:r w:rsidRPr="006E7D8F">
              <w:rPr>
                <w:b/>
                <w:sz w:val="18"/>
                <w:szCs w:val="18"/>
              </w:rPr>
              <w:t xml:space="preserve">eer </w:t>
            </w:r>
            <w:r w:rsidR="0043511E" w:rsidRPr="006E7D8F">
              <w:rPr>
                <w:b/>
                <w:sz w:val="18"/>
                <w:szCs w:val="18"/>
              </w:rPr>
              <w:t>G</w:t>
            </w:r>
            <w:r w:rsidRPr="006E7D8F">
              <w:rPr>
                <w:b/>
                <w:sz w:val="18"/>
                <w:szCs w:val="18"/>
              </w:rPr>
              <w:t>roup</w:t>
            </w:r>
          </w:p>
        </w:tc>
        <w:tc>
          <w:tcPr>
            <w:tcW w:w="990" w:type="dxa"/>
            <w:tcBorders>
              <w:top w:val="single" w:sz="4" w:space="0" w:color="auto"/>
              <w:left w:val="nil"/>
              <w:right w:val="nil"/>
            </w:tcBorders>
            <w:shd w:val="clear" w:color="auto" w:fill="auto"/>
            <w:noWrap/>
            <w:vAlign w:val="center"/>
            <w:hideMark/>
          </w:tcPr>
          <w:p w14:paraId="171CE499" w14:textId="77777777" w:rsidR="00EB329C" w:rsidRPr="006E7D8F" w:rsidRDefault="00EB329C" w:rsidP="00EB329C">
            <w:pPr>
              <w:pStyle w:val="ExhibitText"/>
              <w:jc w:val="center"/>
              <w:rPr>
                <w:b/>
                <w:sz w:val="18"/>
                <w:szCs w:val="18"/>
              </w:rPr>
            </w:pPr>
          </w:p>
        </w:tc>
        <w:tc>
          <w:tcPr>
            <w:tcW w:w="3870" w:type="dxa"/>
            <w:gridSpan w:val="4"/>
            <w:tcBorders>
              <w:top w:val="single" w:sz="4" w:space="0" w:color="auto"/>
              <w:left w:val="nil"/>
              <w:right w:val="single" w:sz="4" w:space="0" w:color="000000"/>
            </w:tcBorders>
            <w:shd w:val="clear" w:color="auto" w:fill="auto"/>
            <w:noWrap/>
            <w:vAlign w:val="center"/>
            <w:hideMark/>
          </w:tcPr>
          <w:p w14:paraId="4A7A7761" w14:textId="3ED586CD" w:rsidR="00EB329C" w:rsidRPr="006E7D8F" w:rsidRDefault="00EB329C" w:rsidP="00EB329C">
            <w:pPr>
              <w:pStyle w:val="ExhibitText"/>
              <w:jc w:val="center"/>
              <w:rPr>
                <w:b/>
                <w:sz w:val="18"/>
                <w:szCs w:val="18"/>
              </w:rPr>
            </w:pPr>
            <w:r w:rsidRPr="006E7D8F">
              <w:rPr>
                <w:b/>
                <w:sz w:val="18"/>
                <w:szCs w:val="18"/>
              </w:rPr>
              <w:t>Old Private Sector Banks</w:t>
            </w:r>
          </w:p>
        </w:tc>
        <w:tc>
          <w:tcPr>
            <w:tcW w:w="1080" w:type="dxa"/>
            <w:tcBorders>
              <w:top w:val="single" w:sz="4" w:space="0" w:color="auto"/>
              <w:left w:val="nil"/>
              <w:right w:val="nil"/>
            </w:tcBorders>
            <w:shd w:val="clear" w:color="auto" w:fill="auto"/>
            <w:noWrap/>
            <w:vAlign w:val="center"/>
            <w:hideMark/>
          </w:tcPr>
          <w:p w14:paraId="5742AE1C" w14:textId="77777777" w:rsidR="00EB329C" w:rsidRPr="006E7D8F" w:rsidRDefault="00EB329C" w:rsidP="00EB329C">
            <w:pPr>
              <w:pStyle w:val="ExhibitText"/>
              <w:jc w:val="center"/>
              <w:rPr>
                <w:b/>
                <w:color w:val="000000"/>
                <w:sz w:val="18"/>
                <w:szCs w:val="18"/>
              </w:rPr>
            </w:pPr>
            <w:r w:rsidRPr="006E7D8F">
              <w:rPr>
                <w:b/>
                <w:color w:val="000000"/>
                <w:sz w:val="18"/>
                <w:szCs w:val="18"/>
              </w:rPr>
              <w:t>NPSB</w:t>
            </w:r>
          </w:p>
        </w:tc>
      </w:tr>
      <w:tr w:rsidR="00EB329C" w:rsidRPr="006E7D8F" w14:paraId="1F1A522E" w14:textId="77777777" w:rsidTr="00642D25">
        <w:trPr>
          <w:trHeight w:val="288"/>
          <w:jc w:val="center"/>
        </w:trPr>
        <w:tc>
          <w:tcPr>
            <w:tcW w:w="3420" w:type="dxa"/>
            <w:vMerge/>
            <w:tcBorders>
              <w:left w:val="nil"/>
              <w:bottom w:val="single" w:sz="12" w:space="0" w:color="auto"/>
              <w:right w:val="nil"/>
            </w:tcBorders>
            <w:shd w:val="clear" w:color="auto" w:fill="auto"/>
            <w:noWrap/>
            <w:vAlign w:val="center"/>
            <w:hideMark/>
          </w:tcPr>
          <w:p w14:paraId="0B9FF32F" w14:textId="77777777" w:rsidR="00EB329C" w:rsidRPr="006E7D8F" w:rsidRDefault="00EB329C" w:rsidP="00EB329C">
            <w:pPr>
              <w:pStyle w:val="ExhibitText"/>
              <w:jc w:val="left"/>
              <w:rPr>
                <w:b/>
                <w:sz w:val="18"/>
                <w:szCs w:val="18"/>
              </w:rPr>
            </w:pPr>
          </w:p>
        </w:tc>
        <w:tc>
          <w:tcPr>
            <w:tcW w:w="990" w:type="dxa"/>
            <w:tcBorders>
              <w:top w:val="nil"/>
              <w:left w:val="nil"/>
              <w:bottom w:val="single" w:sz="12" w:space="0" w:color="auto"/>
              <w:right w:val="nil"/>
            </w:tcBorders>
            <w:shd w:val="clear" w:color="auto" w:fill="auto"/>
            <w:noWrap/>
            <w:hideMark/>
          </w:tcPr>
          <w:p w14:paraId="1240FD63" w14:textId="77777777" w:rsidR="00EB329C" w:rsidRPr="006E7D8F" w:rsidRDefault="00EB329C" w:rsidP="00F71427">
            <w:pPr>
              <w:pStyle w:val="ExhibitText"/>
              <w:rPr>
                <w:b/>
                <w:sz w:val="18"/>
                <w:szCs w:val="18"/>
              </w:rPr>
            </w:pPr>
          </w:p>
        </w:tc>
        <w:tc>
          <w:tcPr>
            <w:tcW w:w="967" w:type="dxa"/>
            <w:tcBorders>
              <w:top w:val="nil"/>
              <w:left w:val="nil"/>
              <w:bottom w:val="single" w:sz="12" w:space="0" w:color="auto"/>
              <w:right w:val="nil"/>
            </w:tcBorders>
            <w:shd w:val="clear" w:color="auto" w:fill="auto"/>
            <w:noWrap/>
            <w:vAlign w:val="center"/>
            <w:hideMark/>
          </w:tcPr>
          <w:p w14:paraId="624571FD" w14:textId="77777777" w:rsidR="00EB329C" w:rsidRPr="006E7D8F" w:rsidRDefault="00EB329C" w:rsidP="00EB329C">
            <w:pPr>
              <w:pStyle w:val="ExhibitText"/>
              <w:jc w:val="right"/>
              <w:rPr>
                <w:b/>
                <w:sz w:val="18"/>
                <w:szCs w:val="18"/>
              </w:rPr>
            </w:pPr>
            <w:r w:rsidRPr="006E7D8F">
              <w:rPr>
                <w:b/>
                <w:sz w:val="18"/>
                <w:szCs w:val="18"/>
              </w:rPr>
              <w:t>FY</w:t>
            </w:r>
            <w:r w:rsidR="0043511E" w:rsidRPr="006E7D8F">
              <w:rPr>
                <w:b/>
                <w:sz w:val="18"/>
                <w:szCs w:val="18"/>
              </w:rPr>
              <w:t xml:space="preserve"> </w:t>
            </w:r>
            <w:r w:rsidRPr="006E7D8F">
              <w:rPr>
                <w:b/>
                <w:sz w:val="18"/>
                <w:szCs w:val="18"/>
              </w:rPr>
              <w:t>2014</w:t>
            </w:r>
          </w:p>
        </w:tc>
        <w:tc>
          <w:tcPr>
            <w:tcW w:w="968" w:type="dxa"/>
            <w:tcBorders>
              <w:top w:val="nil"/>
              <w:left w:val="nil"/>
              <w:bottom w:val="single" w:sz="12" w:space="0" w:color="auto"/>
              <w:right w:val="nil"/>
            </w:tcBorders>
            <w:shd w:val="clear" w:color="auto" w:fill="auto"/>
            <w:noWrap/>
            <w:vAlign w:val="center"/>
            <w:hideMark/>
          </w:tcPr>
          <w:p w14:paraId="1D32EB80" w14:textId="77777777" w:rsidR="00EB329C" w:rsidRPr="006E7D8F" w:rsidRDefault="00EB329C" w:rsidP="00EB329C">
            <w:pPr>
              <w:pStyle w:val="ExhibitText"/>
              <w:jc w:val="right"/>
              <w:rPr>
                <w:b/>
                <w:sz w:val="18"/>
                <w:szCs w:val="18"/>
              </w:rPr>
            </w:pPr>
            <w:r w:rsidRPr="006E7D8F">
              <w:rPr>
                <w:b/>
                <w:sz w:val="18"/>
                <w:szCs w:val="18"/>
              </w:rPr>
              <w:t>FY</w:t>
            </w:r>
            <w:r w:rsidR="0043511E" w:rsidRPr="006E7D8F">
              <w:rPr>
                <w:b/>
                <w:sz w:val="18"/>
                <w:szCs w:val="18"/>
              </w:rPr>
              <w:t xml:space="preserve"> </w:t>
            </w:r>
            <w:r w:rsidRPr="006E7D8F">
              <w:rPr>
                <w:b/>
                <w:sz w:val="18"/>
                <w:szCs w:val="18"/>
              </w:rPr>
              <w:t>2015</w:t>
            </w:r>
          </w:p>
        </w:tc>
        <w:tc>
          <w:tcPr>
            <w:tcW w:w="967" w:type="dxa"/>
            <w:tcBorders>
              <w:top w:val="nil"/>
              <w:left w:val="nil"/>
              <w:bottom w:val="single" w:sz="12" w:space="0" w:color="auto"/>
              <w:right w:val="nil"/>
            </w:tcBorders>
            <w:shd w:val="clear" w:color="auto" w:fill="auto"/>
            <w:noWrap/>
            <w:vAlign w:val="center"/>
            <w:hideMark/>
          </w:tcPr>
          <w:p w14:paraId="45815941" w14:textId="77777777" w:rsidR="00EB329C" w:rsidRPr="006E7D8F" w:rsidRDefault="00EB329C" w:rsidP="00EB329C">
            <w:pPr>
              <w:pStyle w:val="ExhibitText"/>
              <w:jc w:val="right"/>
              <w:rPr>
                <w:b/>
                <w:sz w:val="18"/>
                <w:szCs w:val="18"/>
              </w:rPr>
            </w:pPr>
            <w:r w:rsidRPr="006E7D8F">
              <w:rPr>
                <w:b/>
                <w:sz w:val="18"/>
                <w:szCs w:val="18"/>
              </w:rPr>
              <w:t>FY</w:t>
            </w:r>
            <w:r w:rsidR="0043511E" w:rsidRPr="006E7D8F">
              <w:rPr>
                <w:b/>
                <w:sz w:val="18"/>
                <w:szCs w:val="18"/>
              </w:rPr>
              <w:t xml:space="preserve"> </w:t>
            </w:r>
            <w:r w:rsidRPr="006E7D8F">
              <w:rPr>
                <w:b/>
                <w:sz w:val="18"/>
                <w:szCs w:val="18"/>
              </w:rPr>
              <w:t>2016</w:t>
            </w:r>
          </w:p>
        </w:tc>
        <w:tc>
          <w:tcPr>
            <w:tcW w:w="968" w:type="dxa"/>
            <w:tcBorders>
              <w:top w:val="nil"/>
              <w:left w:val="nil"/>
              <w:bottom w:val="single" w:sz="12" w:space="0" w:color="auto"/>
              <w:right w:val="single" w:sz="4" w:space="0" w:color="auto"/>
            </w:tcBorders>
            <w:shd w:val="clear" w:color="auto" w:fill="auto"/>
            <w:noWrap/>
            <w:vAlign w:val="center"/>
            <w:hideMark/>
          </w:tcPr>
          <w:p w14:paraId="0E49DE98" w14:textId="77777777" w:rsidR="00EB329C" w:rsidRPr="006E7D8F" w:rsidRDefault="00EB329C" w:rsidP="00EB329C">
            <w:pPr>
              <w:pStyle w:val="ExhibitText"/>
              <w:jc w:val="right"/>
              <w:rPr>
                <w:b/>
                <w:sz w:val="18"/>
                <w:szCs w:val="18"/>
              </w:rPr>
            </w:pPr>
            <w:r w:rsidRPr="006E7D8F">
              <w:rPr>
                <w:b/>
                <w:sz w:val="18"/>
                <w:szCs w:val="18"/>
              </w:rPr>
              <w:t>FY</w:t>
            </w:r>
            <w:r w:rsidR="0043511E" w:rsidRPr="006E7D8F">
              <w:rPr>
                <w:b/>
                <w:sz w:val="18"/>
                <w:szCs w:val="18"/>
              </w:rPr>
              <w:t xml:space="preserve"> </w:t>
            </w:r>
            <w:r w:rsidRPr="006E7D8F">
              <w:rPr>
                <w:b/>
                <w:sz w:val="18"/>
                <w:szCs w:val="18"/>
              </w:rPr>
              <w:t>2017</w:t>
            </w:r>
          </w:p>
        </w:tc>
        <w:tc>
          <w:tcPr>
            <w:tcW w:w="1080" w:type="dxa"/>
            <w:tcBorders>
              <w:top w:val="nil"/>
              <w:left w:val="nil"/>
              <w:bottom w:val="single" w:sz="12" w:space="0" w:color="auto"/>
              <w:right w:val="nil"/>
            </w:tcBorders>
            <w:shd w:val="clear" w:color="auto" w:fill="auto"/>
            <w:noWrap/>
            <w:vAlign w:val="center"/>
            <w:hideMark/>
          </w:tcPr>
          <w:p w14:paraId="42ED27BD" w14:textId="77777777" w:rsidR="00EB329C" w:rsidRPr="006E7D8F" w:rsidRDefault="00EB329C" w:rsidP="00EB329C">
            <w:pPr>
              <w:pStyle w:val="ExhibitText"/>
              <w:jc w:val="right"/>
              <w:rPr>
                <w:b/>
                <w:sz w:val="18"/>
                <w:szCs w:val="18"/>
              </w:rPr>
            </w:pPr>
            <w:r w:rsidRPr="006E7D8F">
              <w:rPr>
                <w:b/>
                <w:sz w:val="18"/>
                <w:szCs w:val="18"/>
              </w:rPr>
              <w:t>FY</w:t>
            </w:r>
            <w:r w:rsidR="0043511E" w:rsidRPr="006E7D8F">
              <w:rPr>
                <w:b/>
                <w:sz w:val="18"/>
                <w:szCs w:val="18"/>
              </w:rPr>
              <w:t xml:space="preserve"> </w:t>
            </w:r>
            <w:r w:rsidRPr="006E7D8F">
              <w:rPr>
                <w:b/>
                <w:sz w:val="18"/>
                <w:szCs w:val="18"/>
              </w:rPr>
              <w:t>2017</w:t>
            </w:r>
          </w:p>
        </w:tc>
      </w:tr>
      <w:tr w:rsidR="00F71427" w:rsidRPr="006E7D8F" w14:paraId="76C3C53C" w14:textId="77777777" w:rsidTr="00642D25">
        <w:trPr>
          <w:trHeight w:val="288"/>
          <w:jc w:val="center"/>
        </w:trPr>
        <w:tc>
          <w:tcPr>
            <w:tcW w:w="4410" w:type="dxa"/>
            <w:gridSpan w:val="2"/>
            <w:tcBorders>
              <w:top w:val="single" w:sz="12" w:space="0" w:color="auto"/>
              <w:left w:val="nil"/>
            </w:tcBorders>
            <w:shd w:val="clear" w:color="auto" w:fill="auto"/>
            <w:vAlign w:val="center"/>
            <w:hideMark/>
          </w:tcPr>
          <w:p w14:paraId="4FCF845A" w14:textId="77777777" w:rsidR="00F71427" w:rsidRPr="006E7D8F" w:rsidRDefault="00F71427" w:rsidP="00EB329C">
            <w:pPr>
              <w:pStyle w:val="ExhibitText"/>
              <w:jc w:val="left"/>
              <w:rPr>
                <w:sz w:val="18"/>
                <w:szCs w:val="18"/>
              </w:rPr>
            </w:pPr>
            <w:r w:rsidRPr="006E7D8F">
              <w:rPr>
                <w:sz w:val="18"/>
                <w:szCs w:val="18"/>
              </w:rPr>
              <w:t>Return on equity</w:t>
            </w:r>
          </w:p>
        </w:tc>
        <w:tc>
          <w:tcPr>
            <w:tcW w:w="967" w:type="dxa"/>
            <w:tcBorders>
              <w:top w:val="single" w:sz="12" w:space="0" w:color="auto"/>
              <w:left w:val="nil"/>
              <w:bottom w:val="nil"/>
              <w:right w:val="nil"/>
            </w:tcBorders>
            <w:shd w:val="clear" w:color="auto" w:fill="auto"/>
            <w:noWrap/>
            <w:vAlign w:val="center"/>
            <w:hideMark/>
          </w:tcPr>
          <w:p w14:paraId="67156222" w14:textId="77777777" w:rsidR="00F71427" w:rsidRPr="006E7D8F" w:rsidRDefault="00F71427" w:rsidP="00EB329C">
            <w:pPr>
              <w:pStyle w:val="ExhibitText"/>
              <w:jc w:val="right"/>
              <w:rPr>
                <w:sz w:val="18"/>
                <w:szCs w:val="18"/>
              </w:rPr>
            </w:pPr>
            <w:r w:rsidRPr="006E7D8F">
              <w:rPr>
                <w:sz w:val="18"/>
                <w:szCs w:val="18"/>
              </w:rPr>
              <w:t>11.90</w:t>
            </w:r>
          </w:p>
        </w:tc>
        <w:tc>
          <w:tcPr>
            <w:tcW w:w="968" w:type="dxa"/>
            <w:tcBorders>
              <w:top w:val="single" w:sz="12" w:space="0" w:color="auto"/>
              <w:left w:val="nil"/>
              <w:bottom w:val="nil"/>
              <w:right w:val="nil"/>
            </w:tcBorders>
            <w:shd w:val="clear" w:color="auto" w:fill="auto"/>
            <w:noWrap/>
            <w:vAlign w:val="center"/>
            <w:hideMark/>
          </w:tcPr>
          <w:p w14:paraId="3A62B2B4" w14:textId="77777777" w:rsidR="00F71427" w:rsidRPr="006E7D8F" w:rsidRDefault="00F71427" w:rsidP="00EB329C">
            <w:pPr>
              <w:pStyle w:val="ExhibitText"/>
              <w:jc w:val="right"/>
              <w:rPr>
                <w:sz w:val="18"/>
                <w:szCs w:val="18"/>
              </w:rPr>
            </w:pPr>
            <w:r w:rsidRPr="006E7D8F">
              <w:rPr>
                <w:sz w:val="18"/>
                <w:szCs w:val="18"/>
              </w:rPr>
              <w:t>9.60</w:t>
            </w:r>
          </w:p>
        </w:tc>
        <w:tc>
          <w:tcPr>
            <w:tcW w:w="967" w:type="dxa"/>
            <w:tcBorders>
              <w:top w:val="single" w:sz="12" w:space="0" w:color="auto"/>
              <w:left w:val="nil"/>
              <w:bottom w:val="nil"/>
              <w:right w:val="nil"/>
            </w:tcBorders>
            <w:shd w:val="clear" w:color="auto" w:fill="auto"/>
            <w:noWrap/>
            <w:vAlign w:val="center"/>
            <w:hideMark/>
          </w:tcPr>
          <w:p w14:paraId="776E82FF" w14:textId="77777777" w:rsidR="00F71427" w:rsidRPr="006E7D8F" w:rsidRDefault="00F71427" w:rsidP="00EB329C">
            <w:pPr>
              <w:pStyle w:val="ExhibitText"/>
              <w:jc w:val="right"/>
              <w:rPr>
                <w:sz w:val="18"/>
                <w:szCs w:val="18"/>
              </w:rPr>
            </w:pPr>
            <w:r w:rsidRPr="006E7D8F">
              <w:rPr>
                <w:sz w:val="18"/>
                <w:szCs w:val="18"/>
              </w:rPr>
              <w:t>6.67</w:t>
            </w:r>
          </w:p>
        </w:tc>
        <w:tc>
          <w:tcPr>
            <w:tcW w:w="968" w:type="dxa"/>
            <w:tcBorders>
              <w:top w:val="single" w:sz="12" w:space="0" w:color="auto"/>
              <w:left w:val="nil"/>
              <w:bottom w:val="nil"/>
              <w:right w:val="single" w:sz="4" w:space="0" w:color="auto"/>
            </w:tcBorders>
            <w:shd w:val="clear" w:color="auto" w:fill="auto"/>
            <w:noWrap/>
            <w:vAlign w:val="center"/>
            <w:hideMark/>
          </w:tcPr>
          <w:p w14:paraId="65A46825" w14:textId="77777777" w:rsidR="00F71427" w:rsidRPr="006E7D8F" w:rsidRDefault="00F71427" w:rsidP="00EB329C">
            <w:pPr>
              <w:pStyle w:val="ExhibitText"/>
              <w:jc w:val="right"/>
              <w:rPr>
                <w:sz w:val="18"/>
                <w:szCs w:val="18"/>
              </w:rPr>
            </w:pPr>
            <w:r w:rsidRPr="006E7D8F">
              <w:rPr>
                <w:sz w:val="18"/>
                <w:szCs w:val="18"/>
              </w:rPr>
              <w:t>3.39</w:t>
            </w:r>
          </w:p>
        </w:tc>
        <w:tc>
          <w:tcPr>
            <w:tcW w:w="1080" w:type="dxa"/>
            <w:tcBorders>
              <w:top w:val="single" w:sz="12" w:space="0" w:color="auto"/>
              <w:left w:val="nil"/>
              <w:bottom w:val="nil"/>
              <w:right w:val="nil"/>
            </w:tcBorders>
            <w:shd w:val="clear" w:color="auto" w:fill="auto"/>
            <w:noWrap/>
            <w:vAlign w:val="center"/>
            <w:hideMark/>
          </w:tcPr>
          <w:p w14:paraId="6F3C48DA" w14:textId="77777777" w:rsidR="00F71427" w:rsidRPr="006E7D8F" w:rsidRDefault="00F71427" w:rsidP="00EB329C">
            <w:pPr>
              <w:pStyle w:val="ExhibitText"/>
              <w:jc w:val="right"/>
              <w:rPr>
                <w:color w:val="000000"/>
                <w:sz w:val="18"/>
                <w:szCs w:val="18"/>
              </w:rPr>
            </w:pPr>
            <w:r w:rsidRPr="006E7D8F">
              <w:rPr>
                <w:color w:val="000000"/>
                <w:sz w:val="18"/>
                <w:szCs w:val="18"/>
              </w:rPr>
              <w:t>12.65</w:t>
            </w:r>
          </w:p>
        </w:tc>
      </w:tr>
      <w:tr w:rsidR="00F71427" w:rsidRPr="006E7D8F" w14:paraId="53E6E885" w14:textId="77777777" w:rsidTr="00642D25">
        <w:trPr>
          <w:trHeight w:val="288"/>
          <w:jc w:val="center"/>
        </w:trPr>
        <w:tc>
          <w:tcPr>
            <w:tcW w:w="3420" w:type="dxa"/>
            <w:tcBorders>
              <w:top w:val="nil"/>
              <w:left w:val="nil"/>
            </w:tcBorders>
            <w:shd w:val="clear" w:color="auto" w:fill="auto"/>
            <w:vAlign w:val="center"/>
            <w:hideMark/>
          </w:tcPr>
          <w:p w14:paraId="4F727A52" w14:textId="77777777" w:rsidR="00F71427" w:rsidRPr="006E7D8F" w:rsidRDefault="00F71427" w:rsidP="00EB329C">
            <w:pPr>
              <w:pStyle w:val="ExhibitText"/>
              <w:jc w:val="left"/>
              <w:rPr>
                <w:sz w:val="18"/>
                <w:szCs w:val="18"/>
              </w:rPr>
            </w:pPr>
            <w:r w:rsidRPr="006E7D8F">
              <w:rPr>
                <w:sz w:val="18"/>
                <w:szCs w:val="18"/>
              </w:rPr>
              <w:t>Return on assets</w:t>
            </w:r>
          </w:p>
        </w:tc>
        <w:tc>
          <w:tcPr>
            <w:tcW w:w="990" w:type="dxa"/>
            <w:tcBorders>
              <w:top w:val="nil"/>
              <w:left w:val="nil"/>
              <w:bottom w:val="nil"/>
              <w:right w:val="nil"/>
            </w:tcBorders>
            <w:shd w:val="clear" w:color="auto" w:fill="auto"/>
            <w:noWrap/>
            <w:hideMark/>
          </w:tcPr>
          <w:p w14:paraId="75CB6870" w14:textId="77777777" w:rsidR="00F71427" w:rsidRPr="006E7D8F" w:rsidRDefault="00F71427" w:rsidP="00F71427">
            <w:pPr>
              <w:pStyle w:val="ExhibitText"/>
              <w:rPr>
                <w:sz w:val="18"/>
                <w:szCs w:val="18"/>
              </w:rPr>
            </w:pPr>
          </w:p>
        </w:tc>
        <w:tc>
          <w:tcPr>
            <w:tcW w:w="967" w:type="dxa"/>
            <w:tcBorders>
              <w:top w:val="nil"/>
              <w:left w:val="nil"/>
              <w:bottom w:val="nil"/>
              <w:right w:val="nil"/>
            </w:tcBorders>
            <w:shd w:val="clear" w:color="auto" w:fill="auto"/>
            <w:noWrap/>
            <w:vAlign w:val="center"/>
            <w:hideMark/>
          </w:tcPr>
          <w:p w14:paraId="177289ED" w14:textId="77777777" w:rsidR="00F71427" w:rsidRPr="006E7D8F" w:rsidRDefault="00F71427" w:rsidP="00EB329C">
            <w:pPr>
              <w:pStyle w:val="ExhibitText"/>
              <w:jc w:val="right"/>
              <w:rPr>
                <w:sz w:val="18"/>
                <w:szCs w:val="18"/>
              </w:rPr>
            </w:pPr>
            <w:r w:rsidRPr="006E7D8F">
              <w:rPr>
                <w:sz w:val="18"/>
                <w:szCs w:val="18"/>
              </w:rPr>
              <w:t>0.87</w:t>
            </w:r>
          </w:p>
        </w:tc>
        <w:tc>
          <w:tcPr>
            <w:tcW w:w="968" w:type="dxa"/>
            <w:tcBorders>
              <w:top w:val="nil"/>
              <w:left w:val="nil"/>
              <w:bottom w:val="nil"/>
              <w:right w:val="nil"/>
            </w:tcBorders>
            <w:shd w:val="clear" w:color="auto" w:fill="auto"/>
            <w:noWrap/>
            <w:vAlign w:val="center"/>
            <w:hideMark/>
          </w:tcPr>
          <w:p w14:paraId="2021F8AE" w14:textId="77777777" w:rsidR="00F71427" w:rsidRPr="006E7D8F" w:rsidRDefault="00F71427" w:rsidP="00EB329C">
            <w:pPr>
              <w:pStyle w:val="ExhibitText"/>
              <w:jc w:val="right"/>
              <w:rPr>
                <w:sz w:val="18"/>
                <w:szCs w:val="18"/>
              </w:rPr>
            </w:pPr>
            <w:r w:rsidRPr="006E7D8F">
              <w:rPr>
                <w:sz w:val="18"/>
                <w:szCs w:val="18"/>
              </w:rPr>
              <w:t>0.77</w:t>
            </w:r>
          </w:p>
        </w:tc>
        <w:tc>
          <w:tcPr>
            <w:tcW w:w="967" w:type="dxa"/>
            <w:tcBorders>
              <w:top w:val="nil"/>
              <w:left w:val="nil"/>
              <w:bottom w:val="nil"/>
              <w:right w:val="nil"/>
            </w:tcBorders>
            <w:shd w:val="clear" w:color="auto" w:fill="auto"/>
            <w:noWrap/>
            <w:vAlign w:val="center"/>
            <w:hideMark/>
          </w:tcPr>
          <w:p w14:paraId="524DEBCC" w14:textId="77777777" w:rsidR="00F71427" w:rsidRPr="006E7D8F" w:rsidRDefault="00F71427" w:rsidP="00EB329C">
            <w:pPr>
              <w:pStyle w:val="ExhibitText"/>
              <w:jc w:val="right"/>
              <w:rPr>
                <w:sz w:val="18"/>
                <w:szCs w:val="18"/>
              </w:rPr>
            </w:pPr>
            <w:r w:rsidRPr="006E7D8F">
              <w:rPr>
                <w:sz w:val="18"/>
                <w:szCs w:val="18"/>
              </w:rPr>
              <w:t>0.52</w:t>
            </w:r>
          </w:p>
        </w:tc>
        <w:tc>
          <w:tcPr>
            <w:tcW w:w="968" w:type="dxa"/>
            <w:tcBorders>
              <w:top w:val="nil"/>
              <w:left w:val="nil"/>
              <w:bottom w:val="nil"/>
              <w:right w:val="single" w:sz="4" w:space="0" w:color="auto"/>
            </w:tcBorders>
            <w:shd w:val="clear" w:color="auto" w:fill="auto"/>
            <w:noWrap/>
            <w:vAlign w:val="center"/>
            <w:hideMark/>
          </w:tcPr>
          <w:p w14:paraId="125BE0FB" w14:textId="77777777" w:rsidR="00F71427" w:rsidRPr="006E7D8F" w:rsidRDefault="00F71427" w:rsidP="00EB329C">
            <w:pPr>
              <w:pStyle w:val="ExhibitText"/>
              <w:jc w:val="right"/>
              <w:rPr>
                <w:sz w:val="18"/>
                <w:szCs w:val="18"/>
              </w:rPr>
            </w:pPr>
            <w:r w:rsidRPr="006E7D8F">
              <w:rPr>
                <w:sz w:val="18"/>
                <w:szCs w:val="18"/>
              </w:rPr>
              <w:t>0.32</w:t>
            </w:r>
          </w:p>
        </w:tc>
        <w:tc>
          <w:tcPr>
            <w:tcW w:w="1080" w:type="dxa"/>
            <w:tcBorders>
              <w:top w:val="nil"/>
              <w:left w:val="nil"/>
              <w:bottom w:val="nil"/>
              <w:right w:val="nil"/>
            </w:tcBorders>
            <w:shd w:val="clear" w:color="auto" w:fill="auto"/>
            <w:noWrap/>
            <w:vAlign w:val="center"/>
            <w:hideMark/>
          </w:tcPr>
          <w:p w14:paraId="69D2B7ED" w14:textId="77777777" w:rsidR="00F71427" w:rsidRPr="006E7D8F" w:rsidRDefault="00F71427" w:rsidP="00EB329C">
            <w:pPr>
              <w:pStyle w:val="ExhibitText"/>
              <w:jc w:val="right"/>
              <w:rPr>
                <w:color w:val="000000"/>
                <w:sz w:val="18"/>
                <w:szCs w:val="18"/>
              </w:rPr>
            </w:pPr>
            <w:r w:rsidRPr="006E7D8F">
              <w:rPr>
                <w:color w:val="000000"/>
                <w:sz w:val="18"/>
                <w:szCs w:val="18"/>
              </w:rPr>
              <w:t>1.38</w:t>
            </w:r>
          </w:p>
        </w:tc>
      </w:tr>
      <w:tr w:rsidR="00F71427" w:rsidRPr="006E7D8F" w14:paraId="1CBB3D18" w14:textId="77777777" w:rsidTr="00642D25">
        <w:trPr>
          <w:trHeight w:val="288"/>
          <w:jc w:val="center"/>
        </w:trPr>
        <w:tc>
          <w:tcPr>
            <w:tcW w:w="4410" w:type="dxa"/>
            <w:gridSpan w:val="2"/>
            <w:tcBorders>
              <w:top w:val="nil"/>
              <w:left w:val="nil"/>
            </w:tcBorders>
            <w:shd w:val="clear" w:color="auto" w:fill="auto"/>
            <w:vAlign w:val="center"/>
            <w:hideMark/>
          </w:tcPr>
          <w:p w14:paraId="5C7325F5" w14:textId="77777777" w:rsidR="00691A6E" w:rsidRPr="006E7D8F" w:rsidRDefault="00F71427" w:rsidP="00EB329C">
            <w:pPr>
              <w:pStyle w:val="ExhibitText"/>
              <w:jc w:val="left"/>
              <w:rPr>
                <w:sz w:val="18"/>
                <w:szCs w:val="18"/>
              </w:rPr>
            </w:pPr>
            <w:r w:rsidRPr="006E7D8F">
              <w:rPr>
                <w:sz w:val="18"/>
                <w:szCs w:val="18"/>
              </w:rPr>
              <w:t>Leverage (</w:t>
            </w:r>
            <w:r w:rsidR="0043511E" w:rsidRPr="006E7D8F">
              <w:rPr>
                <w:sz w:val="18"/>
                <w:szCs w:val="18"/>
              </w:rPr>
              <w:t>a</w:t>
            </w:r>
            <w:r w:rsidRPr="006E7D8F">
              <w:rPr>
                <w:sz w:val="18"/>
                <w:szCs w:val="18"/>
              </w:rPr>
              <w:t>verage assets</w:t>
            </w:r>
            <w:r w:rsidR="0043511E" w:rsidRPr="006E7D8F">
              <w:rPr>
                <w:sz w:val="18"/>
                <w:szCs w:val="18"/>
              </w:rPr>
              <w:t xml:space="preserve"> ÷ a</w:t>
            </w:r>
            <w:r w:rsidRPr="006E7D8F">
              <w:rPr>
                <w:sz w:val="18"/>
                <w:szCs w:val="18"/>
              </w:rPr>
              <w:t>verage equity)</w:t>
            </w:r>
            <w:r w:rsidR="00676552" w:rsidRPr="006E7D8F">
              <w:rPr>
                <w:sz w:val="18"/>
                <w:szCs w:val="18"/>
              </w:rPr>
              <w:t xml:space="preserve"> (times)</w:t>
            </w:r>
            <w:r w:rsidR="00691A6E" w:rsidRPr="006E7D8F">
              <w:rPr>
                <w:sz w:val="18"/>
                <w:szCs w:val="18"/>
              </w:rPr>
              <w:t xml:space="preserve"> </w:t>
            </w:r>
          </w:p>
          <w:p w14:paraId="48841A92" w14:textId="77777777" w:rsidR="00F71427" w:rsidRPr="006E7D8F" w:rsidRDefault="00F71427" w:rsidP="00EB329C">
            <w:pPr>
              <w:pStyle w:val="ExhibitText"/>
              <w:jc w:val="left"/>
              <w:rPr>
                <w:i/>
                <w:sz w:val="18"/>
                <w:szCs w:val="18"/>
              </w:rPr>
            </w:pPr>
          </w:p>
        </w:tc>
        <w:tc>
          <w:tcPr>
            <w:tcW w:w="967" w:type="dxa"/>
            <w:tcBorders>
              <w:top w:val="nil"/>
              <w:left w:val="nil"/>
              <w:bottom w:val="nil"/>
              <w:right w:val="nil"/>
            </w:tcBorders>
            <w:shd w:val="clear" w:color="auto" w:fill="auto"/>
            <w:noWrap/>
            <w:vAlign w:val="center"/>
            <w:hideMark/>
          </w:tcPr>
          <w:p w14:paraId="0EFC2277" w14:textId="77777777" w:rsidR="00F71427" w:rsidRPr="006E7D8F" w:rsidRDefault="00F71427" w:rsidP="00EB329C">
            <w:pPr>
              <w:pStyle w:val="ExhibitText"/>
              <w:jc w:val="right"/>
              <w:rPr>
                <w:sz w:val="18"/>
                <w:szCs w:val="18"/>
              </w:rPr>
            </w:pPr>
            <w:r w:rsidRPr="006E7D8F">
              <w:rPr>
                <w:sz w:val="18"/>
                <w:szCs w:val="18"/>
              </w:rPr>
              <w:t>14.36</w:t>
            </w:r>
          </w:p>
        </w:tc>
        <w:tc>
          <w:tcPr>
            <w:tcW w:w="968" w:type="dxa"/>
            <w:tcBorders>
              <w:top w:val="nil"/>
              <w:left w:val="nil"/>
              <w:bottom w:val="nil"/>
              <w:right w:val="nil"/>
            </w:tcBorders>
            <w:shd w:val="clear" w:color="auto" w:fill="auto"/>
            <w:noWrap/>
            <w:vAlign w:val="center"/>
            <w:hideMark/>
          </w:tcPr>
          <w:p w14:paraId="79C2F762" w14:textId="77777777" w:rsidR="00F71427" w:rsidRPr="006E7D8F" w:rsidRDefault="00F71427" w:rsidP="00EB329C">
            <w:pPr>
              <w:pStyle w:val="ExhibitText"/>
              <w:jc w:val="right"/>
              <w:rPr>
                <w:sz w:val="18"/>
                <w:szCs w:val="18"/>
              </w:rPr>
            </w:pPr>
            <w:r w:rsidRPr="006E7D8F">
              <w:rPr>
                <w:sz w:val="18"/>
                <w:szCs w:val="18"/>
              </w:rPr>
              <w:t>13.48</w:t>
            </w:r>
          </w:p>
        </w:tc>
        <w:tc>
          <w:tcPr>
            <w:tcW w:w="967" w:type="dxa"/>
            <w:tcBorders>
              <w:top w:val="nil"/>
              <w:left w:val="nil"/>
              <w:bottom w:val="nil"/>
              <w:right w:val="nil"/>
            </w:tcBorders>
            <w:shd w:val="clear" w:color="auto" w:fill="auto"/>
            <w:noWrap/>
            <w:vAlign w:val="center"/>
            <w:hideMark/>
          </w:tcPr>
          <w:p w14:paraId="479967BB" w14:textId="77777777" w:rsidR="00F71427" w:rsidRPr="006E7D8F" w:rsidRDefault="00F71427" w:rsidP="00EB329C">
            <w:pPr>
              <w:pStyle w:val="ExhibitText"/>
              <w:jc w:val="right"/>
              <w:rPr>
                <w:sz w:val="18"/>
                <w:szCs w:val="18"/>
              </w:rPr>
            </w:pPr>
            <w:r w:rsidRPr="006E7D8F">
              <w:rPr>
                <w:sz w:val="18"/>
                <w:szCs w:val="18"/>
              </w:rPr>
              <w:t>13.44</w:t>
            </w:r>
          </w:p>
        </w:tc>
        <w:tc>
          <w:tcPr>
            <w:tcW w:w="968" w:type="dxa"/>
            <w:tcBorders>
              <w:top w:val="nil"/>
              <w:left w:val="nil"/>
              <w:bottom w:val="nil"/>
              <w:right w:val="single" w:sz="4" w:space="0" w:color="auto"/>
            </w:tcBorders>
            <w:shd w:val="clear" w:color="auto" w:fill="auto"/>
            <w:noWrap/>
            <w:vAlign w:val="center"/>
            <w:hideMark/>
          </w:tcPr>
          <w:p w14:paraId="632D57F5" w14:textId="77777777" w:rsidR="00F71427" w:rsidRPr="006E7D8F" w:rsidRDefault="00F71427" w:rsidP="00EB329C">
            <w:pPr>
              <w:pStyle w:val="ExhibitText"/>
              <w:jc w:val="right"/>
              <w:rPr>
                <w:sz w:val="18"/>
                <w:szCs w:val="18"/>
              </w:rPr>
            </w:pPr>
            <w:r w:rsidRPr="006E7D8F">
              <w:rPr>
                <w:sz w:val="18"/>
                <w:szCs w:val="18"/>
              </w:rPr>
              <w:t>13.40</w:t>
            </w:r>
          </w:p>
        </w:tc>
        <w:tc>
          <w:tcPr>
            <w:tcW w:w="1080" w:type="dxa"/>
            <w:tcBorders>
              <w:top w:val="nil"/>
              <w:left w:val="nil"/>
              <w:bottom w:val="nil"/>
              <w:right w:val="nil"/>
            </w:tcBorders>
            <w:shd w:val="clear" w:color="auto" w:fill="auto"/>
            <w:noWrap/>
            <w:vAlign w:val="center"/>
            <w:hideMark/>
          </w:tcPr>
          <w:p w14:paraId="5D9448D7" w14:textId="77777777" w:rsidR="00F71427" w:rsidRPr="006E7D8F" w:rsidRDefault="00F71427" w:rsidP="00EB329C">
            <w:pPr>
              <w:pStyle w:val="ExhibitText"/>
              <w:jc w:val="right"/>
              <w:rPr>
                <w:sz w:val="18"/>
                <w:szCs w:val="18"/>
              </w:rPr>
            </w:pPr>
            <w:r w:rsidRPr="006E7D8F">
              <w:rPr>
                <w:sz w:val="18"/>
                <w:szCs w:val="18"/>
              </w:rPr>
              <w:t>9.25</w:t>
            </w:r>
          </w:p>
        </w:tc>
      </w:tr>
      <w:tr w:rsidR="00F71427" w:rsidRPr="006E7D8F" w14:paraId="6B0E1920" w14:textId="77777777" w:rsidTr="00642D25">
        <w:trPr>
          <w:trHeight w:val="288"/>
          <w:jc w:val="center"/>
        </w:trPr>
        <w:tc>
          <w:tcPr>
            <w:tcW w:w="3420" w:type="dxa"/>
            <w:tcBorders>
              <w:top w:val="nil"/>
              <w:left w:val="nil"/>
            </w:tcBorders>
            <w:shd w:val="clear" w:color="auto" w:fill="auto"/>
            <w:vAlign w:val="center"/>
            <w:hideMark/>
          </w:tcPr>
          <w:p w14:paraId="56238527" w14:textId="77777777" w:rsidR="00F71427" w:rsidRPr="006E7D8F" w:rsidRDefault="00F71427" w:rsidP="00EB329C">
            <w:pPr>
              <w:pStyle w:val="ExhibitText"/>
              <w:jc w:val="left"/>
              <w:rPr>
                <w:sz w:val="18"/>
                <w:szCs w:val="18"/>
              </w:rPr>
            </w:pPr>
            <w:r w:rsidRPr="006E7D8F">
              <w:rPr>
                <w:sz w:val="18"/>
                <w:szCs w:val="18"/>
              </w:rPr>
              <w:t>Net profit margin</w:t>
            </w:r>
          </w:p>
        </w:tc>
        <w:tc>
          <w:tcPr>
            <w:tcW w:w="990" w:type="dxa"/>
            <w:tcBorders>
              <w:top w:val="nil"/>
              <w:left w:val="nil"/>
              <w:bottom w:val="nil"/>
              <w:right w:val="nil"/>
            </w:tcBorders>
            <w:shd w:val="clear" w:color="auto" w:fill="auto"/>
            <w:noWrap/>
            <w:hideMark/>
          </w:tcPr>
          <w:p w14:paraId="2BB8154B" w14:textId="77777777" w:rsidR="00F71427" w:rsidRPr="006E7D8F" w:rsidRDefault="00F71427" w:rsidP="00F71427">
            <w:pPr>
              <w:pStyle w:val="ExhibitText"/>
              <w:rPr>
                <w:sz w:val="18"/>
                <w:szCs w:val="18"/>
              </w:rPr>
            </w:pPr>
          </w:p>
        </w:tc>
        <w:tc>
          <w:tcPr>
            <w:tcW w:w="967" w:type="dxa"/>
            <w:tcBorders>
              <w:top w:val="nil"/>
              <w:left w:val="nil"/>
              <w:bottom w:val="nil"/>
              <w:right w:val="nil"/>
            </w:tcBorders>
            <w:shd w:val="clear" w:color="auto" w:fill="auto"/>
            <w:noWrap/>
            <w:vAlign w:val="center"/>
            <w:hideMark/>
          </w:tcPr>
          <w:p w14:paraId="501595D8" w14:textId="77777777" w:rsidR="00F71427" w:rsidRPr="006E7D8F" w:rsidRDefault="00F71427" w:rsidP="00EB329C">
            <w:pPr>
              <w:pStyle w:val="ExhibitText"/>
              <w:jc w:val="right"/>
              <w:rPr>
                <w:sz w:val="18"/>
                <w:szCs w:val="18"/>
              </w:rPr>
            </w:pPr>
            <w:r w:rsidRPr="006E7D8F">
              <w:rPr>
                <w:sz w:val="18"/>
                <w:szCs w:val="18"/>
              </w:rPr>
              <w:t>7.15</w:t>
            </w:r>
          </w:p>
        </w:tc>
        <w:tc>
          <w:tcPr>
            <w:tcW w:w="968" w:type="dxa"/>
            <w:tcBorders>
              <w:top w:val="nil"/>
              <w:left w:val="nil"/>
              <w:bottom w:val="nil"/>
              <w:right w:val="nil"/>
            </w:tcBorders>
            <w:shd w:val="clear" w:color="auto" w:fill="auto"/>
            <w:noWrap/>
            <w:vAlign w:val="center"/>
            <w:hideMark/>
          </w:tcPr>
          <w:p w14:paraId="672250C4" w14:textId="77777777" w:rsidR="00F71427" w:rsidRPr="006E7D8F" w:rsidRDefault="00F71427" w:rsidP="00EB329C">
            <w:pPr>
              <w:pStyle w:val="ExhibitText"/>
              <w:jc w:val="right"/>
              <w:rPr>
                <w:sz w:val="18"/>
                <w:szCs w:val="18"/>
              </w:rPr>
            </w:pPr>
            <w:r w:rsidRPr="006E7D8F">
              <w:rPr>
                <w:sz w:val="18"/>
                <w:szCs w:val="18"/>
              </w:rPr>
              <w:t>6.16</w:t>
            </w:r>
          </w:p>
        </w:tc>
        <w:tc>
          <w:tcPr>
            <w:tcW w:w="967" w:type="dxa"/>
            <w:tcBorders>
              <w:top w:val="nil"/>
              <w:left w:val="nil"/>
              <w:bottom w:val="nil"/>
              <w:right w:val="nil"/>
            </w:tcBorders>
            <w:shd w:val="clear" w:color="auto" w:fill="auto"/>
            <w:noWrap/>
            <w:vAlign w:val="center"/>
            <w:hideMark/>
          </w:tcPr>
          <w:p w14:paraId="2A814C1E" w14:textId="77777777" w:rsidR="00F71427" w:rsidRPr="006E7D8F" w:rsidRDefault="00F71427" w:rsidP="00EB329C">
            <w:pPr>
              <w:pStyle w:val="ExhibitText"/>
              <w:jc w:val="right"/>
              <w:rPr>
                <w:sz w:val="18"/>
                <w:szCs w:val="18"/>
              </w:rPr>
            </w:pPr>
            <w:r w:rsidRPr="006E7D8F">
              <w:rPr>
                <w:sz w:val="18"/>
                <w:szCs w:val="18"/>
              </w:rPr>
              <w:t>4.74</w:t>
            </w:r>
          </w:p>
        </w:tc>
        <w:tc>
          <w:tcPr>
            <w:tcW w:w="968" w:type="dxa"/>
            <w:tcBorders>
              <w:top w:val="nil"/>
              <w:left w:val="nil"/>
              <w:bottom w:val="nil"/>
              <w:right w:val="single" w:sz="4" w:space="0" w:color="auto"/>
            </w:tcBorders>
            <w:shd w:val="clear" w:color="auto" w:fill="auto"/>
            <w:noWrap/>
            <w:vAlign w:val="center"/>
            <w:hideMark/>
          </w:tcPr>
          <w:p w14:paraId="3D51D75E" w14:textId="77777777" w:rsidR="00F71427" w:rsidRPr="006E7D8F" w:rsidRDefault="00F71427" w:rsidP="00EB329C">
            <w:pPr>
              <w:pStyle w:val="ExhibitText"/>
              <w:jc w:val="right"/>
              <w:rPr>
                <w:sz w:val="18"/>
                <w:szCs w:val="18"/>
              </w:rPr>
            </w:pPr>
            <w:r w:rsidRPr="006E7D8F">
              <w:rPr>
                <w:sz w:val="18"/>
                <w:szCs w:val="18"/>
              </w:rPr>
              <w:t>4.67</w:t>
            </w:r>
          </w:p>
        </w:tc>
        <w:tc>
          <w:tcPr>
            <w:tcW w:w="1080" w:type="dxa"/>
            <w:tcBorders>
              <w:top w:val="nil"/>
              <w:left w:val="nil"/>
              <w:bottom w:val="nil"/>
              <w:right w:val="nil"/>
            </w:tcBorders>
            <w:shd w:val="clear" w:color="auto" w:fill="auto"/>
            <w:noWrap/>
            <w:vAlign w:val="center"/>
            <w:hideMark/>
          </w:tcPr>
          <w:p w14:paraId="07BFFB08" w14:textId="77777777" w:rsidR="00F71427" w:rsidRPr="006E7D8F" w:rsidRDefault="00F71427" w:rsidP="00EB329C">
            <w:pPr>
              <w:pStyle w:val="ExhibitText"/>
              <w:jc w:val="right"/>
              <w:rPr>
                <w:color w:val="000000"/>
                <w:sz w:val="18"/>
                <w:szCs w:val="18"/>
              </w:rPr>
            </w:pPr>
            <w:r w:rsidRPr="006E7D8F">
              <w:rPr>
                <w:color w:val="000000"/>
                <w:sz w:val="18"/>
                <w:szCs w:val="18"/>
              </w:rPr>
              <w:t>13.26</w:t>
            </w:r>
          </w:p>
        </w:tc>
      </w:tr>
      <w:tr w:rsidR="00F71427" w:rsidRPr="006E7D8F" w14:paraId="3327C8F3" w14:textId="77777777" w:rsidTr="00642D25">
        <w:trPr>
          <w:trHeight w:val="288"/>
          <w:jc w:val="center"/>
        </w:trPr>
        <w:tc>
          <w:tcPr>
            <w:tcW w:w="4410" w:type="dxa"/>
            <w:gridSpan w:val="2"/>
            <w:tcBorders>
              <w:top w:val="nil"/>
              <w:left w:val="nil"/>
            </w:tcBorders>
            <w:shd w:val="clear" w:color="auto" w:fill="auto"/>
            <w:vAlign w:val="center"/>
            <w:hideMark/>
          </w:tcPr>
          <w:p w14:paraId="16E6DBCF" w14:textId="77777777" w:rsidR="00F71427" w:rsidRPr="006E7D8F" w:rsidRDefault="00F71427" w:rsidP="00EB329C">
            <w:pPr>
              <w:pStyle w:val="ExhibitText"/>
              <w:jc w:val="left"/>
              <w:rPr>
                <w:sz w:val="18"/>
                <w:szCs w:val="18"/>
              </w:rPr>
            </w:pPr>
            <w:r w:rsidRPr="006E7D8F">
              <w:rPr>
                <w:sz w:val="18"/>
                <w:szCs w:val="18"/>
              </w:rPr>
              <w:t xml:space="preserve">Asset turnover ratio </w:t>
            </w:r>
          </w:p>
          <w:p w14:paraId="318B5F5A" w14:textId="77777777" w:rsidR="00F71427" w:rsidRPr="006E7D8F" w:rsidRDefault="00F71427" w:rsidP="00EB329C">
            <w:pPr>
              <w:pStyle w:val="ExhibitText"/>
              <w:jc w:val="left"/>
              <w:rPr>
                <w:sz w:val="18"/>
                <w:szCs w:val="18"/>
              </w:rPr>
            </w:pPr>
            <w:r w:rsidRPr="006E7D8F">
              <w:rPr>
                <w:sz w:val="18"/>
                <w:szCs w:val="18"/>
              </w:rPr>
              <w:t>(</w:t>
            </w:r>
            <w:r w:rsidR="0043511E" w:rsidRPr="006E7D8F">
              <w:rPr>
                <w:sz w:val="18"/>
                <w:szCs w:val="18"/>
              </w:rPr>
              <w:t>g</w:t>
            </w:r>
            <w:r w:rsidRPr="006E7D8F">
              <w:rPr>
                <w:sz w:val="18"/>
                <w:szCs w:val="18"/>
              </w:rPr>
              <w:t>ross revenues</w:t>
            </w:r>
            <w:r w:rsidR="0043511E" w:rsidRPr="006E7D8F">
              <w:rPr>
                <w:sz w:val="18"/>
                <w:szCs w:val="18"/>
              </w:rPr>
              <w:t xml:space="preserve"> ÷</w:t>
            </w:r>
            <w:r w:rsidRPr="006E7D8F">
              <w:rPr>
                <w:sz w:val="18"/>
                <w:szCs w:val="18"/>
              </w:rPr>
              <w:t xml:space="preserve"> </w:t>
            </w:r>
            <w:r w:rsidR="0043511E" w:rsidRPr="006E7D8F">
              <w:rPr>
                <w:sz w:val="18"/>
                <w:szCs w:val="18"/>
              </w:rPr>
              <w:t>a</w:t>
            </w:r>
            <w:r w:rsidRPr="006E7D8F">
              <w:rPr>
                <w:sz w:val="18"/>
                <w:szCs w:val="18"/>
              </w:rPr>
              <w:t>verage total assets)</w:t>
            </w:r>
          </w:p>
        </w:tc>
        <w:tc>
          <w:tcPr>
            <w:tcW w:w="967" w:type="dxa"/>
            <w:tcBorders>
              <w:top w:val="nil"/>
              <w:left w:val="nil"/>
              <w:bottom w:val="nil"/>
              <w:right w:val="nil"/>
            </w:tcBorders>
            <w:shd w:val="clear" w:color="auto" w:fill="auto"/>
            <w:noWrap/>
            <w:vAlign w:val="center"/>
            <w:hideMark/>
          </w:tcPr>
          <w:p w14:paraId="4AD5E0A7" w14:textId="77777777" w:rsidR="00F71427" w:rsidRPr="006E7D8F" w:rsidRDefault="00F71427" w:rsidP="00EB329C">
            <w:pPr>
              <w:pStyle w:val="ExhibitText"/>
              <w:jc w:val="right"/>
              <w:rPr>
                <w:sz w:val="18"/>
                <w:szCs w:val="18"/>
              </w:rPr>
            </w:pPr>
            <w:r w:rsidRPr="006E7D8F">
              <w:rPr>
                <w:sz w:val="18"/>
                <w:szCs w:val="18"/>
              </w:rPr>
              <w:t>10.67</w:t>
            </w:r>
          </w:p>
        </w:tc>
        <w:tc>
          <w:tcPr>
            <w:tcW w:w="968" w:type="dxa"/>
            <w:tcBorders>
              <w:top w:val="nil"/>
              <w:left w:val="nil"/>
              <w:bottom w:val="nil"/>
              <w:right w:val="nil"/>
            </w:tcBorders>
            <w:shd w:val="clear" w:color="auto" w:fill="auto"/>
            <w:noWrap/>
            <w:vAlign w:val="center"/>
            <w:hideMark/>
          </w:tcPr>
          <w:p w14:paraId="0A184229" w14:textId="77777777" w:rsidR="00F71427" w:rsidRPr="006E7D8F" w:rsidRDefault="00F71427" w:rsidP="00EB329C">
            <w:pPr>
              <w:pStyle w:val="ExhibitText"/>
              <w:jc w:val="right"/>
              <w:rPr>
                <w:sz w:val="18"/>
                <w:szCs w:val="18"/>
              </w:rPr>
            </w:pPr>
            <w:r w:rsidRPr="006E7D8F">
              <w:rPr>
                <w:sz w:val="18"/>
                <w:szCs w:val="18"/>
              </w:rPr>
              <w:t>10.64</w:t>
            </w:r>
          </w:p>
        </w:tc>
        <w:tc>
          <w:tcPr>
            <w:tcW w:w="967" w:type="dxa"/>
            <w:tcBorders>
              <w:top w:val="nil"/>
              <w:left w:val="nil"/>
              <w:bottom w:val="nil"/>
              <w:right w:val="nil"/>
            </w:tcBorders>
            <w:shd w:val="clear" w:color="auto" w:fill="auto"/>
            <w:noWrap/>
            <w:vAlign w:val="center"/>
            <w:hideMark/>
          </w:tcPr>
          <w:p w14:paraId="5FAECA0D" w14:textId="77777777" w:rsidR="00F71427" w:rsidRPr="006E7D8F" w:rsidRDefault="00F71427" w:rsidP="00EB329C">
            <w:pPr>
              <w:pStyle w:val="ExhibitText"/>
              <w:jc w:val="right"/>
              <w:rPr>
                <w:sz w:val="18"/>
                <w:szCs w:val="18"/>
              </w:rPr>
            </w:pPr>
            <w:r w:rsidRPr="006E7D8F">
              <w:rPr>
                <w:sz w:val="18"/>
                <w:szCs w:val="18"/>
              </w:rPr>
              <w:t>10.41</w:t>
            </w:r>
          </w:p>
        </w:tc>
        <w:tc>
          <w:tcPr>
            <w:tcW w:w="968" w:type="dxa"/>
            <w:tcBorders>
              <w:top w:val="nil"/>
              <w:left w:val="nil"/>
              <w:bottom w:val="nil"/>
              <w:right w:val="single" w:sz="4" w:space="0" w:color="auto"/>
            </w:tcBorders>
            <w:shd w:val="clear" w:color="auto" w:fill="auto"/>
            <w:noWrap/>
            <w:vAlign w:val="center"/>
            <w:hideMark/>
          </w:tcPr>
          <w:p w14:paraId="4F8A468A" w14:textId="77777777" w:rsidR="00F71427" w:rsidRPr="006E7D8F" w:rsidRDefault="00F71427" w:rsidP="00EB329C">
            <w:pPr>
              <w:pStyle w:val="ExhibitText"/>
              <w:jc w:val="right"/>
              <w:rPr>
                <w:sz w:val="18"/>
                <w:szCs w:val="18"/>
              </w:rPr>
            </w:pPr>
            <w:r w:rsidRPr="006E7D8F">
              <w:rPr>
                <w:sz w:val="18"/>
                <w:szCs w:val="18"/>
              </w:rPr>
              <w:t>9.71</w:t>
            </w:r>
          </w:p>
        </w:tc>
        <w:tc>
          <w:tcPr>
            <w:tcW w:w="1080" w:type="dxa"/>
            <w:tcBorders>
              <w:top w:val="nil"/>
              <w:left w:val="nil"/>
              <w:bottom w:val="nil"/>
              <w:right w:val="nil"/>
            </w:tcBorders>
            <w:shd w:val="clear" w:color="auto" w:fill="auto"/>
            <w:noWrap/>
            <w:vAlign w:val="center"/>
            <w:hideMark/>
          </w:tcPr>
          <w:p w14:paraId="06C0F29B" w14:textId="77777777" w:rsidR="00F71427" w:rsidRPr="006E7D8F" w:rsidRDefault="00F71427" w:rsidP="00EB329C">
            <w:pPr>
              <w:pStyle w:val="ExhibitText"/>
              <w:jc w:val="right"/>
              <w:rPr>
                <w:color w:val="000000"/>
                <w:sz w:val="18"/>
                <w:szCs w:val="18"/>
              </w:rPr>
            </w:pPr>
            <w:r w:rsidRPr="006E7D8F">
              <w:rPr>
                <w:color w:val="000000"/>
                <w:sz w:val="18"/>
                <w:szCs w:val="18"/>
              </w:rPr>
              <w:t>10.33</w:t>
            </w:r>
          </w:p>
        </w:tc>
      </w:tr>
      <w:tr w:rsidR="00F71427" w:rsidRPr="006E7D8F" w14:paraId="3DEB9203" w14:textId="77777777" w:rsidTr="00642D25">
        <w:trPr>
          <w:trHeight w:val="288"/>
          <w:jc w:val="center"/>
        </w:trPr>
        <w:tc>
          <w:tcPr>
            <w:tcW w:w="4410" w:type="dxa"/>
            <w:gridSpan w:val="2"/>
            <w:tcBorders>
              <w:top w:val="nil"/>
              <w:left w:val="nil"/>
            </w:tcBorders>
            <w:shd w:val="clear" w:color="auto" w:fill="auto"/>
            <w:vAlign w:val="center"/>
            <w:hideMark/>
          </w:tcPr>
          <w:p w14:paraId="1854E54D" w14:textId="77777777" w:rsidR="00F71427" w:rsidRPr="006E7D8F" w:rsidRDefault="00F71427" w:rsidP="00EB329C">
            <w:pPr>
              <w:pStyle w:val="ExhibitText"/>
              <w:jc w:val="left"/>
              <w:rPr>
                <w:sz w:val="18"/>
                <w:szCs w:val="18"/>
              </w:rPr>
            </w:pPr>
            <w:r w:rsidRPr="006E7D8F">
              <w:rPr>
                <w:sz w:val="18"/>
                <w:szCs w:val="18"/>
              </w:rPr>
              <w:t xml:space="preserve">Operating profits margin </w:t>
            </w:r>
          </w:p>
          <w:p w14:paraId="0BED7858" w14:textId="77777777" w:rsidR="00F71427" w:rsidRPr="006E7D8F" w:rsidRDefault="00F71427" w:rsidP="00EB329C">
            <w:pPr>
              <w:pStyle w:val="ExhibitText"/>
              <w:jc w:val="left"/>
              <w:rPr>
                <w:sz w:val="18"/>
                <w:szCs w:val="18"/>
              </w:rPr>
            </w:pPr>
            <w:r w:rsidRPr="006E7D8F">
              <w:rPr>
                <w:sz w:val="18"/>
                <w:szCs w:val="18"/>
              </w:rPr>
              <w:t>(</w:t>
            </w:r>
            <w:r w:rsidR="0043511E" w:rsidRPr="006E7D8F">
              <w:rPr>
                <w:sz w:val="18"/>
                <w:szCs w:val="18"/>
              </w:rPr>
              <w:t>o</w:t>
            </w:r>
            <w:r w:rsidRPr="006E7D8F">
              <w:rPr>
                <w:sz w:val="18"/>
                <w:szCs w:val="18"/>
              </w:rPr>
              <w:t>perating profits</w:t>
            </w:r>
            <w:r w:rsidR="0043511E" w:rsidRPr="006E7D8F">
              <w:rPr>
                <w:sz w:val="18"/>
                <w:szCs w:val="18"/>
              </w:rPr>
              <w:t xml:space="preserve"> ÷ g</w:t>
            </w:r>
            <w:r w:rsidRPr="006E7D8F">
              <w:rPr>
                <w:sz w:val="18"/>
                <w:szCs w:val="18"/>
              </w:rPr>
              <w:t>ross revenues)</w:t>
            </w:r>
          </w:p>
        </w:tc>
        <w:tc>
          <w:tcPr>
            <w:tcW w:w="967" w:type="dxa"/>
            <w:tcBorders>
              <w:top w:val="nil"/>
              <w:left w:val="nil"/>
              <w:bottom w:val="nil"/>
              <w:right w:val="nil"/>
            </w:tcBorders>
            <w:shd w:val="clear" w:color="auto" w:fill="auto"/>
            <w:noWrap/>
            <w:vAlign w:val="center"/>
            <w:hideMark/>
          </w:tcPr>
          <w:p w14:paraId="302E7261" w14:textId="77777777" w:rsidR="00F71427" w:rsidRPr="006E7D8F" w:rsidRDefault="00F71427" w:rsidP="00EB329C">
            <w:pPr>
              <w:pStyle w:val="ExhibitText"/>
              <w:jc w:val="right"/>
              <w:rPr>
                <w:sz w:val="18"/>
                <w:szCs w:val="18"/>
              </w:rPr>
            </w:pPr>
            <w:r w:rsidRPr="006E7D8F">
              <w:rPr>
                <w:sz w:val="18"/>
                <w:szCs w:val="18"/>
              </w:rPr>
              <w:t>15.81</w:t>
            </w:r>
          </w:p>
        </w:tc>
        <w:tc>
          <w:tcPr>
            <w:tcW w:w="968" w:type="dxa"/>
            <w:tcBorders>
              <w:top w:val="nil"/>
              <w:left w:val="nil"/>
              <w:bottom w:val="nil"/>
              <w:right w:val="nil"/>
            </w:tcBorders>
            <w:shd w:val="clear" w:color="auto" w:fill="auto"/>
            <w:noWrap/>
            <w:vAlign w:val="center"/>
            <w:hideMark/>
          </w:tcPr>
          <w:p w14:paraId="00E6C5BD" w14:textId="77777777" w:rsidR="00F71427" w:rsidRPr="006E7D8F" w:rsidRDefault="00F71427" w:rsidP="00EB329C">
            <w:pPr>
              <w:pStyle w:val="ExhibitText"/>
              <w:jc w:val="right"/>
              <w:rPr>
                <w:sz w:val="18"/>
                <w:szCs w:val="18"/>
              </w:rPr>
            </w:pPr>
            <w:r w:rsidRPr="006E7D8F">
              <w:rPr>
                <w:sz w:val="18"/>
                <w:szCs w:val="18"/>
              </w:rPr>
              <w:t>15.65</w:t>
            </w:r>
          </w:p>
        </w:tc>
        <w:tc>
          <w:tcPr>
            <w:tcW w:w="967" w:type="dxa"/>
            <w:tcBorders>
              <w:top w:val="nil"/>
              <w:left w:val="nil"/>
              <w:bottom w:val="nil"/>
              <w:right w:val="nil"/>
            </w:tcBorders>
            <w:shd w:val="clear" w:color="auto" w:fill="auto"/>
            <w:noWrap/>
            <w:vAlign w:val="center"/>
            <w:hideMark/>
          </w:tcPr>
          <w:p w14:paraId="303C969D" w14:textId="77777777" w:rsidR="00F71427" w:rsidRPr="006E7D8F" w:rsidRDefault="00F71427" w:rsidP="00EB329C">
            <w:pPr>
              <w:pStyle w:val="ExhibitText"/>
              <w:jc w:val="right"/>
              <w:rPr>
                <w:sz w:val="18"/>
                <w:szCs w:val="18"/>
              </w:rPr>
            </w:pPr>
            <w:r w:rsidRPr="006E7D8F">
              <w:rPr>
                <w:sz w:val="18"/>
                <w:szCs w:val="18"/>
              </w:rPr>
              <w:t>15.21</w:t>
            </w:r>
          </w:p>
        </w:tc>
        <w:tc>
          <w:tcPr>
            <w:tcW w:w="968" w:type="dxa"/>
            <w:tcBorders>
              <w:top w:val="nil"/>
              <w:left w:val="nil"/>
              <w:bottom w:val="nil"/>
              <w:right w:val="single" w:sz="4" w:space="0" w:color="auto"/>
            </w:tcBorders>
            <w:shd w:val="clear" w:color="auto" w:fill="auto"/>
            <w:noWrap/>
            <w:vAlign w:val="center"/>
            <w:hideMark/>
          </w:tcPr>
          <w:p w14:paraId="1F6ACC4C" w14:textId="77777777" w:rsidR="00F71427" w:rsidRPr="006E7D8F" w:rsidRDefault="00F71427" w:rsidP="00EB329C">
            <w:pPr>
              <w:pStyle w:val="ExhibitText"/>
              <w:jc w:val="right"/>
              <w:rPr>
                <w:sz w:val="18"/>
                <w:szCs w:val="18"/>
              </w:rPr>
            </w:pPr>
            <w:r w:rsidRPr="006E7D8F">
              <w:rPr>
                <w:sz w:val="18"/>
                <w:szCs w:val="18"/>
              </w:rPr>
              <w:t>18.30</w:t>
            </w:r>
          </w:p>
        </w:tc>
        <w:tc>
          <w:tcPr>
            <w:tcW w:w="1080" w:type="dxa"/>
            <w:tcBorders>
              <w:top w:val="nil"/>
              <w:left w:val="nil"/>
              <w:bottom w:val="nil"/>
              <w:right w:val="nil"/>
            </w:tcBorders>
            <w:shd w:val="clear" w:color="auto" w:fill="auto"/>
            <w:noWrap/>
            <w:vAlign w:val="center"/>
            <w:hideMark/>
          </w:tcPr>
          <w:p w14:paraId="5F2C349F" w14:textId="77777777" w:rsidR="00F71427" w:rsidRPr="006E7D8F" w:rsidRDefault="00F71427" w:rsidP="00EB329C">
            <w:pPr>
              <w:pStyle w:val="ExhibitText"/>
              <w:jc w:val="right"/>
              <w:rPr>
                <w:color w:val="000000"/>
                <w:sz w:val="18"/>
                <w:szCs w:val="18"/>
              </w:rPr>
            </w:pPr>
            <w:r w:rsidRPr="006E7D8F">
              <w:rPr>
                <w:color w:val="000000"/>
                <w:sz w:val="18"/>
                <w:szCs w:val="18"/>
              </w:rPr>
              <w:t>27.96</w:t>
            </w:r>
          </w:p>
        </w:tc>
      </w:tr>
      <w:tr w:rsidR="00F71427" w:rsidRPr="006E7D8F" w14:paraId="521C0CA0" w14:textId="77777777" w:rsidTr="00642D25">
        <w:trPr>
          <w:trHeight w:val="288"/>
          <w:jc w:val="center"/>
        </w:trPr>
        <w:tc>
          <w:tcPr>
            <w:tcW w:w="3420" w:type="dxa"/>
            <w:tcBorders>
              <w:top w:val="nil"/>
              <w:left w:val="nil"/>
            </w:tcBorders>
            <w:shd w:val="clear" w:color="auto" w:fill="auto"/>
            <w:vAlign w:val="center"/>
            <w:hideMark/>
          </w:tcPr>
          <w:p w14:paraId="114D61F2" w14:textId="77777777" w:rsidR="00F71427" w:rsidRPr="006E7D8F" w:rsidRDefault="00F71427" w:rsidP="00903380">
            <w:pPr>
              <w:pStyle w:val="ExhibitText"/>
              <w:jc w:val="left"/>
              <w:rPr>
                <w:sz w:val="18"/>
                <w:szCs w:val="18"/>
              </w:rPr>
            </w:pPr>
            <w:r w:rsidRPr="006E7D8F">
              <w:rPr>
                <w:sz w:val="18"/>
                <w:szCs w:val="18"/>
              </w:rPr>
              <w:t xml:space="preserve">Provision for </w:t>
            </w:r>
            <w:r w:rsidR="0083746B" w:rsidRPr="006E7D8F">
              <w:rPr>
                <w:sz w:val="18"/>
                <w:szCs w:val="18"/>
              </w:rPr>
              <w:t>NPA</w:t>
            </w:r>
            <w:r w:rsidR="00972E98" w:rsidRPr="006E7D8F">
              <w:rPr>
                <w:sz w:val="18"/>
                <w:szCs w:val="18"/>
              </w:rPr>
              <w:t xml:space="preserve"> </w:t>
            </w:r>
            <w:r w:rsidR="00903380" w:rsidRPr="006E7D8F">
              <w:rPr>
                <w:sz w:val="18"/>
                <w:szCs w:val="18"/>
              </w:rPr>
              <w:t xml:space="preserve">as % of </w:t>
            </w:r>
            <w:r w:rsidR="0043511E" w:rsidRPr="006E7D8F">
              <w:rPr>
                <w:sz w:val="18"/>
                <w:szCs w:val="18"/>
              </w:rPr>
              <w:t>g</w:t>
            </w:r>
            <w:r w:rsidRPr="006E7D8F">
              <w:rPr>
                <w:sz w:val="18"/>
                <w:szCs w:val="18"/>
              </w:rPr>
              <w:t>ross revenues</w:t>
            </w:r>
          </w:p>
        </w:tc>
        <w:tc>
          <w:tcPr>
            <w:tcW w:w="990" w:type="dxa"/>
            <w:tcBorders>
              <w:top w:val="nil"/>
              <w:left w:val="nil"/>
              <w:bottom w:val="nil"/>
              <w:right w:val="nil"/>
            </w:tcBorders>
            <w:shd w:val="clear" w:color="auto" w:fill="auto"/>
            <w:noWrap/>
            <w:hideMark/>
          </w:tcPr>
          <w:p w14:paraId="60B3471F" w14:textId="77777777" w:rsidR="00F71427" w:rsidRPr="006E7D8F" w:rsidRDefault="00F71427" w:rsidP="00F71427">
            <w:pPr>
              <w:pStyle w:val="ExhibitText"/>
              <w:rPr>
                <w:sz w:val="18"/>
                <w:szCs w:val="18"/>
              </w:rPr>
            </w:pPr>
          </w:p>
        </w:tc>
        <w:tc>
          <w:tcPr>
            <w:tcW w:w="967" w:type="dxa"/>
            <w:tcBorders>
              <w:top w:val="nil"/>
              <w:left w:val="nil"/>
              <w:bottom w:val="nil"/>
              <w:right w:val="nil"/>
            </w:tcBorders>
            <w:shd w:val="clear" w:color="auto" w:fill="auto"/>
            <w:noWrap/>
            <w:vAlign w:val="center"/>
            <w:hideMark/>
          </w:tcPr>
          <w:p w14:paraId="58BC51AB" w14:textId="77777777" w:rsidR="00F71427" w:rsidRPr="006E7D8F" w:rsidRDefault="00F71427" w:rsidP="00EB329C">
            <w:pPr>
              <w:pStyle w:val="ExhibitText"/>
              <w:jc w:val="right"/>
              <w:rPr>
                <w:sz w:val="18"/>
                <w:szCs w:val="18"/>
              </w:rPr>
            </w:pPr>
            <w:r w:rsidRPr="006E7D8F">
              <w:rPr>
                <w:sz w:val="18"/>
                <w:szCs w:val="18"/>
              </w:rPr>
              <w:t>8.65</w:t>
            </w:r>
          </w:p>
        </w:tc>
        <w:tc>
          <w:tcPr>
            <w:tcW w:w="968" w:type="dxa"/>
            <w:tcBorders>
              <w:top w:val="nil"/>
              <w:left w:val="nil"/>
              <w:bottom w:val="nil"/>
              <w:right w:val="nil"/>
            </w:tcBorders>
            <w:shd w:val="clear" w:color="auto" w:fill="auto"/>
            <w:noWrap/>
            <w:vAlign w:val="center"/>
            <w:hideMark/>
          </w:tcPr>
          <w:p w14:paraId="4B95EC0E" w14:textId="77777777" w:rsidR="00F71427" w:rsidRPr="006E7D8F" w:rsidRDefault="00F71427" w:rsidP="00EB329C">
            <w:pPr>
              <w:pStyle w:val="ExhibitText"/>
              <w:jc w:val="right"/>
              <w:rPr>
                <w:sz w:val="18"/>
                <w:szCs w:val="18"/>
              </w:rPr>
            </w:pPr>
            <w:r w:rsidRPr="006E7D8F">
              <w:rPr>
                <w:sz w:val="18"/>
                <w:szCs w:val="18"/>
              </w:rPr>
              <w:t>9.48</w:t>
            </w:r>
          </w:p>
        </w:tc>
        <w:tc>
          <w:tcPr>
            <w:tcW w:w="967" w:type="dxa"/>
            <w:tcBorders>
              <w:top w:val="nil"/>
              <w:left w:val="nil"/>
              <w:bottom w:val="nil"/>
              <w:right w:val="nil"/>
            </w:tcBorders>
            <w:shd w:val="clear" w:color="auto" w:fill="auto"/>
            <w:noWrap/>
            <w:vAlign w:val="center"/>
            <w:hideMark/>
          </w:tcPr>
          <w:p w14:paraId="518DB43E" w14:textId="77777777" w:rsidR="00F71427" w:rsidRPr="006E7D8F" w:rsidRDefault="00F71427" w:rsidP="00EB329C">
            <w:pPr>
              <w:pStyle w:val="ExhibitText"/>
              <w:jc w:val="right"/>
              <w:rPr>
                <w:sz w:val="18"/>
                <w:szCs w:val="18"/>
              </w:rPr>
            </w:pPr>
            <w:r w:rsidRPr="006E7D8F">
              <w:rPr>
                <w:sz w:val="18"/>
                <w:szCs w:val="18"/>
              </w:rPr>
              <w:t>10.47</w:t>
            </w:r>
          </w:p>
        </w:tc>
        <w:tc>
          <w:tcPr>
            <w:tcW w:w="968" w:type="dxa"/>
            <w:tcBorders>
              <w:top w:val="nil"/>
              <w:left w:val="nil"/>
              <w:bottom w:val="nil"/>
              <w:right w:val="single" w:sz="4" w:space="0" w:color="auto"/>
            </w:tcBorders>
            <w:shd w:val="clear" w:color="auto" w:fill="auto"/>
            <w:noWrap/>
            <w:vAlign w:val="center"/>
            <w:hideMark/>
          </w:tcPr>
          <w:p w14:paraId="4448A296" w14:textId="77777777" w:rsidR="00F71427" w:rsidRPr="006E7D8F" w:rsidRDefault="00F71427" w:rsidP="00EB329C">
            <w:pPr>
              <w:pStyle w:val="ExhibitText"/>
              <w:jc w:val="right"/>
              <w:rPr>
                <w:sz w:val="18"/>
                <w:szCs w:val="18"/>
              </w:rPr>
            </w:pPr>
            <w:r w:rsidRPr="006E7D8F">
              <w:rPr>
                <w:sz w:val="18"/>
                <w:szCs w:val="18"/>
              </w:rPr>
              <w:t>13.63</w:t>
            </w:r>
          </w:p>
        </w:tc>
        <w:tc>
          <w:tcPr>
            <w:tcW w:w="1080" w:type="dxa"/>
            <w:tcBorders>
              <w:top w:val="nil"/>
              <w:left w:val="nil"/>
              <w:bottom w:val="nil"/>
              <w:right w:val="nil"/>
            </w:tcBorders>
            <w:shd w:val="clear" w:color="auto" w:fill="auto"/>
            <w:noWrap/>
            <w:vAlign w:val="center"/>
            <w:hideMark/>
          </w:tcPr>
          <w:p w14:paraId="31923C32" w14:textId="77777777" w:rsidR="00F71427" w:rsidRPr="006E7D8F" w:rsidRDefault="00F71427" w:rsidP="00EB329C">
            <w:pPr>
              <w:pStyle w:val="ExhibitText"/>
              <w:jc w:val="right"/>
              <w:rPr>
                <w:color w:val="000000"/>
                <w:sz w:val="18"/>
                <w:szCs w:val="18"/>
              </w:rPr>
            </w:pPr>
            <w:r w:rsidRPr="006E7D8F">
              <w:rPr>
                <w:color w:val="000000"/>
                <w:sz w:val="18"/>
                <w:szCs w:val="18"/>
              </w:rPr>
              <w:t>14.70</w:t>
            </w:r>
          </w:p>
        </w:tc>
      </w:tr>
      <w:tr w:rsidR="00F71427" w:rsidRPr="006E7D8F" w14:paraId="4466BB51" w14:textId="77777777" w:rsidTr="00642D25">
        <w:trPr>
          <w:trHeight w:val="288"/>
          <w:jc w:val="center"/>
        </w:trPr>
        <w:tc>
          <w:tcPr>
            <w:tcW w:w="3420" w:type="dxa"/>
            <w:tcBorders>
              <w:top w:val="nil"/>
              <w:left w:val="nil"/>
            </w:tcBorders>
            <w:shd w:val="clear" w:color="auto" w:fill="auto"/>
            <w:vAlign w:val="center"/>
            <w:hideMark/>
          </w:tcPr>
          <w:p w14:paraId="191D3463" w14:textId="77777777" w:rsidR="00F71427" w:rsidRPr="006E7D8F" w:rsidRDefault="00F71427" w:rsidP="00EB329C">
            <w:pPr>
              <w:pStyle w:val="ExhibitText"/>
              <w:jc w:val="left"/>
              <w:rPr>
                <w:sz w:val="18"/>
                <w:szCs w:val="18"/>
              </w:rPr>
            </w:pPr>
            <w:r w:rsidRPr="006E7D8F">
              <w:rPr>
                <w:sz w:val="18"/>
                <w:szCs w:val="18"/>
              </w:rPr>
              <w:t>Return on advances</w:t>
            </w:r>
          </w:p>
        </w:tc>
        <w:tc>
          <w:tcPr>
            <w:tcW w:w="990" w:type="dxa"/>
            <w:tcBorders>
              <w:top w:val="nil"/>
              <w:left w:val="nil"/>
              <w:bottom w:val="nil"/>
              <w:right w:val="nil"/>
            </w:tcBorders>
            <w:shd w:val="clear" w:color="auto" w:fill="auto"/>
            <w:noWrap/>
            <w:hideMark/>
          </w:tcPr>
          <w:p w14:paraId="106F80C6" w14:textId="77777777" w:rsidR="00F71427" w:rsidRPr="006E7D8F" w:rsidRDefault="00F71427" w:rsidP="00F71427">
            <w:pPr>
              <w:pStyle w:val="ExhibitText"/>
              <w:rPr>
                <w:sz w:val="18"/>
                <w:szCs w:val="18"/>
              </w:rPr>
            </w:pPr>
          </w:p>
        </w:tc>
        <w:tc>
          <w:tcPr>
            <w:tcW w:w="967" w:type="dxa"/>
            <w:tcBorders>
              <w:top w:val="nil"/>
              <w:left w:val="nil"/>
              <w:bottom w:val="nil"/>
              <w:right w:val="nil"/>
            </w:tcBorders>
            <w:shd w:val="clear" w:color="auto" w:fill="auto"/>
            <w:noWrap/>
            <w:vAlign w:val="center"/>
            <w:hideMark/>
          </w:tcPr>
          <w:p w14:paraId="20ABF85C" w14:textId="77777777" w:rsidR="00F71427" w:rsidRPr="006E7D8F" w:rsidRDefault="00F71427" w:rsidP="00EB329C">
            <w:pPr>
              <w:pStyle w:val="ExhibitText"/>
              <w:jc w:val="right"/>
              <w:rPr>
                <w:sz w:val="18"/>
                <w:szCs w:val="18"/>
              </w:rPr>
            </w:pPr>
            <w:r w:rsidRPr="006E7D8F">
              <w:rPr>
                <w:sz w:val="18"/>
                <w:szCs w:val="18"/>
              </w:rPr>
              <w:t>12.13</w:t>
            </w:r>
          </w:p>
        </w:tc>
        <w:tc>
          <w:tcPr>
            <w:tcW w:w="968" w:type="dxa"/>
            <w:tcBorders>
              <w:top w:val="nil"/>
              <w:left w:val="nil"/>
              <w:bottom w:val="nil"/>
              <w:right w:val="nil"/>
            </w:tcBorders>
            <w:shd w:val="clear" w:color="auto" w:fill="auto"/>
            <w:noWrap/>
            <w:vAlign w:val="center"/>
            <w:hideMark/>
          </w:tcPr>
          <w:p w14:paraId="00639F64" w14:textId="77777777" w:rsidR="00F71427" w:rsidRPr="006E7D8F" w:rsidRDefault="00F71427" w:rsidP="00EB329C">
            <w:pPr>
              <w:pStyle w:val="ExhibitText"/>
              <w:jc w:val="right"/>
              <w:rPr>
                <w:sz w:val="18"/>
                <w:szCs w:val="18"/>
              </w:rPr>
            </w:pPr>
            <w:r w:rsidRPr="006E7D8F">
              <w:rPr>
                <w:sz w:val="18"/>
                <w:szCs w:val="18"/>
              </w:rPr>
              <w:t>11.75</w:t>
            </w:r>
          </w:p>
        </w:tc>
        <w:tc>
          <w:tcPr>
            <w:tcW w:w="967" w:type="dxa"/>
            <w:tcBorders>
              <w:top w:val="nil"/>
              <w:left w:val="nil"/>
              <w:bottom w:val="nil"/>
              <w:right w:val="nil"/>
            </w:tcBorders>
            <w:shd w:val="clear" w:color="auto" w:fill="auto"/>
            <w:noWrap/>
            <w:vAlign w:val="center"/>
            <w:hideMark/>
          </w:tcPr>
          <w:p w14:paraId="08E67B20" w14:textId="77777777" w:rsidR="00F71427" w:rsidRPr="006E7D8F" w:rsidRDefault="00F71427" w:rsidP="00EB329C">
            <w:pPr>
              <w:pStyle w:val="ExhibitText"/>
              <w:jc w:val="right"/>
              <w:rPr>
                <w:sz w:val="18"/>
                <w:szCs w:val="18"/>
              </w:rPr>
            </w:pPr>
            <w:r w:rsidRPr="006E7D8F">
              <w:rPr>
                <w:sz w:val="18"/>
                <w:szCs w:val="18"/>
              </w:rPr>
              <w:t>11.71</w:t>
            </w:r>
          </w:p>
        </w:tc>
        <w:tc>
          <w:tcPr>
            <w:tcW w:w="968" w:type="dxa"/>
            <w:tcBorders>
              <w:top w:val="nil"/>
              <w:left w:val="nil"/>
              <w:bottom w:val="nil"/>
              <w:right w:val="single" w:sz="4" w:space="0" w:color="auto"/>
            </w:tcBorders>
            <w:shd w:val="clear" w:color="auto" w:fill="auto"/>
            <w:noWrap/>
            <w:vAlign w:val="center"/>
            <w:hideMark/>
          </w:tcPr>
          <w:p w14:paraId="0D0E2C28" w14:textId="77777777" w:rsidR="00F71427" w:rsidRPr="006E7D8F" w:rsidRDefault="00F71427" w:rsidP="00EB329C">
            <w:pPr>
              <w:pStyle w:val="ExhibitText"/>
              <w:jc w:val="right"/>
              <w:rPr>
                <w:sz w:val="18"/>
                <w:szCs w:val="18"/>
              </w:rPr>
            </w:pPr>
            <w:r w:rsidRPr="006E7D8F">
              <w:rPr>
                <w:sz w:val="18"/>
                <w:szCs w:val="18"/>
              </w:rPr>
              <w:t>10.50</w:t>
            </w:r>
          </w:p>
        </w:tc>
        <w:tc>
          <w:tcPr>
            <w:tcW w:w="1080" w:type="dxa"/>
            <w:tcBorders>
              <w:top w:val="nil"/>
              <w:left w:val="nil"/>
              <w:bottom w:val="nil"/>
              <w:right w:val="nil"/>
            </w:tcBorders>
            <w:shd w:val="clear" w:color="auto" w:fill="auto"/>
            <w:noWrap/>
            <w:vAlign w:val="center"/>
            <w:hideMark/>
          </w:tcPr>
          <w:p w14:paraId="73C0BEDB" w14:textId="77777777" w:rsidR="00F71427" w:rsidRPr="006E7D8F" w:rsidRDefault="00F71427" w:rsidP="00EB329C">
            <w:pPr>
              <w:pStyle w:val="ExhibitText"/>
              <w:jc w:val="right"/>
              <w:rPr>
                <w:color w:val="000000"/>
                <w:sz w:val="18"/>
                <w:szCs w:val="18"/>
              </w:rPr>
            </w:pPr>
            <w:r w:rsidRPr="006E7D8F">
              <w:rPr>
                <w:color w:val="000000"/>
                <w:sz w:val="18"/>
                <w:szCs w:val="18"/>
              </w:rPr>
              <w:t>10.24</w:t>
            </w:r>
          </w:p>
        </w:tc>
      </w:tr>
      <w:tr w:rsidR="00F71427" w:rsidRPr="006E7D8F" w14:paraId="112FAEAE" w14:textId="77777777" w:rsidTr="00642D25">
        <w:trPr>
          <w:trHeight w:val="288"/>
          <w:jc w:val="center"/>
        </w:trPr>
        <w:tc>
          <w:tcPr>
            <w:tcW w:w="3420" w:type="dxa"/>
            <w:tcBorders>
              <w:top w:val="nil"/>
              <w:left w:val="nil"/>
            </w:tcBorders>
            <w:shd w:val="clear" w:color="auto" w:fill="auto"/>
            <w:vAlign w:val="center"/>
            <w:hideMark/>
          </w:tcPr>
          <w:p w14:paraId="342CEA9E" w14:textId="77777777" w:rsidR="00F71427" w:rsidRPr="006E7D8F" w:rsidRDefault="00F71427" w:rsidP="00EB329C">
            <w:pPr>
              <w:pStyle w:val="ExhibitText"/>
              <w:jc w:val="left"/>
              <w:rPr>
                <w:sz w:val="18"/>
                <w:szCs w:val="18"/>
              </w:rPr>
            </w:pPr>
            <w:r w:rsidRPr="006E7D8F">
              <w:rPr>
                <w:sz w:val="18"/>
                <w:szCs w:val="18"/>
              </w:rPr>
              <w:t>Return on investments and other assets</w:t>
            </w:r>
          </w:p>
        </w:tc>
        <w:tc>
          <w:tcPr>
            <w:tcW w:w="990" w:type="dxa"/>
            <w:tcBorders>
              <w:top w:val="nil"/>
              <w:left w:val="nil"/>
              <w:bottom w:val="nil"/>
              <w:right w:val="nil"/>
            </w:tcBorders>
            <w:shd w:val="clear" w:color="auto" w:fill="auto"/>
            <w:noWrap/>
            <w:hideMark/>
          </w:tcPr>
          <w:p w14:paraId="3A318139" w14:textId="77777777" w:rsidR="00F71427" w:rsidRPr="006E7D8F" w:rsidRDefault="00F71427" w:rsidP="00F71427">
            <w:pPr>
              <w:pStyle w:val="ExhibitText"/>
              <w:rPr>
                <w:sz w:val="18"/>
                <w:szCs w:val="18"/>
              </w:rPr>
            </w:pPr>
          </w:p>
        </w:tc>
        <w:tc>
          <w:tcPr>
            <w:tcW w:w="967" w:type="dxa"/>
            <w:tcBorders>
              <w:top w:val="nil"/>
              <w:left w:val="nil"/>
              <w:bottom w:val="nil"/>
              <w:right w:val="nil"/>
            </w:tcBorders>
            <w:shd w:val="clear" w:color="auto" w:fill="auto"/>
            <w:noWrap/>
            <w:vAlign w:val="center"/>
            <w:hideMark/>
          </w:tcPr>
          <w:p w14:paraId="183728AC" w14:textId="77777777" w:rsidR="00F71427" w:rsidRPr="006E7D8F" w:rsidRDefault="00F71427" w:rsidP="00EB329C">
            <w:pPr>
              <w:pStyle w:val="ExhibitText"/>
              <w:jc w:val="right"/>
              <w:rPr>
                <w:sz w:val="18"/>
                <w:szCs w:val="18"/>
              </w:rPr>
            </w:pPr>
            <w:r w:rsidRPr="006E7D8F">
              <w:rPr>
                <w:sz w:val="18"/>
                <w:szCs w:val="18"/>
              </w:rPr>
              <w:t>8.34</w:t>
            </w:r>
          </w:p>
        </w:tc>
        <w:tc>
          <w:tcPr>
            <w:tcW w:w="968" w:type="dxa"/>
            <w:tcBorders>
              <w:top w:val="nil"/>
              <w:left w:val="nil"/>
              <w:bottom w:val="nil"/>
              <w:right w:val="nil"/>
            </w:tcBorders>
            <w:shd w:val="clear" w:color="auto" w:fill="auto"/>
            <w:noWrap/>
            <w:vAlign w:val="center"/>
            <w:hideMark/>
          </w:tcPr>
          <w:p w14:paraId="17201478" w14:textId="77777777" w:rsidR="00F71427" w:rsidRPr="006E7D8F" w:rsidRDefault="00F71427" w:rsidP="00EB329C">
            <w:pPr>
              <w:pStyle w:val="ExhibitText"/>
              <w:jc w:val="right"/>
              <w:rPr>
                <w:sz w:val="18"/>
                <w:szCs w:val="18"/>
              </w:rPr>
            </w:pPr>
            <w:r w:rsidRPr="006E7D8F">
              <w:rPr>
                <w:sz w:val="18"/>
                <w:szCs w:val="18"/>
              </w:rPr>
              <w:t>8.85</w:t>
            </w:r>
          </w:p>
        </w:tc>
        <w:tc>
          <w:tcPr>
            <w:tcW w:w="967" w:type="dxa"/>
            <w:tcBorders>
              <w:top w:val="nil"/>
              <w:left w:val="nil"/>
              <w:bottom w:val="nil"/>
              <w:right w:val="nil"/>
            </w:tcBorders>
            <w:shd w:val="clear" w:color="auto" w:fill="auto"/>
            <w:noWrap/>
            <w:vAlign w:val="center"/>
            <w:hideMark/>
          </w:tcPr>
          <w:p w14:paraId="44BE0C18" w14:textId="77777777" w:rsidR="00F71427" w:rsidRPr="006E7D8F" w:rsidRDefault="00F71427" w:rsidP="00EB329C">
            <w:pPr>
              <w:pStyle w:val="ExhibitText"/>
              <w:jc w:val="right"/>
              <w:rPr>
                <w:sz w:val="18"/>
                <w:szCs w:val="18"/>
              </w:rPr>
            </w:pPr>
            <w:r w:rsidRPr="006E7D8F">
              <w:rPr>
                <w:sz w:val="18"/>
                <w:szCs w:val="18"/>
              </w:rPr>
              <w:t>8.55</w:t>
            </w:r>
          </w:p>
        </w:tc>
        <w:tc>
          <w:tcPr>
            <w:tcW w:w="968" w:type="dxa"/>
            <w:tcBorders>
              <w:top w:val="nil"/>
              <w:left w:val="nil"/>
              <w:bottom w:val="nil"/>
              <w:right w:val="single" w:sz="4" w:space="0" w:color="auto"/>
            </w:tcBorders>
            <w:shd w:val="clear" w:color="auto" w:fill="auto"/>
            <w:noWrap/>
            <w:vAlign w:val="center"/>
            <w:hideMark/>
          </w:tcPr>
          <w:p w14:paraId="49E2E004" w14:textId="77777777" w:rsidR="00F71427" w:rsidRPr="006E7D8F" w:rsidRDefault="00F71427" w:rsidP="00EB329C">
            <w:pPr>
              <w:pStyle w:val="ExhibitText"/>
              <w:jc w:val="right"/>
              <w:rPr>
                <w:sz w:val="18"/>
                <w:szCs w:val="18"/>
              </w:rPr>
            </w:pPr>
            <w:r w:rsidRPr="006E7D8F">
              <w:rPr>
                <w:sz w:val="18"/>
                <w:szCs w:val="18"/>
              </w:rPr>
              <w:t>8.56</w:t>
            </w:r>
          </w:p>
        </w:tc>
        <w:tc>
          <w:tcPr>
            <w:tcW w:w="1080" w:type="dxa"/>
            <w:tcBorders>
              <w:top w:val="nil"/>
              <w:left w:val="nil"/>
              <w:bottom w:val="nil"/>
              <w:right w:val="nil"/>
            </w:tcBorders>
            <w:shd w:val="clear" w:color="auto" w:fill="auto"/>
            <w:noWrap/>
            <w:vAlign w:val="center"/>
            <w:hideMark/>
          </w:tcPr>
          <w:p w14:paraId="1FB8D77E" w14:textId="77777777" w:rsidR="00F71427" w:rsidRPr="006E7D8F" w:rsidRDefault="00F71427" w:rsidP="00EB329C">
            <w:pPr>
              <w:pStyle w:val="ExhibitText"/>
              <w:jc w:val="right"/>
              <w:rPr>
                <w:color w:val="000000"/>
                <w:sz w:val="18"/>
                <w:szCs w:val="18"/>
              </w:rPr>
            </w:pPr>
            <w:r w:rsidRPr="006E7D8F">
              <w:rPr>
                <w:color w:val="000000"/>
                <w:sz w:val="18"/>
                <w:szCs w:val="18"/>
              </w:rPr>
              <w:t>10.54</w:t>
            </w:r>
          </w:p>
        </w:tc>
      </w:tr>
      <w:tr w:rsidR="00F71427" w:rsidRPr="006E7D8F" w14:paraId="0E83E6ED" w14:textId="77777777" w:rsidTr="00642D25">
        <w:trPr>
          <w:trHeight w:val="288"/>
          <w:jc w:val="center"/>
        </w:trPr>
        <w:tc>
          <w:tcPr>
            <w:tcW w:w="4410" w:type="dxa"/>
            <w:gridSpan w:val="2"/>
            <w:tcBorders>
              <w:top w:val="nil"/>
              <w:left w:val="nil"/>
            </w:tcBorders>
            <w:shd w:val="clear" w:color="auto" w:fill="auto"/>
            <w:vAlign w:val="center"/>
            <w:hideMark/>
          </w:tcPr>
          <w:p w14:paraId="6D4CFBA3" w14:textId="77777777" w:rsidR="00F71427" w:rsidRPr="006E7D8F" w:rsidRDefault="00F71427" w:rsidP="00EB329C">
            <w:pPr>
              <w:pStyle w:val="ExhibitText"/>
              <w:jc w:val="left"/>
              <w:rPr>
                <w:sz w:val="18"/>
                <w:szCs w:val="18"/>
              </w:rPr>
            </w:pPr>
            <w:r w:rsidRPr="006E7D8F">
              <w:rPr>
                <w:sz w:val="18"/>
                <w:szCs w:val="18"/>
              </w:rPr>
              <w:t xml:space="preserve">Net interest income as </w:t>
            </w:r>
            <w:r w:rsidR="00DB3309" w:rsidRPr="006E7D8F">
              <w:rPr>
                <w:sz w:val="18"/>
                <w:szCs w:val="18"/>
              </w:rPr>
              <w:t>%</w:t>
            </w:r>
            <w:r w:rsidRPr="006E7D8F">
              <w:rPr>
                <w:sz w:val="18"/>
                <w:szCs w:val="18"/>
              </w:rPr>
              <w:t xml:space="preserve"> of gross revenues</w:t>
            </w:r>
          </w:p>
        </w:tc>
        <w:tc>
          <w:tcPr>
            <w:tcW w:w="967" w:type="dxa"/>
            <w:tcBorders>
              <w:top w:val="nil"/>
              <w:left w:val="nil"/>
              <w:bottom w:val="nil"/>
              <w:right w:val="nil"/>
            </w:tcBorders>
            <w:shd w:val="clear" w:color="auto" w:fill="auto"/>
            <w:noWrap/>
            <w:vAlign w:val="center"/>
            <w:hideMark/>
          </w:tcPr>
          <w:p w14:paraId="3D5E7F6C" w14:textId="77777777" w:rsidR="00F71427" w:rsidRPr="006E7D8F" w:rsidRDefault="00F71427" w:rsidP="00EB329C">
            <w:pPr>
              <w:pStyle w:val="ExhibitText"/>
              <w:jc w:val="right"/>
              <w:rPr>
                <w:sz w:val="18"/>
                <w:szCs w:val="18"/>
              </w:rPr>
            </w:pPr>
            <w:r w:rsidRPr="006E7D8F">
              <w:rPr>
                <w:sz w:val="18"/>
                <w:szCs w:val="18"/>
              </w:rPr>
              <w:t>27.15</w:t>
            </w:r>
          </w:p>
        </w:tc>
        <w:tc>
          <w:tcPr>
            <w:tcW w:w="968" w:type="dxa"/>
            <w:tcBorders>
              <w:top w:val="nil"/>
              <w:left w:val="nil"/>
              <w:bottom w:val="nil"/>
              <w:right w:val="nil"/>
            </w:tcBorders>
            <w:shd w:val="clear" w:color="auto" w:fill="auto"/>
            <w:noWrap/>
            <w:vAlign w:val="center"/>
            <w:hideMark/>
          </w:tcPr>
          <w:p w14:paraId="6D4B1897" w14:textId="77777777" w:rsidR="00F71427" w:rsidRPr="006E7D8F" w:rsidRDefault="00F71427" w:rsidP="00EB329C">
            <w:pPr>
              <w:pStyle w:val="ExhibitText"/>
              <w:jc w:val="right"/>
              <w:rPr>
                <w:sz w:val="18"/>
                <w:szCs w:val="18"/>
              </w:rPr>
            </w:pPr>
            <w:r w:rsidRPr="006E7D8F">
              <w:rPr>
                <w:sz w:val="18"/>
                <w:szCs w:val="18"/>
              </w:rPr>
              <w:t>26.24</w:t>
            </w:r>
          </w:p>
        </w:tc>
        <w:tc>
          <w:tcPr>
            <w:tcW w:w="967" w:type="dxa"/>
            <w:tcBorders>
              <w:top w:val="nil"/>
              <w:left w:val="nil"/>
              <w:bottom w:val="nil"/>
              <w:right w:val="nil"/>
            </w:tcBorders>
            <w:shd w:val="clear" w:color="auto" w:fill="auto"/>
            <w:noWrap/>
            <w:vAlign w:val="center"/>
            <w:hideMark/>
          </w:tcPr>
          <w:p w14:paraId="74FB4832" w14:textId="77777777" w:rsidR="00F71427" w:rsidRPr="006E7D8F" w:rsidRDefault="00F71427" w:rsidP="00EB329C">
            <w:pPr>
              <w:pStyle w:val="ExhibitText"/>
              <w:jc w:val="right"/>
              <w:rPr>
                <w:sz w:val="18"/>
                <w:szCs w:val="18"/>
              </w:rPr>
            </w:pPr>
            <w:r w:rsidRPr="006E7D8F">
              <w:rPr>
                <w:sz w:val="18"/>
                <w:szCs w:val="18"/>
              </w:rPr>
              <w:t>27.69</w:t>
            </w:r>
          </w:p>
        </w:tc>
        <w:tc>
          <w:tcPr>
            <w:tcW w:w="968" w:type="dxa"/>
            <w:tcBorders>
              <w:top w:val="nil"/>
              <w:left w:val="nil"/>
              <w:bottom w:val="nil"/>
              <w:right w:val="single" w:sz="4" w:space="0" w:color="auto"/>
            </w:tcBorders>
            <w:shd w:val="clear" w:color="auto" w:fill="auto"/>
            <w:noWrap/>
            <w:vAlign w:val="center"/>
            <w:hideMark/>
          </w:tcPr>
          <w:p w14:paraId="670DA35E" w14:textId="77777777" w:rsidR="00F71427" w:rsidRPr="006E7D8F" w:rsidRDefault="00F71427" w:rsidP="00EB329C">
            <w:pPr>
              <w:pStyle w:val="ExhibitText"/>
              <w:jc w:val="right"/>
              <w:rPr>
                <w:sz w:val="18"/>
                <w:szCs w:val="18"/>
              </w:rPr>
            </w:pPr>
            <w:r w:rsidRPr="006E7D8F">
              <w:rPr>
                <w:sz w:val="18"/>
                <w:szCs w:val="18"/>
              </w:rPr>
              <w:t>28.91</w:t>
            </w:r>
          </w:p>
        </w:tc>
        <w:tc>
          <w:tcPr>
            <w:tcW w:w="1080" w:type="dxa"/>
            <w:tcBorders>
              <w:top w:val="nil"/>
              <w:left w:val="nil"/>
              <w:bottom w:val="nil"/>
              <w:right w:val="nil"/>
            </w:tcBorders>
            <w:shd w:val="clear" w:color="auto" w:fill="auto"/>
            <w:noWrap/>
            <w:vAlign w:val="center"/>
            <w:hideMark/>
          </w:tcPr>
          <w:p w14:paraId="11413B12" w14:textId="77777777" w:rsidR="00F71427" w:rsidRPr="006E7D8F" w:rsidRDefault="00F71427" w:rsidP="00EB329C">
            <w:pPr>
              <w:pStyle w:val="ExhibitText"/>
              <w:jc w:val="right"/>
              <w:rPr>
                <w:color w:val="000000"/>
                <w:sz w:val="18"/>
                <w:szCs w:val="18"/>
              </w:rPr>
            </w:pPr>
            <w:r w:rsidRPr="006E7D8F">
              <w:rPr>
                <w:color w:val="000000"/>
                <w:sz w:val="18"/>
                <w:szCs w:val="18"/>
              </w:rPr>
              <w:t>31.24</w:t>
            </w:r>
          </w:p>
        </w:tc>
      </w:tr>
      <w:tr w:rsidR="00F71427" w:rsidRPr="006E7D8F" w14:paraId="1A665D08" w14:textId="77777777" w:rsidTr="00642D25">
        <w:trPr>
          <w:trHeight w:val="288"/>
          <w:jc w:val="center"/>
        </w:trPr>
        <w:tc>
          <w:tcPr>
            <w:tcW w:w="3420" w:type="dxa"/>
            <w:tcBorders>
              <w:top w:val="nil"/>
              <w:left w:val="nil"/>
            </w:tcBorders>
            <w:shd w:val="clear" w:color="auto" w:fill="auto"/>
            <w:vAlign w:val="center"/>
            <w:hideMark/>
          </w:tcPr>
          <w:p w14:paraId="753ECD37" w14:textId="77777777" w:rsidR="00F71427" w:rsidRPr="006E7D8F" w:rsidRDefault="00F71427" w:rsidP="00EB329C">
            <w:pPr>
              <w:pStyle w:val="ExhibitText"/>
              <w:jc w:val="left"/>
              <w:rPr>
                <w:sz w:val="18"/>
                <w:szCs w:val="18"/>
              </w:rPr>
            </w:pPr>
            <w:r w:rsidRPr="006E7D8F">
              <w:rPr>
                <w:sz w:val="18"/>
                <w:szCs w:val="18"/>
              </w:rPr>
              <w:t>Other income as % of gross revenues</w:t>
            </w:r>
          </w:p>
        </w:tc>
        <w:tc>
          <w:tcPr>
            <w:tcW w:w="990" w:type="dxa"/>
            <w:tcBorders>
              <w:top w:val="nil"/>
              <w:left w:val="nil"/>
              <w:bottom w:val="nil"/>
              <w:right w:val="nil"/>
            </w:tcBorders>
            <w:shd w:val="clear" w:color="auto" w:fill="auto"/>
            <w:noWrap/>
            <w:hideMark/>
          </w:tcPr>
          <w:p w14:paraId="05539CE3" w14:textId="77777777" w:rsidR="00F71427" w:rsidRPr="006E7D8F" w:rsidRDefault="00F71427" w:rsidP="00F71427">
            <w:pPr>
              <w:pStyle w:val="ExhibitText"/>
              <w:rPr>
                <w:sz w:val="18"/>
                <w:szCs w:val="18"/>
              </w:rPr>
            </w:pPr>
          </w:p>
        </w:tc>
        <w:tc>
          <w:tcPr>
            <w:tcW w:w="967" w:type="dxa"/>
            <w:tcBorders>
              <w:top w:val="nil"/>
              <w:left w:val="nil"/>
              <w:bottom w:val="nil"/>
              <w:right w:val="nil"/>
            </w:tcBorders>
            <w:shd w:val="clear" w:color="auto" w:fill="auto"/>
            <w:noWrap/>
            <w:vAlign w:val="center"/>
            <w:hideMark/>
          </w:tcPr>
          <w:p w14:paraId="73B66523" w14:textId="77777777" w:rsidR="00F71427" w:rsidRPr="006E7D8F" w:rsidRDefault="00F71427" w:rsidP="00EB329C">
            <w:pPr>
              <w:pStyle w:val="ExhibitText"/>
              <w:jc w:val="right"/>
              <w:rPr>
                <w:sz w:val="18"/>
                <w:szCs w:val="18"/>
              </w:rPr>
            </w:pPr>
            <w:r w:rsidRPr="006E7D8F">
              <w:rPr>
                <w:sz w:val="18"/>
                <w:szCs w:val="18"/>
              </w:rPr>
              <w:t>8.17</w:t>
            </w:r>
          </w:p>
        </w:tc>
        <w:tc>
          <w:tcPr>
            <w:tcW w:w="968" w:type="dxa"/>
            <w:tcBorders>
              <w:top w:val="nil"/>
              <w:left w:val="nil"/>
              <w:bottom w:val="nil"/>
              <w:right w:val="nil"/>
            </w:tcBorders>
            <w:shd w:val="clear" w:color="auto" w:fill="auto"/>
            <w:noWrap/>
            <w:vAlign w:val="center"/>
            <w:hideMark/>
          </w:tcPr>
          <w:p w14:paraId="3752E427" w14:textId="77777777" w:rsidR="00F71427" w:rsidRPr="006E7D8F" w:rsidRDefault="00F71427" w:rsidP="00EB329C">
            <w:pPr>
              <w:pStyle w:val="ExhibitText"/>
              <w:jc w:val="right"/>
              <w:rPr>
                <w:sz w:val="18"/>
                <w:szCs w:val="18"/>
              </w:rPr>
            </w:pPr>
            <w:r w:rsidRPr="006E7D8F">
              <w:rPr>
                <w:sz w:val="18"/>
                <w:szCs w:val="18"/>
              </w:rPr>
              <w:t>9.43</w:t>
            </w:r>
          </w:p>
        </w:tc>
        <w:tc>
          <w:tcPr>
            <w:tcW w:w="967" w:type="dxa"/>
            <w:tcBorders>
              <w:top w:val="nil"/>
              <w:left w:val="nil"/>
              <w:bottom w:val="nil"/>
              <w:right w:val="nil"/>
            </w:tcBorders>
            <w:shd w:val="clear" w:color="auto" w:fill="auto"/>
            <w:noWrap/>
            <w:vAlign w:val="center"/>
            <w:hideMark/>
          </w:tcPr>
          <w:p w14:paraId="02079080" w14:textId="77777777" w:rsidR="00F71427" w:rsidRPr="006E7D8F" w:rsidRDefault="00F71427" w:rsidP="00EB329C">
            <w:pPr>
              <w:pStyle w:val="ExhibitText"/>
              <w:jc w:val="right"/>
              <w:rPr>
                <w:sz w:val="18"/>
                <w:szCs w:val="18"/>
              </w:rPr>
            </w:pPr>
            <w:r w:rsidRPr="006E7D8F">
              <w:rPr>
                <w:sz w:val="18"/>
                <w:szCs w:val="18"/>
              </w:rPr>
              <w:t>8.92</w:t>
            </w:r>
          </w:p>
        </w:tc>
        <w:tc>
          <w:tcPr>
            <w:tcW w:w="968" w:type="dxa"/>
            <w:tcBorders>
              <w:top w:val="nil"/>
              <w:left w:val="nil"/>
              <w:bottom w:val="nil"/>
              <w:right w:val="single" w:sz="4" w:space="0" w:color="auto"/>
            </w:tcBorders>
            <w:shd w:val="clear" w:color="auto" w:fill="auto"/>
            <w:noWrap/>
            <w:vAlign w:val="center"/>
            <w:hideMark/>
          </w:tcPr>
          <w:p w14:paraId="773F3A4A" w14:textId="77777777" w:rsidR="00F71427" w:rsidRPr="006E7D8F" w:rsidRDefault="00F71427" w:rsidP="00EB329C">
            <w:pPr>
              <w:pStyle w:val="ExhibitText"/>
              <w:jc w:val="right"/>
              <w:rPr>
                <w:sz w:val="18"/>
                <w:szCs w:val="18"/>
              </w:rPr>
            </w:pPr>
            <w:r w:rsidRPr="006E7D8F">
              <w:rPr>
                <w:sz w:val="18"/>
                <w:szCs w:val="18"/>
              </w:rPr>
              <w:t>11.67</w:t>
            </w:r>
          </w:p>
        </w:tc>
        <w:tc>
          <w:tcPr>
            <w:tcW w:w="1080" w:type="dxa"/>
            <w:tcBorders>
              <w:top w:val="nil"/>
              <w:left w:val="nil"/>
              <w:bottom w:val="nil"/>
              <w:right w:val="nil"/>
            </w:tcBorders>
            <w:shd w:val="clear" w:color="auto" w:fill="auto"/>
            <w:noWrap/>
            <w:vAlign w:val="center"/>
            <w:hideMark/>
          </w:tcPr>
          <w:p w14:paraId="4FAC2724" w14:textId="77777777" w:rsidR="00F71427" w:rsidRPr="006E7D8F" w:rsidRDefault="00F71427" w:rsidP="00EB329C">
            <w:pPr>
              <w:pStyle w:val="ExhibitText"/>
              <w:jc w:val="right"/>
              <w:rPr>
                <w:color w:val="000000"/>
                <w:sz w:val="18"/>
                <w:szCs w:val="18"/>
              </w:rPr>
            </w:pPr>
            <w:r w:rsidRPr="006E7D8F">
              <w:rPr>
                <w:color w:val="000000"/>
                <w:sz w:val="18"/>
                <w:szCs w:val="18"/>
              </w:rPr>
              <w:t>18.62</w:t>
            </w:r>
          </w:p>
        </w:tc>
      </w:tr>
      <w:tr w:rsidR="00F71427" w:rsidRPr="006E7D8F" w14:paraId="37449DCD" w14:textId="77777777" w:rsidTr="00642D25">
        <w:trPr>
          <w:trHeight w:val="288"/>
          <w:jc w:val="center"/>
        </w:trPr>
        <w:tc>
          <w:tcPr>
            <w:tcW w:w="4410" w:type="dxa"/>
            <w:gridSpan w:val="2"/>
            <w:tcBorders>
              <w:top w:val="nil"/>
              <w:left w:val="nil"/>
            </w:tcBorders>
            <w:shd w:val="clear" w:color="auto" w:fill="auto"/>
            <w:vAlign w:val="center"/>
            <w:hideMark/>
          </w:tcPr>
          <w:p w14:paraId="640BC449" w14:textId="77777777" w:rsidR="00F71427" w:rsidRPr="006E7D8F" w:rsidRDefault="00F71427" w:rsidP="00EB329C">
            <w:pPr>
              <w:pStyle w:val="ExhibitText"/>
              <w:jc w:val="left"/>
              <w:rPr>
                <w:sz w:val="18"/>
                <w:szCs w:val="18"/>
              </w:rPr>
            </w:pPr>
            <w:r w:rsidRPr="006E7D8F">
              <w:rPr>
                <w:sz w:val="18"/>
                <w:szCs w:val="18"/>
              </w:rPr>
              <w:t xml:space="preserve">Operating expenses as % of </w:t>
            </w:r>
            <w:r w:rsidR="0043511E" w:rsidRPr="006E7D8F">
              <w:rPr>
                <w:sz w:val="18"/>
                <w:szCs w:val="18"/>
              </w:rPr>
              <w:t>g</w:t>
            </w:r>
            <w:r w:rsidRPr="006E7D8F">
              <w:rPr>
                <w:sz w:val="18"/>
                <w:szCs w:val="18"/>
              </w:rPr>
              <w:t>ross revenues</w:t>
            </w:r>
          </w:p>
        </w:tc>
        <w:tc>
          <w:tcPr>
            <w:tcW w:w="967" w:type="dxa"/>
            <w:tcBorders>
              <w:top w:val="nil"/>
              <w:left w:val="nil"/>
              <w:bottom w:val="nil"/>
              <w:right w:val="nil"/>
            </w:tcBorders>
            <w:shd w:val="clear" w:color="auto" w:fill="auto"/>
            <w:noWrap/>
            <w:vAlign w:val="center"/>
            <w:hideMark/>
          </w:tcPr>
          <w:p w14:paraId="32761031" w14:textId="77777777" w:rsidR="00F71427" w:rsidRPr="006E7D8F" w:rsidRDefault="00F71427" w:rsidP="00EB329C">
            <w:pPr>
              <w:pStyle w:val="ExhibitText"/>
              <w:jc w:val="right"/>
              <w:rPr>
                <w:sz w:val="18"/>
                <w:szCs w:val="18"/>
              </w:rPr>
            </w:pPr>
            <w:r w:rsidRPr="006E7D8F">
              <w:rPr>
                <w:sz w:val="18"/>
                <w:szCs w:val="18"/>
              </w:rPr>
              <w:t>19.51</w:t>
            </w:r>
          </w:p>
        </w:tc>
        <w:tc>
          <w:tcPr>
            <w:tcW w:w="968" w:type="dxa"/>
            <w:tcBorders>
              <w:top w:val="nil"/>
              <w:left w:val="nil"/>
              <w:bottom w:val="nil"/>
              <w:right w:val="nil"/>
            </w:tcBorders>
            <w:shd w:val="clear" w:color="auto" w:fill="auto"/>
            <w:noWrap/>
            <w:vAlign w:val="center"/>
            <w:hideMark/>
          </w:tcPr>
          <w:p w14:paraId="76580250" w14:textId="77777777" w:rsidR="00F71427" w:rsidRPr="006E7D8F" w:rsidRDefault="00F71427" w:rsidP="00EB329C">
            <w:pPr>
              <w:pStyle w:val="ExhibitText"/>
              <w:jc w:val="right"/>
              <w:rPr>
                <w:sz w:val="18"/>
                <w:szCs w:val="18"/>
              </w:rPr>
            </w:pPr>
            <w:r w:rsidRPr="006E7D8F">
              <w:rPr>
                <w:sz w:val="18"/>
                <w:szCs w:val="18"/>
              </w:rPr>
              <w:t>20.03</w:t>
            </w:r>
          </w:p>
        </w:tc>
        <w:tc>
          <w:tcPr>
            <w:tcW w:w="967" w:type="dxa"/>
            <w:tcBorders>
              <w:top w:val="nil"/>
              <w:left w:val="nil"/>
              <w:bottom w:val="nil"/>
              <w:right w:val="nil"/>
            </w:tcBorders>
            <w:shd w:val="clear" w:color="auto" w:fill="auto"/>
            <w:noWrap/>
            <w:vAlign w:val="center"/>
            <w:hideMark/>
          </w:tcPr>
          <w:p w14:paraId="295DA116" w14:textId="77777777" w:rsidR="00F71427" w:rsidRPr="006E7D8F" w:rsidRDefault="00F71427" w:rsidP="00EB329C">
            <w:pPr>
              <w:pStyle w:val="ExhibitText"/>
              <w:jc w:val="right"/>
              <w:rPr>
                <w:sz w:val="18"/>
                <w:szCs w:val="18"/>
              </w:rPr>
            </w:pPr>
            <w:r w:rsidRPr="006E7D8F">
              <w:rPr>
                <w:sz w:val="18"/>
                <w:szCs w:val="18"/>
              </w:rPr>
              <w:t>21.40</w:t>
            </w:r>
          </w:p>
        </w:tc>
        <w:tc>
          <w:tcPr>
            <w:tcW w:w="968" w:type="dxa"/>
            <w:tcBorders>
              <w:top w:val="nil"/>
              <w:left w:val="nil"/>
              <w:bottom w:val="nil"/>
              <w:right w:val="single" w:sz="4" w:space="0" w:color="auto"/>
            </w:tcBorders>
            <w:shd w:val="clear" w:color="auto" w:fill="auto"/>
            <w:noWrap/>
            <w:vAlign w:val="center"/>
            <w:hideMark/>
          </w:tcPr>
          <w:p w14:paraId="07F9A3BC" w14:textId="77777777" w:rsidR="00F71427" w:rsidRPr="006E7D8F" w:rsidRDefault="00F71427" w:rsidP="00EB329C">
            <w:pPr>
              <w:pStyle w:val="ExhibitText"/>
              <w:jc w:val="right"/>
              <w:rPr>
                <w:sz w:val="18"/>
                <w:szCs w:val="18"/>
              </w:rPr>
            </w:pPr>
            <w:r w:rsidRPr="006E7D8F">
              <w:rPr>
                <w:sz w:val="18"/>
                <w:szCs w:val="18"/>
              </w:rPr>
              <w:t>22.28</w:t>
            </w:r>
          </w:p>
        </w:tc>
        <w:tc>
          <w:tcPr>
            <w:tcW w:w="1080" w:type="dxa"/>
            <w:tcBorders>
              <w:top w:val="nil"/>
              <w:left w:val="nil"/>
              <w:bottom w:val="nil"/>
              <w:right w:val="nil"/>
            </w:tcBorders>
            <w:shd w:val="clear" w:color="auto" w:fill="auto"/>
            <w:noWrap/>
            <w:vAlign w:val="center"/>
            <w:hideMark/>
          </w:tcPr>
          <w:p w14:paraId="0F0B1581" w14:textId="77777777" w:rsidR="00F71427" w:rsidRPr="006E7D8F" w:rsidRDefault="00F71427" w:rsidP="00EB329C">
            <w:pPr>
              <w:pStyle w:val="ExhibitText"/>
              <w:jc w:val="right"/>
              <w:rPr>
                <w:color w:val="000000"/>
                <w:sz w:val="18"/>
                <w:szCs w:val="18"/>
              </w:rPr>
            </w:pPr>
            <w:r w:rsidRPr="006E7D8F">
              <w:rPr>
                <w:color w:val="000000"/>
                <w:sz w:val="18"/>
                <w:szCs w:val="18"/>
              </w:rPr>
              <w:t>21.90</w:t>
            </w:r>
          </w:p>
        </w:tc>
      </w:tr>
      <w:tr w:rsidR="00F71427" w:rsidRPr="006E7D8F" w14:paraId="05E5E463" w14:textId="77777777" w:rsidTr="00642D25">
        <w:trPr>
          <w:trHeight w:val="288"/>
          <w:jc w:val="center"/>
        </w:trPr>
        <w:tc>
          <w:tcPr>
            <w:tcW w:w="4410" w:type="dxa"/>
            <w:gridSpan w:val="2"/>
            <w:tcBorders>
              <w:top w:val="nil"/>
              <w:left w:val="nil"/>
            </w:tcBorders>
            <w:shd w:val="clear" w:color="auto" w:fill="auto"/>
            <w:vAlign w:val="center"/>
            <w:hideMark/>
          </w:tcPr>
          <w:p w14:paraId="5E669431" w14:textId="77777777" w:rsidR="00F71427" w:rsidRPr="006E7D8F" w:rsidRDefault="00F71427" w:rsidP="00EB329C">
            <w:pPr>
              <w:pStyle w:val="ExhibitText"/>
              <w:jc w:val="left"/>
              <w:rPr>
                <w:sz w:val="18"/>
                <w:szCs w:val="18"/>
              </w:rPr>
            </w:pPr>
            <w:r w:rsidRPr="006E7D8F">
              <w:rPr>
                <w:sz w:val="18"/>
                <w:szCs w:val="18"/>
              </w:rPr>
              <w:t>Cost-to-income ratio</w:t>
            </w:r>
            <w:r w:rsidR="0043511E" w:rsidRPr="006E7D8F">
              <w:rPr>
                <w:sz w:val="18"/>
                <w:szCs w:val="18"/>
              </w:rPr>
              <w:t>*</w:t>
            </w:r>
            <w:r w:rsidRPr="006E7D8F">
              <w:rPr>
                <w:sz w:val="18"/>
                <w:szCs w:val="18"/>
              </w:rPr>
              <w:t xml:space="preserve"> </w:t>
            </w:r>
          </w:p>
        </w:tc>
        <w:tc>
          <w:tcPr>
            <w:tcW w:w="967" w:type="dxa"/>
            <w:tcBorders>
              <w:top w:val="nil"/>
              <w:left w:val="nil"/>
              <w:bottom w:val="nil"/>
              <w:right w:val="nil"/>
            </w:tcBorders>
            <w:shd w:val="clear" w:color="auto" w:fill="auto"/>
            <w:noWrap/>
            <w:vAlign w:val="center"/>
            <w:hideMark/>
          </w:tcPr>
          <w:p w14:paraId="20500A06" w14:textId="77777777" w:rsidR="00F71427" w:rsidRPr="006E7D8F" w:rsidRDefault="00F71427" w:rsidP="00EB329C">
            <w:pPr>
              <w:pStyle w:val="ExhibitText"/>
              <w:jc w:val="right"/>
              <w:rPr>
                <w:sz w:val="18"/>
                <w:szCs w:val="18"/>
              </w:rPr>
            </w:pPr>
            <w:r w:rsidRPr="006E7D8F">
              <w:rPr>
                <w:sz w:val="18"/>
                <w:szCs w:val="18"/>
              </w:rPr>
              <w:t>56.90</w:t>
            </w:r>
          </w:p>
        </w:tc>
        <w:tc>
          <w:tcPr>
            <w:tcW w:w="968" w:type="dxa"/>
            <w:tcBorders>
              <w:top w:val="nil"/>
              <w:left w:val="nil"/>
              <w:bottom w:val="nil"/>
              <w:right w:val="nil"/>
            </w:tcBorders>
            <w:shd w:val="clear" w:color="auto" w:fill="auto"/>
            <w:noWrap/>
            <w:vAlign w:val="center"/>
            <w:hideMark/>
          </w:tcPr>
          <w:p w14:paraId="399D4313" w14:textId="77777777" w:rsidR="00F71427" w:rsidRPr="006E7D8F" w:rsidRDefault="00F71427" w:rsidP="00EB329C">
            <w:pPr>
              <w:pStyle w:val="ExhibitText"/>
              <w:jc w:val="right"/>
              <w:rPr>
                <w:sz w:val="18"/>
                <w:szCs w:val="18"/>
              </w:rPr>
            </w:pPr>
            <w:r w:rsidRPr="006E7D8F">
              <w:rPr>
                <w:sz w:val="18"/>
                <w:szCs w:val="18"/>
              </w:rPr>
              <w:t>57.66</w:t>
            </w:r>
          </w:p>
        </w:tc>
        <w:tc>
          <w:tcPr>
            <w:tcW w:w="967" w:type="dxa"/>
            <w:tcBorders>
              <w:top w:val="nil"/>
              <w:left w:val="nil"/>
              <w:bottom w:val="nil"/>
              <w:right w:val="nil"/>
            </w:tcBorders>
            <w:shd w:val="clear" w:color="auto" w:fill="auto"/>
            <w:noWrap/>
            <w:vAlign w:val="center"/>
            <w:hideMark/>
          </w:tcPr>
          <w:p w14:paraId="612300E6" w14:textId="77777777" w:rsidR="00F71427" w:rsidRPr="006E7D8F" w:rsidRDefault="00F71427" w:rsidP="00EB329C">
            <w:pPr>
              <w:pStyle w:val="ExhibitText"/>
              <w:jc w:val="right"/>
              <w:rPr>
                <w:sz w:val="18"/>
                <w:szCs w:val="18"/>
              </w:rPr>
            </w:pPr>
            <w:r w:rsidRPr="006E7D8F">
              <w:rPr>
                <w:sz w:val="18"/>
                <w:szCs w:val="18"/>
              </w:rPr>
              <w:t>60.48</w:t>
            </w:r>
          </w:p>
        </w:tc>
        <w:tc>
          <w:tcPr>
            <w:tcW w:w="968" w:type="dxa"/>
            <w:tcBorders>
              <w:top w:val="nil"/>
              <w:left w:val="nil"/>
              <w:bottom w:val="nil"/>
              <w:right w:val="single" w:sz="4" w:space="0" w:color="auto"/>
            </w:tcBorders>
            <w:shd w:val="clear" w:color="auto" w:fill="auto"/>
            <w:noWrap/>
            <w:vAlign w:val="center"/>
            <w:hideMark/>
          </w:tcPr>
          <w:p w14:paraId="16E65EF5" w14:textId="77777777" w:rsidR="00F71427" w:rsidRPr="006E7D8F" w:rsidRDefault="00F71427" w:rsidP="00EB329C">
            <w:pPr>
              <w:pStyle w:val="ExhibitText"/>
              <w:jc w:val="right"/>
              <w:rPr>
                <w:sz w:val="18"/>
                <w:szCs w:val="18"/>
              </w:rPr>
            </w:pPr>
            <w:r w:rsidRPr="006E7D8F">
              <w:rPr>
                <w:sz w:val="18"/>
                <w:szCs w:val="18"/>
              </w:rPr>
              <w:t>55.38</w:t>
            </w:r>
          </w:p>
        </w:tc>
        <w:tc>
          <w:tcPr>
            <w:tcW w:w="1080" w:type="dxa"/>
            <w:tcBorders>
              <w:top w:val="nil"/>
              <w:left w:val="nil"/>
              <w:bottom w:val="nil"/>
              <w:right w:val="nil"/>
            </w:tcBorders>
            <w:shd w:val="clear" w:color="auto" w:fill="auto"/>
            <w:noWrap/>
            <w:vAlign w:val="center"/>
            <w:hideMark/>
          </w:tcPr>
          <w:p w14:paraId="1ED5A9F5" w14:textId="77777777" w:rsidR="00F71427" w:rsidRPr="006E7D8F" w:rsidRDefault="00F71427" w:rsidP="00EB329C">
            <w:pPr>
              <w:pStyle w:val="ExhibitText"/>
              <w:jc w:val="right"/>
              <w:rPr>
                <w:color w:val="000000"/>
                <w:sz w:val="18"/>
                <w:szCs w:val="18"/>
              </w:rPr>
            </w:pPr>
            <w:r w:rsidRPr="006E7D8F">
              <w:rPr>
                <w:color w:val="000000"/>
                <w:sz w:val="18"/>
                <w:szCs w:val="18"/>
              </w:rPr>
              <w:t>44.02</w:t>
            </w:r>
          </w:p>
        </w:tc>
      </w:tr>
      <w:tr w:rsidR="00F71427" w:rsidRPr="006E7D8F" w14:paraId="7F669D0A" w14:textId="77777777" w:rsidTr="00642D25">
        <w:trPr>
          <w:trHeight w:val="288"/>
          <w:jc w:val="center"/>
        </w:trPr>
        <w:tc>
          <w:tcPr>
            <w:tcW w:w="4410" w:type="dxa"/>
            <w:gridSpan w:val="2"/>
            <w:tcBorders>
              <w:top w:val="nil"/>
              <w:left w:val="nil"/>
            </w:tcBorders>
            <w:shd w:val="clear" w:color="auto" w:fill="auto"/>
            <w:vAlign w:val="center"/>
            <w:hideMark/>
          </w:tcPr>
          <w:p w14:paraId="5F776F46" w14:textId="77777777" w:rsidR="00F71427" w:rsidRPr="006E7D8F" w:rsidRDefault="00F71427" w:rsidP="0083746B">
            <w:pPr>
              <w:pStyle w:val="ExhibitText"/>
              <w:jc w:val="left"/>
              <w:rPr>
                <w:sz w:val="18"/>
                <w:szCs w:val="18"/>
              </w:rPr>
            </w:pPr>
            <w:r w:rsidRPr="006E7D8F">
              <w:rPr>
                <w:sz w:val="18"/>
                <w:szCs w:val="18"/>
              </w:rPr>
              <w:t>Net interest margin (</w:t>
            </w:r>
            <w:r w:rsidR="0083746B" w:rsidRPr="006E7D8F">
              <w:rPr>
                <w:sz w:val="18"/>
                <w:szCs w:val="18"/>
              </w:rPr>
              <w:t>net interest income</w:t>
            </w:r>
            <w:r w:rsidR="0043511E" w:rsidRPr="006E7D8F">
              <w:rPr>
                <w:sz w:val="18"/>
                <w:szCs w:val="18"/>
              </w:rPr>
              <w:t xml:space="preserve"> ÷ a</w:t>
            </w:r>
            <w:r w:rsidRPr="006E7D8F">
              <w:rPr>
                <w:sz w:val="18"/>
                <w:szCs w:val="18"/>
              </w:rPr>
              <w:t>verage interest</w:t>
            </w:r>
            <w:r w:rsidR="0083746B" w:rsidRPr="006E7D8F">
              <w:rPr>
                <w:sz w:val="18"/>
                <w:szCs w:val="18"/>
              </w:rPr>
              <w:t>-</w:t>
            </w:r>
            <w:r w:rsidRPr="006E7D8F">
              <w:rPr>
                <w:sz w:val="18"/>
                <w:szCs w:val="18"/>
              </w:rPr>
              <w:t>bearing assets)</w:t>
            </w:r>
          </w:p>
        </w:tc>
        <w:tc>
          <w:tcPr>
            <w:tcW w:w="967" w:type="dxa"/>
            <w:tcBorders>
              <w:top w:val="nil"/>
              <w:left w:val="nil"/>
              <w:bottom w:val="nil"/>
              <w:right w:val="nil"/>
            </w:tcBorders>
            <w:shd w:val="clear" w:color="auto" w:fill="auto"/>
            <w:noWrap/>
            <w:vAlign w:val="center"/>
            <w:hideMark/>
          </w:tcPr>
          <w:p w14:paraId="03F4AAF2" w14:textId="77777777" w:rsidR="00F71427" w:rsidRPr="006E7D8F" w:rsidRDefault="00F71427" w:rsidP="00EB329C">
            <w:pPr>
              <w:pStyle w:val="ExhibitText"/>
              <w:jc w:val="right"/>
              <w:rPr>
                <w:sz w:val="18"/>
                <w:szCs w:val="18"/>
              </w:rPr>
            </w:pPr>
            <w:r w:rsidRPr="006E7D8F">
              <w:rPr>
                <w:sz w:val="18"/>
                <w:szCs w:val="18"/>
              </w:rPr>
              <w:t>3.17</w:t>
            </w:r>
          </w:p>
        </w:tc>
        <w:tc>
          <w:tcPr>
            <w:tcW w:w="968" w:type="dxa"/>
            <w:tcBorders>
              <w:top w:val="nil"/>
              <w:left w:val="nil"/>
              <w:bottom w:val="nil"/>
              <w:right w:val="nil"/>
            </w:tcBorders>
            <w:shd w:val="clear" w:color="auto" w:fill="auto"/>
            <w:noWrap/>
            <w:vAlign w:val="center"/>
            <w:hideMark/>
          </w:tcPr>
          <w:p w14:paraId="5C4EC993" w14:textId="77777777" w:rsidR="00F71427" w:rsidRPr="006E7D8F" w:rsidRDefault="00F71427" w:rsidP="00EB329C">
            <w:pPr>
              <w:pStyle w:val="ExhibitText"/>
              <w:jc w:val="right"/>
              <w:rPr>
                <w:sz w:val="18"/>
                <w:szCs w:val="18"/>
              </w:rPr>
            </w:pPr>
            <w:r w:rsidRPr="006E7D8F">
              <w:rPr>
                <w:sz w:val="18"/>
                <w:szCs w:val="18"/>
              </w:rPr>
              <w:t>3.17</w:t>
            </w:r>
          </w:p>
        </w:tc>
        <w:tc>
          <w:tcPr>
            <w:tcW w:w="967" w:type="dxa"/>
            <w:tcBorders>
              <w:top w:val="nil"/>
              <w:left w:val="nil"/>
              <w:bottom w:val="nil"/>
              <w:right w:val="nil"/>
            </w:tcBorders>
            <w:shd w:val="clear" w:color="auto" w:fill="auto"/>
            <w:noWrap/>
            <w:vAlign w:val="center"/>
            <w:hideMark/>
          </w:tcPr>
          <w:p w14:paraId="5597E711" w14:textId="77777777" w:rsidR="00F71427" w:rsidRPr="006E7D8F" w:rsidRDefault="00F71427" w:rsidP="00EB329C">
            <w:pPr>
              <w:pStyle w:val="ExhibitText"/>
              <w:jc w:val="right"/>
              <w:rPr>
                <w:sz w:val="18"/>
                <w:szCs w:val="18"/>
              </w:rPr>
            </w:pPr>
            <w:r w:rsidRPr="006E7D8F">
              <w:rPr>
                <w:sz w:val="18"/>
                <w:szCs w:val="18"/>
              </w:rPr>
              <w:t>3.25</w:t>
            </w:r>
          </w:p>
        </w:tc>
        <w:tc>
          <w:tcPr>
            <w:tcW w:w="968" w:type="dxa"/>
            <w:tcBorders>
              <w:top w:val="nil"/>
              <w:left w:val="nil"/>
              <w:bottom w:val="nil"/>
              <w:right w:val="single" w:sz="4" w:space="0" w:color="auto"/>
            </w:tcBorders>
            <w:shd w:val="clear" w:color="auto" w:fill="auto"/>
            <w:noWrap/>
            <w:vAlign w:val="center"/>
            <w:hideMark/>
          </w:tcPr>
          <w:p w14:paraId="3F8848C6" w14:textId="77777777" w:rsidR="00F71427" w:rsidRPr="006E7D8F" w:rsidRDefault="00F71427" w:rsidP="00EB329C">
            <w:pPr>
              <w:pStyle w:val="ExhibitText"/>
              <w:jc w:val="right"/>
              <w:rPr>
                <w:sz w:val="18"/>
                <w:szCs w:val="18"/>
              </w:rPr>
            </w:pPr>
            <w:r w:rsidRPr="006E7D8F">
              <w:rPr>
                <w:sz w:val="18"/>
                <w:szCs w:val="18"/>
              </w:rPr>
              <w:t>3.20</w:t>
            </w:r>
          </w:p>
        </w:tc>
        <w:tc>
          <w:tcPr>
            <w:tcW w:w="1080" w:type="dxa"/>
            <w:tcBorders>
              <w:top w:val="nil"/>
              <w:left w:val="nil"/>
              <w:bottom w:val="nil"/>
              <w:right w:val="nil"/>
            </w:tcBorders>
            <w:shd w:val="clear" w:color="auto" w:fill="auto"/>
            <w:noWrap/>
            <w:vAlign w:val="center"/>
            <w:hideMark/>
          </w:tcPr>
          <w:p w14:paraId="6A5CA659" w14:textId="77777777" w:rsidR="00F71427" w:rsidRPr="006E7D8F" w:rsidRDefault="00F71427" w:rsidP="00EB329C">
            <w:pPr>
              <w:pStyle w:val="ExhibitText"/>
              <w:jc w:val="right"/>
              <w:rPr>
                <w:color w:val="000000"/>
                <w:sz w:val="18"/>
                <w:szCs w:val="18"/>
              </w:rPr>
            </w:pPr>
            <w:r w:rsidRPr="006E7D8F">
              <w:rPr>
                <w:color w:val="000000"/>
                <w:sz w:val="18"/>
                <w:szCs w:val="18"/>
              </w:rPr>
              <w:t>3.74</w:t>
            </w:r>
          </w:p>
        </w:tc>
      </w:tr>
      <w:tr w:rsidR="00F71427" w:rsidRPr="006E7D8F" w14:paraId="5664366B" w14:textId="77777777" w:rsidTr="00642D25">
        <w:trPr>
          <w:trHeight w:val="288"/>
          <w:jc w:val="center"/>
        </w:trPr>
        <w:tc>
          <w:tcPr>
            <w:tcW w:w="4410" w:type="dxa"/>
            <w:gridSpan w:val="2"/>
            <w:tcBorders>
              <w:top w:val="nil"/>
              <w:left w:val="nil"/>
            </w:tcBorders>
            <w:shd w:val="clear" w:color="auto" w:fill="auto"/>
            <w:vAlign w:val="center"/>
            <w:hideMark/>
          </w:tcPr>
          <w:p w14:paraId="1EA37A60" w14:textId="77777777" w:rsidR="00F71427" w:rsidRPr="006E7D8F" w:rsidRDefault="00F71427" w:rsidP="00EB329C">
            <w:pPr>
              <w:pStyle w:val="ExhibitText"/>
              <w:jc w:val="left"/>
              <w:rPr>
                <w:sz w:val="18"/>
                <w:szCs w:val="18"/>
              </w:rPr>
            </w:pPr>
            <w:r w:rsidRPr="006E7D8F">
              <w:rPr>
                <w:sz w:val="18"/>
                <w:szCs w:val="18"/>
              </w:rPr>
              <w:t>Yield on average interest</w:t>
            </w:r>
            <w:r w:rsidR="0083746B" w:rsidRPr="006E7D8F">
              <w:rPr>
                <w:sz w:val="18"/>
                <w:szCs w:val="18"/>
              </w:rPr>
              <w:t>-</w:t>
            </w:r>
            <w:r w:rsidRPr="006E7D8F">
              <w:rPr>
                <w:sz w:val="18"/>
                <w:szCs w:val="18"/>
              </w:rPr>
              <w:t>bearing assets (IBA)</w:t>
            </w:r>
          </w:p>
        </w:tc>
        <w:tc>
          <w:tcPr>
            <w:tcW w:w="967" w:type="dxa"/>
            <w:tcBorders>
              <w:top w:val="nil"/>
              <w:left w:val="nil"/>
              <w:bottom w:val="nil"/>
              <w:right w:val="nil"/>
            </w:tcBorders>
            <w:shd w:val="clear" w:color="auto" w:fill="auto"/>
            <w:noWrap/>
            <w:vAlign w:val="center"/>
            <w:hideMark/>
          </w:tcPr>
          <w:p w14:paraId="009A8487" w14:textId="77777777" w:rsidR="00F71427" w:rsidRPr="006E7D8F" w:rsidRDefault="00F71427" w:rsidP="00EB329C">
            <w:pPr>
              <w:pStyle w:val="ExhibitText"/>
              <w:jc w:val="right"/>
              <w:rPr>
                <w:sz w:val="18"/>
                <w:szCs w:val="18"/>
              </w:rPr>
            </w:pPr>
            <w:r w:rsidRPr="006E7D8F">
              <w:rPr>
                <w:sz w:val="18"/>
                <w:szCs w:val="18"/>
              </w:rPr>
              <w:t>10.83</w:t>
            </w:r>
          </w:p>
        </w:tc>
        <w:tc>
          <w:tcPr>
            <w:tcW w:w="968" w:type="dxa"/>
            <w:tcBorders>
              <w:top w:val="nil"/>
              <w:left w:val="nil"/>
              <w:bottom w:val="nil"/>
              <w:right w:val="nil"/>
            </w:tcBorders>
            <w:shd w:val="clear" w:color="auto" w:fill="auto"/>
            <w:noWrap/>
            <w:vAlign w:val="center"/>
            <w:hideMark/>
          </w:tcPr>
          <w:p w14:paraId="42DAE5BE" w14:textId="77777777" w:rsidR="00F71427" w:rsidRPr="006E7D8F" w:rsidRDefault="00F71427" w:rsidP="00EB329C">
            <w:pPr>
              <w:pStyle w:val="ExhibitText"/>
              <w:jc w:val="right"/>
              <w:rPr>
                <w:sz w:val="18"/>
                <w:szCs w:val="18"/>
              </w:rPr>
            </w:pPr>
            <w:r w:rsidRPr="006E7D8F">
              <w:rPr>
                <w:sz w:val="18"/>
                <w:szCs w:val="18"/>
              </w:rPr>
              <w:t>10.92</w:t>
            </w:r>
          </w:p>
        </w:tc>
        <w:tc>
          <w:tcPr>
            <w:tcW w:w="967" w:type="dxa"/>
            <w:tcBorders>
              <w:top w:val="nil"/>
              <w:left w:val="nil"/>
              <w:bottom w:val="nil"/>
              <w:right w:val="nil"/>
            </w:tcBorders>
            <w:shd w:val="clear" w:color="auto" w:fill="auto"/>
            <w:noWrap/>
            <w:vAlign w:val="center"/>
            <w:hideMark/>
          </w:tcPr>
          <w:p w14:paraId="62AC746D" w14:textId="77777777" w:rsidR="00F71427" w:rsidRPr="006E7D8F" w:rsidRDefault="00F71427" w:rsidP="00EB329C">
            <w:pPr>
              <w:pStyle w:val="ExhibitText"/>
              <w:jc w:val="right"/>
              <w:rPr>
                <w:sz w:val="18"/>
                <w:szCs w:val="18"/>
              </w:rPr>
            </w:pPr>
            <w:r w:rsidRPr="006E7D8F">
              <w:rPr>
                <w:sz w:val="18"/>
                <w:szCs w:val="18"/>
              </w:rPr>
              <w:t>10.76</w:t>
            </w:r>
          </w:p>
        </w:tc>
        <w:tc>
          <w:tcPr>
            <w:tcW w:w="968" w:type="dxa"/>
            <w:tcBorders>
              <w:top w:val="nil"/>
              <w:left w:val="nil"/>
              <w:bottom w:val="nil"/>
              <w:right w:val="single" w:sz="4" w:space="0" w:color="auto"/>
            </w:tcBorders>
            <w:shd w:val="clear" w:color="auto" w:fill="auto"/>
            <w:noWrap/>
            <w:vAlign w:val="center"/>
            <w:hideMark/>
          </w:tcPr>
          <w:p w14:paraId="0CFB6D11" w14:textId="77777777" w:rsidR="00F71427" w:rsidRPr="006E7D8F" w:rsidRDefault="00F71427" w:rsidP="00EB329C">
            <w:pPr>
              <w:pStyle w:val="ExhibitText"/>
              <w:jc w:val="right"/>
              <w:rPr>
                <w:sz w:val="18"/>
                <w:szCs w:val="18"/>
              </w:rPr>
            </w:pPr>
            <w:r w:rsidRPr="006E7D8F">
              <w:rPr>
                <w:sz w:val="18"/>
                <w:szCs w:val="18"/>
              </w:rPr>
              <w:t>9.75</w:t>
            </w:r>
          </w:p>
        </w:tc>
        <w:tc>
          <w:tcPr>
            <w:tcW w:w="1080" w:type="dxa"/>
            <w:tcBorders>
              <w:top w:val="nil"/>
              <w:left w:val="nil"/>
              <w:bottom w:val="nil"/>
              <w:right w:val="nil"/>
            </w:tcBorders>
            <w:shd w:val="clear" w:color="auto" w:fill="auto"/>
            <w:noWrap/>
            <w:vAlign w:val="center"/>
            <w:hideMark/>
          </w:tcPr>
          <w:p w14:paraId="2493D522" w14:textId="77777777" w:rsidR="00F71427" w:rsidRPr="006E7D8F" w:rsidRDefault="00F71427" w:rsidP="00EB329C">
            <w:pPr>
              <w:pStyle w:val="ExhibitText"/>
              <w:jc w:val="right"/>
              <w:rPr>
                <w:color w:val="000000"/>
                <w:sz w:val="18"/>
                <w:szCs w:val="18"/>
              </w:rPr>
            </w:pPr>
            <w:r w:rsidRPr="006E7D8F">
              <w:rPr>
                <w:color w:val="000000"/>
                <w:sz w:val="18"/>
                <w:szCs w:val="18"/>
              </w:rPr>
              <w:t>9.69</w:t>
            </w:r>
          </w:p>
        </w:tc>
      </w:tr>
      <w:tr w:rsidR="00F71427" w:rsidRPr="006E7D8F" w14:paraId="3FD3BCF4" w14:textId="77777777" w:rsidTr="00642D25">
        <w:trPr>
          <w:trHeight w:val="288"/>
          <w:jc w:val="center"/>
        </w:trPr>
        <w:tc>
          <w:tcPr>
            <w:tcW w:w="4410" w:type="dxa"/>
            <w:gridSpan w:val="2"/>
            <w:tcBorders>
              <w:top w:val="nil"/>
              <w:left w:val="nil"/>
            </w:tcBorders>
            <w:shd w:val="clear" w:color="auto" w:fill="auto"/>
            <w:vAlign w:val="center"/>
            <w:hideMark/>
          </w:tcPr>
          <w:p w14:paraId="5D888222" w14:textId="77777777" w:rsidR="00F71427" w:rsidRPr="006E7D8F" w:rsidRDefault="00F71427" w:rsidP="00EB329C">
            <w:pPr>
              <w:pStyle w:val="ExhibitText"/>
              <w:jc w:val="left"/>
              <w:rPr>
                <w:sz w:val="18"/>
                <w:szCs w:val="18"/>
              </w:rPr>
            </w:pPr>
            <w:r w:rsidRPr="006E7D8F">
              <w:rPr>
                <w:sz w:val="18"/>
                <w:szCs w:val="18"/>
              </w:rPr>
              <w:t>Cost of average interest</w:t>
            </w:r>
            <w:r w:rsidR="0083746B" w:rsidRPr="006E7D8F">
              <w:rPr>
                <w:sz w:val="18"/>
                <w:szCs w:val="18"/>
              </w:rPr>
              <w:t>-</w:t>
            </w:r>
            <w:r w:rsidRPr="006E7D8F">
              <w:rPr>
                <w:sz w:val="18"/>
                <w:szCs w:val="18"/>
              </w:rPr>
              <w:t>bearing liabilities (IBL)</w:t>
            </w:r>
          </w:p>
        </w:tc>
        <w:tc>
          <w:tcPr>
            <w:tcW w:w="967" w:type="dxa"/>
            <w:tcBorders>
              <w:top w:val="nil"/>
              <w:left w:val="nil"/>
              <w:bottom w:val="nil"/>
              <w:right w:val="nil"/>
            </w:tcBorders>
            <w:shd w:val="clear" w:color="auto" w:fill="auto"/>
            <w:noWrap/>
            <w:vAlign w:val="center"/>
            <w:hideMark/>
          </w:tcPr>
          <w:p w14:paraId="58F53555" w14:textId="77777777" w:rsidR="00F71427" w:rsidRPr="006E7D8F" w:rsidRDefault="00F71427" w:rsidP="00EB329C">
            <w:pPr>
              <w:pStyle w:val="ExhibitText"/>
              <w:jc w:val="right"/>
              <w:rPr>
                <w:sz w:val="18"/>
                <w:szCs w:val="18"/>
              </w:rPr>
            </w:pPr>
            <w:r w:rsidRPr="006E7D8F">
              <w:rPr>
                <w:sz w:val="18"/>
                <w:szCs w:val="18"/>
              </w:rPr>
              <w:t>8.19</w:t>
            </w:r>
          </w:p>
        </w:tc>
        <w:tc>
          <w:tcPr>
            <w:tcW w:w="968" w:type="dxa"/>
            <w:tcBorders>
              <w:top w:val="nil"/>
              <w:left w:val="nil"/>
              <w:bottom w:val="nil"/>
              <w:right w:val="nil"/>
            </w:tcBorders>
            <w:shd w:val="clear" w:color="auto" w:fill="auto"/>
            <w:noWrap/>
            <w:vAlign w:val="center"/>
            <w:hideMark/>
          </w:tcPr>
          <w:p w14:paraId="520BD5B2" w14:textId="77777777" w:rsidR="00F71427" w:rsidRPr="006E7D8F" w:rsidRDefault="00F71427" w:rsidP="00EB329C">
            <w:pPr>
              <w:pStyle w:val="ExhibitText"/>
              <w:jc w:val="right"/>
              <w:rPr>
                <w:sz w:val="18"/>
                <w:szCs w:val="18"/>
              </w:rPr>
            </w:pPr>
            <w:r w:rsidRPr="006E7D8F">
              <w:rPr>
                <w:sz w:val="18"/>
                <w:szCs w:val="18"/>
              </w:rPr>
              <w:t>8.15</w:t>
            </w:r>
          </w:p>
        </w:tc>
        <w:tc>
          <w:tcPr>
            <w:tcW w:w="967" w:type="dxa"/>
            <w:tcBorders>
              <w:top w:val="nil"/>
              <w:left w:val="nil"/>
              <w:bottom w:val="nil"/>
              <w:right w:val="nil"/>
            </w:tcBorders>
            <w:shd w:val="clear" w:color="auto" w:fill="auto"/>
            <w:noWrap/>
            <w:vAlign w:val="center"/>
            <w:hideMark/>
          </w:tcPr>
          <w:p w14:paraId="2B11E302" w14:textId="77777777" w:rsidR="00F71427" w:rsidRPr="006E7D8F" w:rsidRDefault="00F71427" w:rsidP="00EB329C">
            <w:pPr>
              <w:pStyle w:val="ExhibitText"/>
              <w:jc w:val="right"/>
              <w:rPr>
                <w:sz w:val="18"/>
                <w:szCs w:val="18"/>
              </w:rPr>
            </w:pPr>
            <w:r w:rsidRPr="006E7D8F">
              <w:rPr>
                <w:sz w:val="18"/>
                <w:szCs w:val="18"/>
              </w:rPr>
              <w:t>7.82</w:t>
            </w:r>
          </w:p>
        </w:tc>
        <w:tc>
          <w:tcPr>
            <w:tcW w:w="968" w:type="dxa"/>
            <w:tcBorders>
              <w:top w:val="nil"/>
              <w:left w:val="nil"/>
              <w:bottom w:val="nil"/>
              <w:right w:val="single" w:sz="4" w:space="0" w:color="auto"/>
            </w:tcBorders>
            <w:shd w:val="clear" w:color="auto" w:fill="auto"/>
            <w:noWrap/>
            <w:vAlign w:val="center"/>
            <w:hideMark/>
          </w:tcPr>
          <w:p w14:paraId="683E994B" w14:textId="77777777" w:rsidR="00F71427" w:rsidRPr="006E7D8F" w:rsidRDefault="00F71427" w:rsidP="00EB329C">
            <w:pPr>
              <w:pStyle w:val="ExhibitText"/>
              <w:jc w:val="right"/>
              <w:rPr>
                <w:sz w:val="18"/>
                <w:szCs w:val="18"/>
              </w:rPr>
            </w:pPr>
            <w:r w:rsidRPr="006E7D8F">
              <w:rPr>
                <w:sz w:val="18"/>
                <w:szCs w:val="18"/>
              </w:rPr>
              <w:t>6.88</w:t>
            </w:r>
          </w:p>
        </w:tc>
        <w:tc>
          <w:tcPr>
            <w:tcW w:w="1080" w:type="dxa"/>
            <w:tcBorders>
              <w:top w:val="nil"/>
              <w:left w:val="nil"/>
              <w:bottom w:val="nil"/>
              <w:right w:val="nil"/>
            </w:tcBorders>
            <w:shd w:val="clear" w:color="auto" w:fill="auto"/>
            <w:noWrap/>
            <w:vAlign w:val="center"/>
            <w:hideMark/>
          </w:tcPr>
          <w:p w14:paraId="448BBCB8" w14:textId="77777777" w:rsidR="00F71427" w:rsidRPr="006E7D8F" w:rsidRDefault="00F71427" w:rsidP="00EB329C">
            <w:pPr>
              <w:pStyle w:val="ExhibitText"/>
              <w:jc w:val="right"/>
              <w:rPr>
                <w:color w:val="000000"/>
                <w:sz w:val="18"/>
                <w:szCs w:val="18"/>
              </w:rPr>
            </w:pPr>
            <w:r w:rsidRPr="006E7D8F">
              <w:rPr>
                <w:color w:val="000000"/>
                <w:sz w:val="18"/>
                <w:szCs w:val="18"/>
              </w:rPr>
              <w:t>6.89</w:t>
            </w:r>
          </w:p>
        </w:tc>
      </w:tr>
      <w:tr w:rsidR="00F71427" w:rsidRPr="006E7D8F" w14:paraId="088BBCF6" w14:textId="77777777" w:rsidTr="00642D25">
        <w:trPr>
          <w:trHeight w:val="288"/>
          <w:jc w:val="center"/>
        </w:trPr>
        <w:tc>
          <w:tcPr>
            <w:tcW w:w="3420" w:type="dxa"/>
            <w:tcBorders>
              <w:top w:val="nil"/>
              <w:left w:val="nil"/>
            </w:tcBorders>
            <w:shd w:val="clear" w:color="auto" w:fill="auto"/>
            <w:vAlign w:val="center"/>
            <w:hideMark/>
          </w:tcPr>
          <w:p w14:paraId="3904BBE0" w14:textId="77777777" w:rsidR="00F71427" w:rsidRPr="006E7D8F" w:rsidRDefault="00F71427" w:rsidP="00EB329C">
            <w:pPr>
              <w:pStyle w:val="ExhibitText"/>
              <w:jc w:val="left"/>
              <w:rPr>
                <w:sz w:val="18"/>
                <w:szCs w:val="18"/>
              </w:rPr>
            </w:pPr>
            <w:r w:rsidRPr="006E7D8F">
              <w:rPr>
                <w:sz w:val="18"/>
                <w:szCs w:val="18"/>
              </w:rPr>
              <w:t>Spread (</w:t>
            </w:r>
            <w:r w:rsidR="0083746B" w:rsidRPr="006E7D8F">
              <w:rPr>
                <w:sz w:val="18"/>
                <w:szCs w:val="18"/>
              </w:rPr>
              <w:t>y</w:t>
            </w:r>
            <w:r w:rsidRPr="006E7D8F">
              <w:rPr>
                <w:sz w:val="18"/>
                <w:szCs w:val="18"/>
              </w:rPr>
              <w:t xml:space="preserve">ield </w:t>
            </w:r>
            <w:r w:rsidR="0083746B" w:rsidRPr="006E7D8F">
              <w:rPr>
                <w:sz w:val="18"/>
                <w:szCs w:val="18"/>
              </w:rPr>
              <w:t>−</w:t>
            </w:r>
            <w:r w:rsidRPr="006E7D8F">
              <w:rPr>
                <w:sz w:val="18"/>
                <w:szCs w:val="18"/>
              </w:rPr>
              <w:t xml:space="preserve"> </w:t>
            </w:r>
            <w:r w:rsidR="0083746B" w:rsidRPr="006E7D8F">
              <w:rPr>
                <w:sz w:val="18"/>
                <w:szCs w:val="18"/>
              </w:rPr>
              <w:t>c</w:t>
            </w:r>
            <w:r w:rsidRPr="006E7D8F">
              <w:rPr>
                <w:sz w:val="18"/>
                <w:szCs w:val="18"/>
              </w:rPr>
              <w:t>ost)</w:t>
            </w:r>
          </w:p>
        </w:tc>
        <w:tc>
          <w:tcPr>
            <w:tcW w:w="990" w:type="dxa"/>
            <w:tcBorders>
              <w:top w:val="nil"/>
              <w:left w:val="nil"/>
              <w:right w:val="nil"/>
            </w:tcBorders>
            <w:shd w:val="clear" w:color="auto" w:fill="auto"/>
            <w:noWrap/>
            <w:hideMark/>
          </w:tcPr>
          <w:p w14:paraId="05A8550C" w14:textId="77777777" w:rsidR="00F71427" w:rsidRPr="006E7D8F" w:rsidRDefault="00F71427" w:rsidP="00F71427">
            <w:pPr>
              <w:pStyle w:val="ExhibitText"/>
              <w:rPr>
                <w:sz w:val="18"/>
                <w:szCs w:val="18"/>
              </w:rPr>
            </w:pPr>
          </w:p>
        </w:tc>
        <w:tc>
          <w:tcPr>
            <w:tcW w:w="967" w:type="dxa"/>
            <w:tcBorders>
              <w:top w:val="nil"/>
              <w:left w:val="nil"/>
              <w:right w:val="nil"/>
            </w:tcBorders>
            <w:shd w:val="clear" w:color="auto" w:fill="auto"/>
            <w:noWrap/>
            <w:vAlign w:val="center"/>
            <w:hideMark/>
          </w:tcPr>
          <w:p w14:paraId="25D36A94" w14:textId="77777777" w:rsidR="00F71427" w:rsidRPr="006E7D8F" w:rsidRDefault="00F71427" w:rsidP="00EB329C">
            <w:pPr>
              <w:pStyle w:val="ExhibitText"/>
              <w:jc w:val="right"/>
              <w:rPr>
                <w:sz w:val="18"/>
                <w:szCs w:val="18"/>
              </w:rPr>
            </w:pPr>
            <w:r w:rsidRPr="006E7D8F">
              <w:rPr>
                <w:sz w:val="18"/>
                <w:szCs w:val="18"/>
              </w:rPr>
              <w:t>2.64</w:t>
            </w:r>
          </w:p>
        </w:tc>
        <w:tc>
          <w:tcPr>
            <w:tcW w:w="968" w:type="dxa"/>
            <w:tcBorders>
              <w:top w:val="nil"/>
              <w:left w:val="nil"/>
              <w:right w:val="nil"/>
            </w:tcBorders>
            <w:shd w:val="clear" w:color="auto" w:fill="auto"/>
            <w:noWrap/>
            <w:vAlign w:val="center"/>
            <w:hideMark/>
          </w:tcPr>
          <w:p w14:paraId="3AAC729A" w14:textId="77777777" w:rsidR="00F71427" w:rsidRPr="006E7D8F" w:rsidRDefault="00F71427" w:rsidP="00EB329C">
            <w:pPr>
              <w:pStyle w:val="ExhibitText"/>
              <w:jc w:val="right"/>
              <w:rPr>
                <w:sz w:val="18"/>
                <w:szCs w:val="18"/>
              </w:rPr>
            </w:pPr>
            <w:r w:rsidRPr="006E7D8F">
              <w:rPr>
                <w:sz w:val="18"/>
                <w:szCs w:val="18"/>
              </w:rPr>
              <w:t>2.77</w:t>
            </w:r>
          </w:p>
        </w:tc>
        <w:tc>
          <w:tcPr>
            <w:tcW w:w="967" w:type="dxa"/>
            <w:tcBorders>
              <w:top w:val="nil"/>
              <w:left w:val="nil"/>
              <w:right w:val="nil"/>
            </w:tcBorders>
            <w:shd w:val="clear" w:color="auto" w:fill="auto"/>
            <w:noWrap/>
            <w:vAlign w:val="center"/>
            <w:hideMark/>
          </w:tcPr>
          <w:p w14:paraId="04B558B0" w14:textId="77777777" w:rsidR="00F71427" w:rsidRPr="006E7D8F" w:rsidRDefault="00F71427" w:rsidP="00EB329C">
            <w:pPr>
              <w:pStyle w:val="ExhibitText"/>
              <w:jc w:val="right"/>
              <w:rPr>
                <w:sz w:val="18"/>
                <w:szCs w:val="18"/>
              </w:rPr>
            </w:pPr>
            <w:r w:rsidRPr="006E7D8F">
              <w:rPr>
                <w:sz w:val="18"/>
                <w:szCs w:val="18"/>
              </w:rPr>
              <w:t>2.94</w:t>
            </w:r>
          </w:p>
        </w:tc>
        <w:tc>
          <w:tcPr>
            <w:tcW w:w="968" w:type="dxa"/>
            <w:tcBorders>
              <w:top w:val="nil"/>
              <w:left w:val="nil"/>
              <w:right w:val="single" w:sz="4" w:space="0" w:color="auto"/>
            </w:tcBorders>
            <w:shd w:val="clear" w:color="auto" w:fill="auto"/>
            <w:noWrap/>
            <w:vAlign w:val="center"/>
            <w:hideMark/>
          </w:tcPr>
          <w:p w14:paraId="3C180A24" w14:textId="77777777" w:rsidR="00F71427" w:rsidRPr="006E7D8F" w:rsidRDefault="00F71427" w:rsidP="00EB329C">
            <w:pPr>
              <w:pStyle w:val="ExhibitText"/>
              <w:jc w:val="right"/>
              <w:rPr>
                <w:sz w:val="18"/>
                <w:szCs w:val="18"/>
              </w:rPr>
            </w:pPr>
            <w:r w:rsidRPr="006E7D8F">
              <w:rPr>
                <w:sz w:val="18"/>
                <w:szCs w:val="18"/>
              </w:rPr>
              <w:t>2.87</w:t>
            </w:r>
          </w:p>
        </w:tc>
        <w:tc>
          <w:tcPr>
            <w:tcW w:w="1080" w:type="dxa"/>
            <w:tcBorders>
              <w:top w:val="nil"/>
              <w:left w:val="nil"/>
              <w:right w:val="nil"/>
            </w:tcBorders>
            <w:shd w:val="clear" w:color="auto" w:fill="auto"/>
            <w:noWrap/>
            <w:vAlign w:val="center"/>
            <w:hideMark/>
          </w:tcPr>
          <w:p w14:paraId="0149D562" w14:textId="77777777" w:rsidR="00F71427" w:rsidRPr="006E7D8F" w:rsidRDefault="00F71427" w:rsidP="00EB329C">
            <w:pPr>
              <w:pStyle w:val="ExhibitText"/>
              <w:jc w:val="right"/>
              <w:rPr>
                <w:sz w:val="18"/>
                <w:szCs w:val="18"/>
              </w:rPr>
            </w:pPr>
            <w:r w:rsidRPr="006E7D8F">
              <w:rPr>
                <w:sz w:val="18"/>
                <w:szCs w:val="18"/>
              </w:rPr>
              <w:t>2.81</w:t>
            </w:r>
          </w:p>
        </w:tc>
      </w:tr>
      <w:tr w:rsidR="00F71427" w:rsidRPr="006E7D8F" w14:paraId="3FA1DEBE" w14:textId="77777777" w:rsidTr="00642D25">
        <w:trPr>
          <w:trHeight w:val="288"/>
          <w:jc w:val="center"/>
        </w:trPr>
        <w:tc>
          <w:tcPr>
            <w:tcW w:w="3420" w:type="dxa"/>
            <w:tcBorders>
              <w:top w:val="nil"/>
              <w:left w:val="nil"/>
              <w:bottom w:val="single" w:sz="4" w:space="0" w:color="auto"/>
            </w:tcBorders>
            <w:shd w:val="clear" w:color="auto" w:fill="auto"/>
            <w:vAlign w:val="center"/>
            <w:hideMark/>
          </w:tcPr>
          <w:p w14:paraId="73DCF139" w14:textId="77777777" w:rsidR="00F71427" w:rsidRPr="006E7D8F" w:rsidRDefault="00F71427" w:rsidP="00EB329C">
            <w:pPr>
              <w:pStyle w:val="ExhibitText"/>
              <w:jc w:val="left"/>
              <w:rPr>
                <w:sz w:val="18"/>
                <w:szCs w:val="18"/>
              </w:rPr>
            </w:pPr>
            <w:r w:rsidRPr="006E7D8F">
              <w:rPr>
                <w:sz w:val="18"/>
                <w:szCs w:val="18"/>
              </w:rPr>
              <w:t>Excess of IBA over IBL as % of IBA</w:t>
            </w:r>
          </w:p>
        </w:tc>
        <w:tc>
          <w:tcPr>
            <w:tcW w:w="990" w:type="dxa"/>
            <w:tcBorders>
              <w:top w:val="nil"/>
              <w:left w:val="nil"/>
              <w:bottom w:val="single" w:sz="4" w:space="0" w:color="auto"/>
              <w:right w:val="nil"/>
            </w:tcBorders>
            <w:shd w:val="clear" w:color="auto" w:fill="auto"/>
            <w:noWrap/>
            <w:hideMark/>
          </w:tcPr>
          <w:p w14:paraId="7E1F0476" w14:textId="77777777" w:rsidR="00F71427" w:rsidRPr="006E7D8F" w:rsidRDefault="00F71427" w:rsidP="00F71427">
            <w:pPr>
              <w:pStyle w:val="ExhibitText"/>
              <w:rPr>
                <w:sz w:val="18"/>
                <w:szCs w:val="18"/>
              </w:rPr>
            </w:pPr>
          </w:p>
        </w:tc>
        <w:tc>
          <w:tcPr>
            <w:tcW w:w="967" w:type="dxa"/>
            <w:tcBorders>
              <w:top w:val="nil"/>
              <w:left w:val="nil"/>
              <w:bottom w:val="single" w:sz="4" w:space="0" w:color="auto"/>
              <w:right w:val="nil"/>
            </w:tcBorders>
            <w:shd w:val="clear" w:color="auto" w:fill="auto"/>
            <w:noWrap/>
            <w:vAlign w:val="center"/>
            <w:hideMark/>
          </w:tcPr>
          <w:p w14:paraId="06FB28EB" w14:textId="77777777" w:rsidR="00F71427" w:rsidRPr="006E7D8F" w:rsidRDefault="00F71427" w:rsidP="00EB329C">
            <w:pPr>
              <w:pStyle w:val="ExhibitText"/>
              <w:jc w:val="right"/>
              <w:rPr>
                <w:sz w:val="18"/>
                <w:szCs w:val="18"/>
              </w:rPr>
            </w:pPr>
            <w:r w:rsidRPr="006E7D8F">
              <w:rPr>
                <w:sz w:val="18"/>
                <w:szCs w:val="18"/>
              </w:rPr>
              <w:t>4.48</w:t>
            </w:r>
          </w:p>
        </w:tc>
        <w:tc>
          <w:tcPr>
            <w:tcW w:w="968" w:type="dxa"/>
            <w:tcBorders>
              <w:top w:val="nil"/>
              <w:left w:val="nil"/>
              <w:bottom w:val="single" w:sz="4" w:space="0" w:color="auto"/>
              <w:right w:val="nil"/>
            </w:tcBorders>
            <w:shd w:val="clear" w:color="auto" w:fill="auto"/>
            <w:noWrap/>
            <w:vAlign w:val="center"/>
            <w:hideMark/>
          </w:tcPr>
          <w:p w14:paraId="6C5D7132" w14:textId="77777777" w:rsidR="00F71427" w:rsidRPr="006E7D8F" w:rsidRDefault="00F71427" w:rsidP="00EB329C">
            <w:pPr>
              <w:pStyle w:val="ExhibitText"/>
              <w:jc w:val="right"/>
              <w:rPr>
                <w:sz w:val="18"/>
                <w:szCs w:val="18"/>
              </w:rPr>
            </w:pPr>
            <w:r w:rsidRPr="006E7D8F">
              <w:rPr>
                <w:sz w:val="18"/>
                <w:szCs w:val="18"/>
              </w:rPr>
              <w:t>3.13</w:t>
            </w:r>
          </w:p>
        </w:tc>
        <w:tc>
          <w:tcPr>
            <w:tcW w:w="967" w:type="dxa"/>
            <w:tcBorders>
              <w:top w:val="nil"/>
              <w:left w:val="nil"/>
              <w:bottom w:val="single" w:sz="4" w:space="0" w:color="auto"/>
              <w:right w:val="nil"/>
            </w:tcBorders>
            <w:shd w:val="clear" w:color="auto" w:fill="auto"/>
            <w:noWrap/>
            <w:vAlign w:val="center"/>
            <w:hideMark/>
          </w:tcPr>
          <w:p w14:paraId="57CC8359" w14:textId="77777777" w:rsidR="00F71427" w:rsidRPr="006E7D8F" w:rsidRDefault="00F71427" w:rsidP="00EB329C">
            <w:pPr>
              <w:pStyle w:val="ExhibitText"/>
              <w:jc w:val="right"/>
              <w:rPr>
                <w:sz w:val="18"/>
                <w:szCs w:val="18"/>
              </w:rPr>
            </w:pPr>
            <w:r w:rsidRPr="006E7D8F">
              <w:rPr>
                <w:sz w:val="18"/>
                <w:szCs w:val="18"/>
              </w:rPr>
              <w:t>4.76</w:t>
            </w:r>
          </w:p>
        </w:tc>
        <w:tc>
          <w:tcPr>
            <w:tcW w:w="968" w:type="dxa"/>
            <w:tcBorders>
              <w:top w:val="nil"/>
              <w:left w:val="nil"/>
              <w:bottom w:val="single" w:sz="4" w:space="0" w:color="auto"/>
              <w:right w:val="single" w:sz="4" w:space="0" w:color="auto"/>
            </w:tcBorders>
            <w:shd w:val="clear" w:color="auto" w:fill="auto"/>
            <w:noWrap/>
            <w:vAlign w:val="center"/>
            <w:hideMark/>
          </w:tcPr>
          <w:p w14:paraId="5BD7D4A8" w14:textId="77777777" w:rsidR="00F71427" w:rsidRPr="006E7D8F" w:rsidRDefault="00F71427" w:rsidP="00EB329C">
            <w:pPr>
              <w:pStyle w:val="ExhibitText"/>
              <w:jc w:val="right"/>
              <w:rPr>
                <w:sz w:val="18"/>
                <w:szCs w:val="18"/>
              </w:rPr>
            </w:pPr>
            <w:r w:rsidRPr="006E7D8F">
              <w:rPr>
                <w:sz w:val="18"/>
                <w:szCs w:val="18"/>
              </w:rPr>
              <w:t>3.03</w:t>
            </w:r>
          </w:p>
        </w:tc>
        <w:tc>
          <w:tcPr>
            <w:tcW w:w="1080" w:type="dxa"/>
            <w:tcBorders>
              <w:top w:val="nil"/>
              <w:left w:val="nil"/>
              <w:bottom w:val="single" w:sz="4" w:space="0" w:color="auto"/>
              <w:right w:val="nil"/>
            </w:tcBorders>
            <w:shd w:val="clear" w:color="auto" w:fill="auto"/>
            <w:noWrap/>
            <w:vAlign w:val="center"/>
            <w:hideMark/>
          </w:tcPr>
          <w:p w14:paraId="02061D62" w14:textId="77777777" w:rsidR="00F71427" w:rsidRPr="006E7D8F" w:rsidRDefault="00F71427" w:rsidP="00EB329C">
            <w:pPr>
              <w:pStyle w:val="ExhibitText"/>
              <w:jc w:val="right"/>
              <w:rPr>
                <w:sz w:val="18"/>
                <w:szCs w:val="18"/>
              </w:rPr>
            </w:pPr>
            <w:r w:rsidRPr="006E7D8F">
              <w:rPr>
                <w:sz w:val="18"/>
                <w:szCs w:val="18"/>
              </w:rPr>
              <w:t>13.66</w:t>
            </w:r>
          </w:p>
        </w:tc>
      </w:tr>
    </w:tbl>
    <w:p w14:paraId="3FEAE3F6" w14:textId="77777777" w:rsidR="00F71427" w:rsidRPr="006E7D8F" w:rsidRDefault="00F71427" w:rsidP="00642D25">
      <w:pPr>
        <w:pStyle w:val="ExhibitText"/>
      </w:pPr>
    </w:p>
    <w:p w14:paraId="3138230B" w14:textId="635E0CF6" w:rsidR="00F71427" w:rsidRPr="006E7D8F" w:rsidRDefault="000C151F" w:rsidP="00F71427">
      <w:pPr>
        <w:pStyle w:val="Footnote"/>
        <w:rPr>
          <w:rFonts w:eastAsiaTheme="minorHAnsi"/>
        </w:rPr>
      </w:pPr>
      <w:r w:rsidRPr="006E7D8F">
        <w:rPr>
          <w:rFonts w:eastAsiaTheme="minorHAnsi"/>
        </w:rPr>
        <w:t xml:space="preserve">Note: CSB = Catholic Syrian Bank; </w:t>
      </w:r>
      <w:r w:rsidR="00DB64BE" w:rsidRPr="006E7D8F">
        <w:rPr>
          <w:rFonts w:eastAsiaTheme="minorHAnsi"/>
        </w:rPr>
        <w:t xml:space="preserve">FY = fiscal year, expressed as fiscal year ending; HY = half year; </w:t>
      </w:r>
      <w:r w:rsidR="0083746B" w:rsidRPr="006E7D8F">
        <w:rPr>
          <w:rFonts w:eastAsiaTheme="minorHAnsi"/>
        </w:rPr>
        <w:t xml:space="preserve">NPA = non-performing assets; </w:t>
      </w:r>
      <w:r w:rsidR="00DB64BE" w:rsidRPr="006E7D8F">
        <w:rPr>
          <w:rFonts w:eastAsiaTheme="minorHAnsi"/>
        </w:rPr>
        <w:t xml:space="preserve">NPSB = new private sector banks; </w:t>
      </w:r>
      <w:r w:rsidRPr="006E7D8F">
        <w:rPr>
          <w:rFonts w:eastAsiaTheme="minorHAnsi"/>
        </w:rPr>
        <w:t>*</w:t>
      </w:r>
      <w:r w:rsidR="00DB64BE" w:rsidRPr="006E7D8F">
        <w:rPr>
          <w:rFonts w:eastAsiaTheme="minorHAnsi"/>
        </w:rPr>
        <w:t xml:space="preserve"> </w:t>
      </w:r>
      <w:r w:rsidR="00833E7E">
        <w:rPr>
          <w:rFonts w:eastAsiaTheme="minorHAnsi"/>
        </w:rPr>
        <w:t>Cost-to-income</w:t>
      </w:r>
      <w:r w:rsidR="00F71427" w:rsidRPr="006E7D8F">
        <w:rPr>
          <w:rFonts w:eastAsiaTheme="minorHAnsi"/>
        </w:rPr>
        <w:t xml:space="preserve"> ratio </w:t>
      </w:r>
      <w:r w:rsidRPr="006E7D8F">
        <w:rPr>
          <w:rFonts w:eastAsiaTheme="minorHAnsi"/>
        </w:rPr>
        <w:t>=</w:t>
      </w:r>
      <w:r w:rsidR="00F71427" w:rsidRPr="006E7D8F">
        <w:rPr>
          <w:rFonts w:eastAsiaTheme="minorHAnsi"/>
        </w:rPr>
        <w:t xml:space="preserve"> </w:t>
      </w:r>
      <w:r w:rsidRPr="006E7D8F">
        <w:rPr>
          <w:rFonts w:eastAsiaTheme="minorHAnsi"/>
        </w:rPr>
        <w:t>o</w:t>
      </w:r>
      <w:r w:rsidR="00F71427" w:rsidRPr="006E7D8F">
        <w:rPr>
          <w:rFonts w:eastAsiaTheme="minorHAnsi"/>
        </w:rPr>
        <w:t>perating expenses</w:t>
      </w:r>
      <w:r w:rsidRPr="006E7D8F">
        <w:rPr>
          <w:rFonts w:eastAsiaTheme="minorHAnsi"/>
        </w:rPr>
        <w:t xml:space="preserve"> ÷ </w:t>
      </w:r>
      <w:r w:rsidR="00F71427" w:rsidRPr="006E7D8F">
        <w:rPr>
          <w:rFonts w:eastAsiaTheme="minorHAnsi"/>
        </w:rPr>
        <w:t>(</w:t>
      </w:r>
      <w:r w:rsidR="0043511E" w:rsidRPr="006E7D8F">
        <w:rPr>
          <w:rFonts w:eastAsiaTheme="minorHAnsi"/>
        </w:rPr>
        <w:t>net interest income</w:t>
      </w:r>
      <w:r w:rsidR="00F71427" w:rsidRPr="006E7D8F">
        <w:rPr>
          <w:rFonts w:eastAsiaTheme="minorHAnsi"/>
        </w:rPr>
        <w:t xml:space="preserve"> + </w:t>
      </w:r>
      <w:r w:rsidRPr="006E7D8F">
        <w:rPr>
          <w:rFonts w:eastAsiaTheme="minorHAnsi"/>
        </w:rPr>
        <w:t>o</w:t>
      </w:r>
      <w:r w:rsidR="00F71427" w:rsidRPr="006E7D8F">
        <w:rPr>
          <w:rFonts w:eastAsiaTheme="minorHAnsi"/>
        </w:rPr>
        <w:t>ther income)</w:t>
      </w:r>
      <w:r w:rsidRPr="006E7D8F">
        <w:rPr>
          <w:rFonts w:eastAsiaTheme="minorHAnsi"/>
        </w:rPr>
        <w:t>.</w:t>
      </w:r>
    </w:p>
    <w:p w14:paraId="51A52C32" w14:textId="0A752797" w:rsidR="00C8341D" w:rsidRPr="006E7D8F" w:rsidRDefault="00F71427" w:rsidP="00F71427">
      <w:pPr>
        <w:pStyle w:val="Footnote"/>
        <w:rPr>
          <w:rFonts w:eastAsiaTheme="minorHAnsi"/>
        </w:rPr>
      </w:pPr>
      <w:r w:rsidRPr="006E7D8F">
        <w:rPr>
          <w:rFonts w:eastAsiaTheme="minorHAnsi"/>
        </w:rPr>
        <w:t xml:space="preserve">Source: </w:t>
      </w:r>
      <w:r w:rsidR="00AC40DC" w:rsidRPr="006E7D8F">
        <w:rPr>
          <w:rFonts w:eastAsiaTheme="minorHAnsi"/>
        </w:rPr>
        <w:t xml:space="preserve">Created by the case author based on </w:t>
      </w:r>
      <w:r w:rsidRPr="006E7D8F">
        <w:rPr>
          <w:rFonts w:eastAsiaTheme="minorHAnsi"/>
        </w:rPr>
        <w:t>Reserve Bank of India</w:t>
      </w:r>
      <w:r w:rsidR="00F42D8C" w:rsidRPr="006E7D8F">
        <w:rPr>
          <w:rFonts w:eastAsiaTheme="minorHAnsi"/>
        </w:rPr>
        <w:t xml:space="preserve">, “Ratios and Rates,” </w:t>
      </w:r>
      <w:r w:rsidR="00D812EF">
        <w:t>Database on Indian Economy</w:t>
      </w:r>
      <w:r w:rsidR="00D812EF" w:rsidRPr="008B0936">
        <w:t>,</w:t>
      </w:r>
      <w:r w:rsidRPr="006E7D8F">
        <w:rPr>
          <w:rFonts w:eastAsiaTheme="minorHAnsi"/>
        </w:rPr>
        <w:t xml:space="preserve"> accessed March 9, 2018</w:t>
      </w:r>
      <w:r w:rsidR="00F42D8C" w:rsidRPr="006E7D8F">
        <w:rPr>
          <w:rFonts w:eastAsiaTheme="minorHAnsi"/>
        </w:rPr>
        <w:t>, https://dbie.rbi.org.in/DBIE/dbie.rbi?site=publications.</w:t>
      </w:r>
    </w:p>
    <w:p w14:paraId="489D53C7" w14:textId="77777777" w:rsidR="00F71427" w:rsidRPr="006E7D8F" w:rsidRDefault="00F71427" w:rsidP="00642D25">
      <w:pPr>
        <w:pStyle w:val="ExhibitText"/>
        <w:rPr>
          <w:rFonts w:eastAsiaTheme="minorHAnsi"/>
          <w:b/>
        </w:rPr>
      </w:pPr>
      <w:r w:rsidRPr="006E7D8F">
        <w:rPr>
          <w:rFonts w:eastAsiaTheme="minorHAnsi"/>
          <w:b/>
        </w:rPr>
        <w:br w:type="page"/>
      </w:r>
    </w:p>
    <w:p w14:paraId="56A3DC6C" w14:textId="5C7412C2" w:rsidR="00F71427" w:rsidRPr="006E7D8F" w:rsidRDefault="00F71427" w:rsidP="00F71427">
      <w:pPr>
        <w:pStyle w:val="ExhibitHeading"/>
        <w:rPr>
          <w:rFonts w:eastAsiaTheme="minorHAnsi"/>
        </w:rPr>
      </w:pPr>
      <w:r w:rsidRPr="006E7D8F">
        <w:rPr>
          <w:rFonts w:eastAsiaTheme="minorHAnsi"/>
        </w:rPr>
        <w:t>EXHIBIT 5: PRICE-TO-BOOK VALUE RATIOS FOR PEER BANKS</w:t>
      </w:r>
      <w:r w:rsidR="00071CD0">
        <w:rPr>
          <w:rFonts w:eastAsiaTheme="minorHAnsi"/>
        </w:rPr>
        <w:t>,</w:t>
      </w:r>
      <w:r w:rsidR="00DB3309" w:rsidRPr="006E7D8F">
        <w:rPr>
          <w:rFonts w:eastAsiaTheme="minorHAnsi"/>
        </w:rPr>
        <w:t xml:space="preserve"> AS of MARCH 31, 2017</w:t>
      </w:r>
    </w:p>
    <w:p w14:paraId="674C00FC" w14:textId="77777777" w:rsidR="00F71427" w:rsidRPr="006E7D8F" w:rsidRDefault="00F71427" w:rsidP="00642D25">
      <w:pPr>
        <w:pStyle w:val="ExhibitText"/>
        <w:rPr>
          <w:rFonts w:eastAsiaTheme="minorHAnsi"/>
        </w:rPr>
      </w:pPr>
    </w:p>
    <w:tbl>
      <w:tblPr>
        <w:tblW w:w="4680" w:type="dxa"/>
        <w:jc w:val="center"/>
        <w:tblLook w:val="04A0" w:firstRow="1" w:lastRow="0" w:firstColumn="1" w:lastColumn="0" w:noHBand="0" w:noVBand="1"/>
      </w:tblPr>
      <w:tblGrid>
        <w:gridCol w:w="997"/>
        <w:gridCol w:w="2474"/>
        <w:gridCol w:w="666"/>
        <w:gridCol w:w="997"/>
      </w:tblGrid>
      <w:tr w:rsidR="009D6E9E" w:rsidRPr="006E7D8F" w14:paraId="241559B8" w14:textId="77777777" w:rsidTr="00642D25">
        <w:trPr>
          <w:trHeight w:val="288"/>
          <w:jc w:val="center"/>
        </w:trPr>
        <w:tc>
          <w:tcPr>
            <w:tcW w:w="960"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69CEB702" w14:textId="77777777" w:rsidR="009D6E9E" w:rsidRPr="006E7D8F" w:rsidRDefault="009D6E9E" w:rsidP="007728DA">
            <w:pPr>
              <w:pStyle w:val="ExhibitText"/>
              <w:jc w:val="left"/>
              <w:rPr>
                <w:b/>
                <w:sz w:val="18"/>
                <w:szCs w:val="18"/>
              </w:rPr>
            </w:pPr>
            <w:r w:rsidRPr="006E7D8F">
              <w:rPr>
                <w:b/>
                <w:sz w:val="18"/>
                <w:szCs w:val="18"/>
              </w:rPr>
              <w:t>Category</w:t>
            </w:r>
          </w:p>
        </w:tc>
        <w:tc>
          <w:tcPr>
            <w:tcW w:w="2474" w:type="dxa"/>
            <w:tcBorders>
              <w:top w:val="single" w:sz="4" w:space="0" w:color="auto"/>
              <w:left w:val="nil"/>
              <w:bottom w:val="single" w:sz="12" w:space="0" w:color="auto"/>
              <w:right w:val="single" w:sz="4" w:space="0" w:color="auto"/>
            </w:tcBorders>
            <w:shd w:val="clear" w:color="auto" w:fill="auto"/>
            <w:noWrap/>
            <w:vAlign w:val="center"/>
          </w:tcPr>
          <w:p w14:paraId="3A4FC468" w14:textId="77777777" w:rsidR="009D6E9E" w:rsidRPr="006E7D8F" w:rsidRDefault="009D6E9E" w:rsidP="007728DA">
            <w:pPr>
              <w:pStyle w:val="ExhibitText"/>
              <w:jc w:val="left"/>
              <w:rPr>
                <w:b/>
                <w:sz w:val="18"/>
                <w:szCs w:val="18"/>
              </w:rPr>
            </w:pPr>
            <w:r w:rsidRPr="006E7D8F">
              <w:rPr>
                <w:b/>
                <w:sz w:val="18"/>
                <w:szCs w:val="18"/>
              </w:rPr>
              <w:t>Bank</w:t>
            </w:r>
          </w:p>
        </w:tc>
        <w:tc>
          <w:tcPr>
            <w:tcW w:w="246" w:type="dxa"/>
            <w:tcBorders>
              <w:top w:val="single" w:sz="4" w:space="0" w:color="auto"/>
              <w:left w:val="nil"/>
              <w:bottom w:val="single" w:sz="12" w:space="0" w:color="auto"/>
              <w:right w:val="single" w:sz="4" w:space="0" w:color="auto"/>
            </w:tcBorders>
            <w:shd w:val="clear" w:color="auto" w:fill="auto"/>
            <w:noWrap/>
            <w:vAlign w:val="center"/>
          </w:tcPr>
          <w:p w14:paraId="212EAD37" w14:textId="77777777" w:rsidR="009D6E9E" w:rsidRPr="006E7D8F" w:rsidRDefault="009D6E9E" w:rsidP="007728DA">
            <w:pPr>
              <w:pStyle w:val="ExhibitText"/>
              <w:jc w:val="right"/>
              <w:rPr>
                <w:b/>
                <w:sz w:val="18"/>
                <w:szCs w:val="18"/>
              </w:rPr>
            </w:pPr>
            <w:r w:rsidRPr="006E7D8F">
              <w:rPr>
                <w:b/>
                <w:sz w:val="18"/>
                <w:szCs w:val="18"/>
              </w:rPr>
              <w:t>Ratio</w:t>
            </w:r>
          </w:p>
        </w:tc>
        <w:tc>
          <w:tcPr>
            <w:tcW w:w="800"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16B7CBE2" w14:textId="77777777" w:rsidR="009D6E9E" w:rsidRPr="006E7D8F" w:rsidRDefault="009D6E9E" w:rsidP="007728DA">
            <w:pPr>
              <w:pStyle w:val="ExhibitText"/>
              <w:jc w:val="right"/>
              <w:rPr>
                <w:b/>
                <w:sz w:val="18"/>
                <w:szCs w:val="18"/>
              </w:rPr>
            </w:pPr>
            <w:r w:rsidRPr="006E7D8F">
              <w:rPr>
                <w:b/>
                <w:sz w:val="18"/>
                <w:szCs w:val="18"/>
              </w:rPr>
              <w:t>Average*</w:t>
            </w:r>
          </w:p>
        </w:tc>
      </w:tr>
      <w:tr w:rsidR="00F71427" w:rsidRPr="006E7D8F" w14:paraId="459DE059" w14:textId="77777777" w:rsidTr="00642D25">
        <w:trPr>
          <w:trHeight w:val="288"/>
          <w:jc w:val="center"/>
        </w:trPr>
        <w:tc>
          <w:tcPr>
            <w:tcW w:w="96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621FBFA8" w14:textId="77777777" w:rsidR="00F71427" w:rsidRPr="006E7D8F" w:rsidRDefault="00F71427" w:rsidP="007728DA">
            <w:pPr>
              <w:pStyle w:val="ExhibitText"/>
              <w:jc w:val="left"/>
              <w:rPr>
                <w:sz w:val="18"/>
                <w:szCs w:val="18"/>
              </w:rPr>
            </w:pPr>
            <w:r w:rsidRPr="006E7D8F">
              <w:rPr>
                <w:sz w:val="18"/>
                <w:szCs w:val="18"/>
              </w:rPr>
              <w:t>OPSB</w:t>
            </w:r>
          </w:p>
        </w:tc>
        <w:tc>
          <w:tcPr>
            <w:tcW w:w="2474" w:type="dxa"/>
            <w:tcBorders>
              <w:top w:val="single" w:sz="12" w:space="0" w:color="auto"/>
              <w:left w:val="nil"/>
              <w:bottom w:val="single" w:sz="4" w:space="0" w:color="auto"/>
              <w:right w:val="single" w:sz="4" w:space="0" w:color="auto"/>
            </w:tcBorders>
            <w:shd w:val="clear" w:color="auto" w:fill="auto"/>
            <w:noWrap/>
            <w:vAlign w:val="center"/>
            <w:hideMark/>
          </w:tcPr>
          <w:p w14:paraId="77088BBC" w14:textId="77777777" w:rsidR="00F71427" w:rsidRPr="006E7D8F" w:rsidRDefault="00F71427" w:rsidP="007728DA">
            <w:pPr>
              <w:pStyle w:val="ExhibitText"/>
              <w:jc w:val="left"/>
              <w:rPr>
                <w:sz w:val="18"/>
                <w:szCs w:val="18"/>
              </w:rPr>
            </w:pPr>
            <w:r w:rsidRPr="006E7D8F">
              <w:rPr>
                <w:sz w:val="18"/>
                <w:szCs w:val="18"/>
              </w:rPr>
              <w:t>City Union Bank</w:t>
            </w:r>
          </w:p>
        </w:tc>
        <w:tc>
          <w:tcPr>
            <w:tcW w:w="246" w:type="dxa"/>
            <w:tcBorders>
              <w:top w:val="single" w:sz="12" w:space="0" w:color="auto"/>
              <w:left w:val="nil"/>
              <w:bottom w:val="single" w:sz="4" w:space="0" w:color="auto"/>
              <w:right w:val="single" w:sz="4" w:space="0" w:color="auto"/>
            </w:tcBorders>
            <w:shd w:val="clear" w:color="auto" w:fill="auto"/>
            <w:noWrap/>
            <w:vAlign w:val="center"/>
            <w:hideMark/>
          </w:tcPr>
          <w:p w14:paraId="1DE5A73B" w14:textId="77777777" w:rsidR="00F71427" w:rsidRPr="006E7D8F" w:rsidRDefault="00F71427" w:rsidP="007728DA">
            <w:pPr>
              <w:pStyle w:val="ExhibitText"/>
              <w:jc w:val="right"/>
              <w:rPr>
                <w:sz w:val="18"/>
                <w:szCs w:val="18"/>
              </w:rPr>
            </w:pPr>
            <w:r w:rsidRPr="006E7D8F">
              <w:rPr>
                <w:sz w:val="18"/>
                <w:szCs w:val="18"/>
              </w:rPr>
              <w:t>2.55</w:t>
            </w:r>
          </w:p>
        </w:tc>
        <w:tc>
          <w:tcPr>
            <w:tcW w:w="800" w:type="dxa"/>
            <w:vMerge w:val="restart"/>
            <w:tcBorders>
              <w:top w:val="single" w:sz="12" w:space="0" w:color="auto"/>
              <w:left w:val="single" w:sz="4" w:space="0" w:color="auto"/>
              <w:bottom w:val="single" w:sz="4" w:space="0" w:color="000000"/>
              <w:right w:val="single" w:sz="4" w:space="0" w:color="auto"/>
            </w:tcBorders>
            <w:shd w:val="clear" w:color="auto" w:fill="auto"/>
            <w:noWrap/>
            <w:vAlign w:val="center"/>
            <w:hideMark/>
          </w:tcPr>
          <w:p w14:paraId="0E4D46B2" w14:textId="77777777" w:rsidR="00F71427" w:rsidRPr="006E7D8F" w:rsidRDefault="00F71427" w:rsidP="007728DA">
            <w:pPr>
              <w:pStyle w:val="ExhibitText"/>
              <w:jc w:val="right"/>
              <w:rPr>
                <w:sz w:val="18"/>
                <w:szCs w:val="18"/>
              </w:rPr>
            </w:pPr>
            <w:r w:rsidRPr="006E7D8F">
              <w:rPr>
                <w:sz w:val="18"/>
                <w:szCs w:val="18"/>
              </w:rPr>
              <w:t>1.53</w:t>
            </w:r>
          </w:p>
        </w:tc>
      </w:tr>
      <w:tr w:rsidR="00F71427" w:rsidRPr="006E7D8F" w14:paraId="2D5FBE99" w14:textId="77777777" w:rsidTr="00EB329C">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4B48D53"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2D9E7E92" w14:textId="77777777" w:rsidR="00F71427" w:rsidRPr="006E7D8F" w:rsidRDefault="00F71427" w:rsidP="007728DA">
            <w:pPr>
              <w:pStyle w:val="ExhibitText"/>
              <w:jc w:val="left"/>
              <w:rPr>
                <w:sz w:val="18"/>
                <w:szCs w:val="18"/>
              </w:rPr>
            </w:pPr>
            <w:r w:rsidRPr="006E7D8F">
              <w:rPr>
                <w:sz w:val="18"/>
                <w:szCs w:val="18"/>
              </w:rPr>
              <w:t>DCB Bank</w:t>
            </w:r>
          </w:p>
        </w:tc>
        <w:tc>
          <w:tcPr>
            <w:tcW w:w="246" w:type="dxa"/>
            <w:tcBorders>
              <w:top w:val="nil"/>
              <w:left w:val="nil"/>
              <w:bottom w:val="single" w:sz="4" w:space="0" w:color="auto"/>
              <w:right w:val="single" w:sz="4" w:space="0" w:color="auto"/>
            </w:tcBorders>
            <w:shd w:val="clear" w:color="auto" w:fill="auto"/>
            <w:noWrap/>
            <w:vAlign w:val="center"/>
            <w:hideMark/>
          </w:tcPr>
          <w:p w14:paraId="346A8394" w14:textId="77777777" w:rsidR="00F71427" w:rsidRPr="006E7D8F" w:rsidRDefault="00F71427" w:rsidP="007728DA">
            <w:pPr>
              <w:pStyle w:val="ExhibitText"/>
              <w:jc w:val="right"/>
              <w:rPr>
                <w:sz w:val="18"/>
                <w:szCs w:val="18"/>
              </w:rPr>
            </w:pPr>
            <w:r w:rsidRPr="006E7D8F">
              <w:rPr>
                <w:sz w:val="18"/>
                <w:szCs w:val="18"/>
              </w:rPr>
              <w:t>2.5</w:t>
            </w:r>
            <w:r w:rsidR="009D6E9E" w:rsidRPr="006E7D8F">
              <w:rPr>
                <w:sz w:val="18"/>
                <w:szCs w:val="18"/>
              </w:rPr>
              <w:t>0</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754684C0" w14:textId="77777777" w:rsidR="00F71427" w:rsidRPr="006E7D8F" w:rsidRDefault="00F71427" w:rsidP="007728DA">
            <w:pPr>
              <w:pStyle w:val="ExhibitText"/>
              <w:jc w:val="right"/>
              <w:rPr>
                <w:sz w:val="18"/>
                <w:szCs w:val="18"/>
              </w:rPr>
            </w:pPr>
          </w:p>
        </w:tc>
      </w:tr>
      <w:tr w:rsidR="00F71427" w:rsidRPr="006E7D8F" w14:paraId="12C7579E" w14:textId="77777777" w:rsidTr="00EB329C">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D1FCF5E"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5863368B" w14:textId="77777777" w:rsidR="00F71427" w:rsidRPr="006E7D8F" w:rsidRDefault="00F71427" w:rsidP="007728DA">
            <w:pPr>
              <w:pStyle w:val="ExhibitText"/>
              <w:jc w:val="left"/>
              <w:rPr>
                <w:sz w:val="18"/>
                <w:szCs w:val="18"/>
              </w:rPr>
            </w:pPr>
            <w:r w:rsidRPr="006E7D8F">
              <w:rPr>
                <w:sz w:val="18"/>
                <w:szCs w:val="18"/>
              </w:rPr>
              <w:t>Federal Bank</w:t>
            </w:r>
          </w:p>
        </w:tc>
        <w:tc>
          <w:tcPr>
            <w:tcW w:w="246" w:type="dxa"/>
            <w:tcBorders>
              <w:top w:val="nil"/>
              <w:left w:val="nil"/>
              <w:bottom w:val="single" w:sz="4" w:space="0" w:color="auto"/>
              <w:right w:val="single" w:sz="4" w:space="0" w:color="auto"/>
            </w:tcBorders>
            <w:shd w:val="clear" w:color="auto" w:fill="auto"/>
            <w:noWrap/>
            <w:vAlign w:val="center"/>
            <w:hideMark/>
          </w:tcPr>
          <w:p w14:paraId="713053D3" w14:textId="77777777" w:rsidR="00F71427" w:rsidRPr="006E7D8F" w:rsidRDefault="00F71427" w:rsidP="007728DA">
            <w:pPr>
              <w:pStyle w:val="ExhibitText"/>
              <w:jc w:val="right"/>
              <w:rPr>
                <w:sz w:val="18"/>
                <w:szCs w:val="18"/>
              </w:rPr>
            </w:pPr>
            <w:r w:rsidRPr="006E7D8F">
              <w:rPr>
                <w:sz w:val="18"/>
                <w:szCs w:val="18"/>
              </w:rPr>
              <w:t>1.76</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660CC3FB" w14:textId="77777777" w:rsidR="00F71427" w:rsidRPr="006E7D8F" w:rsidRDefault="00F71427" w:rsidP="007728DA">
            <w:pPr>
              <w:pStyle w:val="ExhibitText"/>
              <w:jc w:val="right"/>
              <w:rPr>
                <w:sz w:val="18"/>
                <w:szCs w:val="18"/>
              </w:rPr>
            </w:pPr>
          </w:p>
        </w:tc>
      </w:tr>
      <w:tr w:rsidR="00F71427" w:rsidRPr="006E7D8F" w14:paraId="5E610C95" w14:textId="77777777" w:rsidTr="00EB329C">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478FD4D"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309A2F97" w14:textId="77777777" w:rsidR="00F71427" w:rsidRPr="006E7D8F" w:rsidRDefault="00F71427" w:rsidP="007728DA">
            <w:pPr>
              <w:pStyle w:val="ExhibitText"/>
              <w:jc w:val="left"/>
              <w:rPr>
                <w:sz w:val="18"/>
                <w:szCs w:val="18"/>
              </w:rPr>
            </w:pPr>
            <w:r w:rsidRPr="006E7D8F">
              <w:rPr>
                <w:sz w:val="18"/>
                <w:szCs w:val="18"/>
              </w:rPr>
              <w:t>J&amp;K Bank</w:t>
            </w:r>
          </w:p>
        </w:tc>
        <w:tc>
          <w:tcPr>
            <w:tcW w:w="246" w:type="dxa"/>
            <w:tcBorders>
              <w:top w:val="nil"/>
              <w:left w:val="nil"/>
              <w:bottom w:val="single" w:sz="4" w:space="0" w:color="auto"/>
              <w:right w:val="single" w:sz="4" w:space="0" w:color="auto"/>
            </w:tcBorders>
            <w:shd w:val="clear" w:color="auto" w:fill="auto"/>
            <w:noWrap/>
            <w:vAlign w:val="center"/>
            <w:hideMark/>
          </w:tcPr>
          <w:p w14:paraId="26208BAC" w14:textId="77777777" w:rsidR="00F71427" w:rsidRPr="006E7D8F" w:rsidRDefault="00F71427" w:rsidP="007728DA">
            <w:pPr>
              <w:pStyle w:val="ExhibitText"/>
              <w:jc w:val="right"/>
              <w:rPr>
                <w:sz w:val="18"/>
                <w:szCs w:val="18"/>
              </w:rPr>
            </w:pPr>
            <w:r w:rsidRPr="006E7D8F">
              <w:rPr>
                <w:sz w:val="18"/>
                <w:szCs w:val="18"/>
              </w:rPr>
              <w:t>0.78</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499B1AD4" w14:textId="77777777" w:rsidR="00F71427" w:rsidRPr="006E7D8F" w:rsidRDefault="00F71427" w:rsidP="007728DA">
            <w:pPr>
              <w:pStyle w:val="ExhibitText"/>
              <w:jc w:val="right"/>
              <w:rPr>
                <w:sz w:val="18"/>
                <w:szCs w:val="18"/>
              </w:rPr>
            </w:pPr>
          </w:p>
        </w:tc>
      </w:tr>
      <w:tr w:rsidR="00F71427" w:rsidRPr="006E7D8F" w14:paraId="76AE7E3B" w14:textId="77777777" w:rsidTr="00EB329C">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C2C9A9A"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6633E40E" w14:textId="77777777" w:rsidR="00F71427" w:rsidRPr="006E7D8F" w:rsidRDefault="00F71427" w:rsidP="007728DA">
            <w:pPr>
              <w:pStyle w:val="ExhibitText"/>
              <w:jc w:val="left"/>
              <w:rPr>
                <w:sz w:val="18"/>
                <w:szCs w:val="18"/>
              </w:rPr>
            </w:pPr>
            <w:r w:rsidRPr="006E7D8F">
              <w:rPr>
                <w:sz w:val="18"/>
                <w:szCs w:val="18"/>
              </w:rPr>
              <w:t>Karnataka Bank</w:t>
            </w:r>
          </w:p>
        </w:tc>
        <w:tc>
          <w:tcPr>
            <w:tcW w:w="246" w:type="dxa"/>
            <w:tcBorders>
              <w:top w:val="nil"/>
              <w:left w:val="nil"/>
              <w:bottom w:val="single" w:sz="4" w:space="0" w:color="auto"/>
              <w:right w:val="single" w:sz="4" w:space="0" w:color="auto"/>
            </w:tcBorders>
            <w:shd w:val="clear" w:color="auto" w:fill="auto"/>
            <w:noWrap/>
            <w:vAlign w:val="center"/>
            <w:hideMark/>
          </w:tcPr>
          <w:p w14:paraId="6FC0CC51" w14:textId="77777777" w:rsidR="00F71427" w:rsidRPr="006E7D8F" w:rsidRDefault="00F71427" w:rsidP="007728DA">
            <w:pPr>
              <w:pStyle w:val="ExhibitText"/>
              <w:jc w:val="right"/>
              <w:rPr>
                <w:sz w:val="18"/>
                <w:szCs w:val="18"/>
              </w:rPr>
            </w:pPr>
            <w:r w:rsidRPr="006E7D8F">
              <w:rPr>
                <w:sz w:val="18"/>
                <w:szCs w:val="18"/>
              </w:rPr>
              <w:t>0.84</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526B3A75" w14:textId="77777777" w:rsidR="00F71427" w:rsidRPr="006E7D8F" w:rsidRDefault="00F71427" w:rsidP="007728DA">
            <w:pPr>
              <w:pStyle w:val="ExhibitText"/>
              <w:jc w:val="right"/>
              <w:rPr>
                <w:sz w:val="18"/>
                <w:szCs w:val="18"/>
              </w:rPr>
            </w:pPr>
          </w:p>
        </w:tc>
      </w:tr>
      <w:tr w:rsidR="00F71427" w:rsidRPr="006E7D8F" w14:paraId="21716A88" w14:textId="77777777" w:rsidTr="00EB329C">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F2D9492"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32A977B0" w14:textId="77777777" w:rsidR="00F71427" w:rsidRPr="006E7D8F" w:rsidRDefault="00F71427" w:rsidP="007728DA">
            <w:pPr>
              <w:pStyle w:val="ExhibitText"/>
              <w:jc w:val="left"/>
              <w:rPr>
                <w:sz w:val="18"/>
                <w:szCs w:val="18"/>
              </w:rPr>
            </w:pPr>
            <w:proofErr w:type="spellStart"/>
            <w:r w:rsidRPr="006E7D8F">
              <w:rPr>
                <w:sz w:val="18"/>
                <w:szCs w:val="18"/>
              </w:rPr>
              <w:t>Karur</w:t>
            </w:r>
            <w:proofErr w:type="spellEnd"/>
            <w:r w:rsidRPr="006E7D8F">
              <w:rPr>
                <w:sz w:val="18"/>
                <w:szCs w:val="18"/>
              </w:rPr>
              <w:t xml:space="preserve"> </w:t>
            </w:r>
            <w:proofErr w:type="spellStart"/>
            <w:r w:rsidRPr="006E7D8F">
              <w:rPr>
                <w:sz w:val="18"/>
                <w:szCs w:val="18"/>
              </w:rPr>
              <w:t>Vysya</w:t>
            </w:r>
            <w:proofErr w:type="spellEnd"/>
            <w:r w:rsidRPr="006E7D8F">
              <w:rPr>
                <w:sz w:val="18"/>
                <w:szCs w:val="18"/>
              </w:rPr>
              <w:t xml:space="preserve"> Bank</w:t>
            </w:r>
          </w:p>
        </w:tc>
        <w:tc>
          <w:tcPr>
            <w:tcW w:w="246" w:type="dxa"/>
            <w:tcBorders>
              <w:top w:val="nil"/>
              <w:left w:val="nil"/>
              <w:bottom w:val="single" w:sz="4" w:space="0" w:color="auto"/>
              <w:right w:val="single" w:sz="4" w:space="0" w:color="auto"/>
            </w:tcBorders>
            <w:shd w:val="clear" w:color="auto" w:fill="auto"/>
            <w:noWrap/>
            <w:vAlign w:val="center"/>
            <w:hideMark/>
          </w:tcPr>
          <w:p w14:paraId="2A615BD4" w14:textId="77777777" w:rsidR="00F71427" w:rsidRPr="006E7D8F" w:rsidRDefault="00F71427" w:rsidP="007728DA">
            <w:pPr>
              <w:pStyle w:val="ExhibitText"/>
              <w:jc w:val="right"/>
              <w:rPr>
                <w:sz w:val="18"/>
                <w:szCs w:val="18"/>
              </w:rPr>
            </w:pPr>
            <w:r w:rsidRPr="006E7D8F">
              <w:rPr>
                <w:sz w:val="18"/>
                <w:szCs w:val="18"/>
              </w:rPr>
              <w:t>1.36</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740C9307" w14:textId="77777777" w:rsidR="00F71427" w:rsidRPr="006E7D8F" w:rsidRDefault="00F71427" w:rsidP="007728DA">
            <w:pPr>
              <w:pStyle w:val="ExhibitText"/>
              <w:jc w:val="right"/>
              <w:rPr>
                <w:sz w:val="18"/>
                <w:szCs w:val="18"/>
              </w:rPr>
            </w:pPr>
          </w:p>
        </w:tc>
      </w:tr>
      <w:tr w:rsidR="00F71427" w:rsidRPr="006E7D8F" w14:paraId="06171B36" w14:textId="77777777" w:rsidTr="00EB329C">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710A7F8"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75089049" w14:textId="77777777" w:rsidR="00F71427" w:rsidRPr="006E7D8F" w:rsidRDefault="00F71427" w:rsidP="007728DA">
            <w:pPr>
              <w:pStyle w:val="ExhibitText"/>
              <w:jc w:val="left"/>
              <w:rPr>
                <w:sz w:val="18"/>
                <w:szCs w:val="18"/>
              </w:rPr>
            </w:pPr>
            <w:r w:rsidRPr="006E7D8F">
              <w:rPr>
                <w:sz w:val="18"/>
                <w:szCs w:val="18"/>
              </w:rPr>
              <w:t>Lakshmi Vilas Bank</w:t>
            </w:r>
          </w:p>
        </w:tc>
        <w:tc>
          <w:tcPr>
            <w:tcW w:w="246" w:type="dxa"/>
            <w:tcBorders>
              <w:top w:val="nil"/>
              <w:left w:val="nil"/>
              <w:bottom w:val="single" w:sz="4" w:space="0" w:color="auto"/>
              <w:right w:val="single" w:sz="4" w:space="0" w:color="auto"/>
            </w:tcBorders>
            <w:shd w:val="clear" w:color="auto" w:fill="auto"/>
            <w:noWrap/>
            <w:vAlign w:val="center"/>
            <w:hideMark/>
          </w:tcPr>
          <w:p w14:paraId="64942D63" w14:textId="77777777" w:rsidR="00F71427" w:rsidRPr="006E7D8F" w:rsidRDefault="00F71427" w:rsidP="007728DA">
            <w:pPr>
              <w:pStyle w:val="ExhibitText"/>
              <w:jc w:val="right"/>
              <w:rPr>
                <w:sz w:val="18"/>
                <w:szCs w:val="18"/>
              </w:rPr>
            </w:pPr>
            <w:r w:rsidRPr="006E7D8F">
              <w:rPr>
                <w:sz w:val="18"/>
                <w:szCs w:val="18"/>
              </w:rPr>
              <w:t>1.62</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239E2C52" w14:textId="77777777" w:rsidR="00F71427" w:rsidRPr="006E7D8F" w:rsidRDefault="00F71427" w:rsidP="007728DA">
            <w:pPr>
              <w:pStyle w:val="ExhibitText"/>
              <w:jc w:val="right"/>
              <w:rPr>
                <w:sz w:val="18"/>
                <w:szCs w:val="18"/>
              </w:rPr>
            </w:pPr>
          </w:p>
        </w:tc>
      </w:tr>
      <w:tr w:rsidR="00F71427" w:rsidRPr="006E7D8F" w14:paraId="2CDB0D94" w14:textId="77777777" w:rsidTr="00EB329C">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F7B9CCA"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043AD7BD" w14:textId="77777777" w:rsidR="00F71427" w:rsidRPr="006E7D8F" w:rsidRDefault="00F71427" w:rsidP="007728DA">
            <w:pPr>
              <w:pStyle w:val="ExhibitText"/>
              <w:jc w:val="left"/>
              <w:rPr>
                <w:sz w:val="18"/>
                <w:szCs w:val="18"/>
              </w:rPr>
            </w:pPr>
            <w:r w:rsidRPr="006E7D8F">
              <w:rPr>
                <w:sz w:val="18"/>
                <w:szCs w:val="18"/>
              </w:rPr>
              <w:t>South Indian Bank</w:t>
            </w:r>
          </w:p>
        </w:tc>
        <w:tc>
          <w:tcPr>
            <w:tcW w:w="246" w:type="dxa"/>
            <w:tcBorders>
              <w:top w:val="nil"/>
              <w:left w:val="nil"/>
              <w:bottom w:val="single" w:sz="4" w:space="0" w:color="auto"/>
              <w:right w:val="single" w:sz="4" w:space="0" w:color="auto"/>
            </w:tcBorders>
            <w:shd w:val="clear" w:color="auto" w:fill="auto"/>
            <w:noWrap/>
            <w:vAlign w:val="center"/>
            <w:hideMark/>
          </w:tcPr>
          <w:p w14:paraId="607325C8" w14:textId="77777777" w:rsidR="00F71427" w:rsidRPr="006E7D8F" w:rsidRDefault="00F71427" w:rsidP="007728DA">
            <w:pPr>
              <w:pStyle w:val="ExhibitText"/>
              <w:jc w:val="right"/>
              <w:rPr>
                <w:sz w:val="18"/>
                <w:szCs w:val="18"/>
              </w:rPr>
            </w:pPr>
            <w:r w:rsidRPr="006E7D8F">
              <w:rPr>
                <w:sz w:val="18"/>
                <w:szCs w:val="18"/>
              </w:rPr>
              <w:t>0.84</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3C7D455E" w14:textId="77777777" w:rsidR="00F71427" w:rsidRPr="006E7D8F" w:rsidRDefault="00F71427" w:rsidP="007728DA">
            <w:pPr>
              <w:pStyle w:val="ExhibitText"/>
              <w:jc w:val="right"/>
              <w:rPr>
                <w:sz w:val="18"/>
                <w:szCs w:val="18"/>
              </w:rPr>
            </w:pPr>
          </w:p>
        </w:tc>
      </w:tr>
      <w:tr w:rsidR="00F71427" w:rsidRPr="006E7D8F" w14:paraId="24E79383" w14:textId="77777777" w:rsidTr="00EB329C">
        <w:trPr>
          <w:trHeight w:val="288"/>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A4A5DA" w14:textId="77777777" w:rsidR="00F71427" w:rsidRPr="006E7D8F" w:rsidRDefault="00F71427" w:rsidP="007728DA">
            <w:pPr>
              <w:pStyle w:val="ExhibitText"/>
              <w:jc w:val="left"/>
              <w:rPr>
                <w:sz w:val="18"/>
                <w:szCs w:val="18"/>
              </w:rPr>
            </w:pPr>
            <w:r w:rsidRPr="006E7D8F">
              <w:rPr>
                <w:sz w:val="18"/>
                <w:szCs w:val="18"/>
              </w:rPr>
              <w:t>NPSB</w:t>
            </w:r>
          </w:p>
        </w:tc>
        <w:tc>
          <w:tcPr>
            <w:tcW w:w="2474" w:type="dxa"/>
            <w:tcBorders>
              <w:top w:val="nil"/>
              <w:left w:val="nil"/>
              <w:bottom w:val="single" w:sz="4" w:space="0" w:color="auto"/>
              <w:right w:val="single" w:sz="4" w:space="0" w:color="auto"/>
            </w:tcBorders>
            <w:shd w:val="clear" w:color="auto" w:fill="auto"/>
            <w:noWrap/>
            <w:vAlign w:val="center"/>
            <w:hideMark/>
          </w:tcPr>
          <w:p w14:paraId="497B9A26" w14:textId="77777777" w:rsidR="00F71427" w:rsidRPr="006E7D8F" w:rsidRDefault="00F71427" w:rsidP="007728DA">
            <w:pPr>
              <w:pStyle w:val="ExhibitText"/>
              <w:jc w:val="left"/>
              <w:rPr>
                <w:sz w:val="18"/>
                <w:szCs w:val="18"/>
              </w:rPr>
            </w:pPr>
            <w:r w:rsidRPr="006E7D8F">
              <w:rPr>
                <w:sz w:val="18"/>
                <w:szCs w:val="18"/>
              </w:rPr>
              <w:t>Axis Bank</w:t>
            </w:r>
          </w:p>
        </w:tc>
        <w:tc>
          <w:tcPr>
            <w:tcW w:w="246" w:type="dxa"/>
            <w:tcBorders>
              <w:top w:val="nil"/>
              <w:left w:val="nil"/>
              <w:bottom w:val="single" w:sz="4" w:space="0" w:color="auto"/>
              <w:right w:val="single" w:sz="4" w:space="0" w:color="auto"/>
            </w:tcBorders>
            <w:shd w:val="clear" w:color="auto" w:fill="auto"/>
            <w:noWrap/>
            <w:vAlign w:val="center"/>
            <w:hideMark/>
          </w:tcPr>
          <w:p w14:paraId="25D58A9C" w14:textId="77777777" w:rsidR="00F71427" w:rsidRPr="006E7D8F" w:rsidRDefault="00F71427" w:rsidP="007728DA">
            <w:pPr>
              <w:pStyle w:val="ExhibitText"/>
              <w:jc w:val="right"/>
              <w:rPr>
                <w:sz w:val="18"/>
                <w:szCs w:val="18"/>
              </w:rPr>
            </w:pPr>
            <w:r w:rsidRPr="006E7D8F">
              <w:rPr>
                <w:sz w:val="18"/>
                <w:szCs w:val="18"/>
              </w:rPr>
              <w:t>2.06</w:t>
            </w:r>
          </w:p>
        </w:tc>
        <w:tc>
          <w:tcPr>
            <w:tcW w:w="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333E3E" w14:textId="77777777" w:rsidR="00F71427" w:rsidRPr="006E7D8F" w:rsidRDefault="00F71427" w:rsidP="007728DA">
            <w:pPr>
              <w:pStyle w:val="ExhibitText"/>
              <w:jc w:val="right"/>
              <w:rPr>
                <w:sz w:val="18"/>
                <w:szCs w:val="18"/>
              </w:rPr>
            </w:pPr>
            <w:r w:rsidRPr="006E7D8F">
              <w:rPr>
                <w:sz w:val="18"/>
                <w:szCs w:val="18"/>
              </w:rPr>
              <w:t>3.28</w:t>
            </w:r>
          </w:p>
        </w:tc>
      </w:tr>
      <w:tr w:rsidR="00F71427" w:rsidRPr="006E7D8F" w14:paraId="4F5142A3" w14:textId="77777777" w:rsidTr="00EB329C">
        <w:trPr>
          <w:trHeight w:val="288"/>
          <w:jc w:val="center"/>
        </w:trPr>
        <w:tc>
          <w:tcPr>
            <w:tcW w:w="960" w:type="dxa"/>
            <w:vMerge/>
            <w:tcBorders>
              <w:top w:val="nil"/>
              <w:left w:val="single" w:sz="4" w:space="0" w:color="auto"/>
              <w:bottom w:val="single" w:sz="4" w:space="0" w:color="auto"/>
              <w:right w:val="single" w:sz="4" w:space="0" w:color="auto"/>
            </w:tcBorders>
            <w:vAlign w:val="center"/>
            <w:hideMark/>
          </w:tcPr>
          <w:p w14:paraId="6312CAE6"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62FED03D" w14:textId="77777777" w:rsidR="00F71427" w:rsidRPr="006E7D8F" w:rsidRDefault="00F71427" w:rsidP="007728DA">
            <w:pPr>
              <w:pStyle w:val="ExhibitText"/>
              <w:jc w:val="left"/>
              <w:rPr>
                <w:sz w:val="18"/>
                <w:szCs w:val="18"/>
              </w:rPr>
            </w:pPr>
            <w:r w:rsidRPr="006E7D8F">
              <w:rPr>
                <w:sz w:val="18"/>
                <w:szCs w:val="18"/>
              </w:rPr>
              <w:t>HDFC Bank</w:t>
            </w:r>
          </w:p>
        </w:tc>
        <w:tc>
          <w:tcPr>
            <w:tcW w:w="246" w:type="dxa"/>
            <w:tcBorders>
              <w:top w:val="nil"/>
              <w:left w:val="nil"/>
              <w:bottom w:val="single" w:sz="4" w:space="0" w:color="auto"/>
              <w:right w:val="single" w:sz="4" w:space="0" w:color="auto"/>
            </w:tcBorders>
            <w:shd w:val="clear" w:color="auto" w:fill="auto"/>
            <w:noWrap/>
            <w:vAlign w:val="center"/>
            <w:hideMark/>
          </w:tcPr>
          <w:p w14:paraId="6487A992" w14:textId="77777777" w:rsidR="00F71427" w:rsidRPr="006E7D8F" w:rsidRDefault="00F71427" w:rsidP="007728DA">
            <w:pPr>
              <w:pStyle w:val="ExhibitText"/>
              <w:jc w:val="right"/>
              <w:rPr>
                <w:sz w:val="18"/>
                <w:szCs w:val="18"/>
              </w:rPr>
            </w:pPr>
            <w:r w:rsidRPr="006E7D8F">
              <w:rPr>
                <w:sz w:val="18"/>
                <w:szCs w:val="18"/>
              </w:rPr>
              <w:t>4.62</w:t>
            </w:r>
          </w:p>
        </w:tc>
        <w:tc>
          <w:tcPr>
            <w:tcW w:w="800" w:type="dxa"/>
            <w:vMerge/>
            <w:tcBorders>
              <w:top w:val="nil"/>
              <w:left w:val="single" w:sz="4" w:space="0" w:color="auto"/>
              <w:bottom w:val="single" w:sz="4" w:space="0" w:color="auto"/>
              <w:right w:val="single" w:sz="4" w:space="0" w:color="auto"/>
            </w:tcBorders>
            <w:vAlign w:val="center"/>
            <w:hideMark/>
          </w:tcPr>
          <w:p w14:paraId="43813814" w14:textId="77777777" w:rsidR="00F71427" w:rsidRPr="006E7D8F" w:rsidRDefault="00F71427" w:rsidP="007728DA">
            <w:pPr>
              <w:pStyle w:val="ExhibitText"/>
              <w:jc w:val="right"/>
              <w:rPr>
                <w:sz w:val="18"/>
                <w:szCs w:val="18"/>
              </w:rPr>
            </w:pPr>
          </w:p>
        </w:tc>
      </w:tr>
      <w:tr w:rsidR="00F71427" w:rsidRPr="006E7D8F" w14:paraId="42AFD100" w14:textId="77777777" w:rsidTr="00EB329C">
        <w:trPr>
          <w:trHeight w:val="288"/>
          <w:jc w:val="center"/>
        </w:trPr>
        <w:tc>
          <w:tcPr>
            <w:tcW w:w="960" w:type="dxa"/>
            <w:vMerge/>
            <w:tcBorders>
              <w:top w:val="nil"/>
              <w:left w:val="single" w:sz="4" w:space="0" w:color="auto"/>
              <w:bottom w:val="single" w:sz="4" w:space="0" w:color="auto"/>
              <w:right w:val="single" w:sz="4" w:space="0" w:color="auto"/>
            </w:tcBorders>
            <w:vAlign w:val="center"/>
            <w:hideMark/>
          </w:tcPr>
          <w:p w14:paraId="7B764C37"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0456D47E" w14:textId="77777777" w:rsidR="00F71427" w:rsidRPr="006E7D8F" w:rsidRDefault="00F71427" w:rsidP="007728DA">
            <w:pPr>
              <w:pStyle w:val="ExhibitText"/>
              <w:jc w:val="left"/>
              <w:rPr>
                <w:sz w:val="18"/>
                <w:szCs w:val="18"/>
              </w:rPr>
            </w:pPr>
            <w:r w:rsidRPr="006E7D8F">
              <w:rPr>
                <w:sz w:val="18"/>
                <w:szCs w:val="18"/>
              </w:rPr>
              <w:t>ICICI Bank</w:t>
            </w:r>
          </w:p>
        </w:tc>
        <w:tc>
          <w:tcPr>
            <w:tcW w:w="246" w:type="dxa"/>
            <w:tcBorders>
              <w:top w:val="nil"/>
              <w:left w:val="nil"/>
              <w:bottom w:val="single" w:sz="4" w:space="0" w:color="auto"/>
              <w:right w:val="single" w:sz="4" w:space="0" w:color="auto"/>
            </w:tcBorders>
            <w:shd w:val="clear" w:color="auto" w:fill="auto"/>
            <w:noWrap/>
            <w:vAlign w:val="center"/>
            <w:hideMark/>
          </w:tcPr>
          <w:p w14:paraId="122298A7" w14:textId="77777777" w:rsidR="00F71427" w:rsidRPr="006E7D8F" w:rsidRDefault="00F71427" w:rsidP="007728DA">
            <w:pPr>
              <w:pStyle w:val="ExhibitText"/>
              <w:jc w:val="right"/>
              <w:rPr>
                <w:sz w:val="18"/>
                <w:szCs w:val="18"/>
              </w:rPr>
            </w:pPr>
            <w:r w:rsidRPr="006E7D8F">
              <w:rPr>
                <w:sz w:val="18"/>
                <w:szCs w:val="18"/>
              </w:rPr>
              <w:t>1.67</w:t>
            </w:r>
          </w:p>
        </w:tc>
        <w:tc>
          <w:tcPr>
            <w:tcW w:w="800" w:type="dxa"/>
            <w:vMerge/>
            <w:tcBorders>
              <w:top w:val="nil"/>
              <w:left w:val="single" w:sz="4" w:space="0" w:color="auto"/>
              <w:bottom w:val="single" w:sz="4" w:space="0" w:color="auto"/>
              <w:right w:val="single" w:sz="4" w:space="0" w:color="auto"/>
            </w:tcBorders>
            <w:vAlign w:val="center"/>
            <w:hideMark/>
          </w:tcPr>
          <w:p w14:paraId="5446FEF5" w14:textId="77777777" w:rsidR="00F71427" w:rsidRPr="006E7D8F" w:rsidRDefault="00F71427" w:rsidP="007728DA">
            <w:pPr>
              <w:pStyle w:val="ExhibitText"/>
              <w:jc w:val="right"/>
              <w:rPr>
                <w:sz w:val="18"/>
                <w:szCs w:val="18"/>
              </w:rPr>
            </w:pPr>
          </w:p>
        </w:tc>
      </w:tr>
      <w:tr w:rsidR="00F71427" w:rsidRPr="006E7D8F" w14:paraId="79DD6207" w14:textId="77777777" w:rsidTr="00EB329C">
        <w:trPr>
          <w:trHeight w:val="288"/>
          <w:jc w:val="center"/>
        </w:trPr>
        <w:tc>
          <w:tcPr>
            <w:tcW w:w="960" w:type="dxa"/>
            <w:vMerge/>
            <w:tcBorders>
              <w:top w:val="nil"/>
              <w:left w:val="single" w:sz="4" w:space="0" w:color="auto"/>
              <w:bottom w:val="single" w:sz="4" w:space="0" w:color="auto"/>
              <w:right w:val="single" w:sz="4" w:space="0" w:color="auto"/>
            </w:tcBorders>
            <w:vAlign w:val="center"/>
            <w:hideMark/>
          </w:tcPr>
          <w:p w14:paraId="6DF1B83A"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6D3570FE" w14:textId="77777777" w:rsidR="00F71427" w:rsidRPr="006E7D8F" w:rsidRDefault="00F71427" w:rsidP="007728DA">
            <w:pPr>
              <w:pStyle w:val="ExhibitText"/>
              <w:jc w:val="left"/>
              <w:rPr>
                <w:sz w:val="18"/>
                <w:szCs w:val="18"/>
              </w:rPr>
            </w:pPr>
            <w:r w:rsidRPr="006E7D8F">
              <w:rPr>
                <w:sz w:val="18"/>
                <w:szCs w:val="18"/>
              </w:rPr>
              <w:t>IDFC Bank</w:t>
            </w:r>
          </w:p>
        </w:tc>
        <w:tc>
          <w:tcPr>
            <w:tcW w:w="246" w:type="dxa"/>
            <w:tcBorders>
              <w:top w:val="nil"/>
              <w:left w:val="nil"/>
              <w:bottom w:val="single" w:sz="4" w:space="0" w:color="auto"/>
              <w:right w:val="single" w:sz="4" w:space="0" w:color="auto"/>
            </w:tcBorders>
            <w:shd w:val="clear" w:color="auto" w:fill="auto"/>
            <w:noWrap/>
            <w:vAlign w:val="center"/>
            <w:hideMark/>
          </w:tcPr>
          <w:p w14:paraId="363CBE14" w14:textId="77777777" w:rsidR="00F71427" w:rsidRPr="006E7D8F" w:rsidRDefault="00F71427" w:rsidP="007728DA">
            <w:pPr>
              <w:pStyle w:val="ExhibitText"/>
              <w:jc w:val="right"/>
              <w:rPr>
                <w:sz w:val="18"/>
                <w:szCs w:val="18"/>
              </w:rPr>
            </w:pPr>
            <w:r w:rsidRPr="006E7D8F">
              <w:rPr>
                <w:sz w:val="18"/>
                <w:szCs w:val="18"/>
              </w:rPr>
              <w:t>1.37</w:t>
            </w:r>
          </w:p>
        </w:tc>
        <w:tc>
          <w:tcPr>
            <w:tcW w:w="800" w:type="dxa"/>
            <w:vMerge/>
            <w:tcBorders>
              <w:top w:val="nil"/>
              <w:left w:val="single" w:sz="4" w:space="0" w:color="auto"/>
              <w:bottom w:val="single" w:sz="4" w:space="0" w:color="auto"/>
              <w:right w:val="single" w:sz="4" w:space="0" w:color="auto"/>
            </w:tcBorders>
            <w:vAlign w:val="center"/>
            <w:hideMark/>
          </w:tcPr>
          <w:p w14:paraId="5354DE34" w14:textId="77777777" w:rsidR="00F71427" w:rsidRPr="006E7D8F" w:rsidRDefault="00F71427" w:rsidP="007728DA">
            <w:pPr>
              <w:pStyle w:val="ExhibitText"/>
              <w:jc w:val="right"/>
              <w:rPr>
                <w:sz w:val="18"/>
                <w:szCs w:val="18"/>
              </w:rPr>
            </w:pPr>
          </w:p>
        </w:tc>
      </w:tr>
      <w:tr w:rsidR="00F71427" w:rsidRPr="006E7D8F" w14:paraId="6FBD104E" w14:textId="77777777" w:rsidTr="00EB329C">
        <w:trPr>
          <w:trHeight w:val="288"/>
          <w:jc w:val="center"/>
        </w:trPr>
        <w:tc>
          <w:tcPr>
            <w:tcW w:w="960" w:type="dxa"/>
            <w:vMerge/>
            <w:tcBorders>
              <w:top w:val="nil"/>
              <w:left w:val="single" w:sz="4" w:space="0" w:color="auto"/>
              <w:bottom w:val="single" w:sz="4" w:space="0" w:color="auto"/>
              <w:right w:val="single" w:sz="4" w:space="0" w:color="auto"/>
            </w:tcBorders>
            <w:vAlign w:val="center"/>
            <w:hideMark/>
          </w:tcPr>
          <w:p w14:paraId="3D06B163"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44CFECC5" w14:textId="77777777" w:rsidR="00F71427" w:rsidRPr="006E7D8F" w:rsidRDefault="00F71427" w:rsidP="007728DA">
            <w:pPr>
              <w:pStyle w:val="ExhibitText"/>
              <w:jc w:val="left"/>
              <w:rPr>
                <w:sz w:val="18"/>
                <w:szCs w:val="18"/>
              </w:rPr>
            </w:pPr>
            <w:r w:rsidRPr="006E7D8F">
              <w:rPr>
                <w:sz w:val="18"/>
                <w:szCs w:val="18"/>
              </w:rPr>
              <w:t>IndusInd Bank</w:t>
            </w:r>
          </w:p>
        </w:tc>
        <w:tc>
          <w:tcPr>
            <w:tcW w:w="246" w:type="dxa"/>
            <w:tcBorders>
              <w:top w:val="nil"/>
              <w:left w:val="nil"/>
              <w:bottom w:val="single" w:sz="4" w:space="0" w:color="auto"/>
              <w:right w:val="single" w:sz="4" w:space="0" w:color="auto"/>
            </w:tcBorders>
            <w:shd w:val="clear" w:color="auto" w:fill="auto"/>
            <w:noWrap/>
            <w:vAlign w:val="center"/>
            <w:hideMark/>
          </w:tcPr>
          <w:p w14:paraId="77BB182E" w14:textId="77777777" w:rsidR="00F71427" w:rsidRPr="006E7D8F" w:rsidRDefault="00F71427" w:rsidP="007728DA">
            <w:pPr>
              <w:pStyle w:val="ExhibitText"/>
              <w:jc w:val="right"/>
              <w:rPr>
                <w:sz w:val="18"/>
                <w:szCs w:val="18"/>
              </w:rPr>
            </w:pPr>
            <w:r w:rsidRPr="006E7D8F">
              <w:rPr>
                <w:sz w:val="18"/>
                <w:szCs w:val="18"/>
              </w:rPr>
              <w:t>4.16</w:t>
            </w:r>
          </w:p>
        </w:tc>
        <w:tc>
          <w:tcPr>
            <w:tcW w:w="800" w:type="dxa"/>
            <w:vMerge/>
            <w:tcBorders>
              <w:top w:val="nil"/>
              <w:left w:val="single" w:sz="4" w:space="0" w:color="auto"/>
              <w:bottom w:val="single" w:sz="4" w:space="0" w:color="auto"/>
              <w:right w:val="single" w:sz="4" w:space="0" w:color="auto"/>
            </w:tcBorders>
            <w:vAlign w:val="center"/>
            <w:hideMark/>
          </w:tcPr>
          <w:p w14:paraId="5F9B9C03" w14:textId="77777777" w:rsidR="00F71427" w:rsidRPr="006E7D8F" w:rsidRDefault="00F71427" w:rsidP="007728DA">
            <w:pPr>
              <w:pStyle w:val="ExhibitText"/>
              <w:jc w:val="right"/>
              <w:rPr>
                <w:sz w:val="18"/>
                <w:szCs w:val="18"/>
              </w:rPr>
            </w:pPr>
          </w:p>
        </w:tc>
      </w:tr>
      <w:tr w:rsidR="00F71427" w:rsidRPr="006E7D8F" w14:paraId="791B5C8E" w14:textId="77777777" w:rsidTr="00EB329C">
        <w:trPr>
          <w:trHeight w:val="288"/>
          <w:jc w:val="center"/>
        </w:trPr>
        <w:tc>
          <w:tcPr>
            <w:tcW w:w="960" w:type="dxa"/>
            <w:vMerge/>
            <w:tcBorders>
              <w:top w:val="nil"/>
              <w:left w:val="single" w:sz="4" w:space="0" w:color="auto"/>
              <w:bottom w:val="single" w:sz="4" w:space="0" w:color="auto"/>
              <w:right w:val="single" w:sz="4" w:space="0" w:color="auto"/>
            </w:tcBorders>
            <w:vAlign w:val="center"/>
            <w:hideMark/>
          </w:tcPr>
          <w:p w14:paraId="43276BC9"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5A5EC3C7" w14:textId="77777777" w:rsidR="00F71427" w:rsidRPr="006E7D8F" w:rsidRDefault="00F71427" w:rsidP="007728DA">
            <w:pPr>
              <w:pStyle w:val="ExhibitText"/>
              <w:jc w:val="left"/>
              <w:rPr>
                <w:sz w:val="18"/>
                <w:szCs w:val="18"/>
              </w:rPr>
            </w:pPr>
            <w:r w:rsidRPr="006E7D8F">
              <w:rPr>
                <w:sz w:val="18"/>
                <w:szCs w:val="18"/>
              </w:rPr>
              <w:t>Kotak Mahindra Bank</w:t>
            </w:r>
          </w:p>
        </w:tc>
        <w:tc>
          <w:tcPr>
            <w:tcW w:w="246" w:type="dxa"/>
            <w:tcBorders>
              <w:top w:val="nil"/>
              <w:left w:val="nil"/>
              <w:bottom w:val="single" w:sz="4" w:space="0" w:color="auto"/>
              <w:right w:val="single" w:sz="4" w:space="0" w:color="auto"/>
            </w:tcBorders>
            <w:shd w:val="clear" w:color="auto" w:fill="auto"/>
            <w:noWrap/>
            <w:vAlign w:val="center"/>
            <w:hideMark/>
          </w:tcPr>
          <w:p w14:paraId="00898742" w14:textId="77777777" w:rsidR="00F71427" w:rsidRPr="006E7D8F" w:rsidRDefault="00F71427" w:rsidP="007728DA">
            <w:pPr>
              <w:pStyle w:val="ExhibitText"/>
              <w:jc w:val="right"/>
              <w:rPr>
                <w:sz w:val="18"/>
                <w:szCs w:val="18"/>
              </w:rPr>
            </w:pPr>
            <w:r w:rsidRPr="006E7D8F">
              <w:rPr>
                <w:sz w:val="18"/>
                <w:szCs w:val="18"/>
              </w:rPr>
              <w:t>5.33</w:t>
            </w:r>
          </w:p>
        </w:tc>
        <w:tc>
          <w:tcPr>
            <w:tcW w:w="800" w:type="dxa"/>
            <w:vMerge/>
            <w:tcBorders>
              <w:top w:val="nil"/>
              <w:left w:val="single" w:sz="4" w:space="0" w:color="auto"/>
              <w:bottom w:val="single" w:sz="4" w:space="0" w:color="auto"/>
              <w:right w:val="single" w:sz="4" w:space="0" w:color="auto"/>
            </w:tcBorders>
            <w:vAlign w:val="center"/>
            <w:hideMark/>
          </w:tcPr>
          <w:p w14:paraId="371699E9" w14:textId="77777777" w:rsidR="00F71427" w:rsidRPr="006E7D8F" w:rsidRDefault="00F71427" w:rsidP="007728DA">
            <w:pPr>
              <w:pStyle w:val="ExhibitText"/>
              <w:jc w:val="right"/>
              <w:rPr>
                <w:sz w:val="18"/>
                <w:szCs w:val="18"/>
              </w:rPr>
            </w:pPr>
          </w:p>
        </w:tc>
      </w:tr>
      <w:tr w:rsidR="00F71427" w:rsidRPr="006E7D8F" w14:paraId="6E340B29" w14:textId="77777777" w:rsidTr="00EB329C">
        <w:trPr>
          <w:trHeight w:val="288"/>
          <w:jc w:val="center"/>
        </w:trPr>
        <w:tc>
          <w:tcPr>
            <w:tcW w:w="960" w:type="dxa"/>
            <w:vMerge/>
            <w:tcBorders>
              <w:top w:val="nil"/>
              <w:left w:val="single" w:sz="4" w:space="0" w:color="auto"/>
              <w:bottom w:val="single" w:sz="4" w:space="0" w:color="auto"/>
              <w:right w:val="single" w:sz="4" w:space="0" w:color="auto"/>
            </w:tcBorders>
            <w:vAlign w:val="center"/>
            <w:hideMark/>
          </w:tcPr>
          <w:p w14:paraId="29BAA1E2"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77E11CF6" w14:textId="77777777" w:rsidR="00F71427" w:rsidRPr="006E7D8F" w:rsidRDefault="00F71427" w:rsidP="007728DA">
            <w:pPr>
              <w:pStyle w:val="ExhibitText"/>
              <w:jc w:val="left"/>
              <w:rPr>
                <w:sz w:val="18"/>
                <w:szCs w:val="18"/>
              </w:rPr>
            </w:pPr>
            <w:r w:rsidRPr="006E7D8F">
              <w:rPr>
                <w:sz w:val="18"/>
                <w:szCs w:val="18"/>
              </w:rPr>
              <w:t>RBL Bank</w:t>
            </w:r>
          </w:p>
        </w:tc>
        <w:tc>
          <w:tcPr>
            <w:tcW w:w="246" w:type="dxa"/>
            <w:tcBorders>
              <w:top w:val="nil"/>
              <w:left w:val="nil"/>
              <w:bottom w:val="single" w:sz="4" w:space="0" w:color="auto"/>
              <w:right w:val="single" w:sz="4" w:space="0" w:color="auto"/>
            </w:tcBorders>
            <w:shd w:val="clear" w:color="auto" w:fill="auto"/>
            <w:noWrap/>
            <w:vAlign w:val="center"/>
            <w:hideMark/>
          </w:tcPr>
          <w:p w14:paraId="1220FC9C" w14:textId="77777777" w:rsidR="00F71427" w:rsidRPr="006E7D8F" w:rsidRDefault="00F71427" w:rsidP="007728DA">
            <w:pPr>
              <w:pStyle w:val="ExhibitText"/>
              <w:jc w:val="right"/>
              <w:rPr>
                <w:sz w:val="18"/>
                <w:szCs w:val="18"/>
              </w:rPr>
            </w:pPr>
            <w:r w:rsidRPr="006E7D8F">
              <w:rPr>
                <w:sz w:val="18"/>
                <w:szCs w:val="18"/>
              </w:rPr>
              <w:t>4.28</w:t>
            </w:r>
          </w:p>
        </w:tc>
        <w:tc>
          <w:tcPr>
            <w:tcW w:w="800" w:type="dxa"/>
            <w:vMerge/>
            <w:tcBorders>
              <w:top w:val="nil"/>
              <w:left w:val="single" w:sz="4" w:space="0" w:color="auto"/>
              <w:bottom w:val="single" w:sz="4" w:space="0" w:color="auto"/>
              <w:right w:val="single" w:sz="4" w:space="0" w:color="auto"/>
            </w:tcBorders>
            <w:vAlign w:val="center"/>
            <w:hideMark/>
          </w:tcPr>
          <w:p w14:paraId="1687AE3D" w14:textId="77777777" w:rsidR="00F71427" w:rsidRPr="006E7D8F" w:rsidRDefault="00F71427" w:rsidP="007728DA">
            <w:pPr>
              <w:pStyle w:val="ExhibitText"/>
              <w:jc w:val="right"/>
              <w:rPr>
                <w:sz w:val="18"/>
                <w:szCs w:val="18"/>
              </w:rPr>
            </w:pPr>
          </w:p>
        </w:tc>
      </w:tr>
      <w:tr w:rsidR="00F71427" w:rsidRPr="006E7D8F" w14:paraId="7377F932" w14:textId="77777777" w:rsidTr="00EB329C">
        <w:trPr>
          <w:trHeight w:val="288"/>
          <w:jc w:val="center"/>
        </w:trPr>
        <w:tc>
          <w:tcPr>
            <w:tcW w:w="960" w:type="dxa"/>
            <w:vMerge/>
            <w:tcBorders>
              <w:top w:val="nil"/>
              <w:left w:val="single" w:sz="4" w:space="0" w:color="auto"/>
              <w:bottom w:val="single" w:sz="4" w:space="0" w:color="auto"/>
              <w:right w:val="single" w:sz="4" w:space="0" w:color="auto"/>
            </w:tcBorders>
            <w:vAlign w:val="center"/>
            <w:hideMark/>
          </w:tcPr>
          <w:p w14:paraId="5D9D1C27" w14:textId="77777777" w:rsidR="00F71427" w:rsidRPr="006E7D8F" w:rsidRDefault="00F71427" w:rsidP="007728DA">
            <w:pPr>
              <w:pStyle w:val="ExhibitText"/>
              <w:jc w:val="left"/>
              <w:rPr>
                <w:sz w:val="18"/>
                <w:szCs w:val="18"/>
              </w:rPr>
            </w:pPr>
          </w:p>
        </w:tc>
        <w:tc>
          <w:tcPr>
            <w:tcW w:w="2474" w:type="dxa"/>
            <w:tcBorders>
              <w:top w:val="nil"/>
              <w:left w:val="nil"/>
              <w:bottom w:val="single" w:sz="4" w:space="0" w:color="auto"/>
              <w:right w:val="single" w:sz="4" w:space="0" w:color="auto"/>
            </w:tcBorders>
            <w:shd w:val="clear" w:color="auto" w:fill="auto"/>
            <w:noWrap/>
            <w:vAlign w:val="center"/>
            <w:hideMark/>
          </w:tcPr>
          <w:p w14:paraId="6F4DF289" w14:textId="77777777" w:rsidR="00F71427" w:rsidRPr="006E7D8F" w:rsidRDefault="00F71427" w:rsidP="007728DA">
            <w:pPr>
              <w:pStyle w:val="ExhibitText"/>
              <w:jc w:val="left"/>
              <w:rPr>
                <w:sz w:val="18"/>
                <w:szCs w:val="18"/>
              </w:rPr>
            </w:pPr>
            <w:r w:rsidRPr="006E7D8F">
              <w:rPr>
                <w:sz w:val="18"/>
                <w:szCs w:val="18"/>
              </w:rPr>
              <w:t>Yes Bank</w:t>
            </w:r>
          </w:p>
        </w:tc>
        <w:tc>
          <w:tcPr>
            <w:tcW w:w="246" w:type="dxa"/>
            <w:tcBorders>
              <w:top w:val="nil"/>
              <w:left w:val="nil"/>
              <w:bottom w:val="single" w:sz="4" w:space="0" w:color="auto"/>
              <w:right w:val="single" w:sz="4" w:space="0" w:color="auto"/>
            </w:tcBorders>
            <w:shd w:val="clear" w:color="auto" w:fill="auto"/>
            <w:noWrap/>
            <w:vAlign w:val="center"/>
            <w:hideMark/>
          </w:tcPr>
          <w:p w14:paraId="1C5E60F7" w14:textId="77777777" w:rsidR="00F71427" w:rsidRPr="006E7D8F" w:rsidRDefault="00F71427" w:rsidP="007728DA">
            <w:pPr>
              <w:pStyle w:val="ExhibitText"/>
              <w:jc w:val="right"/>
              <w:rPr>
                <w:sz w:val="18"/>
                <w:szCs w:val="18"/>
              </w:rPr>
            </w:pPr>
            <w:r w:rsidRPr="006E7D8F">
              <w:rPr>
                <w:sz w:val="18"/>
                <w:szCs w:val="18"/>
              </w:rPr>
              <w:t>2.73</w:t>
            </w:r>
          </w:p>
        </w:tc>
        <w:tc>
          <w:tcPr>
            <w:tcW w:w="800" w:type="dxa"/>
            <w:vMerge/>
            <w:tcBorders>
              <w:top w:val="nil"/>
              <w:left w:val="single" w:sz="4" w:space="0" w:color="auto"/>
              <w:bottom w:val="single" w:sz="4" w:space="0" w:color="auto"/>
              <w:right w:val="single" w:sz="4" w:space="0" w:color="auto"/>
            </w:tcBorders>
            <w:vAlign w:val="center"/>
            <w:hideMark/>
          </w:tcPr>
          <w:p w14:paraId="6BBAAC7C" w14:textId="77777777" w:rsidR="00F71427" w:rsidRPr="006E7D8F" w:rsidRDefault="00F71427" w:rsidP="007728DA">
            <w:pPr>
              <w:pStyle w:val="ExhibitText"/>
              <w:jc w:val="right"/>
              <w:rPr>
                <w:sz w:val="18"/>
                <w:szCs w:val="18"/>
              </w:rPr>
            </w:pPr>
          </w:p>
        </w:tc>
      </w:tr>
    </w:tbl>
    <w:p w14:paraId="5C9FDF95" w14:textId="77777777" w:rsidR="00F71427" w:rsidRPr="006E7D8F" w:rsidRDefault="00F71427" w:rsidP="00642D25">
      <w:pPr>
        <w:pStyle w:val="ExhibitText"/>
        <w:rPr>
          <w:rFonts w:eastAsiaTheme="minorHAnsi"/>
        </w:rPr>
      </w:pPr>
    </w:p>
    <w:p w14:paraId="7C515109" w14:textId="77777777" w:rsidR="00BC2C4A" w:rsidRPr="006E7D8F" w:rsidRDefault="00BC2C4A" w:rsidP="00642D25">
      <w:pPr>
        <w:pStyle w:val="Footnote"/>
        <w:jc w:val="both"/>
        <w:rPr>
          <w:rFonts w:eastAsiaTheme="minorHAnsi"/>
        </w:rPr>
      </w:pPr>
      <w:r w:rsidRPr="006E7D8F">
        <w:rPr>
          <w:rFonts w:eastAsiaTheme="minorHAnsi"/>
        </w:rPr>
        <w:t>Note: OPSB = old private sector banks; NPSB = new private sector banks</w:t>
      </w:r>
      <w:r w:rsidR="009D6E9E" w:rsidRPr="006E7D8F">
        <w:rPr>
          <w:rFonts w:eastAsiaTheme="minorHAnsi"/>
        </w:rPr>
        <w:t>; *Average price-to-book value ratio for the categories is a simple average of the price-to-book value ratios for the banks listed in that category.</w:t>
      </w:r>
    </w:p>
    <w:p w14:paraId="569EB46A" w14:textId="77777777" w:rsidR="00F71427" w:rsidRPr="006E7D8F" w:rsidRDefault="00F71427" w:rsidP="00642D25">
      <w:pPr>
        <w:pStyle w:val="Footnote"/>
        <w:jc w:val="both"/>
        <w:rPr>
          <w:rFonts w:eastAsiaTheme="minorHAnsi"/>
        </w:rPr>
      </w:pPr>
      <w:r w:rsidRPr="006E7D8F">
        <w:rPr>
          <w:rFonts w:eastAsiaTheme="minorHAnsi"/>
        </w:rPr>
        <w:t xml:space="preserve">Source: </w:t>
      </w:r>
      <w:r w:rsidR="00C8341D" w:rsidRPr="006E7D8F">
        <w:rPr>
          <w:rFonts w:eastAsiaTheme="minorHAnsi"/>
        </w:rPr>
        <w:t>Created</w:t>
      </w:r>
      <w:r w:rsidR="009D6E9E" w:rsidRPr="006E7D8F">
        <w:rPr>
          <w:rFonts w:eastAsiaTheme="minorHAnsi"/>
        </w:rPr>
        <w:t xml:space="preserve"> by the case author based on </w:t>
      </w:r>
      <w:r w:rsidRPr="006E7D8F">
        <w:rPr>
          <w:rFonts w:eastAsiaTheme="minorHAnsi"/>
        </w:rPr>
        <w:t xml:space="preserve">daily price-to-book value ratios </w:t>
      </w:r>
      <w:r w:rsidR="009D6E9E" w:rsidRPr="006E7D8F">
        <w:rPr>
          <w:rFonts w:eastAsiaTheme="minorHAnsi"/>
        </w:rPr>
        <w:t xml:space="preserve">obtained </w:t>
      </w:r>
      <w:r w:rsidRPr="006E7D8F">
        <w:rPr>
          <w:rFonts w:eastAsiaTheme="minorHAnsi"/>
        </w:rPr>
        <w:t>from A</w:t>
      </w:r>
      <w:r w:rsidR="009D6E9E" w:rsidRPr="006E7D8F">
        <w:rPr>
          <w:rFonts w:eastAsiaTheme="minorHAnsi"/>
        </w:rPr>
        <w:t xml:space="preserve">CE </w:t>
      </w:r>
      <w:r w:rsidRPr="006E7D8F">
        <w:rPr>
          <w:rFonts w:eastAsiaTheme="minorHAnsi"/>
        </w:rPr>
        <w:t>Analy</w:t>
      </w:r>
      <w:r w:rsidR="0030596B" w:rsidRPr="006E7D8F">
        <w:rPr>
          <w:rFonts w:eastAsiaTheme="minorHAnsi"/>
        </w:rPr>
        <w:t>s</w:t>
      </w:r>
      <w:r w:rsidRPr="006E7D8F">
        <w:rPr>
          <w:rFonts w:eastAsiaTheme="minorHAnsi"/>
        </w:rPr>
        <w:t xml:space="preserve">er </w:t>
      </w:r>
      <w:r w:rsidR="0030596B" w:rsidRPr="006E7D8F">
        <w:rPr>
          <w:rFonts w:eastAsiaTheme="minorHAnsi"/>
        </w:rPr>
        <w:t xml:space="preserve">corporate </w:t>
      </w:r>
      <w:r w:rsidRPr="006E7D8F">
        <w:rPr>
          <w:rFonts w:eastAsiaTheme="minorHAnsi"/>
        </w:rPr>
        <w:t>database, accessed June 10, 2018</w:t>
      </w:r>
      <w:r w:rsidR="0030596B" w:rsidRPr="006E7D8F">
        <w:rPr>
          <w:rFonts w:eastAsiaTheme="minorHAnsi"/>
        </w:rPr>
        <w:t>, www.aceanalyser.com</w:t>
      </w:r>
      <w:r w:rsidR="002D5EC3" w:rsidRPr="006E7D8F">
        <w:rPr>
          <w:rFonts w:eastAsiaTheme="minorHAnsi"/>
        </w:rPr>
        <w:t>.</w:t>
      </w:r>
      <w:r w:rsidR="00C8341D" w:rsidRPr="006E7D8F">
        <w:rPr>
          <w:rFonts w:eastAsiaTheme="minorHAnsi"/>
        </w:rPr>
        <w:t xml:space="preserve"> </w:t>
      </w:r>
    </w:p>
    <w:p w14:paraId="217C20F3" w14:textId="77777777" w:rsidR="00F71427" w:rsidRPr="006E7D8F" w:rsidRDefault="00F71427" w:rsidP="00642D25">
      <w:pPr>
        <w:pStyle w:val="ExhibitText"/>
        <w:rPr>
          <w:rFonts w:eastAsiaTheme="minorHAnsi"/>
        </w:rPr>
      </w:pPr>
    </w:p>
    <w:p w14:paraId="3208C6F8" w14:textId="77777777" w:rsidR="00F71427" w:rsidRPr="006E7D8F" w:rsidRDefault="00F71427" w:rsidP="00642D25">
      <w:pPr>
        <w:pStyle w:val="ExhibitText"/>
        <w:rPr>
          <w:rFonts w:eastAsiaTheme="minorHAnsi"/>
        </w:rPr>
      </w:pPr>
    </w:p>
    <w:p w14:paraId="15C5F6E2" w14:textId="77777777" w:rsidR="00691A6E" w:rsidRPr="006E7D8F" w:rsidRDefault="00F71427" w:rsidP="00F71427">
      <w:pPr>
        <w:pStyle w:val="ExhibitHeading"/>
        <w:rPr>
          <w:rFonts w:eastAsiaTheme="minorHAnsi"/>
        </w:rPr>
      </w:pPr>
      <w:r w:rsidRPr="006E7D8F">
        <w:rPr>
          <w:rFonts w:eastAsiaTheme="minorHAnsi"/>
        </w:rPr>
        <w:t>EXHIBIT 6: C</w:t>
      </w:r>
      <w:r w:rsidR="0030596B" w:rsidRPr="006E7D8F">
        <w:rPr>
          <w:rFonts w:eastAsiaTheme="minorHAnsi"/>
        </w:rPr>
        <w:t xml:space="preserve">atholic </w:t>
      </w:r>
      <w:r w:rsidRPr="006E7D8F">
        <w:rPr>
          <w:rFonts w:eastAsiaTheme="minorHAnsi"/>
        </w:rPr>
        <w:t>S</w:t>
      </w:r>
      <w:r w:rsidR="0030596B" w:rsidRPr="006E7D8F">
        <w:rPr>
          <w:rFonts w:eastAsiaTheme="minorHAnsi"/>
        </w:rPr>
        <w:t xml:space="preserve">yrian </w:t>
      </w:r>
      <w:r w:rsidRPr="006E7D8F">
        <w:rPr>
          <w:rFonts w:eastAsiaTheme="minorHAnsi"/>
        </w:rPr>
        <w:t>B</w:t>
      </w:r>
      <w:r w:rsidR="0030596B" w:rsidRPr="006E7D8F">
        <w:rPr>
          <w:rFonts w:eastAsiaTheme="minorHAnsi"/>
        </w:rPr>
        <w:t>ank, Projected Ratios</w:t>
      </w:r>
    </w:p>
    <w:p w14:paraId="669CE6F5" w14:textId="58D1C9DF" w:rsidR="00F71427" w:rsidRPr="006E7D8F" w:rsidRDefault="0030596B" w:rsidP="00F71427">
      <w:pPr>
        <w:pStyle w:val="ExhibitHeading"/>
        <w:rPr>
          <w:rFonts w:eastAsiaTheme="minorHAnsi"/>
        </w:rPr>
      </w:pPr>
      <w:r w:rsidRPr="006E7D8F">
        <w:rPr>
          <w:rFonts w:eastAsiaTheme="minorHAnsi"/>
        </w:rPr>
        <w:t>(</w:t>
      </w:r>
      <w:r w:rsidR="00071CD0">
        <w:rPr>
          <w:rFonts w:eastAsiaTheme="minorHAnsi"/>
        </w:rPr>
        <w:t>% unless otherwise specified</w:t>
      </w:r>
      <w:r w:rsidRPr="006E7D8F">
        <w:rPr>
          <w:rFonts w:eastAsiaTheme="minorHAnsi"/>
        </w:rPr>
        <w:t>)</w:t>
      </w:r>
    </w:p>
    <w:p w14:paraId="2C554150" w14:textId="77777777" w:rsidR="00F71427" w:rsidRPr="006E7D8F" w:rsidRDefault="00F71427" w:rsidP="00642D25">
      <w:pPr>
        <w:pStyle w:val="ExhibitText"/>
        <w:rPr>
          <w:rFonts w:eastAsiaTheme="minorHAnsi"/>
        </w:rPr>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5"/>
        <w:gridCol w:w="1089"/>
        <w:gridCol w:w="1089"/>
        <w:gridCol w:w="1059"/>
        <w:gridCol w:w="1059"/>
        <w:gridCol w:w="1059"/>
      </w:tblGrid>
      <w:tr w:rsidR="00F71427" w:rsidRPr="006E7D8F" w14:paraId="259B2138" w14:textId="77777777" w:rsidTr="00EB329C">
        <w:trPr>
          <w:trHeight w:val="288"/>
          <w:jc w:val="center"/>
        </w:trPr>
        <w:tc>
          <w:tcPr>
            <w:tcW w:w="3969" w:type="dxa"/>
            <w:tcBorders>
              <w:top w:val="single" w:sz="4" w:space="0" w:color="auto"/>
              <w:bottom w:val="single" w:sz="12" w:space="0" w:color="auto"/>
            </w:tcBorders>
            <w:noWrap/>
            <w:vAlign w:val="center"/>
            <w:hideMark/>
          </w:tcPr>
          <w:p w14:paraId="5DB75AA6" w14:textId="77777777" w:rsidR="00F71427" w:rsidRPr="006E7D8F" w:rsidRDefault="00F71427" w:rsidP="007728DA">
            <w:pPr>
              <w:pStyle w:val="ExhibitText"/>
              <w:jc w:val="left"/>
              <w:rPr>
                <w:b/>
                <w:sz w:val="18"/>
                <w:szCs w:val="18"/>
              </w:rPr>
            </w:pPr>
          </w:p>
        </w:tc>
        <w:tc>
          <w:tcPr>
            <w:tcW w:w="1080" w:type="dxa"/>
            <w:tcBorders>
              <w:top w:val="single" w:sz="4" w:space="0" w:color="auto"/>
              <w:bottom w:val="single" w:sz="12" w:space="0" w:color="auto"/>
            </w:tcBorders>
            <w:noWrap/>
            <w:vAlign w:val="center"/>
            <w:hideMark/>
          </w:tcPr>
          <w:p w14:paraId="5E1D822C" w14:textId="77777777" w:rsidR="00F71427" w:rsidRPr="006E7D8F" w:rsidRDefault="00F71427" w:rsidP="007728DA">
            <w:pPr>
              <w:pStyle w:val="ExhibitText"/>
              <w:jc w:val="right"/>
              <w:rPr>
                <w:b/>
                <w:sz w:val="18"/>
                <w:szCs w:val="18"/>
              </w:rPr>
            </w:pPr>
            <w:r w:rsidRPr="006E7D8F">
              <w:rPr>
                <w:b/>
                <w:sz w:val="18"/>
                <w:szCs w:val="18"/>
              </w:rPr>
              <w:t>FY</w:t>
            </w:r>
            <w:r w:rsidR="0030596B" w:rsidRPr="006E7D8F">
              <w:rPr>
                <w:b/>
                <w:sz w:val="18"/>
                <w:szCs w:val="18"/>
              </w:rPr>
              <w:t xml:space="preserve"> </w:t>
            </w:r>
            <w:r w:rsidRPr="006E7D8F">
              <w:rPr>
                <w:b/>
                <w:sz w:val="18"/>
                <w:szCs w:val="18"/>
              </w:rPr>
              <w:t>2018E</w:t>
            </w:r>
          </w:p>
        </w:tc>
        <w:tc>
          <w:tcPr>
            <w:tcW w:w="1080" w:type="dxa"/>
            <w:tcBorders>
              <w:top w:val="single" w:sz="4" w:space="0" w:color="auto"/>
              <w:bottom w:val="single" w:sz="12" w:space="0" w:color="auto"/>
            </w:tcBorders>
            <w:noWrap/>
            <w:vAlign w:val="center"/>
            <w:hideMark/>
          </w:tcPr>
          <w:p w14:paraId="2D17B318" w14:textId="77777777" w:rsidR="00F71427" w:rsidRPr="006E7D8F" w:rsidRDefault="00F71427" w:rsidP="007728DA">
            <w:pPr>
              <w:pStyle w:val="ExhibitText"/>
              <w:jc w:val="right"/>
              <w:rPr>
                <w:b/>
                <w:sz w:val="18"/>
                <w:szCs w:val="18"/>
              </w:rPr>
            </w:pPr>
            <w:r w:rsidRPr="006E7D8F">
              <w:rPr>
                <w:b/>
                <w:sz w:val="18"/>
                <w:szCs w:val="18"/>
              </w:rPr>
              <w:t>FY</w:t>
            </w:r>
            <w:r w:rsidR="0030596B" w:rsidRPr="006E7D8F">
              <w:rPr>
                <w:b/>
                <w:sz w:val="18"/>
                <w:szCs w:val="18"/>
              </w:rPr>
              <w:t xml:space="preserve"> </w:t>
            </w:r>
            <w:r w:rsidRPr="006E7D8F">
              <w:rPr>
                <w:b/>
                <w:sz w:val="18"/>
                <w:szCs w:val="18"/>
              </w:rPr>
              <w:t>2019E</w:t>
            </w:r>
          </w:p>
        </w:tc>
        <w:tc>
          <w:tcPr>
            <w:tcW w:w="1050" w:type="dxa"/>
            <w:tcBorders>
              <w:top w:val="single" w:sz="4" w:space="0" w:color="auto"/>
              <w:bottom w:val="single" w:sz="12" w:space="0" w:color="auto"/>
            </w:tcBorders>
            <w:noWrap/>
            <w:vAlign w:val="center"/>
            <w:hideMark/>
          </w:tcPr>
          <w:p w14:paraId="013E62C9" w14:textId="77777777" w:rsidR="00F71427" w:rsidRPr="006E7D8F" w:rsidRDefault="00F71427" w:rsidP="007728DA">
            <w:pPr>
              <w:pStyle w:val="ExhibitText"/>
              <w:jc w:val="right"/>
              <w:rPr>
                <w:b/>
                <w:sz w:val="18"/>
                <w:szCs w:val="18"/>
              </w:rPr>
            </w:pPr>
            <w:r w:rsidRPr="006E7D8F">
              <w:rPr>
                <w:b/>
                <w:sz w:val="18"/>
                <w:szCs w:val="18"/>
              </w:rPr>
              <w:t>FY</w:t>
            </w:r>
            <w:r w:rsidR="0030596B" w:rsidRPr="006E7D8F">
              <w:rPr>
                <w:b/>
                <w:sz w:val="18"/>
                <w:szCs w:val="18"/>
              </w:rPr>
              <w:t xml:space="preserve"> </w:t>
            </w:r>
            <w:r w:rsidRPr="006E7D8F">
              <w:rPr>
                <w:b/>
                <w:sz w:val="18"/>
                <w:szCs w:val="18"/>
              </w:rPr>
              <w:t>2020E</w:t>
            </w:r>
          </w:p>
        </w:tc>
        <w:tc>
          <w:tcPr>
            <w:tcW w:w="1050" w:type="dxa"/>
            <w:tcBorders>
              <w:top w:val="single" w:sz="4" w:space="0" w:color="auto"/>
              <w:bottom w:val="single" w:sz="12" w:space="0" w:color="auto"/>
            </w:tcBorders>
            <w:noWrap/>
            <w:vAlign w:val="center"/>
            <w:hideMark/>
          </w:tcPr>
          <w:p w14:paraId="51605BEF" w14:textId="77777777" w:rsidR="00F71427" w:rsidRPr="006E7D8F" w:rsidRDefault="00F71427" w:rsidP="007728DA">
            <w:pPr>
              <w:pStyle w:val="ExhibitText"/>
              <w:jc w:val="right"/>
              <w:rPr>
                <w:b/>
                <w:sz w:val="18"/>
                <w:szCs w:val="18"/>
              </w:rPr>
            </w:pPr>
            <w:r w:rsidRPr="006E7D8F">
              <w:rPr>
                <w:b/>
                <w:sz w:val="18"/>
                <w:szCs w:val="18"/>
              </w:rPr>
              <w:t>FY</w:t>
            </w:r>
            <w:r w:rsidR="0030596B" w:rsidRPr="006E7D8F">
              <w:rPr>
                <w:b/>
                <w:sz w:val="18"/>
                <w:szCs w:val="18"/>
              </w:rPr>
              <w:t xml:space="preserve"> </w:t>
            </w:r>
            <w:r w:rsidRPr="006E7D8F">
              <w:rPr>
                <w:b/>
                <w:sz w:val="18"/>
                <w:szCs w:val="18"/>
              </w:rPr>
              <w:t>2021E</w:t>
            </w:r>
          </w:p>
        </w:tc>
        <w:tc>
          <w:tcPr>
            <w:tcW w:w="1050" w:type="dxa"/>
            <w:tcBorders>
              <w:top w:val="single" w:sz="4" w:space="0" w:color="auto"/>
              <w:bottom w:val="single" w:sz="12" w:space="0" w:color="auto"/>
            </w:tcBorders>
            <w:noWrap/>
            <w:vAlign w:val="center"/>
            <w:hideMark/>
          </w:tcPr>
          <w:p w14:paraId="78B3D263" w14:textId="77777777" w:rsidR="00F71427" w:rsidRPr="006E7D8F" w:rsidRDefault="00F71427" w:rsidP="007728DA">
            <w:pPr>
              <w:pStyle w:val="ExhibitText"/>
              <w:jc w:val="right"/>
              <w:rPr>
                <w:b/>
                <w:sz w:val="18"/>
                <w:szCs w:val="18"/>
              </w:rPr>
            </w:pPr>
            <w:r w:rsidRPr="006E7D8F">
              <w:rPr>
                <w:b/>
                <w:sz w:val="18"/>
                <w:szCs w:val="18"/>
              </w:rPr>
              <w:t>FY</w:t>
            </w:r>
            <w:r w:rsidR="0030596B" w:rsidRPr="006E7D8F">
              <w:rPr>
                <w:b/>
                <w:sz w:val="18"/>
                <w:szCs w:val="18"/>
              </w:rPr>
              <w:t xml:space="preserve"> </w:t>
            </w:r>
            <w:r w:rsidRPr="006E7D8F">
              <w:rPr>
                <w:b/>
                <w:sz w:val="18"/>
                <w:szCs w:val="18"/>
              </w:rPr>
              <w:t>2022E</w:t>
            </w:r>
          </w:p>
        </w:tc>
      </w:tr>
      <w:tr w:rsidR="00F71427" w:rsidRPr="006E7D8F" w14:paraId="5D074B02" w14:textId="77777777" w:rsidTr="00EB329C">
        <w:trPr>
          <w:trHeight w:val="288"/>
          <w:jc w:val="center"/>
        </w:trPr>
        <w:tc>
          <w:tcPr>
            <w:tcW w:w="3969" w:type="dxa"/>
            <w:tcBorders>
              <w:top w:val="single" w:sz="12" w:space="0" w:color="auto"/>
            </w:tcBorders>
            <w:vAlign w:val="center"/>
            <w:hideMark/>
          </w:tcPr>
          <w:p w14:paraId="4B56218F" w14:textId="77777777" w:rsidR="00F71427" w:rsidRPr="006E7D8F" w:rsidRDefault="00F71427" w:rsidP="007728DA">
            <w:pPr>
              <w:pStyle w:val="ExhibitText"/>
              <w:jc w:val="left"/>
              <w:rPr>
                <w:sz w:val="18"/>
                <w:szCs w:val="18"/>
              </w:rPr>
            </w:pPr>
            <w:r w:rsidRPr="006E7D8F">
              <w:rPr>
                <w:sz w:val="18"/>
                <w:szCs w:val="18"/>
              </w:rPr>
              <w:t>Return on assets</w:t>
            </w:r>
          </w:p>
        </w:tc>
        <w:tc>
          <w:tcPr>
            <w:tcW w:w="1080" w:type="dxa"/>
            <w:tcBorders>
              <w:top w:val="single" w:sz="12" w:space="0" w:color="auto"/>
            </w:tcBorders>
            <w:noWrap/>
            <w:vAlign w:val="center"/>
            <w:hideMark/>
          </w:tcPr>
          <w:p w14:paraId="425237FA" w14:textId="77777777" w:rsidR="00F71427" w:rsidRPr="006E7D8F" w:rsidRDefault="00F71427" w:rsidP="007728DA">
            <w:pPr>
              <w:pStyle w:val="ExhibitText"/>
              <w:jc w:val="right"/>
              <w:rPr>
                <w:sz w:val="18"/>
                <w:szCs w:val="18"/>
              </w:rPr>
            </w:pPr>
            <w:r w:rsidRPr="006E7D8F">
              <w:rPr>
                <w:sz w:val="18"/>
                <w:szCs w:val="18"/>
              </w:rPr>
              <w:t>0.00</w:t>
            </w:r>
          </w:p>
        </w:tc>
        <w:tc>
          <w:tcPr>
            <w:tcW w:w="1080" w:type="dxa"/>
            <w:tcBorders>
              <w:top w:val="single" w:sz="12" w:space="0" w:color="auto"/>
            </w:tcBorders>
            <w:noWrap/>
            <w:vAlign w:val="center"/>
            <w:hideMark/>
          </w:tcPr>
          <w:p w14:paraId="673A412B" w14:textId="77777777" w:rsidR="00F71427" w:rsidRPr="006E7D8F" w:rsidRDefault="00F71427" w:rsidP="007728DA">
            <w:pPr>
              <w:pStyle w:val="ExhibitText"/>
              <w:jc w:val="right"/>
              <w:rPr>
                <w:sz w:val="18"/>
                <w:szCs w:val="18"/>
              </w:rPr>
            </w:pPr>
            <w:r w:rsidRPr="006E7D8F">
              <w:rPr>
                <w:sz w:val="18"/>
                <w:szCs w:val="18"/>
              </w:rPr>
              <w:t>0.20</w:t>
            </w:r>
          </w:p>
        </w:tc>
        <w:tc>
          <w:tcPr>
            <w:tcW w:w="1050" w:type="dxa"/>
            <w:tcBorders>
              <w:top w:val="single" w:sz="12" w:space="0" w:color="auto"/>
            </w:tcBorders>
            <w:noWrap/>
            <w:vAlign w:val="center"/>
            <w:hideMark/>
          </w:tcPr>
          <w:p w14:paraId="40E2F62C" w14:textId="77777777" w:rsidR="00F71427" w:rsidRPr="006E7D8F" w:rsidRDefault="00F71427" w:rsidP="007728DA">
            <w:pPr>
              <w:pStyle w:val="ExhibitText"/>
              <w:jc w:val="right"/>
              <w:rPr>
                <w:sz w:val="18"/>
                <w:szCs w:val="18"/>
              </w:rPr>
            </w:pPr>
            <w:r w:rsidRPr="006E7D8F">
              <w:rPr>
                <w:sz w:val="18"/>
                <w:szCs w:val="18"/>
              </w:rPr>
              <w:t>0.45</w:t>
            </w:r>
          </w:p>
        </w:tc>
        <w:tc>
          <w:tcPr>
            <w:tcW w:w="1050" w:type="dxa"/>
            <w:tcBorders>
              <w:top w:val="single" w:sz="12" w:space="0" w:color="auto"/>
            </w:tcBorders>
            <w:noWrap/>
            <w:vAlign w:val="center"/>
            <w:hideMark/>
          </w:tcPr>
          <w:p w14:paraId="5E0AD0DF" w14:textId="77777777" w:rsidR="00F71427" w:rsidRPr="006E7D8F" w:rsidRDefault="00F71427" w:rsidP="007728DA">
            <w:pPr>
              <w:pStyle w:val="ExhibitText"/>
              <w:jc w:val="right"/>
              <w:rPr>
                <w:sz w:val="18"/>
                <w:szCs w:val="18"/>
              </w:rPr>
            </w:pPr>
            <w:r w:rsidRPr="006E7D8F">
              <w:rPr>
                <w:sz w:val="18"/>
                <w:szCs w:val="18"/>
              </w:rPr>
              <w:t>0.70</w:t>
            </w:r>
          </w:p>
        </w:tc>
        <w:tc>
          <w:tcPr>
            <w:tcW w:w="1050" w:type="dxa"/>
            <w:tcBorders>
              <w:top w:val="single" w:sz="12" w:space="0" w:color="auto"/>
            </w:tcBorders>
            <w:noWrap/>
            <w:vAlign w:val="center"/>
            <w:hideMark/>
          </w:tcPr>
          <w:p w14:paraId="5FFBE183" w14:textId="77777777" w:rsidR="00F71427" w:rsidRPr="006E7D8F" w:rsidRDefault="00F71427" w:rsidP="007728DA">
            <w:pPr>
              <w:pStyle w:val="ExhibitText"/>
              <w:jc w:val="right"/>
              <w:rPr>
                <w:sz w:val="18"/>
                <w:szCs w:val="18"/>
              </w:rPr>
            </w:pPr>
            <w:r w:rsidRPr="006E7D8F">
              <w:rPr>
                <w:sz w:val="18"/>
                <w:szCs w:val="18"/>
              </w:rPr>
              <w:t>1.00</w:t>
            </w:r>
          </w:p>
        </w:tc>
      </w:tr>
      <w:tr w:rsidR="00F71427" w:rsidRPr="006E7D8F" w14:paraId="48C4FC99" w14:textId="77777777" w:rsidTr="00EB329C">
        <w:trPr>
          <w:trHeight w:val="288"/>
          <w:jc w:val="center"/>
        </w:trPr>
        <w:tc>
          <w:tcPr>
            <w:tcW w:w="3969" w:type="dxa"/>
            <w:noWrap/>
            <w:vAlign w:val="center"/>
            <w:hideMark/>
          </w:tcPr>
          <w:p w14:paraId="7BD5858E" w14:textId="77777777" w:rsidR="00F71427" w:rsidRPr="006E7D8F" w:rsidRDefault="00F71427" w:rsidP="0050547E">
            <w:pPr>
              <w:pStyle w:val="ExhibitText"/>
              <w:jc w:val="left"/>
              <w:rPr>
                <w:sz w:val="18"/>
                <w:szCs w:val="18"/>
              </w:rPr>
            </w:pPr>
            <w:r w:rsidRPr="006E7D8F">
              <w:rPr>
                <w:sz w:val="18"/>
                <w:szCs w:val="18"/>
              </w:rPr>
              <w:t>Leverage</w:t>
            </w:r>
            <w:r w:rsidR="00691A6E" w:rsidRPr="006E7D8F">
              <w:rPr>
                <w:sz w:val="18"/>
                <w:szCs w:val="18"/>
              </w:rPr>
              <w:t xml:space="preserve"> </w:t>
            </w:r>
            <w:r w:rsidR="0050547E" w:rsidRPr="006E7D8F">
              <w:rPr>
                <w:sz w:val="18"/>
                <w:szCs w:val="18"/>
              </w:rPr>
              <w:t>(times)</w:t>
            </w:r>
          </w:p>
        </w:tc>
        <w:tc>
          <w:tcPr>
            <w:tcW w:w="1080" w:type="dxa"/>
            <w:noWrap/>
            <w:vAlign w:val="center"/>
            <w:hideMark/>
          </w:tcPr>
          <w:p w14:paraId="4971A620" w14:textId="77777777" w:rsidR="00F71427" w:rsidRPr="006E7D8F" w:rsidRDefault="00F71427" w:rsidP="007728DA">
            <w:pPr>
              <w:pStyle w:val="ExhibitText"/>
              <w:jc w:val="right"/>
              <w:rPr>
                <w:sz w:val="18"/>
                <w:szCs w:val="18"/>
              </w:rPr>
            </w:pPr>
            <w:r w:rsidRPr="006E7D8F">
              <w:rPr>
                <w:sz w:val="18"/>
                <w:szCs w:val="18"/>
              </w:rPr>
              <w:t>16.50</w:t>
            </w:r>
          </w:p>
        </w:tc>
        <w:tc>
          <w:tcPr>
            <w:tcW w:w="1080" w:type="dxa"/>
            <w:noWrap/>
            <w:vAlign w:val="center"/>
            <w:hideMark/>
          </w:tcPr>
          <w:p w14:paraId="27FEF81D" w14:textId="77777777" w:rsidR="00F71427" w:rsidRPr="006E7D8F" w:rsidRDefault="00F71427" w:rsidP="007728DA">
            <w:pPr>
              <w:pStyle w:val="ExhibitText"/>
              <w:jc w:val="right"/>
              <w:rPr>
                <w:sz w:val="18"/>
                <w:szCs w:val="18"/>
              </w:rPr>
            </w:pPr>
            <w:r w:rsidRPr="006E7D8F">
              <w:rPr>
                <w:sz w:val="18"/>
                <w:szCs w:val="18"/>
              </w:rPr>
              <w:t>16.00</w:t>
            </w:r>
          </w:p>
        </w:tc>
        <w:tc>
          <w:tcPr>
            <w:tcW w:w="1050" w:type="dxa"/>
            <w:noWrap/>
            <w:vAlign w:val="center"/>
            <w:hideMark/>
          </w:tcPr>
          <w:p w14:paraId="7B8125E1" w14:textId="77777777" w:rsidR="00F71427" w:rsidRPr="006E7D8F" w:rsidRDefault="00F71427" w:rsidP="007728DA">
            <w:pPr>
              <w:pStyle w:val="ExhibitText"/>
              <w:jc w:val="right"/>
              <w:rPr>
                <w:sz w:val="18"/>
                <w:szCs w:val="18"/>
              </w:rPr>
            </w:pPr>
            <w:r w:rsidRPr="006E7D8F">
              <w:rPr>
                <w:sz w:val="18"/>
                <w:szCs w:val="18"/>
              </w:rPr>
              <w:t>15.00</w:t>
            </w:r>
          </w:p>
        </w:tc>
        <w:tc>
          <w:tcPr>
            <w:tcW w:w="1050" w:type="dxa"/>
            <w:noWrap/>
            <w:vAlign w:val="center"/>
            <w:hideMark/>
          </w:tcPr>
          <w:p w14:paraId="24973588" w14:textId="77777777" w:rsidR="00F71427" w:rsidRPr="006E7D8F" w:rsidRDefault="00F71427" w:rsidP="007728DA">
            <w:pPr>
              <w:pStyle w:val="ExhibitText"/>
              <w:jc w:val="right"/>
              <w:rPr>
                <w:sz w:val="18"/>
                <w:szCs w:val="18"/>
              </w:rPr>
            </w:pPr>
            <w:r w:rsidRPr="006E7D8F">
              <w:rPr>
                <w:sz w:val="18"/>
                <w:szCs w:val="18"/>
              </w:rPr>
              <w:t>14.00</w:t>
            </w:r>
          </w:p>
        </w:tc>
        <w:tc>
          <w:tcPr>
            <w:tcW w:w="1050" w:type="dxa"/>
            <w:noWrap/>
            <w:vAlign w:val="center"/>
            <w:hideMark/>
          </w:tcPr>
          <w:p w14:paraId="57ED6192" w14:textId="77777777" w:rsidR="00F71427" w:rsidRPr="006E7D8F" w:rsidRDefault="00F71427" w:rsidP="007728DA">
            <w:pPr>
              <w:pStyle w:val="ExhibitText"/>
              <w:jc w:val="right"/>
              <w:rPr>
                <w:sz w:val="18"/>
                <w:szCs w:val="18"/>
              </w:rPr>
            </w:pPr>
            <w:r w:rsidRPr="006E7D8F">
              <w:rPr>
                <w:sz w:val="18"/>
                <w:szCs w:val="18"/>
              </w:rPr>
              <w:t>13.40</w:t>
            </w:r>
          </w:p>
        </w:tc>
      </w:tr>
      <w:tr w:rsidR="00F71427" w:rsidRPr="006E7D8F" w14:paraId="0CF55FE4" w14:textId="77777777" w:rsidTr="00EB329C">
        <w:trPr>
          <w:trHeight w:val="288"/>
          <w:jc w:val="center"/>
        </w:trPr>
        <w:tc>
          <w:tcPr>
            <w:tcW w:w="3969" w:type="dxa"/>
            <w:vAlign w:val="center"/>
            <w:hideMark/>
          </w:tcPr>
          <w:p w14:paraId="481B5C43" w14:textId="77777777" w:rsidR="00F71427" w:rsidRPr="006E7D8F" w:rsidRDefault="00F71427" w:rsidP="007728DA">
            <w:pPr>
              <w:pStyle w:val="ExhibitText"/>
              <w:jc w:val="left"/>
              <w:rPr>
                <w:sz w:val="18"/>
                <w:szCs w:val="18"/>
              </w:rPr>
            </w:pPr>
            <w:r w:rsidRPr="006E7D8F">
              <w:rPr>
                <w:sz w:val="18"/>
                <w:szCs w:val="18"/>
              </w:rPr>
              <w:t>Asset turnover ratio</w:t>
            </w:r>
          </w:p>
        </w:tc>
        <w:tc>
          <w:tcPr>
            <w:tcW w:w="1080" w:type="dxa"/>
            <w:noWrap/>
            <w:vAlign w:val="center"/>
            <w:hideMark/>
          </w:tcPr>
          <w:p w14:paraId="5CAF58A5" w14:textId="77777777" w:rsidR="00F71427" w:rsidRPr="006E7D8F" w:rsidRDefault="00F71427" w:rsidP="007728DA">
            <w:pPr>
              <w:pStyle w:val="ExhibitText"/>
              <w:jc w:val="right"/>
              <w:rPr>
                <w:sz w:val="18"/>
                <w:szCs w:val="18"/>
              </w:rPr>
            </w:pPr>
            <w:r w:rsidRPr="006E7D8F">
              <w:rPr>
                <w:sz w:val="18"/>
                <w:szCs w:val="18"/>
              </w:rPr>
              <w:t>10.20</w:t>
            </w:r>
          </w:p>
        </w:tc>
        <w:tc>
          <w:tcPr>
            <w:tcW w:w="1080" w:type="dxa"/>
            <w:noWrap/>
            <w:vAlign w:val="center"/>
            <w:hideMark/>
          </w:tcPr>
          <w:p w14:paraId="4DE897C5" w14:textId="77777777" w:rsidR="00F71427" w:rsidRPr="006E7D8F" w:rsidRDefault="00F71427" w:rsidP="007728DA">
            <w:pPr>
              <w:pStyle w:val="ExhibitText"/>
              <w:jc w:val="right"/>
              <w:rPr>
                <w:sz w:val="18"/>
                <w:szCs w:val="18"/>
              </w:rPr>
            </w:pPr>
            <w:r w:rsidRPr="006E7D8F">
              <w:rPr>
                <w:sz w:val="18"/>
                <w:szCs w:val="18"/>
              </w:rPr>
              <w:t>10.30</w:t>
            </w:r>
          </w:p>
        </w:tc>
        <w:tc>
          <w:tcPr>
            <w:tcW w:w="1050" w:type="dxa"/>
            <w:noWrap/>
            <w:vAlign w:val="center"/>
            <w:hideMark/>
          </w:tcPr>
          <w:p w14:paraId="6F1334A2" w14:textId="77777777" w:rsidR="00F71427" w:rsidRPr="006E7D8F" w:rsidRDefault="00F71427" w:rsidP="007728DA">
            <w:pPr>
              <w:pStyle w:val="ExhibitText"/>
              <w:jc w:val="right"/>
              <w:rPr>
                <w:sz w:val="18"/>
                <w:szCs w:val="18"/>
              </w:rPr>
            </w:pPr>
            <w:r w:rsidRPr="006E7D8F">
              <w:rPr>
                <w:sz w:val="18"/>
                <w:szCs w:val="18"/>
              </w:rPr>
              <w:t>10.40</w:t>
            </w:r>
          </w:p>
        </w:tc>
        <w:tc>
          <w:tcPr>
            <w:tcW w:w="1050" w:type="dxa"/>
            <w:noWrap/>
            <w:vAlign w:val="center"/>
            <w:hideMark/>
          </w:tcPr>
          <w:p w14:paraId="4ED72369" w14:textId="77777777" w:rsidR="00F71427" w:rsidRPr="006E7D8F" w:rsidRDefault="00F71427" w:rsidP="007728DA">
            <w:pPr>
              <w:pStyle w:val="ExhibitText"/>
              <w:jc w:val="right"/>
              <w:rPr>
                <w:sz w:val="18"/>
                <w:szCs w:val="18"/>
              </w:rPr>
            </w:pPr>
            <w:r w:rsidRPr="006E7D8F">
              <w:rPr>
                <w:sz w:val="18"/>
                <w:szCs w:val="18"/>
              </w:rPr>
              <w:t>10.50</w:t>
            </w:r>
          </w:p>
        </w:tc>
        <w:tc>
          <w:tcPr>
            <w:tcW w:w="1050" w:type="dxa"/>
            <w:noWrap/>
            <w:vAlign w:val="center"/>
            <w:hideMark/>
          </w:tcPr>
          <w:p w14:paraId="2E765706" w14:textId="77777777" w:rsidR="00F71427" w:rsidRPr="006E7D8F" w:rsidRDefault="00F71427" w:rsidP="007728DA">
            <w:pPr>
              <w:pStyle w:val="ExhibitText"/>
              <w:jc w:val="right"/>
              <w:rPr>
                <w:sz w:val="18"/>
                <w:szCs w:val="18"/>
              </w:rPr>
            </w:pPr>
            <w:r w:rsidRPr="006E7D8F">
              <w:rPr>
                <w:sz w:val="18"/>
                <w:szCs w:val="18"/>
              </w:rPr>
              <w:t>11.00</w:t>
            </w:r>
          </w:p>
        </w:tc>
      </w:tr>
      <w:tr w:rsidR="00F71427" w:rsidRPr="006E7D8F" w14:paraId="7FA4F7AF" w14:textId="77777777" w:rsidTr="00EB329C">
        <w:trPr>
          <w:trHeight w:val="288"/>
          <w:jc w:val="center"/>
        </w:trPr>
        <w:tc>
          <w:tcPr>
            <w:tcW w:w="3969" w:type="dxa"/>
            <w:noWrap/>
            <w:vAlign w:val="center"/>
            <w:hideMark/>
          </w:tcPr>
          <w:p w14:paraId="3C6C7815" w14:textId="77777777" w:rsidR="00F71427" w:rsidRPr="006E7D8F" w:rsidRDefault="00F71427" w:rsidP="007728DA">
            <w:pPr>
              <w:pStyle w:val="ExhibitText"/>
              <w:jc w:val="left"/>
              <w:rPr>
                <w:sz w:val="18"/>
                <w:szCs w:val="18"/>
              </w:rPr>
            </w:pPr>
            <w:r w:rsidRPr="006E7D8F">
              <w:rPr>
                <w:sz w:val="18"/>
                <w:szCs w:val="18"/>
              </w:rPr>
              <w:t>N</w:t>
            </w:r>
            <w:r w:rsidR="0030596B" w:rsidRPr="006E7D8F">
              <w:rPr>
                <w:sz w:val="18"/>
                <w:szCs w:val="18"/>
              </w:rPr>
              <w:t>et interest income</w:t>
            </w:r>
            <w:r w:rsidRPr="006E7D8F">
              <w:rPr>
                <w:sz w:val="18"/>
                <w:szCs w:val="18"/>
              </w:rPr>
              <w:t xml:space="preserve"> as % of gross revenues</w:t>
            </w:r>
          </w:p>
        </w:tc>
        <w:tc>
          <w:tcPr>
            <w:tcW w:w="1080" w:type="dxa"/>
            <w:noWrap/>
            <w:vAlign w:val="center"/>
            <w:hideMark/>
          </w:tcPr>
          <w:p w14:paraId="284797B2" w14:textId="77777777" w:rsidR="00F71427" w:rsidRPr="006E7D8F" w:rsidRDefault="00F71427" w:rsidP="007728DA">
            <w:pPr>
              <w:pStyle w:val="ExhibitText"/>
              <w:jc w:val="right"/>
              <w:rPr>
                <w:sz w:val="18"/>
                <w:szCs w:val="18"/>
              </w:rPr>
            </w:pPr>
            <w:r w:rsidRPr="006E7D8F">
              <w:rPr>
                <w:sz w:val="18"/>
                <w:szCs w:val="18"/>
              </w:rPr>
              <w:t>27.00</w:t>
            </w:r>
          </w:p>
        </w:tc>
        <w:tc>
          <w:tcPr>
            <w:tcW w:w="1080" w:type="dxa"/>
            <w:noWrap/>
            <w:vAlign w:val="center"/>
            <w:hideMark/>
          </w:tcPr>
          <w:p w14:paraId="5D9347E0" w14:textId="77777777" w:rsidR="00F71427" w:rsidRPr="006E7D8F" w:rsidRDefault="00F71427" w:rsidP="007728DA">
            <w:pPr>
              <w:pStyle w:val="ExhibitText"/>
              <w:jc w:val="right"/>
              <w:rPr>
                <w:sz w:val="18"/>
                <w:szCs w:val="18"/>
              </w:rPr>
            </w:pPr>
            <w:r w:rsidRPr="006E7D8F">
              <w:rPr>
                <w:sz w:val="18"/>
                <w:szCs w:val="18"/>
              </w:rPr>
              <w:t>28.00</w:t>
            </w:r>
          </w:p>
        </w:tc>
        <w:tc>
          <w:tcPr>
            <w:tcW w:w="1050" w:type="dxa"/>
            <w:noWrap/>
            <w:vAlign w:val="center"/>
            <w:hideMark/>
          </w:tcPr>
          <w:p w14:paraId="76394FC3" w14:textId="77777777" w:rsidR="00F71427" w:rsidRPr="006E7D8F" w:rsidRDefault="00F71427" w:rsidP="007728DA">
            <w:pPr>
              <w:pStyle w:val="ExhibitText"/>
              <w:jc w:val="right"/>
              <w:rPr>
                <w:sz w:val="18"/>
                <w:szCs w:val="18"/>
              </w:rPr>
            </w:pPr>
            <w:r w:rsidRPr="006E7D8F">
              <w:rPr>
                <w:sz w:val="18"/>
                <w:szCs w:val="18"/>
              </w:rPr>
              <w:t>29.00</w:t>
            </w:r>
          </w:p>
        </w:tc>
        <w:tc>
          <w:tcPr>
            <w:tcW w:w="1050" w:type="dxa"/>
            <w:noWrap/>
            <w:vAlign w:val="center"/>
            <w:hideMark/>
          </w:tcPr>
          <w:p w14:paraId="0FB5E18E" w14:textId="77777777" w:rsidR="00F71427" w:rsidRPr="006E7D8F" w:rsidRDefault="00F71427" w:rsidP="007728DA">
            <w:pPr>
              <w:pStyle w:val="ExhibitText"/>
              <w:jc w:val="right"/>
              <w:rPr>
                <w:sz w:val="18"/>
                <w:szCs w:val="18"/>
              </w:rPr>
            </w:pPr>
            <w:r w:rsidRPr="006E7D8F">
              <w:rPr>
                <w:sz w:val="18"/>
                <w:szCs w:val="18"/>
              </w:rPr>
              <w:t>30.00</w:t>
            </w:r>
          </w:p>
        </w:tc>
        <w:tc>
          <w:tcPr>
            <w:tcW w:w="1050" w:type="dxa"/>
            <w:noWrap/>
            <w:vAlign w:val="center"/>
            <w:hideMark/>
          </w:tcPr>
          <w:p w14:paraId="4F9AC5D9" w14:textId="77777777" w:rsidR="00F71427" w:rsidRPr="006E7D8F" w:rsidRDefault="00F71427" w:rsidP="007728DA">
            <w:pPr>
              <w:pStyle w:val="ExhibitText"/>
              <w:jc w:val="right"/>
              <w:rPr>
                <w:sz w:val="18"/>
                <w:szCs w:val="18"/>
              </w:rPr>
            </w:pPr>
            <w:r w:rsidRPr="006E7D8F">
              <w:rPr>
                <w:sz w:val="18"/>
                <w:szCs w:val="18"/>
              </w:rPr>
              <w:t>30.00</w:t>
            </w:r>
          </w:p>
        </w:tc>
      </w:tr>
      <w:tr w:rsidR="00F71427" w:rsidRPr="006E7D8F" w14:paraId="49024BB6" w14:textId="77777777" w:rsidTr="00EB329C">
        <w:trPr>
          <w:trHeight w:val="288"/>
          <w:jc w:val="center"/>
        </w:trPr>
        <w:tc>
          <w:tcPr>
            <w:tcW w:w="3969" w:type="dxa"/>
            <w:noWrap/>
            <w:vAlign w:val="center"/>
            <w:hideMark/>
          </w:tcPr>
          <w:p w14:paraId="76BEFD51" w14:textId="77777777" w:rsidR="00F71427" w:rsidRPr="006E7D8F" w:rsidRDefault="00F71427" w:rsidP="007728DA">
            <w:pPr>
              <w:pStyle w:val="ExhibitText"/>
              <w:jc w:val="left"/>
              <w:rPr>
                <w:sz w:val="18"/>
                <w:szCs w:val="18"/>
              </w:rPr>
            </w:pPr>
            <w:r w:rsidRPr="006E7D8F">
              <w:rPr>
                <w:sz w:val="18"/>
                <w:szCs w:val="18"/>
              </w:rPr>
              <w:t>Other income as % of gross revenues</w:t>
            </w:r>
          </w:p>
        </w:tc>
        <w:tc>
          <w:tcPr>
            <w:tcW w:w="1080" w:type="dxa"/>
            <w:noWrap/>
            <w:vAlign w:val="center"/>
            <w:hideMark/>
          </w:tcPr>
          <w:p w14:paraId="1808F94D" w14:textId="77777777" w:rsidR="00F71427" w:rsidRPr="006E7D8F" w:rsidRDefault="00F71427" w:rsidP="007728DA">
            <w:pPr>
              <w:pStyle w:val="ExhibitText"/>
              <w:jc w:val="right"/>
              <w:rPr>
                <w:sz w:val="18"/>
                <w:szCs w:val="18"/>
              </w:rPr>
            </w:pPr>
            <w:r w:rsidRPr="006E7D8F">
              <w:rPr>
                <w:sz w:val="18"/>
                <w:szCs w:val="18"/>
              </w:rPr>
              <w:t>9.19</w:t>
            </w:r>
          </w:p>
        </w:tc>
        <w:tc>
          <w:tcPr>
            <w:tcW w:w="1080" w:type="dxa"/>
            <w:noWrap/>
            <w:vAlign w:val="center"/>
            <w:hideMark/>
          </w:tcPr>
          <w:p w14:paraId="2B50AF9A" w14:textId="77777777" w:rsidR="00F71427" w:rsidRPr="006E7D8F" w:rsidRDefault="00F71427" w:rsidP="007728DA">
            <w:pPr>
              <w:pStyle w:val="ExhibitText"/>
              <w:jc w:val="right"/>
              <w:rPr>
                <w:sz w:val="18"/>
                <w:szCs w:val="18"/>
              </w:rPr>
            </w:pPr>
            <w:r w:rsidRPr="006E7D8F">
              <w:rPr>
                <w:sz w:val="18"/>
                <w:szCs w:val="18"/>
              </w:rPr>
              <w:t>9.50</w:t>
            </w:r>
          </w:p>
        </w:tc>
        <w:tc>
          <w:tcPr>
            <w:tcW w:w="1050" w:type="dxa"/>
            <w:noWrap/>
            <w:vAlign w:val="center"/>
            <w:hideMark/>
          </w:tcPr>
          <w:p w14:paraId="516D7C5D" w14:textId="77777777" w:rsidR="00F71427" w:rsidRPr="006E7D8F" w:rsidRDefault="00F71427" w:rsidP="007728DA">
            <w:pPr>
              <w:pStyle w:val="ExhibitText"/>
              <w:jc w:val="right"/>
              <w:rPr>
                <w:sz w:val="18"/>
                <w:szCs w:val="18"/>
              </w:rPr>
            </w:pPr>
            <w:r w:rsidRPr="006E7D8F">
              <w:rPr>
                <w:sz w:val="18"/>
                <w:szCs w:val="18"/>
              </w:rPr>
              <w:t>10.00</w:t>
            </w:r>
          </w:p>
        </w:tc>
        <w:tc>
          <w:tcPr>
            <w:tcW w:w="1050" w:type="dxa"/>
            <w:noWrap/>
            <w:vAlign w:val="center"/>
            <w:hideMark/>
          </w:tcPr>
          <w:p w14:paraId="7048D852" w14:textId="77777777" w:rsidR="00F71427" w:rsidRPr="006E7D8F" w:rsidRDefault="00F71427" w:rsidP="007728DA">
            <w:pPr>
              <w:pStyle w:val="ExhibitText"/>
              <w:jc w:val="right"/>
              <w:rPr>
                <w:sz w:val="18"/>
                <w:szCs w:val="18"/>
              </w:rPr>
            </w:pPr>
            <w:r w:rsidRPr="006E7D8F">
              <w:rPr>
                <w:sz w:val="18"/>
                <w:szCs w:val="18"/>
              </w:rPr>
              <w:t>10.50</w:t>
            </w:r>
          </w:p>
        </w:tc>
        <w:tc>
          <w:tcPr>
            <w:tcW w:w="1050" w:type="dxa"/>
            <w:noWrap/>
            <w:vAlign w:val="center"/>
            <w:hideMark/>
          </w:tcPr>
          <w:p w14:paraId="359FA824" w14:textId="77777777" w:rsidR="00F71427" w:rsidRPr="006E7D8F" w:rsidRDefault="00F71427" w:rsidP="007728DA">
            <w:pPr>
              <w:pStyle w:val="ExhibitText"/>
              <w:jc w:val="right"/>
              <w:rPr>
                <w:sz w:val="18"/>
                <w:szCs w:val="18"/>
              </w:rPr>
            </w:pPr>
            <w:r w:rsidRPr="006E7D8F">
              <w:rPr>
                <w:sz w:val="18"/>
                <w:szCs w:val="18"/>
              </w:rPr>
              <w:t>11.00</w:t>
            </w:r>
          </w:p>
        </w:tc>
      </w:tr>
      <w:tr w:rsidR="00F71427" w:rsidRPr="006E7D8F" w14:paraId="6E0E9621" w14:textId="77777777" w:rsidTr="00EB329C">
        <w:trPr>
          <w:trHeight w:val="288"/>
          <w:jc w:val="center"/>
        </w:trPr>
        <w:tc>
          <w:tcPr>
            <w:tcW w:w="3969" w:type="dxa"/>
            <w:noWrap/>
            <w:vAlign w:val="center"/>
            <w:hideMark/>
          </w:tcPr>
          <w:p w14:paraId="781F6EC3" w14:textId="77777777" w:rsidR="00F71427" w:rsidRPr="006E7D8F" w:rsidRDefault="00F71427" w:rsidP="007728DA">
            <w:pPr>
              <w:pStyle w:val="ExhibitText"/>
              <w:jc w:val="left"/>
              <w:rPr>
                <w:sz w:val="18"/>
                <w:szCs w:val="18"/>
              </w:rPr>
            </w:pPr>
            <w:r w:rsidRPr="006E7D8F">
              <w:rPr>
                <w:sz w:val="18"/>
                <w:szCs w:val="18"/>
              </w:rPr>
              <w:t xml:space="preserve">Provisions </w:t>
            </w:r>
            <w:r w:rsidR="0030596B" w:rsidRPr="006E7D8F">
              <w:rPr>
                <w:sz w:val="18"/>
                <w:szCs w:val="18"/>
              </w:rPr>
              <w:t>and c</w:t>
            </w:r>
            <w:r w:rsidRPr="006E7D8F">
              <w:rPr>
                <w:sz w:val="18"/>
                <w:szCs w:val="18"/>
              </w:rPr>
              <w:t>ontingencies as % of gross revenues</w:t>
            </w:r>
          </w:p>
        </w:tc>
        <w:tc>
          <w:tcPr>
            <w:tcW w:w="1080" w:type="dxa"/>
            <w:noWrap/>
            <w:vAlign w:val="center"/>
            <w:hideMark/>
          </w:tcPr>
          <w:p w14:paraId="68E93363" w14:textId="77777777" w:rsidR="00F71427" w:rsidRPr="006E7D8F" w:rsidRDefault="00F71427" w:rsidP="007728DA">
            <w:pPr>
              <w:pStyle w:val="ExhibitText"/>
              <w:jc w:val="right"/>
              <w:rPr>
                <w:sz w:val="18"/>
                <w:szCs w:val="18"/>
              </w:rPr>
            </w:pPr>
            <w:r w:rsidRPr="006E7D8F">
              <w:rPr>
                <w:sz w:val="18"/>
                <w:szCs w:val="18"/>
              </w:rPr>
              <w:t>10.00</w:t>
            </w:r>
          </w:p>
        </w:tc>
        <w:tc>
          <w:tcPr>
            <w:tcW w:w="1080" w:type="dxa"/>
            <w:noWrap/>
            <w:vAlign w:val="center"/>
            <w:hideMark/>
          </w:tcPr>
          <w:p w14:paraId="5565433E" w14:textId="77777777" w:rsidR="00F71427" w:rsidRPr="006E7D8F" w:rsidRDefault="00F71427" w:rsidP="007728DA">
            <w:pPr>
              <w:pStyle w:val="ExhibitText"/>
              <w:jc w:val="right"/>
              <w:rPr>
                <w:sz w:val="18"/>
                <w:szCs w:val="18"/>
              </w:rPr>
            </w:pPr>
            <w:r w:rsidRPr="006E7D8F">
              <w:rPr>
                <w:sz w:val="18"/>
                <w:szCs w:val="18"/>
              </w:rPr>
              <w:t>9.50</w:t>
            </w:r>
          </w:p>
        </w:tc>
        <w:tc>
          <w:tcPr>
            <w:tcW w:w="1050" w:type="dxa"/>
            <w:noWrap/>
            <w:vAlign w:val="center"/>
            <w:hideMark/>
          </w:tcPr>
          <w:p w14:paraId="28D1790B" w14:textId="77777777" w:rsidR="00F71427" w:rsidRPr="006E7D8F" w:rsidRDefault="00F71427" w:rsidP="007728DA">
            <w:pPr>
              <w:pStyle w:val="ExhibitText"/>
              <w:jc w:val="right"/>
              <w:rPr>
                <w:sz w:val="18"/>
                <w:szCs w:val="18"/>
              </w:rPr>
            </w:pPr>
            <w:r w:rsidRPr="006E7D8F">
              <w:rPr>
                <w:sz w:val="18"/>
                <w:szCs w:val="18"/>
              </w:rPr>
              <w:t>9.00</w:t>
            </w:r>
          </w:p>
        </w:tc>
        <w:tc>
          <w:tcPr>
            <w:tcW w:w="1050" w:type="dxa"/>
            <w:noWrap/>
            <w:vAlign w:val="center"/>
            <w:hideMark/>
          </w:tcPr>
          <w:p w14:paraId="071D5478" w14:textId="77777777" w:rsidR="00F71427" w:rsidRPr="006E7D8F" w:rsidRDefault="00F71427" w:rsidP="007728DA">
            <w:pPr>
              <w:pStyle w:val="ExhibitText"/>
              <w:jc w:val="right"/>
              <w:rPr>
                <w:sz w:val="18"/>
                <w:szCs w:val="18"/>
              </w:rPr>
            </w:pPr>
            <w:r w:rsidRPr="006E7D8F">
              <w:rPr>
                <w:sz w:val="18"/>
                <w:szCs w:val="18"/>
              </w:rPr>
              <w:t>8.50</w:t>
            </w:r>
          </w:p>
        </w:tc>
        <w:tc>
          <w:tcPr>
            <w:tcW w:w="1050" w:type="dxa"/>
            <w:noWrap/>
            <w:vAlign w:val="center"/>
            <w:hideMark/>
          </w:tcPr>
          <w:p w14:paraId="0B3E3F49" w14:textId="77777777" w:rsidR="00F71427" w:rsidRPr="006E7D8F" w:rsidRDefault="00F71427" w:rsidP="007728DA">
            <w:pPr>
              <w:pStyle w:val="ExhibitText"/>
              <w:jc w:val="right"/>
              <w:rPr>
                <w:sz w:val="18"/>
                <w:szCs w:val="18"/>
              </w:rPr>
            </w:pPr>
            <w:r w:rsidRPr="006E7D8F">
              <w:rPr>
                <w:sz w:val="18"/>
                <w:szCs w:val="18"/>
              </w:rPr>
              <w:t>8.50</w:t>
            </w:r>
          </w:p>
        </w:tc>
      </w:tr>
      <w:tr w:rsidR="00F71427" w:rsidRPr="006E7D8F" w14:paraId="6DA863CA" w14:textId="77777777" w:rsidTr="00EB329C">
        <w:trPr>
          <w:trHeight w:val="288"/>
          <w:jc w:val="center"/>
        </w:trPr>
        <w:tc>
          <w:tcPr>
            <w:tcW w:w="3969" w:type="dxa"/>
            <w:noWrap/>
            <w:vAlign w:val="center"/>
            <w:hideMark/>
          </w:tcPr>
          <w:p w14:paraId="40A25C2F" w14:textId="77777777" w:rsidR="00F71427" w:rsidRPr="006E7D8F" w:rsidRDefault="00F71427" w:rsidP="007728DA">
            <w:pPr>
              <w:pStyle w:val="ExhibitText"/>
              <w:jc w:val="left"/>
              <w:rPr>
                <w:sz w:val="18"/>
                <w:szCs w:val="18"/>
              </w:rPr>
            </w:pPr>
            <w:r w:rsidRPr="006E7D8F">
              <w:rPr>
                <w:sz w:val="18"/>
                <w:szCs w:val="18"/>
              </w:rPr>
              <w:t>Interest spread</w:t>
            </w:r>
          </w:p>
        </w:tc>
        <w:tc>
          <w:tcPr>
            <w:tcW w:w="1080" w:type="dxa"/>
            <w:noWrap/>
            <w:vAlign w:val="center"/>
            <w:hideMark/>
          </w:tcPr>
          <w:p w14:paraId="2FB75C01" w14:textId="77777777" w:rsidR="00F71427" w:rsidRPr="006E7D8F" w:rsidRDefault="00F71427" w:rsidP="007728DA">
            <w:pPr>
              <w:pStyle w:val="ExhibitText"/>
              <w:jc w:val="right"/>
              <w:rPr>
                <w:sz w:val="18"/>
                <w:szCs w:val="18"/>
              </w:rPr>
            </w:pPr>
            <w:r w:rsidRPr="006E7D8F">
              <w:rPr>
                <w:sz w:val="18"/>
                <w:szCs w:val="18"/>
              </w:rPr>
              <w:t>2.70</w:t>
            </w:r>
          </w:p>
        </w:tc>
        <w:tc>
          <w:tcPr>
            <w:tcW w:w="1080" w:type="dxa"/>
            <w:noWrap/>
            <w:vAlign w:val="center"/>
            <w:hideMark/>
          </w:tcPr>
          <w:p w14:paraId="28515F8B" w14:textId="77777777" w:rsidR="00F71427" w:rsidRPr="006E7D8F" w:rsidRDefault="00F71427" w:rsidP="007728DA">
            <w:pPr>
              <w:pStyle w:val="ExhibitText"/>
              <w:jc w:val="right"/>
              <w:rPr>
                <w:sz w:val="18"/>
                <w:szCs w:val="18"/>
              </w:rPr>
            </w:pPr>
            <w:r w:rsidRPr="006E7D8F">
              <w:rPr>
                <w:sz w:val="18"/>
                <w:szCs w:val="18"/>
              </w:rPr>
              <w:t>2.70</w:t>
            </w:r>
          </w:p>
        </w:tc>
        <w:tc>
          <w:tcPr>
            <w:tcW w:w="1050" w:type="dxa"/>
            <w:noWrap/>
            <w:vAlign w:val="center"/>
            <w:hideMark/>
          </w:tcPr>
          <w:p w14:paraId="54CB0E6B" w14:textId="77777777" w:rsidR="00F71427" w:rsidRPr="006E7D8F" w:rsidRDefault="00F71427" w:rsidP="007728DA">
            <w:pPr>
              <w:pStyle w:val="ExhibitText"/>
              <w:jc w:val="right"/>
              <w:rPr>
                <w:sz w:val="18"/>
                <w:szCs w:val="18"/>
              </w:rPr>
            </w:pPr>
            <w:r w:rsidRPr="006E7D8F">
              <w:rPr>
                <w:sz w:val="18"/>
                <w:szCs w:val="18"/>
              </w:rPr>
              <w:t>2.70</w:t>
            </w:r>
          </w:p>
        </w:tc>
        <w:tc>
          <w:tcPr>
            <w:tcW w:w="1050" w:type="dxa"/>
            <w:noWrap/>
            <w:vAlign w:val="center"/>
            <w:hideMark/>
          </w:tcPr>
          <w:p w14:paraId="0CF4FE2F" w14:textId="77777777" w:rsidR="00F71427" w:rsidRPr="006E7D8F" w:rsidRDefault="00F71427" w:rsidP="007728DA">
            <w:pPr>
              <w:pStyle w:val="ExhibitText"/>
              <w:jc w:val="right"/>
              <w:rPr>
                <w:sz w:val="18"/>
                <w:szCs w:val="18"/>
              </w:rPr>
            </w:pPr>
            <w:r w:rsidRPr="006E7D8F">
              <w:rPr>
                <w:sz w:val="18"/>
                <w:szCs w:val="18"/>
              </w:rPr>
              <w:t>2.70</w:t>
            </w:r>
          </w:p>
        </w:tc>
        <w:tc>
          <w:tcPr>
            <w:tcW w:w="1050" w:type="dxa"/>
            <w:noWrap/>
            <w:vAlign w:val="center"/>
            <w:hideMark/>
          </w:tcPr>
          <w:p w14:paraId="2DC8065A" w14:textId="77777777" w:rsidR="00F71427" w:rsidRPr="006E7D8F" w:rsidRDefault="00F71427" w:rsidP="007728DA">
            <w:pPr>
              <w:pStyle w:val="ExhibitText"/>
              <w:jc w:val="right"/>
              <w:rPr>
                <w:sz w:val="18"/>
                <w:szCs w:val="18"/>
              </w:rPr>
            </w:pPr>
            <w:r w:rsidRPr="006E7D8F">
              <w:rPr>
                <w:sz w:val="18"/>
                <w:szCs w:val="18"/>
              </w:rPr>
              <w:t>2.70</w:t>
            </w:r>
          </w:p>
        </w:tc>
      </w:tr>
      <w:tr w:rsidR="00F71427" w:rsidRPr="006E7D8F" w14:paraId="3C6E3E86" w14:textId="77777777" w:rsidTr="00EB329C">
        <w:trPr>
          <w:trHeight w:val="288"/>
          <w:jc w:val="center"/>
        </w:trPr>
        <w:tc>
          <w:tcPr>
            <w:tcW w:w="3969" w:type="dxa"/>
            <w:noWrap/>
            <w:vAlign w:val="center"/>
            <w:hideMark/>
          </w:tcPr>
          <w:p w14:paraId="700925F4" w14:textId="77777777" w:rsidR="00F71427" w:rsidRPr="006E7D8F" w:rsidRDefault="00F71427" w:rsidP="007728DA">
            <w:pPr>
              <w:pStyle w:val="ExhibitText"/>
              <w:jc w:val="left"/>
              <w:rPr>
                <w:sz w:val="18"/>
                <w:szCs w:val="18"/>
              </w:rPr>
            </w:pPr>
            <w:r w:rsidRPr="006E7D8F">
              <w:rPr>
                <w:sz w:val="18"/>
                <w:szCs w:val="18"/>
              </w:rPr>
              <w:t>Excess of IBA over IBL as % of IBA</w:t>
            </w:r>
          </w:p>
        </w:tc>
        <w:tc>
          <w:tcPr>
            <w:tcW w:w="1080" w:type="dxa"/>
            <w:noWrap/>
            <w:vAlign w:val="center"/>
            <w:hideMark/>
          </w:tcPr>
          <w:p w14:paraId="2A01FF4C" w14:textId="77777777" w:rsidR="00F71427" w:rsidRPr="006E7D8F" w:rsidRDefault="00036D9A" w:rsidP="007728DA">
            <w:pPr>
              <w:pStyle w:val="ExhibitText"/>
              <w:jc w:val="right"/>
              <w:rPr>
                <w:sz w:val="18"/>
                <w:szCs w:val="18"/>
              </w:rPr>
            </w:pPr>
            <w:r w:rsidRPr="006E7D8F">
              <w:rPr>
                <w:sz w:val="18"/>
                <w:szCs w:val="18"/>
              </w:rPr>
              <w:t>−</w:t>
            </w:r>
            <w:r w:rsidR="00F71427" w:rsidRPr="006E7D8F">
              <w:rPr>
                <w:sz w:val="18"/>
                <w:szCs w:val="18"/>
              </w:rPr>
              <w:t>6.00</w:t>
            </w:r>
          </w:p>
        </w:tc>
        <w:tc>
          <w:tcPr>
            <w:tcW w:w="1080" w:type="dxa"/>
            <w:noWrap/>
            <w:vAlign w:val="center"/>
            <w:hideMark/>
          </w:tcPr>
          <w:p w14:paraId="29ABD19D" w14:textId="77777777" w:rsidR="00F71427" w:rsidRPr="006E7D8F" w:rsidRDefault="00036D9A" w:rsidP="007728DA">
            <w:pPr>
              <w:pStyle w:val="ExhibitText"/>
              <w:jc w:val="right"/>
              <w:rPr>
                <w:sz w:val="18"/>
                <w:szCs w:val="18"/>
              </w:rPr>
            </w:pPr>
            <w:r w:rsidRPr="006E7D8F">
              <w:rPr>
                <w:sz w:val="18"/>
                <w:szCs w:val="18"/>
              </w:rPr>
              <w:t>−</w:t>
            </w:r>
            <w:r w:rsidR="00F71427" w:rsidRPr="006E7D8F">
              <w:rPr>
                <w:sz w:val="18"/>
                <w:szCs w:val="18"/>
              </w:rPr>
              <w:t>4.00</w:t>
            </w:r>
          </w:p>
        </w:tc>
        <w:tc>
          <w:tcPr>
            <w:tcW w:w="1050" w:type="dxa"/>
            <w:noWrap/>
            <w:vAlign w:val="center"/>
            <w:hideMark/>
          </w:tcPr>
          <w:p w14:paraId="3F95470E" w14:textId="77777777" w:rsidR="00F71427" w:rsidRPr="006E7D8F" w:rsidRDefault="00036D9A" w:rsidP="007728DA">
            <w:pPr>
              <w:pStyle w:val="ExhibitText"/>
              <w:jc w:val="right"/>
              <w:rPr>
                <w:sz w:val="18"/>
                <w:szCs w:val="18"/>
              </w:rPr>
            </w:pPr>
            <w:r w:rsidRPr="006E7D8F">
              <w:rPr>
                <w:sz w:val="18"/>
                <w:szCs w:val="18"/>
              </w:rPr>
              <w:t>−</w:t>
            </w:r>
            <w:r w:rsidR="00F71427" w:rsidRPr="006E7D8F">
              <w:rPr>
                <w:sz w:val="18"/>
                <w:szCs w:val="18"/>
              </w:rPr>
              <w:t>2.00</w:t>
            </w:r>
          </w:p>
        </w:tc>
        <w:tc>
          <w:tcPr>
            <w:tcW w:w="1050" w:type="dxa"/>
            <w:noWrap/>
            <w:vAlign w:val="center"/>
            <w:hideMark/>
          </w:tcPr>
          <w:p w14:paraId="5CD3C7D0" w14:textId="77777777" w:rsidR="00F71427" w:rsidRPr="006E7D8F" w:rsidRDefault="00F71427" w:rsidP="007728DA">
            <w:pPr>
              <w:pStyle w:val="ExhibitText"/>
              <w:jc w:val="right"/>
              <w:rPr>
                <w:sz w:val="18"/>
                <w:szCs w:val="18"/>
              </w:rPr>
            </w:pPr>
            <w:r w:rsidRPr="006E7D8F">
              <w:rPr>
                <w:sz w:val="18"/>
                <w:szCs w:val="18"/>
              </w:rPr>
              <w:t>0.00</w:t>
            </w:r>
          </w:p>
        </w:tc>
        <w:tc>
          <w:tcPr>
            <w:tcW w:w="1050" w:type="dxa"/>
            <w:noWrap/>
            <w:vAlign w:val="center"/>
            <w:hideMark/>
          </w:tcPr>
          <w:p w14:paraId="43A56DB3" w14:textId="77777777" w:rsidR="00F71427" w:rsidRPr="006E7D8F" w:rsidRDefault="00F71427" w:rsidP="007728DA">
            <w:pPr>
              <w:pStyle w:val="ExhibitText"/>
              <w:jc w:val="right"/>
              <w:rPr>
                <w:sz w:val="18"/>
                <w:szCs w:val="18"/>
              </w:rPr>
            </w:pPr>
            <w:r w:rsidRPr="006E7D8F">
              <w:rPr>
                <w:sz w:val="18"/>
                <w:szCs w:val="18"/>
              </w:rPr>
              <w:t>3.00</w:t>
            </w:r>
          </w:p>
        </w:tc>
      </w:tr>
      <w:tr w:rsidR="00F71427" w:rsidRPr="006E7D8F" w14:paraId="21785FBA" w14:textId="77777777" w:rsidTr="00EB329C">
        <w:trPr>
          <w:trHeight w:val="288"/>
          <w:jc w:val="center"/>
        </w:trPr>
        <w:tc>
          <w:tcPr>
            <w:tcW w:w="3969" w:type="dxa"/>
            <w:noWrap/>
            <w:vAlign w:val="center"/>
            <w:hideMark/>
          </w:tcPr>
          <w:p w14:paraId="6C6173FE" w14:textId="77777777" w:rsidR="00F71427" w:rsidRPr="006E7D8F" w:rsidRDefault="00F71427" w:rsidP="007728DA">
            <w:pPr>
              <w:pStyle w:val="ExhibitText"/>
              <w:jc w:val="left"/>
              <w:rPr>
                <w:sz w:val="18"/>
                <w:szCs w:val="18"/>
              </w:rPr>
            </w:pPr>
            <w:r w:rsidRPr="006E7D8F">
              <w:rPr>
                <w:sz w:val="18"/>
                <w:szCs w:val="18"/>
              </w:rPr>
              <w:t>Growth rate of assets</w:t>
            </w:r>
          </w:p>
        </w:tc>
        <w:tc>
          <w:tcPr>
            <w:tcW w:w="1080" w:type="dxa"/>
            <w:noWrap/>
            <w:vAlign w:val="center"/>
            <w:hideMark/>
          </w:tcPr>
          <w:p w14:paraId="71ABC4E4" w14:textId="77777777" w:rsidR="00F71427" w:rsidRPr="006E7D8F" w:rsidRDefault="00F71427" w:rsidP="007728DA">
            <w:pPr>
              <w:pStyle w:val="ExhibitText"/>
              <w:jc w:val="right"/>
              <w:rPr>
                <w:sz w:val="18"/>
                <w:szCs w:val="18"/>
              </w:rPr>
            </w:pPr>
            <w:r w:rsidRPr="006E7D8F">
              <w:rPr>
                <w:sz w:val="18"/>
                <w:szCs w:val="18"/>
              </w:rPr>
              <w:t>0.00</w:t>
            </w:r>
          </w:p>
        </w:tc>
        <w:tc>
          <w:tcPr>
            <w:tcW w:w="1080" w:type="dxa"/>
            <w:noWrap/>
            <w:vAlign w:val="center"/>
            <w:hideMark/>
          </w:tcPr>
          <w:p w14:paraId="65AD5523" w14:textId="77777777" w:rsidR="00F71427" w:rsidRPr="006E7D8F" w:rsidRDefault="00F71427" w:rsidP="007728DA">
            <w:pPr>
              <w:pStyle w:val="ExhibitText"/>
              <w:jc w:val="right"/>
              <w:rPr>
                <w:sz w:val="18"/>
                <w:szCs w:val="18"/>
              </w:rPr>
            </w:pPr>
            <w:r w:rsidRPr="006E7D8F">
              <w:rPr>
                <w:sz w:val="18"/>
                <w:szCs w:val="18"/>
              </w:rPr>
              <w:t>2.00</w:t>
            </w:r>
          </w:p>
        </w:tc>
        <w:tc>
          <w:tcPr>
            <w:tcW w:w="1050" w:type="dxa"/>
            <w:noWrap/>
            <w:vAlign w:val="center"/>
            <w:hideMark/>
          </w:tcPr>
          <w:p w14:paraId="45A818B9" w14:textId="77777777" w:rsidR="00F71427" w:rsidRPr="006E7D8F" w:rsidRDefault="00F71427" w:rsidP="007728DA">
            <w:pPr>
              <w:pStyle w:val="ExhibitText"/>
              <w:jc w:val="right"/>
              <w:rPr>
                <w:sz w:val="18"/>
                <w:szCs w:val="18"/>
              </w:rPr>
            </w:pPr>
            <w:r w:rsidRPr="006E7D8F">
              <w:rPr>
                <w:sz w:val="18"/>
                <w:szCs w:val="18"/>
              </w:rPr>
              <w:t>3.00</w:t>
            </w:r>
          </w:p>
        </w:tc>
        <w:tc>
          <w:tcPr>
            <w:tcW w:w="1050" w:type="dxa"/>
            <w:noWrap/>
            <w:vAlign w:val="center"/>
            <w:hideMark/>
          </w:tcPr>
          <w:p w14:paraId="5CC95875" w14:textId="77777777" w:rsidR="00F71427" w:rsidRPr="006E7D8F" w:rsidRDefault="00F71427" w:rsidP="007728DA">
            <w:pPr>
              <w:pStyle w:val="ExhibitText"/>
              <w:jc w:val="right"/>
              <w:rPr>
                <w:sz w:val="18"/>
                <w:szCs w:val="18"/>
              </w:rPr>
            </w:pPr>
            <w:r w:rsidRPr="006E7D8F">
              <w:rPr>
                <w:sz w:val="18"/>
                <w:szCs w:val="18"/>
              </w:rPr>
              <w:t>4.00</w:t>
            </w:r>
          </w:p>
        </w:tc>
        <w:tc>
          <w:tcPr>
            <w:tcW w:w="1050" w:type="dxa"/>
            <w:noWrap/>
            <w:vAlign w:val="center"/>
            <w:hideMark/>
          </w:tcPr>
          <w:p w14:paraId="335365E2" w14:textId="77777777" w:rsidR="00F71427" w:rsidRPr="006E7D8F" w:rsidRDefault="00F71427" w:rsidP="007728DA">
            <w:pPr>
              <w:pStyle w:val="ExhibitText"/>
              <w:jc w:val="right"/>
              <w:rPr>
                <w:sz w:val="18"/>
                <w:szCs w:val="18"/>
              </w:rPr>
            </w:pPr>
            <w:r w:rsidRPr="006E7D8F">
              <w:rPr>
                <w:sz w:val="18"/>
                <w:szCs w:val="18"/>
              </w:rPr>
              <w:t>5.00</w:t>
            </w:r>
          </w:p>
        </w:tc>
      </w:tr>
    </w:tbl>
    <w:p w14:paraId="21FD2722" w14:textId="77777777" w:rsidR="001E1481" w:rsidRPr="006E7D8F" w:rsidRDefault="001E1481" w:rsidP="00642D25">
      <w:pPr>
        <w:pStyle w:val="ExhibitText"/>
        <w:rPr>
          <w:rFonts w:eastAsiaTheme="minorHAnsi"/>
        </w:rPr>
      </w:pPr>
    </w:p>
    <w:p w14:paraId="07D2FE8C" w14:textId="77777777" w:rsidR="0030596B" w:rsidRPr="006E7D8F" w:rsidRDefault="0030596B" w:rsidP="001E1481">
      <w:pPr>
        <w:pStyle w:val="Footnote"/>
        <w:rPr>
          <w:rFonts w:eastAsiaTheme="minorHAnsi"/>
        </w:rPr>
      </w:pPr>
      <w:r w:rsidRPr="006E7D8F">
        <w:rPr>
          <w:rFonts w:eastAsiaTheme="minorHAnsi"/>
        </w:rPr>
        <w:t xml:space="preserve">Note: </w:t>
      </w:r>
      <w:r w:rsidR="00BC2936" w:rsidRPr="006E7D8F">
        <w:rPr>
          <w:rFonts w:eastAsiaTheme="minorHAnsi"/>
        </w:rPr>
        <w:t xml:space="preserve">E = estimate; FY = fiscal year, expressed as year ending; </w:t>
      </w:r>
      <w:r w:rsidRPr="006E7D8F">
        <w:rPr>
          <w:rFonts w:eastAsiaTheme="minorHAnsi"/>
        </w:rPr>
        <w:t xml:space="preserve">IBA = interest-bearing assets; </w:t>
      </w:r>
      <w:r w:rsidR="00691A6E" w:rsidRPr="006E7D8F">
        <w:rPr>
          <w:rFonts w:eastAsiaTheme="minorHAnsi"/>
        </w:rPr>
        <w:t>IBL = interest-bearing liabilities.</w:t>
      </w:r>
    </w:p>
    <w:p w14:paraId="447C075E" w14:textId="033A576B" w:rsidR="00F71427" w:rsidRPr="006E7D8F" w:rsidRDefault="00F71427" w:rsidP="001E1481">
      <w:pPr>
        <w:pStyle w:val="Footnote"/>
        <w:rPr>
          <w:rFonts w:eastAsiaTheme="minorHAnsi"/>
        </w:rPr>
      </w:pPr>
      <w:r w:rsidRPr="006E7D8F">
        <w:rPr>
          <w:rFonts w:eastAsiaTheme="minorHAnsi"/>
        </w:rPr>
        <w:t xml:space="preserve">Source: </w:t>
      </w:r>
      <w:r w:rsidR="00AE420B" w:rsidRPr="006E7D8F">
        <w:rPr>
          <w:rFonts w:eastAsiaTheme="minorHAnsi"/>
        </w:rPr>
        <w:t xml:space="preserve">Estimated </w:t>
      </w:r>
      <w:r w:rsidR="00691A6E" w:rsidRPr="006E7D8F">
        <w:rPr>
          <w:rFonts w:eastAsiaTheme="minorHAnsi"/>
        </w:rPr>
        <w:t>by the case author</w:t>
      </w:r>
      <w:r w:rsidR="00903380" w:rsidRPr="006E7D8F">
        <w:rPr>
          <w:rFonts w:eastAsiaTheme="minorHAnsi"/>
        </w:rPr>
        <w:t xml:space="preserve"> based on</w:t>
      </w:r>
      <w:r w:rsidR="006553BC">
        <w:rPr>
          <w:rFonts w:eastAsiaTheme="minorHAnsi"/>
        </w:rPr>
        <w:t xml:space="preserve"> </w:t>
      </w:r>
      <w:r w:rsidR="00AE420B" w:rsidRPr="006E7D8F">
        <w:rPr>
          <w:rFonts w:eastAsiaTheme="minorHAnsi"/>
        </w:rPr>
        <w:t xml:space="preserve">current performance of </w:t>
      </w:r>
      <w:r w:rsidR="006553BC">
        <w:rPr>
          <w:rFonts w:eastAsiaTheme="minorHAnsi"/>
        </w:rPr>
        <w:t xml:space="preserve">the </w:t>
      </w:r>
      <w:r w:rsidR="00AE420B" w:rsidRPr="006E7D8F">
        <w:rPr>
          <w:rFonts w:eastAsiaTheme="minorHAnsi"/>
        </w:rPr>
        <w:t>CSB and peer group (Exhibits 1, 2</w:t>
      </w:r>
      <w:r w:rsidR="006553BC">
        <w:rPr>
          <w:rFonts w:eastAsiaTheme="minorHAnsi"/>
        </w:rPr>
        <w:t>,</w:t>
      </w:r>
      <w:r w:rsidR="00AE420B" w:rsidRPr="006E7D8F">
        <w:rPr>
          <w:rFonts w:eastAsiaTheme="minorHAnsi"/>
        </w:rPr>
        <w:t xml:space="preserve"> and 4)</w:t>
      </w:r>
      <w:r w:rsidR="006553BC">
        <w:rPr>
          <w:rFonts w:eastAsiaTheme="minorHAnsi"/>
        </w:rPr>
        <w:t>,</w:t>
      </w:r>
      <w:r w:rsidR="00AE420B" w:rsidRPr="006E7D8F">
        <w:rPr>
          <w:rFonts w:eastAsiaTheme="minorHAnsi"/>
        </w:rPr>
        <w:t xml:space="preserve"> as well as goals set by the bank’s management</w:t>
      </w:r>
      <w:r w:rsidR="006553BC">
        <w:rPr>
          <w:rFonts w:eastAsiaTheme="minorHAnsi"/>
        </w:rPr>
        <w:t>,</w:t>
      </w:r>
      <w:r w:rsidR="00AE420B" w:rsidRPr="006E7D8F">
        <w:rPr>
          <w:rFonts w:eastAsiaTheme="minorHAnsi"/>
        </w:rPr>
        <w:t xml:space="preserve"> as mentioned in the case</w:t>
      </w:r>
      <w:r w:rsidR="00691A6E" w:rsidRPr="006E7D8F">
        <w:rPr>
          <w:rFonts w:eastAsiaTheme="minorHAnsi"/>
        </w:rPr>
        <w:t>.</w:t>
      </w:r>
    </w:p>
    <w:p w14:paraId="65337810" w14:textId="77777777" w:rsidR="001131E6" w:rsidRPr="006E7D8F" w:rsidRDefault="001131E6">
      <w:pPr>
        <w:spacing w:after="200" w:line="276" w:lineRule="auto"/>
        <w:rPr>
          <w:sz w:val="22"/>
          <w:szCs w:val="22"/>
        </w:rPr>
      </w:pPr>
      <w:r w:rsidRPr="006E7D8F">
        <w:br w:type="page"/>
      </w:r>
    </w:p>
    <w:p w14:paraId="0291F2A1" w14:textId="77777777" w:rsidR="001131E6" w:rsidRPr="006E7D8F" w:rsidRDefault="001E1481" w:rsidP="001E1481">
      <w:pPr>
        <w:pStyle w:val="Casehead1"/>
      </w:pPr>
      <w:r w:rsidRPr="006E7D8F">
        <w:t>ENDNOTES</w:t>
      </w:r>
    </w:p>
    <w:sectPr w:rsidR="001131E6" w:rsidRPr="006E7D8F"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FA10C" w16cid:durableId="202B5114"/>
  <w16cid:commentId w16cid:paraId="5DFDBA90" w16cid:durableId="202B9F36"/>
  <w16cid:commentId w16cid:paraId="297CE24B" w16cid:durableId="202B63D3"/>
  <w16cid:commentId w16cid:paraId="061D78D1" w16cid:durableId="202B8DC1"/>
  <w16cid:commentId w16cid:paraId="1FDEEBCA" w16cid:durableId="202B8FC4"/>
  <w16cid:commentId w16cid:paraId="3EC135EA" w16cid:durableId="202B9026"/>
  <w16cid:commentId w16cid:paraId="11A628F3" w16cid:durableId="202B9045"/>
  <w16cid:commentId w16cid:paraId="7334CE9A" w16cid:durableId="202B90B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4EE64" w14:textId="77777777" w:rsidR="00EC0D1E" w:rsidRDefault="00EC0D1E" w:rsidP="00D75295">
      <w:r>
        <w:separator/>
      </w:r>
    </w:p>
  </w:endnote>
  <w:endnote w:type="continuationSeparator" w:id="0">
    <w:p w14:paraId="43EE7EE0" w14:textId="77777777" w:rsidR="00EC0D1E" w:rsidRDefault="00EC0D1E" w:rsidP="00D75295">
      <w:r>
        <w:continuationSeparator/>
      </w:r>
    </w:p>
  </w:endnote>
  <w:endnote w:id="1">
    <w:p w14:paraId="53B81E0A" w14:textId="77000810" w:rsidR="00D97A03" w:rsidRPr="00D97A03" w:rsidRDefault="00D97A03" w:rsidP="00D97A03">
      <w:pPr>
        <w:pStyle w:val="Footnote"/>
        <w:jc w:val="both"/>
        <w:rPr>
          <w:lang w:val="en-US"/>
        </w:rPr>
      </w:pPr>
      <w:r>
        <w:rPr>
          <w:rStyle w:val="EndnoteReference"/>
        </w:rPr>
        <w:endnoteRef/>
      </w:r>
      <w:r>
        <w:t xml:space="preserve"> </w:t>
      </w:r>
      <w:r w:rsidRPr="00C74511">
        <w:t xml:space="preserve">This case has been written on the basis of published sources only. Consequently, the interpretation and perspectives presented in this case are not necessarily those of </w:t>
      </w:r>
      <w:r>
        <w:t>The Catholic Syrian Bank Limited</w:t>
      </w:r>
      <w:r w:rsidRPr="00C74511">
        <w:t>. or any of its employees.</w:t>
      </w:r>
    </w:p>
  </w:endnote>
  <w:endnote w:id="2">
    <w:p w14:paraId="7E6768C0" w14:textId="77777777" w:rsidR="00EC0D1E" w:rsidRPr="008B0936" w:rsidRDefault="00EC0D1E" w:rsidP="00526898">
      <w:pPr>
        <w:pStyle w:val="Footnote"/>
      </w:pPr>
      <w:r w:rsidRPr="008B0936">
        <w:rPr>
          <w:vertAlign w:val="superscript"/>
        </w:rPr>
        <w:endnoteRef/>
      </w:r>
      <w:r w:rsidRPr="008B0936">
        <w:rPr>
          <w:vertAlign w:val="superscript"/>
        </w:rPr>
        <w:t xml:space="preserve"> </w:t>
      </w:r>
      <w:r w:rsidRPr="008B0936">
        <w:rPr>
          <w:rFonts w:eastAsiaTheme="minorEastAsia"/>
        </w:rPr>
        <w:t>₹ = INR = Indian rupee; all currency amounts are in ₹ unless otherwise specified; ₹1 = US$0.0154 on December 1, 2017.</w:t>
      </w:r>
    </w:p>
  </w:endnote>
  <w:endnote w:id="3">
    <w:p w14:paraId="602A77EC" w14:textId="77777777" w:rsidR="00EC0D1E" w:rsidRPr="008B0936" w:rsidRDefault="00EC0D1E" w:rsidP="00155A16">
      <w:pPr>
        <w:pStyle w:val="Footnote"/>
        <w:jc w:val="both"/>
      </w:pPr>
      <w:r w:rsidRPr="008B0936">
        <w:rPr>
          <w:rStyle w:val="EndnoteReference"/>
        </w:rPr>
        <w:endnoteRef/>
      </w:r>
      <w:r w:rsidRPr="008B0936">
        <w:t xml:space="preserve"> FE Bureau, “Catholic Syrian Bank Plans IPO by 2019–20,” </w:t>
      </w:r>
      <w:r w:rsidRPr="00D812EF">
        <w:rPr>
          <w:i/>
        </w:rPr>
        <w:t>Financial Express</w:t>
      </w:r>
      <w:r w:rsidRPr="008B0936">
        <w:t>, October 25, 2017, accessed March 9, 2018, www.financialexpress.com/market/catholic-syrian-bank-plans-ipo-by-2019-20/905367.</w:t>
      </w:r>
    </w:p>
  </w:endnote>
  <w:endnote w:id="4">
    <w:p w14:paraId="58478168" w14:textId="77777777" w:rsidR="00EC0D1E" w:rsidRPr="008B0936" w:rsidRDefault="00EC0D1E" w:rsidP="00155A16">
      <w:pPr>
        <w:pStyle w:val="Footnote"/>
        <w:jc w:val="both"/>
        <w:rPr>
          <w:spacing w:val="-2"/>
        </w:rPr>
      </w:pPr>
      <w:r w:rsidRPr="008B0936">
        <w:rPr>
          <w:rStyle w:val="EndnoteReference"/>
        </w:rPr>
        <w:endnoteRef/>
      </w:r>
      <w:r w:rsidRPr="008B0936">
        <w:t xml:space="preserve"> </w:t>
      </w:r>
      <w:proofErr w:type="spellStart"/>
      <w:r w:rsidRPr="008B0936">
        <w:rPr>
          <w:spacing w:val="-2"/>
        </w:rPr>
        <w:t>Gopika</w:t>
      </w:r>
      <w:proofErr w:type="spellEnd"/>
      <w:r w:rsidRPr="008B0936">
        <w:rPr>
          <w:spacing w:val="-2"/>
        </w:rPr>
        <w:t xml:space="preserve"> </w:t>
      </w:r>
      <w:proofErr w:type="spellStart"/>
      <w:r w:rsidRPr="008B0936">
        <w:rPr>
          <w:rFonts w:eastAsiaTheme="minorHAnsi"/>
          <w:spacing w:val="-2"/>
        </w:rPr>
        <w:t>Gopakumar</w:t>
      </w:r>
      <w:proofErr w:type="spellEnd"/>
      <w:r w:rsidRPr="008B0936">
        <w:rPr>
          <w:rFonts w:eastAsiaTheme="minorHAnsi"/>
          <w:spacing w:val="-2"/>
        </w:rPr>
        <w:t xml:space="preserve">, “Catholic Syrian Bank–Fairfax Deal Collapses on Valuation,” </w:t>
      </w:r>
      <w:r w:rsidRPr="00D812EF">
        <w:rPr>
          <w:rFonts w:eastAsiaTheme="minorHAnsi"/>
          <w:i/>
          <w:spacing w:val="-2"/>
        </w:rPr>
        <w:t>Live Mint</w:t>
      </w:r>
      <w:r w:rsidRPr="008B0936">
        <w:rPr>
          <w:rFonts w:eastAsiaTheme="minorHAnsi"/>
          <w:spacing w:val="-2"/>
        </w:rPr>
        <w:t xml:space="preserve">, June 30, 2017, </w:t>
      </w:r>
      <w:r w:rsidRPr="008B0936">
        <w:rPr>
          <w:spacing w:val="-2"/>
        </w:rPr>
        <w:t>accessed March 9, 2018, www.livemint.com/Industry/it0nLie0Fvdt7OkZz7o3vI/Catholic-Syrian-BankFairfax-deal-collapses-on-valuation.html.</w:t>
      </w:r>
    </w:p>
  </w:endnote>
  <w:endnote w:id="5">
    <w:p w14:paraId="4A3C6978" w14:textId="77777777" w:rsidR="00EC0D1E" w:rsidRPr="008B0936" w:rsidRDefault="00EC0D1E" w:rsidP="00155A16">
      <w:pPr>
        <w:pStyle w:val="Footnote"/>
        <w:jc w:val="both"/>
        <w:rPr>
          <w:spacing w:val="-4"/>
        </w:rPr>
      </w:pPr>
      <w:r w:rsidRPr="008B0936">
        <w:rPr>
          <w:rStyle w:val="EndnoteReference"/>
          <w:spacing w:val="-4"/>
        </w:rPr>
        <w:endnoteRef/>
      </w:r>
      <w:r w:rsidRPr="008B0936">
        <w:rPr>
          <w:spacing w:val="-4"/>
        </w:rPr>
        <w:t xml:space="preserve"> </w:t>
      </w:r>
      <w:proofErr w:type="spellStart"/>
      <w:r w:rsidRPr="008B0936">
        <w:rPr>
          <w:spacing w:val="-4"/>
        </w:rPr>
        <w:t>Saloni</w:t>
      </w:r>
      <w:proofErr w:type="spellEnd"/>
      <w:r w:rsidRPr="008B0936">
        <w:rPr>
          <w:spacing w:val="-4"/>
        </w:rPr>
        <w:t xml:space="preserve"> Shukla, </w:t>
      </w:r>
      <w:proofErr w:type="spellStart"/>
      <w:r w:rsidRPr="008B0936">
        <w:rPr>
          <w:spacing w:val="-4"/>
        </w:rPr>
        <w:t>Arijit</w:t>
      </w:r>
      <w:proofErr w:type="spellEnd"/>
      <w:r w:rsidRPr="008B0936">
        <w:rPr>
          <w:spacing w:val="-4"/>
        </w:rPr>
        <w:t xml:space="preserve"> Barman, and </w:t>
      </w:r>
      <w:proofErr w:type="spellStart"/>
      <w:r w:rsidRPr="008B0936">
        <w:rPr>
          <w:spacing w:val="-4"/>
        </w:rPr>
        <w:t>Baiju</w:t>
      </w:r>
      <w:proofErr w:type="spellEnd"/>
      <w:r w:rsidRPr="008B0936">
        <w:rPr>
          <w:spacing w:val="-4"/>
        </w:rPr>
        <w:t xml:space="preserve"> </w:t>
      </w:r>
      <w:proofErr w:type="spellStart"/>
      <w:r w:rsidRPr="008B0936">
        <w:rPr>
          <w:spacing w:val="-4"/>
        </w:rPr>
        <w:t>Kalesh</w:t>
      </w:r>
      <w:proofErr w:type="spellEnd"/>
      <w:r w:rsidRPr="008B0936">
        <w:rPr>
          <w:spacing w:val="-4"/>
        </w:rPr>
        <w:t>, “</w:t>
      </w:r>
      <w:proofErr w:type="spellStart"/>
      <w:r w:rsidRPr="008B0936">
        <w:rPr>
          <w:spacing w:val="-4"/>
        </w:rPr>
        <w:t>Prem</w:t>
      </w:r>
      <w:proofErr w:type="spellEnd"/>
      <w:r w:rsidRPr="008B0936">
        <w:rPr>
          <w:spacing w:val="-4"/>
        </w:rPr>
        <w:t xml:space="preserve"> </w:t>
      </w:r>
      <w:proofErr w:type="spellStart"/>
      <w:r w:rsidRPr="008B0936">
        <w:rPr>
          <w:spacing w:val="-4"/>
        </w:rPr>
        <w:t>Watsa</w:t>
      </w:r>
      <w:proofErr w:type="spellEnd"/>
      <w:r w:rsidRPr="008B0936">
        <w:rPr>
          <w:spacing w:val="-4"/>
        </w:rPr>
        <w:t xml:space="preserve">-Owned Fairfax Financial Holdings Close to Picking Up Controlling Stake in Catholic Syrian Bank,” </w:t>
      </w:r>
      <w:r w:rsidRPr="008B0936">
        <w:rPr>
          <w:i/>
          <w:spacing w:val="-4"/>
        </w:rPr>
        <w:t>Economic Times</w:t>
      </w:r>
      <w:r w:rsidRPr="008B0936">
        <w:rPr>
          <w:spacing w:val="-4"/>
        </w:rPr>
        <w:t>, November 28, 2016, accessed March 9, 2018, https://economictimes.indiatimes.com/industry/banking/finance/prem-watsa-owned-fairfax-financial-holdings-close-to-picking-up-</w:t>
      </w:r>
    </w:p>
    <w:p w14:paraId="0AA6EFA6" w14:textId="77777777" w:rsidR="00EC0D1E" w:rsidRPr="008B0936" w:rsidRDefault="00EC0D1E" w:rsidP="00155A16">
      <w:pPr>
        <w:pStyle w:val="Footnote"/>
        <w:jc w:val="both"/>
        <w:rPr>
          <w:spacing w:val="-4"/>
        </w:rPr>
      </w:pPr>
      <w:r w:rsidRPr="008B0936">
        <w:rPr>
          <w:spacing w:val="-4"/>
        </w:rPr>
        <w:t>controlling-stake-in-catholic-syrian-bank/articleshow/55656118.cms.</w:t>
      </w:r>
    </w:p>
  </w:endnote>
  <w:endnote w:id="6">
    <w:p w14:paraId="4144589F" w14:textId="77777777" w:rsidR="00EC0D1E" w:rsidRPr="008B0936" w:rsidRDefault="00EC0D1E" w:rsidP="00155A16">
      <w:pPr>
        <w:pStyle w:val="Footnote"/>
        <w:jc w:val="both"/>
      </w:pPr>
      <w:r w:rsidRPr="008B0936">
        <w:rPr>
          <w:rStyle w:val="EndnoteReference"/>
        </w:rPr>
        <w:endnoteRef/>
      </w:r>
      <w:r w:rsidRPr="008B0936">
        <w:t xml:space="preserve"> “Fairfax India to Take 51% Stake in Catholic Syrian Bank for ₹1,000 Cr,” </w:t>
      </w:r>
      <w:r w:rsidRPr="008B0936">
        <w:rPr>
          <w:i/>
        </w:rPr>
        <w:t>Hindu Business Line</w:t>
      </w:r>
      <w:r w:rsidRPr="008B0936">
        <w:t>, December 1, 2016, accessed March 9, 2018, www.thehindubusinessline.com/money-and-banking/fairfax-india-to-take-51-stake-in-catholic-syrian-bank-for-1000-cr/article9405078.ece.</w:t>
      </w:r>
    </w:p>
  </w:endnote>
  <w:endnote w:id="7">
    <w:p w14:paraId="760890C5" w14:textId="785C0124" w:rsidR="00EC0D1E" w:rsidRPr="008B0936" w:rsidRDefault="00EC0D1E" w:rsidP="00F9623D">
      <w:pPr>
        <w:pStyle w:val="Footnote"/>
      </w:pPr>
      <w:r w:rsidRPr="008B0936">
        <w:rPr>
          <w:rStyle w:val="EndnoteReference"/>
        </w:rPr>
        <w:endnoteRef/>
      </w:r>
      <w:r w:rsidRPr="008B0936">
        <w:t xml:space="preserve"> </w:t>
      </w:r>
      <w:proofErr w:type="spellStart"/>
      <w:r w:rsidRPr="008B0936">
        <w:rPr>
          <w:rFonts w:eastAsiaTheme="minorHAnsi"/>
          <w:spacing w:val="-2"/>
        </w:rPr>
        <w:t>Gopakumar</w:t>
      </w:r>
      <w:proofErr w:type="spellEnd"/>
      <w:r w:rsidRPr="008B0936">
        <w:rPr>
          <w:rFonts w:eastAsiaTheme="minorHAnsi"/>
          <w:spacing w:val="-2"/>
        </w:rPr>
        <w:t>, “Catholic Syrian Bank–Fairfax Deal Collapses on Valuation,” op. cit</w:t>
      </w:r>
      <w:r w:rsidRPr="008B0936">
        <w:rPr>
          <w:spacing w:val="-2"/>
        </w:rPr>
        <w:t>.</w:t>
      </w:r>
    </w:p>
  </w:endnote>
  <w:endnote w:id="8">
    <w:p w14:paraId="41A6BA92" w14:textId="77777777" w:rsidR="00EC0D1E" w:rsidRPr="008B0936" w:rsidRDefault="00EC0D1E" w:rsidP="00155A16">
      <w:pPr>
        <w:pStyle w:val="Footnote"/>
        <w:jc w:val="both"/>
      </w:pPr>
      <w:r w:rsidRPr="008B0936">
        <w:rPr>
          <w:rStyle w:val="EndnoteReference"/>
        </w:rPr>
        <w:endnoteRef/>
      </w:r>
      <w:r w:rsidRPr="008B0936">
        <w:rPr>
          <w:vertAlign w:val="superscript"/>
        </w:rPr>
        <w:t xml:space="preserve"> </w:t>
      </w:r>
      <w:proofErr w:type="spellStart"/>
      <w:r w:rsidRPr="008B0936">
        <w:t>Saloni</w:t>
      </w:r>
      <w:proofErr w:type="spellEnd"/>
      <w:r w:rsidRPr="008B0936">
        <w:t xml:space="preserve"> Shukla and Biju </w:t>
      </w:r>
      <w:proofErr w:type="spellStart"/>
      <w:r w:rsidRPr="008B0936">
        <w:t>Kalesh</w:t>
      </w:r>
      <w:proofErr w:type="spellEnd"/>
      <w:r w:rsidRPr="008B0936">
        <w:t xml:space="preserve">, “Catholic Syrian Bank Valued at </w:t>
      </w:r>
      <w:proofErr w:type="spellStart"/>
      <w:r w:rsidRPr="008B0936">
        <w:t>Rs</w:t>
      </w:r>
      <w:proofErr w:type="spellEnd"/>
      <w:r w:rsidRPr="008B0936">
        <w:t xml:space="preserve"> 1,300 Crore for Fairfax Deal,” </w:t>
      </w:r>
      <w:r w:rsidRPr="008B0936">
        <w:rPr>
          <w:i/>
        </w:rPr>
        <w:t>Economic Times</w:t>
      </w:r>
      <w:r w:rsidRPr="008B0936">
        <w:t xml:space="preserve">, June 12, 2017, accessed March 9, 2018, </w:t>
      </w:r>
      <w:r w:rsidRPr="008B0936">
        <w:rPr>
          <w:rStyle w:val="Hyperlink"/>
          <w:color w:val="auto"/>
          <w:u w:val="none"/>
        </w:rPr>
        <w:t>https://economictimes.indiatimes.com/markets/stocks/news/catholic-syrian-bank-valued-at-rs-1300-crore-for-fairfax-deal/articleshow/59099892.cms.</w:t>
      </w:r>
    </w:p>
  </w:endnote>
  <w:endnote w:id="9">
    <w:p w14:paraId="3450472F" w14:textId="77777777" w:rsidR="00EC0D1E" w:rsidRPr="008B0936" w:rsidRDefault="00EC0D1E" w:rsidP="00155A16">
      <w:pPr>
        <w:pStyle w:val="Footnote"/>
        <w:jc w:val="both"/>
      </w:pPr>
      <w:r w:rsidRPr="008B0936">
        <w:rPr>
          <w:rStyle w:val="EndnoteReference"/>
        </w:rPr>
        <w:endnoteRef/>
      </w:r>
      <w:r w:rsidRPr="008B0936">
        <w:rPr>
          <w:vertAlign w:val="superscript"/>
        </w:rPr>
        <w:t xml:space="preserve"> </w:t>
      </w:r>
      <w:r w:rsidRPr="008B0936">
        <w:t>Ibid.</w:t>
      </w:r>
    </w:p>
  </w:endnote>
  <w:endnote w:id="10">
    <w:p w14:paraId="06C7AF3E" w14:textId="77777777" w:rsidR="00EC0D1E" w:rsidRPr="008B0936" w:rsidRDefault="00EC0D1E" w:rsidP="00781648">
      <w:pPr>
        <w:pStyle w:val="Footnote"/>
      </w:pPr>
      <w:r w:rsidRPr="008B0936">
        <w:rPr>
          <w:rStyle w:val="EndnoteReference"/>
        </w:rPr>
        <w:endnoteRef/>
      </w:r>
      <w:r w:rsidRPr="008B0936">
        <w:t xml:space="preserve"> “About </w:t>
      </w:r>
      <w:proofErr w:type="gramStart"/>
      <w:r w:rsidRPr="008B0936">
        <w:t>Us</w:t>
      </w:r>
      <w:proofErr w:type="gramEnd"/>
      <w:r w:rsidRPr="008B0936">
        <w:t xml:space="preserve">,” Catholic Syrian Bank, accessed March 12, 2018, </w:t>
      </w:r>
      <w:r w:rsidRPr="008B0936">
        <w:rPr>
          <w:rStyle w:val="Hyperlink"/>
          <w:color w:val="auto"/>
          <w:u w:val="none"/>
        </w:rPr>
        <w:t>www.csb.co.in/about-us.</w:t>
      </w:r>
    </w:p>
  </w:endnote>
  <w:endnote w:id="11">
    <w:p w14:paraId="359A96D8" w14:textId="7CA4C2CD" w:rsidR="00EC0D1E" w:rsidRPr="008B0936" w:rsidRDefault="00EC0D1E" w:rsidP="00155A16">
      <w:pPr>
        <w:pStyle w:val="Footnote"/>
        <w:jc w:val="both"/>
      </w:pPr>
      <w:r w:rsidRPr="008B0936">
        <w:rPr>
          <w:vertAlign w:val="superscript"/>
        </w:rPr>
        <w:endnoteRef/>
      </w:r>
      <w:r w:rsidRPr="008B0936">
        <w:rPr>
          <w:vertAlign w:val="superscript"/>
        </w:rPr>
        <w:t xml:space="preserve"> </w:t>
      </w:r>
      <w:r w:rsidRPr="008B0936">
        <w:t xml:space="preserve">The Persian Gulf region included the </w:t>
      </w:r>
      <w:r>
        <w:t>oil-rich</w:t>
      </w:r>
      <w:r w:rsidRPr="008B0936">
        <w:t xml:space="preserve"> countries Saudi Arabia, the United Arab Emirates, Kuwait, and Qatar.</w:t>
      </w:r>
    </w:p>
  </w:endnote>
  <w:endnote w:id="12">
    <w:p w14:paraId="0699B497" w14:textId="77777777" w:rsidR="00EC0D1E" w:rsidRPr="008B0936" w:rsidRDefault="00EC0D1E" w:rsidP="00155A16">
      <w:pPr>
        <w:pStyle w:val="Footnote"/>
        <w:jc w:val="both"/>
      </w:pPr>
      <w:r w:rsidRPr="008B0936">
        <w:rPr>
          <w:rStyle w:val="EndnoteReference"/>
        </w:rPr>
        <w:endnoteRef/>
      </w:r>
      <w:r w:rsidRPr="008B0936">
        <w:rPr>
          <w:vertAlign w:val="superscript"/>
        </w:rPr>
        <w:t xml:space="preserve"> </w:t>
      </w:r>
      <w:r w:rsidRPr="008B0936">
        <w:t xml:space="preserve">“About Us,” op. cit. </w:t>
      </w:r>
    </w:p>
  </w:endnote>
  <w:endnote w:id="13">
    <w:p w14:paraId="51B1A958" w14:textId="77777777" w:rsidR="00EC0D1E" w:rsidRPr="008B0936" w:rsidRDefault="00EC0D1E" w:rsidP="008619FC">
      <w:pPr>
        <w:pStyle w:val="Footnote"/>
        <w:jc w:val="both"/>
      </w:pPr>
      <w:r w:rsidRPr="008B0936">
        <w:rPr>
          <w:rStyle w:val="EndnoteReference"/>
        </w:rPr>
        <w:endnoteRef/>
      </w:r>
      <w:r w:rsidRPr="008B0936">
        <w:t xml:space="preserve"> Fairfax Financial Holdings Limited (website), accessed March 10, 2018, </w:t>
      </w:r>
      <w:r w:rsidRPr="008B0936">
        <w:rPr>
          <w:rStyle w:val="Hyperlink"/>
          <w:color w:val="auto"/>
          <w:u w:val="none"/>
        </w:rPr>
        <w:t>www.fairfax.ca.</w:t>
      </w:r>
    </w:p>
  </w:endnote>
  <w:endnote w:id="14">
    <w:p w14:paraId="27BA806B" w14:textId="77777777" w:rsidR="00EC0D1E" w:rsidRPr="008B0936" w:rsidRDefault="00EC0D1E" w:rsidP="00155A16">
      <w:pPr>
        <w:pStyle w:val="Footnote"/>
        <w:jc w:val="both"/>
      </w:pPr>
      <w:r w:rsidRPr="008B0936">
        <w:rPr>
          <w:rStyle w:val="EndnoteReference"/>
        </w:rPr>
        <w:endnoteRef/>
      </w:r>
      <w:r w:rsidRPr="008B0936">
        <w:t xml:space="preserve"> Fairfax Financial Holdings Limited, </w:t>
      </w:r>
      <w:r w:rsidRPr="008B0936">
        <w:rPr>
          <w:i/>
        </w:rPr>
        <w:t>2016 Annual Report</w:t>
      </w:r>
      <w:r w:rsidRPr="008B0936">
        <w:t xml:space="preserve">, 1, March 10, 2017, accessed March 10, 2018, </w:t>
      </w:r>
      <w:r w:rsidRPr="008B0936">
        <w:rPr>
          <w:rStyle w:val="Hyperlink"/>
          <w:color w:val="auto"/>
          <w:u w:val="none"/>
        </w:rPr>
        <w:t>https://s1.q4cdn.com/579586326/files/Financial-Report-/YearEnd2016/Fairfax_2016_Annual_Report_CNB.pdf.</w:t>
      </w:r>
    </w:p>
  </w:endnote>
  <w:endnote w:id="15">
    <w:p w14:paraId="38DD4E7B" w14:textId="77777777" w:rsidR="00EC0D1E" w:rsidRPr="008B0936" w:rsidRDefault="00EC0D1E" w:rsidP="00155A16">
      <w:pPr>
        <w:pStyle w:val="Footnote"/>
        <w:jc w:val="both"/>
      </w:pPr>
      <w:r w:rsidRPr="008B0936">
        <w:rPr>
          <w:rStyle w:val="EndnoteReference"/>
        </w:rPr>
        <w:endnoteRef/>
      </w:r>
      <w:r w:rsidRPr="008B0936">
        <w:t xml:space="preserve"> Ibid, 10. </w:t>
      </w:r>
    </w:p>
  </w:endnote>
  <w:endnote w:id="16">
    <w:p w14:paraId="1D1894B6" w14:textId="6E6DF842" w:rsidR="00EC0D1E" w:rsidRPr="008B0936" w:rsidRDefault="00EC0D1E" w:rsidP="00155A16">
      <w:pPr>
        <w:pStyle w:val="Footnote"/>
        <w:jc w:val="both"/>
      </w:pPr>
      <w:r w:rsidRPr="008B0936">
        <w:rPr>
          <w:rStyle w:val="EndnoteReference"/>
        </w:rPr>
        <w:endnoteRef/>
      </w:r>
      <w:r w:rsidRPr="008B0936">
        <w:t xml:space="preserve"> On April 1, 2017, the number of government-owned banks decreased to 21 when five associate banks of the State Bank of India and one other merged with </w:t>
      </w:r>
      <w:r>
        <w:t xml:space="preserve">the </w:t>
      </w:r>
      <w:r w:rsidRPr="008B0936">
        <w:t xml:space="preserve">State Bank of India. PTI, “Five Associate Banks, BMB Merge with SBI,” </w:t>
      </w:r>
      <w:r w:rsidRPr="008B0936">
        <w:rPr>
          <w:i/>
        </w:rPr>
        <w:t>Hindu</w:t>
      </w:r>
      <w:r w:rsidRPr="008B0936">
        <w:t>, April 1, 2017, accessed November 20, 2018, www.thehindu.com/business/Industry/sbi-five-associate-banks-bmb-merge-with-sbi/article17757316.ece.</w:t>
      </w:r>
    </w:p>
  </w:endnote>
  <w:endnote w:id="17">
    <w:p w14:paraId="530DBD4B" w14:textId="69A8D843" w:rsidR="00EC0D1E" w:rsidRPr="008B0936" w:rsidRDefault="00EC0D1E" w:rsidP="00155A16">
      <w:pPr>
        <w:pStyle w:val="Footnote"/>
        <w:jc w:val="both"/>
      </w:pPr>
      <w:r w:rsidRPr="008B0936">
        <w:rPr>
          <w:rStyle w:val="EndnoteReference"/>
        </w:rPr>
        <w:endnoteRef/>
      </w:r>
      <w:r w:rsidRPr="008B0936">
        <w:t xml:space="preserve"> “Liabilities and Assets of Scheduled Commercial Banks,” Reserve Bank of India</w:t>
      </w:r>
      <w:r w:rsidR="00D812EF">
        <w:t>,</w:t>
      </w:r>
      <w:r>
        <w:t xml:space="preserve"> Database on Indian Economy</w:t>
      </w:r>
      <w:r w:rsidRPr="008B0936">
        <w:t xml:space="preserve">, accessed March 9, 2018, </w:t>
      </w:r>
      <w:r w:rsidRPr="008B0936">
        <w:rPr>
          <w:rStyle w:val="Hyperlink"/>
          <w:color w:val="auto"/>
          <w:u w:val="none"/>
        </w:rPr>
        <w:t>https://dbie.rbi.org.in/DBIE/dbie.rbi?site=publications.</w:t>
      </w:r>
    </w:p>
  </w:endnote>
  <w:endnote w:id="18">
    <w:p w14:paraId="5123C268" w14:textId="77777777" w:rsidR="00EC0D1E" w:rsidRPr="008B0936" w:rsidRDefault="00EC0D1E" w:rsidP="00155A16">
      <w:pPr>
        <w:pStyle w:val="Footnote"/>
        <w:jc w:val="both"/>
      </w:pPr>
      <w:r w:rsidRPr="008B0936">
        <w:rPr>
          <w:rStyle w:val="EndnoteReference"/>
        </w:rPr>
        <w:endnoteRef/>
      </w:r>
      <w:r w:rsidRPr="008B0936">
        <w:t xml:space="preserve"> </w:t>
      </w:r>
      <w:proofErr w:type="spellStart"/>
      <w:r w:rsidRPr="008B0936">
        <w:t>Anup</w:t>
      </w:r>
      <w:proofErr w:type="spellEnd"/>
      <w:r w:rsidRPr="008B0936">
        <w:t xml:space="preserve"> Roy, “10 Years of Banking Sector: Pvt Sector Gains at Cost of Public Sector Banks,” </w:t>
      </w:r>
      <w:r w:rsidRPr="008B0936">
        <w:rPr>
          <w:i/>
        </w:rPr>
        <w:t>Business Standard</w:t>
      </w:r>
      <w:r w:rsidRPr="008B0936">
        <w:t>, March 23, 2018, accessed June 1, 2018, www.business-standard.com/article/finance/10-years-of-banking-sector-pvt-sector-gains-at-cost-of-public-sector-banks-118032201407_1.html.</w:t>
      </w:r>
    </w:p>
  </w:endnote>
  <w:endnote w:id="19">
    <w:p w14:paraId="63E5F9A7" w14:textId="57D23512" w:rsidR="00EC0D1E" w:rsidRPr="008B0936" w:rsidRDefault="00EC0D1E" w:rsidP="00781648">
      <w:pPr>
        <w:pStyle w:val="Footnote"/>
      </w:pPr>
      <w:r w:rsidRPr="008B0936">
        <w:rPr>
          <w:rStyle w:val="EndnoteReference"/>
        </w:rPr>
        <w:endnoteRef/>
      </w:r>
      <w:r w:rsidRPr="008B0936">
        <w:t xml:space="preserve"> “Guidelines on Entry of New Private Sector Banks,” Reserve Bank of India, January 22, 1993, accessed March 10, 2018, https://rbi.org.in/scripts/BS_PressReleaseDisplay.aspx?prid=22965.</w:t>
      </w:r>
    </w:p>
  </w:endnote>
  <w:endnote w:id="20">
    <w:p w14:paraId="08A76EC3" w14:textId="77777777" w:rsidR="00EC0D1E" w:rsidRPr="008B0936" w:rsidRDefault="00EC0D1E" w:rsidP="00155A16">
      <w:pPr>
        <w:pStyle w:val="Footnote"/>
        <w:jc w:val="both"/>
      </w:pPr>
      <w:r w:rsidRPr="008B0936">
        <w:rPr>
          <w:vertAlign w:val="superscript"/>
        </w:rPr>
        <w:endnoteRef/>
      </w:r>
      <w:r w:rsidRPr="008B0936">
        <w:rPr>
          <w:vertAlign w:val="superscript"/>
        </w:rPr>
        <w:t xml:space="preserve"> </w:t>
      </w:r>
      <w:r w:rsidRPr="008B0936">
        <w:t xml:space="preserve">Average of equity betas for eights OPSBs and eight NPSBs, respectively, from June to September 2017, </w:t>
      </w:r>
      <w:r w:rsidRPr="008B0936">
        <w:rPr>
          <w:rFonts w:eastAsiaTheme="minorHAnsi"/>
        </w:rPr>
        <w:t>ACE Analyser corporate database, accessed June 10, 2018.</w:t>
      </w:r>
    </w:p>
  </w:endnote>
  <w:endnote w:id="21">
    <w:p w14:paraId="1A50E251" w14:textId="77777777" w:rsidR="00EC0D1E" w:rsidRPr="008B0936" w:rsidRDefault="00EC0D1E" w:rsidP="00155A16">
      <w:pPr>
        <w:pStyle w:val="Footnote"/>
        <w:jc w:val="both"/>
        <w:rPr>
          <w:rStyle w:val="Hyperlink"/>
          <w:color w:val="auto"/>
          <w:u w:val="none"/>
        </w:rPr>
      </w:pPr>
      <w:r w:rsidRPr="008B0936">
        <w:rPr>
          <w:rStyle w:val="EndnoteReference"/>
        </w:rPr>
        <w:endnoteRef/>
      </w:r>
      <w:r w:rsidRPr="008B0936">
        <w:t xml:space="preserve"> </w:t>
      </w:r>
      <w:proofErr w:type="spellStart"/>
      <w:r w:rsidRPr="008B0936">
        <w:t>Sangita</w:t>
      </w:r>
      <w:proofErr w:type="spellEnd"/>
      <w:r w:rsidRPr="008B0936">
        <w:t xml:space="preserve"> Mehta, “NPA-Hit Banks Turn to </w:t>
      </w:r>
      <w:proofErr w:type="spellStart"/>
      <w:r w:rsidRPr="008B0936">
        <w:t>Evergreening</w:t>
      </w:r>
      <w:proofErr w:type="spellEnd"/>
      <w:r w:rsidRPr="008B0936">
        <w:t xml:space="preserve"> of Books,” </w:t>
      </w:r>
      <w:r w:rsidRPr="008B0936">
        <w:rPr>
          <w:i/>
        </w:rPr>
        <w:t>Economic Times</w:t>
      </w:r>
      <w:r w:rsidRPr="008B0936">
        <w:t xml:space="preserve">, August 28, 2012, accessed March 10, 2018, </w:t>
      </w:r>
      <w:r w:rsidRPr="008B0936">
        <w:rPr>
          <w:rStyle w:val="Hyperlink"/>
          <w:color w:val="auto"/>
          <w:u w:val="none"/>
        </w:rPr>
        <w:t>https://economictimes.indiatimes.com/industry/banking/finance/banking/npa-hit-banks-turn-to-evergreening-of-books/</w:t>
      </w:r>
    </w:p>
    <w:p w14:paraId="2C070F19" w14:textId="77777777" w:rsidR="00EC0D1E" w:rsidRPr="008B0936" w:rsidRDefault="00EC0D1E" w:rsidP="00155A16">
      <w:pPr>
        <w:pStyle w:val="Footnote"/>
        <w:jc w:val="both"/>
      </w:pPr>
      <w:proofErr w:type="spellStart"/>
      <w:proofErr w:type="gramStart"/>
      <w:r w:rsidRPr="008B0936">
        <w:rPr>
          <w:rStyle w:val="Hyperlink"/>
          <w:color w:val="auto"/>
          <w:u w:val="none"/>
        </w:rPr>
        <w:t>articleshow</w:t>
      </w:r>
      <w:proofErr w:type="spellEnd"/>
      <w:r w:rsidRPr="008B0936">
        <w:rPr>
          <w:rStyle w:val="Hyperlink"/>
          <w:color w:val="auto"/>
          <w:u w:val="none"/>
        </w:rPr>
        <w:t>/15858005.cms</w:t>
      </w:r>
      <w:proofErr w:type="gramEnd"/>
      <w:r w:rsidRPr="008B0936">
        <w:rPr>
          <w:rStyle w:val="Hyperlink"/>
          <w:color w:val="auto"/>
          <w:u w:val="none"/>
        </w:rPr>
        <w:t>.</w:t>
      </w:r>
    </w:p>
  </w:endnote>
  <w:endnote w:id="22">
    <w:p w14:paraId="25DB0B79" w14:textId="364AE475" w:rsidR="00EC0D1E" w:rsidRPr="008B0936" w:rsidRDefault="00EC0D1E" w:rsidP="00155A16">
      <w:pPr>
        <w:pStyle w:val="Footnote"/>
        <w:jc w:val="both"/>
      </w:pPr>
      <w:r w:rsidRPr="008B0936">
        <w:rPr>
          <w:rStyle w:val="EndnoteReference"/>
        </w:rPr>
        <w:endnoteRef/>
      </w:r>
      <w:r w:rsidRPr="008B0936">
        <w:t xml:space="preserve"> Ibid; Roy, op. cit. </w:t>
      </w:r>
    </w:p>
  </w:endnote>
  <w:endnote w:id="23">
    <w:p w14:paraId="5F53EF2E" w14:textId="77777777" w:rsidR="00EC0D1E" w:rsidRPr="008B0936" w:rsidRDefault="00EC0D1E" w:rsidP="00155A16">
      <w:pPr>
        <w:pStyle w:val="Footnote"/>
        <w:jc w:val="both"/>
      </w:pPr>
      <w:r w:rsidRPr="008B0936">
        <w:rPr>
          <w:rStyle w:val="EndnoteReference"/>
        </w:rPr>
        <w:endnoteRef/>
      </w:r>
      <w:r w:rsidRPr="008B0936">
        <w:t xml:space="preserve"> Reserve Bank of India, “Financial Institutions: Soundness and Resilience,” chap. 2 in </w:t>
      </w:r>
      <w:r w:rsidRPr="008B0936">
        <w:rPr>
          <w:i/>
        </w:rPr>
        <w:t>Financial Stability Report</w:t>
      </w:r>
      <w:r w:rsidRPr="008B0936">
        <w:t xml:space="preserve"> (December 2015), accessed March 13, 2018, </w:t>
      </w:r>
      <w:r w:rsidRPr="008B0936">
        <w:rPr>
          <w:rStyle w:val="Hyperlink"/>
          <w:color w:val="auto"/>
          <w:u w:val="none"/>
        </w:rPr>
        <w:t>https://rbi.org.in/scripts/PublicationReportDetails.aspx?ID=831.</w:t>
      </w:r>
    </w:p>
  </w:endnote>
  <w:endnote w:id="24">
    <w:p w14:paraId="320BA9D4" w14:textId="7D46D15B" w:rsidR="00EC0D1E" w:rsidRPr="008B0936" w:rsidRDefault="00EC0D1E" w:rsidP="001E1A28">
      <w:pPr>
        <w:pStyle w:val="Footnote"/>
      </w:pPr>
      <w:r w:rsidRPr="008B0936">
        <w:rPr>
          <w:rStyle w:val="EndnoteReference"/>
        </w:rPr>
        <w:endnoteRef/>
      </w:r>
      <w:r w:rsidRPr="008B0936">
        <w:t xml:space="preserve"> ET Bureau, “</w:t>
      </w:r>
      <w:r w:rsidRPr="00E574B7">
        <w:t>RBI Withdraws CDR, SDR, S4A, JLF Schemes to Restructure Defaulted Loans</w:t>
      </w:r>
      <w:r w:rsidRPr="008B0936">
        <w:t xml:space="preserve">,” </w:t>
      </w:r>
      <w:r w:rsidRPr="008B0936">
        <w:rPr>
          <w:i/>
        </w:rPr>
        <w:t>Economic Times</w:t>
      </w:r>
      <w:r w:rsidRPr="008B0936">
        <w:t>, February 13, 2018, accessed March 10, 2018, https://economictimes.indiatimes.com/news/economy/policy/rbi-withdraws-cdr-sdr-s4a-jlf-schemes-to-restructure-defaulted-loans/articleshow/62891543.cms.</w:t>
      </w:r>
    </w:p>
  </w:endnote>
  <w:endnote w:id="25">
    <w:p w14:paraId="047EF5FF" w14:textId="6D655E69" w:rsidR="00EC0D1E" w:rsidRPr="008B0936" w:rsidRDefault="00EC0D1E" w:rsidP="00155A16">
      <w:pPr>
        <w:pStyle w:val="Footnote"/>
        <w:jc w:val="both"/>
        <w:rPr>
          <w:spacing w:val="-4"/>
        </w:rPr>
      </w:pPr>
      <w:r w:rsidRPr="008B0936">
        <w:rPr>
          <w:rStyle w:val="EndnoteReference"/>
          <w:spacing w:val="-4"/>
        </w:rPr>
        <w:endnoteRef/>
      </w:r>
      <w:r w:rsidRPr="008B0936">
        <w:rPr>
          <w:spacing w:val="-4"/>
        </w:rPr>
        <w:t xml:space="preserve"> Reserve Bank of India, “Master Direction—Ownership in Private Sector Banks, Directions, 2016” (directive RBI/DBR/2015-16/24), May 12, 2016, accessed March 9, 2018, </w:t>
      </w:r>
      <w:r w:rsidRPr="008B0936">
        <w:rPr>
          <w:rStyle w:val="Hyperlink"/>
          <w:color w:val="auto"/>
          <w:spacing w:val="-4"/>
          <w:u w:val="none"/>
        </w:rPr>
        <w:t>www.rbi.org.in/Scripts/NotificationUser.aspx?Id=10397&amp;Mode=0</w:t>
      </w:r>
      <w:r w:rsidRPr="008B0936">
        <w:rPr>
          <w:spacing w:val="-4"/>
        </w:rPr>
        <w:t>.</w:t>
      </w:r>
    </w:p>
  </w:endnote>
  <w:endnote w:id="26">
    <w:p w14:paraId="15AFF229" w14:textId="77777777" w:rsidR="00EC0D1E" w:rsidRPr="008B0936" w:rsidRDefault="00EC0D1E" w:rsidP="00155A16">
      <w:pPr>
        <w:pStyle w:val="Footnote"/>
        <w:jc w:val="both"/>
        <w:rPr>
          <w:rStyle w:val="Hyperlink"/>
          <w:color w:val="auto"/>
          <w:spacing w:val="-4"/>
          <w:u w:val="none"/>
        </w:rPr>
      </w:pPr>
      <w:r w:rsidRPr="008B0936">
        <w:rPr>
          <w:rStyle w:val="EndnoteReference"/>
          <w:spacing w:val="-4"/>
        </w:rPr>
        <w:endnoteRef/>
      </w:r>
      <w:r w:rsidRPr="008B0936">
        <w:rPr>
          <w:spacing w:val="-4"/>
        </w:rPr>
        <w:t xml:space="preserve"> </w:t>
      </w:r>
      <w:proofErr w:type="spellStart"/>
      <w:r w:rsidRPr="008B0936">
        <w:rPr>
          <w:spacing w:val="-4"/>
        </w:rPr>
        <w:t>Saloni</w:t>
      </w:r>
      <w:proofErr w:type="spellEnd"/>
      <w:r w:rsidRPr="008B0936">
        <w:rPr>
          <w:spacing w:val="-4"/>
        </w:rPr>
        <w:t xml:space="preserve"> Shukla and Biju </w:t>
      </w:r>
      <w:proofErr w:type="spellStart"/>
      <w:r w:rsidRPr="008B0936">
        <w:rPr>
          <w:spacing w:val="-4"/>
        </w:rPr>
        <w:t>Kalesh</w:t>
      </w:r>
      <w:proofErr w:type="spellEnd"/>
      <w:r w:rsidRPr="008B0936">
        <w:rPr>
          <w:spacing w:val="-4"/>
        </w:rPr>
        <w:t xml:space="preserve">, “Fairfax Financial Holdings Seeks RBI Approval for 10% Stake in Kerala’s Catholic Syrian Bank,” </w:t>
      </w:r>
      <w:r w:rsidRPr="008B0936">
        <w:rPr>
          <w:i/>
          <w:spacing w:val="-4"/>
        </w:rPr>
        <w:t>Economic Times</w:t>
      </w:r>
      <w:r w:rsidRPr="008B0936">
        <w:rPr>
          <w:spacing w:val="-4"/>
        </w:rPr>
        <w:t xml:space="preserve">, June 27, 2016, accessed April 18, 2018, </w:t>
      </w:r>
      <w:r w:rsidRPr="008B0936">
        <w:rPr>
          <w:rStyle w:val="Hyperlink"/>
          <w:color w:val="auto"/>
          <w:spacing w:val="-4"/>
          <w:u w:val="none"/>
        </w:rPr>
        <w:t>https://economictimes.indiatimes.com/industry/banking/finance/banking/</w:t>
      </w:r>
    </w:p>
    <w:p w14:paraId="19E9BD0E" w14:textId="77777777" w:rsidR="00EC0D1E" w:rsidRPr="008B0936" w:rsidRDefault="00EC0D1E" w:rsidP="00155A16">
      <w:pPr>
        <w:pStyle w:val="Footnote"/>
        <w:jc w:val="both"/>
        <w:rPr>
          <w:spacing w:val="-4"/>
        </w:rPr>
      </w:pPr>
      <w:r w:rsidRPr="008B0936">
        <w:rPr>
          <w:rStyle w:val="Hyperlink"/>
          <w:color w:val="auto"/>
          <w:spacing w:val="-4"/>
          <w:u w:val="none"/>
        </w:rPr>
        <w:t>fairfax-financial-holdings-seeks-rbi-approval-for-10-stake-in-keralas-catholic-syrian-bank/articleshow/52931394.cms</w:t>
      </w:r>
      <w:r w:rsidRPr="008B0936">
        <w:rPr>
          <w:spacing w:val="-4"/>
        </w:rPr>
        <w:t>.</w:t>
      </w:r>
    </w:p>
  </w:endnote>
  <w:endnote w:id="27">
    <w:p w14:paraId="3706715E" w14:textId="77777777" w:rsidR="00EC0D1E" w:rsidRPr="008B0936" w:rsidRDefault="00EC0D1E" w:rsidP="00155A16">
      <w:pPr>
        <w:pStyle w:val="Footnote"/>
        <w:jc w:val="both"/>
      </w:pPr>
      <w:r w:rsidRPr="008B0936">
        <w:rPr>
          <w:rStyle w:val="EndnoteReference"/>
        </w:rPr>
        <w:endnoteRef/>
      </w:r>
      <w:r w:rsidRPr="008B0936">
        <w:rPr>
          <w:vertAlign w:val="superscript"/>
        </w:rPr>
        <w:t xml:space="preserve"> </w:t>
      </w:r>
      <w:proofErr w:type="spellStart"/>
      <w:r w:rsidRPr="008B0936">
        <w:t>Saloni</w:t>
      </w:r>
      <w:proofErr w:type="spellEnd"/>
      <w:r w:rsidRPr="008B0936">
        <w:t xml:space="preserve"> Shukla, “Catholic Syrian Bank Seeks Nod for Stake Sale,” </w:t>
      </w:r>
      <w:r w:rsidRPr="008B0936">
        <w:rPr>
          <w:i/>
        </w:rPr>
        <w:t>Economic Times</w:t>
      </w:r>
      <w:r w:rsidRPr="008B0936">
        <w:t xml:space="preserve">, November 29, 2016, accessed March 9, 2018, </w:t>
      </w:r>
      <w:r w:rsidRPr="008B0936">
        <w:rPr>
          <w:rStyle w:val="Hyperlink"/>
          <w:color w:val="auto"/>
          <w:u w:val="none"/>
        </w:rPr>
        <w:t>https://economictimes.indiatimes.com/industry/banking/finance/banking/catholic-syrian-bank-seeks-nod-for-stake-sale/articleshow/55692872.cms.</w:t>
      </w:r>
    </w:p>
  </w:endnote>
  <w:endnote w:id="28">
    <w:p w14:paraId="0D37EE3B" w14:textId="77777777" w:rsidR="00EC0D1E" w:rsidRPr="008B0936" w:rsidRDefault="00EC0D1E" w:rsidP="00155A16">
      <w:pPr>
        <w:pStyle w:val="Footnote"/>
        <w:jc w:val="both"/>
      </w:pPr>
      <w:r w:rsidRPr="008B0936">
        <w:rPr>
          <w:rStyle w:val="EndnoteReference"/>
        </w:rPr>
        <w:endnoteRef/>
      </w:r>
      <w:r w:rsidRPr="008B0936">
        <w:rPr>
          <w:vertAlign w:val="superscript"/>
        </w:rPr>
        <w:t xml:space="preserve"> </w:t>
      </w:r>
      <w:r w:rsidRPr="008B0936">
        <w:t>“Fairfax India to Take 51% Stake in Catholic Syrian Bank for ₹1,000 Cr,” op. cit.</w:t>
      </w:r>
    </w:p>
  </w:endnote>
  <w:endnote w:id="29">
    <w:p w14:paraId="35BB010F" w14:textId="77777777" w:rsidR="00EC0D1E" w:rsidRPr="008B0936" w:rsidRDefault="00EC0D1E" w:rsidP="00155A16">
      <w:pPr>
        <w:pStyle w:val="Footnote"/>
        <w:jc w:val="both"/>
      </w:pPr>
      <w:r w:rsidRPr="008B0936">
        <w:rPr>
          <w:rStyle w:val="EndnoteReference"/>
        </w:rPr>
        <w:endnoteRef/>
      </w:r>
      <w:r w:rsidRPr="008B0936">
        <w:rPr>
          <w:vertAlign w:val="superscript"/>
        </w:rPr>
        <w:t xml:space="preserve"> </w:t>
      </w:r>
      <w:proofErr w:type="spellStart"/>
      <w:r w:rsidRPr="008B0936">
        <w:t>Gopakumar</w:t>
      </w:r>
      <w:proofErr w:type="spellEnd"/>
      <w:r w:rsidRPr="008B0936">
        <w:t xml:space="preserve">, </w:t>
      </w:r>
      <w:r w:rsidRPr="008B0936">
        <w:rPr>
          <w:rFonts w:eastAsiaTheme="minorHAnsi"/>
          <w:spacing w:val="-2"/>
        </w:rPr>
        <w:t xml:space="preserve">“Catholic Syrian Bank–Fairfax Deal Collapses on Valuation,” </w:t>
      </w:r>
      <w:r w:rsidRPr="008B0936">
        <w:t xml:space="preserve">op. cit. </w:t>
      </w:r>
    </w:p>
  </w:endnote>
  <w:endnote w:id="30">
    <w:p w14:paraId="62247C0E" w14:textId="77777777" w:rsidR="00EC0D1E" w:rsidRPr="008B0936" w:rsidRDefault="00EC0D1E" w:rsidP="001E1A28">
      <w:pPr>
        <w:pStyle w:val="Footnote"/>
      </w:pPr>
      <w:r w:rsidRPr="008B0936">
        <w:rPr>
          <w:rStyle w:val="EndnoteReference"/>
        </w:rPr>
        <w:endnoteRef/>
      </w:r>
      <w:r w:rsidRPr="008B0936">
        <w:t xml:space="preserve"> Ibid. </w:t>
      </w:r>
    </w:p>
  </w:endnote>
  <w:endnote w:id="31">
    <w:p w14:paraId="2CB81C99" w14:textId="77777777" w:rsidR="00EC0D1E" w:rsidRPr="008B0936" w:rsidRDefault="00EC0D1E" w:rsidP="00155A16">
      <w:pPr>
        <w:pStyle w:val="Footnote"/>
        <w:jc w:val="both"/>
      </w:pPr>
      <w:r w:rsidRPr="008B0936">
        <w:rPr>
          <w:rStyle w:val="EndnoteReference"/>
        </w:rPr>
        <w:endnoteRef/>
      </w:r>
      <w:r w:rsidRPr="008B0936">
        <w:t xml:space="preserve"> T. E. </w:t>
      </w:r>
      <w:proofErr w:type="spellStart"/>
      <w:r w:rsidRPr="008B0936">
        <w:t>Narasimhan</w:t>
      </w:r>
      <w:proofErr w:type="spellEnd"/>
      <w:r w:rsidRPr="008B0936">
        <w:t xml:space="preserve">, “Catholic Syrian Bank Aims to Get Back to Consistent Growth, Says MD &amp; CEO,” </w:t>
      </w:r>
      <w:r w:rsidRPr="008B0936">
        <w:rPr>
          <w:i/>
        </w:rPr>
        <w:t>Business Standard</w:t>
      </w:r>
      <w:r w:rsidRPr="008B0936">
        <w:t>, September 4, 2017, accessed March 9, 2018, www.business-standard.com/article/finance/catholic-bank-to-focus-on-capital-credit-casa-says-md-117090400417_1.html</w:t>
      </w:r>
      <w:r w:rsidRPr="008B0936">
        <w:rPr>
          <w:rStyle w:val="Hyperlink"/>
          <w:color w:val="auto"/>
          <w:u w:val="none"/>
        </w:rPr>
        <w:t>.</w:t>
      </w:r>
    </w:p>
  </w:endnote>
  <w:endnote w:id="32">
    <w:p w14:paraId="2E2DE88F" w14:textId="77777777" w:rsidR="00EC0D1E" w:rsidRPr="008B0936" w:rsidRDefault="00EC0D1E" w:rsidP="00155A16">
      <w:pPr>
        <w:pStyle w:val="Footnote"/>
        <w:jc w:val="both"/>
      </w:pPr>
      <w:r w:rsidRPr="008B0936">
        <w:rPr>
          <w:rStyle w:val="EndnoteReference"/>
        </w:rPr>
        <w:endnoteRef/>
      </w:r>
      <w:r w:rsidRPr="008B0936">
        <w:t xml:space="preserve"> T. E. </w:t>
      </w:r>
      <w:proofErr w:type="spellStart"/>
      <w:r w:rsidRPr="008B0936">
        <w:t>Narasimhan</w:t>
      </w:r>
      <w:proofErr w:type="spellEnd"/>
      <w:r w:rsidRPr="008B0936">
        <w:t xml:space="preserve">, “Catholic Syrian Bank Expects to Raise Funds by December,” </w:t>
      </w:r>
      <w:r w:rsidRPr="008B0936">
        <w:rPr>
          <w:i/>
        </w:rPr>
        <w:t>Business Standard</w:t>
      </w:r>
      <w:r w:rsidRPr="008B0936">
        <w:t>, October 24, 2017, accessed March 9, 2017, www.business-standard.com/article/markets/catholic-syrian-bank-expects-equity-investors-on-board-by-dec-117102300927_1.html</w:t>
      </w:r>
      <w:r w:rsidRPr="008B0936">
        <w:rPr>
          <w:rStyle w:val="Hyperlink"/>
          <w:color w:val="auto"/>
          <w:u w:val="none"/>
        </w:rPr>
        <w:t>.</w:t>
      </w:r>
    </w:p>
  </w:endnote>
  <w:endnote w:id="33">
    <w:p w14:paraId="323F7AA9" w14:textId="20DA8506" w:rsidR="00EC0D1E" w:rsidRPr="008B0936" w:rsidRDefault="00EC0D1E" w:rsidP="00155A16">
      <w:pPr>
        <w:pStyle w:val="Footnote"/>
        <w:jc w:val="both"/>
      </w:pPr>
      <w:r w:rsidRPr="008B0936">
        <w:rPr>
          <w:rStyle w:val="EndnoteReference"/>
        </w:rPr>
        <w:endnoteRef/>
      </w:r>
      <w:r w:rsidRPr="008B0936">
        <w:t xml:space="preserve"> “India 10-</w:t>
      </w:r>
      <w:r>
        <w:t>Year</w:t>
      </w:r>
      <w:r w:rsidRPr="008B0936">
        <w:t xml:space="preserve"> Bond Yield Historical Data,” Investing.com, accessed June 1, 2018, https://in.investing.com/rates-bonds/india-10-year-bond-yield-historical-data.</w:t>
      </w:r>
    </w:p>
  </w:endnote>
  <w:endnote w:id="34">
    <w:p w14:paraId="48516E86" w14:textId="77777777" w:rsidR="00EC0D1E" w:rsidRPr="008B0936" w:rsidRDefault="00EC0D1E" w:rsidP="00155A16">
      <w:pPr>
        <w:pStyle w:val="Footnote"/>
        <w:jc w:val="both"/>
      </w:pPr>
      <w:r w:rsidRPr="008B0936">
        <w:rPr>
          <w:rStyle w:val="EndnoteReference"/>
        </w:rPr>
        <w:endnoteRef/>
      </w:r>
      <w:r w:rsidRPr="008B0936">
        <w:t xml:space="preserve"> T. E. </w:t>
      </w:r>
      <w:proofErr w:type="spellStart"/>
      <w:r w:rsidRPr="008B0936">
        <w:t>Narasimhan</w:t>
      </w:r>
      <w:proofErr w:type="spellEnd"/>
      <w:r w:rsidRPr="008B0936">
        <w:t xml:space="preserve">, “Catholic Syrian Bank to Raise </w:t>
      </w:r>
      <w:proofErr w:type="spellStart"/>
      <w:r w:rsidRPr="008B0936">
        <w:t>Rs</w:t>
      </w:r>
      <w:proofErr w:type="spellEnd"/>
      <w:r w:rsidRPr="008B0936">
        <w:t xml:space="preserve"> 400 Crore Capital through QIB,” Smart Investor, September 18, 2017, accessed March 9, 2017, </w:t>
      </w:r>
      <w:r w:rsidRPr="008B0936">
        <w:rPr>
          <w:rStyle w:val="Hyperlink"/>
          <w:color w:val="auto"/>
          <w:u w:val="none"/>
        </w:rPr>
        <w:t>http://smartinvestor.business-standard.com/market/Compnews-484314-Compnewsdet-Catholic_Syrian_Bank_to_raise_Rs_400_crore_capital_through_QIB.htm#.WuZ0-Je-nIU.</w:t>
      </w:r>
    </w:p>
  </w:endnote>
  <w:endnote w:id="35">
    <w:p w14:paraId="7709EF4E" w14:textId="77777777" w:rsidR="00EC0D1E" w:rsidRPr="008B0936" w:rsidRDefault="00EC0D1E" w:rsidP="00155A16">
      <w:pPr>
        <w:pStyle w:val="Footnote"/>
        <w:jc w:val="both"/>
      </w:pPr>
      <w:r w:rsidRPr="008B0936">
        <w:rPr>
          <w:rStyle w:val="EndnoteReference"/>
        </w:rPr>
        <w:endnoteRef/>
      </w:r>
      <w:r w:rsidRPr="008B0936">
        <w:t xml:space="preserve"> </w:t>
      </w:r>
      <w:proofErr w:type="spellStart"/>
      <w:r w:rsidRPr="008B0936">
        <w:t>Gopika</w:t>
      </w:r>
      <w:proofErr w:type="spellEnd"/>
      <w:r w:rsidRPr="008B0936">
        <w:t xml:space="preserve"> </w:t>
      </w:r>
      <w:proofErr w:type="spellStart"/>
      <w:r w:rsidRPr="008B0936">
        <w:t>Gopakumar</w:t>
      </w:r>
      <w:proofErr w:type="spellEnd"/>
      <w:r w:rsidRPr="008B0936">
        <w:t xml:space="preserve">, “Catholic Syrian Bank Plans QIP to Raise up to Rs400 Crore,” </w:t>
      </w:r>
      <w:r w:rsidRPr="0036663D">
        <w:rPr>
          <w:i/>
        </w:rPr>
        <w:t>Live Mint</w:t>
      </w:r>
      <w:r w:rsidRPr="008B0936">
        <w:t>, September 18, 2017, accessed April 10, 2018, www.livemint.com/Industry/cGBOAg00wqMgwnAshr1sTL/Catholic-Syrian-Bank-plans-QIP-to-raise-up-to-Rs400-crore.html</w:t>
      </w:r>
      <w:r w:rsidRPr="008B0936">
        <w:rPr>
          <w:rStyle w:val="Hyperlink"/>
          <w:color w:val="auto"/>
          <w:u w:val="none"/>
        </w:rPr>
        <w:t>.</w:t>
      </w:r>
    </w:p>
  </w:endnote>
  <w:endnote w:id="36">
    <w:p w14:paraId="532E815D" w14:textId="7A2DFF7B" w:rsidR="00EC0D1E" w:rsidRPr="008B0936" w:rsidRDefault="00EC0D1E" w:rsidP="00155A16">
      <w:pPr>
        <w:pStyle w:val="Footnote"/>
        <w:jc w:val="both"/>
      </w:pPr>
      <w:r w:rsidRPr="008B0936">
        <w:rPr>
          <w:rStyle w:val="EndnoteReference"/>
        </w:rPr>
        <w:endnoteRef/>
      </w:r>
      <w:r w:rsidRPr="008B0936">
        <w:t xml:space="preserve"> </w:t>
      </w:r>
      <w:proofErr w:type="spellStart"/>
      <w:r w:rsidRPr="008B0936">
        <w:t>Narasimhan</w:t>
      </w:r>
      <w:proofErr w:type="spellEnd"/>
      <w:r w:rsidRPr="008B0936">
        <w:t xml:space="preserve">, “Catholic Syrian Bank Expects to Raise Funds by December,” op. cit. </w:t>
      </w:r>
    </w:p>
  </w:endnote>
  <w:endnote w:id="37">
    <w:p w14:paraId="3A25BAB5" w14:textId="51AF1CC0" w:rsidR="00EC0D1E" w:rsidRPr="008B0936" w:rsidRDefault="00EC0D1E" w:rsidP="00155A16">
      <w:pPr>
        <w:pStyle w:val="Footnote"/>
        <w:jc w:val="both"/>
      </w:pPr>
      <w:r w:rsidRPr="008B0936">
        <w:rPr>
          <w:rStyle w:val="EndnoteReference"/>
        </w:rPr>
        <w:endnoteRef/>
      </w:r>
      <w:r w:rsidRPr="008B0936">
        <w:rPr>
          <w:vertAlign w:val="superscript"/>
        </w:rPr>
        <w:t xml:space="preserve"> </w:t>
      </w:r>
      <w:proofErr w:type="spellStart"/>
      <w:r w:rsidRPr="008B0936">
        <w:t>Gopakumar</w:t>
      </w:r>
      <w:proofErr w:type="spellEnd"/>
      <w:r w:rsidRPr="008B0936">
        <w:t>, “Catholic Syrian Bank–Fairfax Deal Collapses on Valuation,” op. cit.</w:t>
      </w:r>
    </w:p>
  </w:endnote>
  <w:endnote w:id="38">
    <w:p w14:paraId="54787723" w14:textId="77777777" w:rsidR="00EC0D1E" w:rsidRPr="008B0936" w:rsidRDefault="00EC0D1E" w:rsidP="00155A16">
      <w:pPr>
        <w:pStyle w:val="Footnote"/>
        <w:jc w:val="both"/>
      </w:pPr>
      <w:r w:rsidRPr="008B0936">
        <w:rPr>
          <w:rStyle w:val="EndnoteReference"/>
        </w:rPr>
        <w:endnoteRef/>
      </w:r>
      <w:r w:rsidRPr="008B0936">
        <w:rPr>
          <w:vertAlign w:val="superscript"/>
        </w:rPr>
        <w:t xml:space="preserve"> </w:t>
      </w:r>
      <w:proofErr w:type="spellStart"/>
      <w:r w:rsidRPr="008B0936">
        <w:t>Saloni</w:t>
      </w:r>
      <w:proofErr w:type="spellEnd"/>
      <w:r w:rsidRPr="008B0936">
        <w:t xml:space="preserve"> Shukla, “CSB Shares Trading at 25% Premium in Grey Market,” </w:t>
      </w:r>
      <w:r w:rsidRPr="008B0936">
        <w:rPr>
          <w:i/>
        </w:rPr>
        <w:t>Economic Times</w:t>
      </w:r>
      <w:r w:rsidRPr="008B0936">
        <w:t xml:space="preserve">, August 19, 2017, accessed March 9, 2018, </w:t>
      </w:r>
      <w:r w:rsidRPr="008B0936">
        <w:rPr>
          <w:rStyle w:val="Hyperlink"/>
          <w:color w:val="auto"/>
          <w:u w:val="none"/>
        </w:rPr>
        <w:t>https://economictimes.indiatimes.com/markets/stocks/news/csb-shares-trading-at-25-premium-in-grey-market/articleshow/60112563.cms.</w:t>
      </w:r>
    </w:p>
  </w:endnote>
  <w:endnote w:id="39">
    <w:p w14:paraId="2C7F5B33" w14:textId="45EED062" w:rsidR="00EC0D1E" w:rsidRPr="008B0936" w:rsidRDefault="00EC0D1E">
      <w:pPr>
        <w:pStyle w:val="EndnoteText"/>
        <w:rPr>
          <w:rStyle w:val="FootnoteChar"/>
          <w:rFonts w:eastAsia="Calibri"/>
        </w:rPr>
      </w:pPr>
      <w:r w:rsidRPr="008B0936">
        <w:rPr>
          <w:rStyle w:val="FootnoteChar"/>
          <w:rFonts w:eastAsia="Calibri"/>
          <w:vertAlign w:val="superscript"/>
        </w:rPr>
        <w:endnoteRef/>
      </w:r>
      <w:r w:rsidRPr="008B0936">
        <w:rPr>
          <w:rStyle w:val="FootnoteChar"/>
          <w:rFonts w:eastAsia="Calibri"/>
          <w:vertAlign w:val="superscript"/>
        </w:rPr>
        <w:t xml:space="preserve"> </w:t>
      </w:r>
      <w:proofErr w:type="spellStart"/>
      <w:r w:rsidRPr="008B0936">
        <w:rPr>
          <w:rStyle w:val="FootnoteChar"/>
          <w:rFonts w:eastAsia="Calibri"/>
        </w:rPr>
        <w:t>Gopakumar</w:t>
      </w:r>
      <w:proofErr w:type="spellEnd"/>
      <w:r w:rsidRPr="008B0936">
        <w:rPr>
          <w:rStyle w:val="FootnoteChar"/>
          <w:rFonts w:eastAsia="Calibri"/>
        </w:rPr>
        <w:t>, “Catholic Syrian Bank Plans QIP to Raise up to Rs400 Crore,” op. cit.</w:t>
      </w:r>
    </w:p>
  </w:endnote>
  <w:endnote w:id="40">
    <w:p w14:paraId="2CDA7311" w14:textId="77777777" w:rsidR="00EC0D1E" w:rsidRPr="008B0936" w:rsidRDefault="00EC0D1E" w:rsidP="007B26D1">
      <w:pPr>
        <w:pStyle w:val="Footnote"/>
      </w:pPr>
      <w:r w:rsidRPr="008B0936">
        <w:rPr>
          <w:rStyle w:val="EndnoteReference"/>
        </w:rPr>
        <w:endnoteRef/>
      </w:r>
      <w:r w:rsidRPr="008B0936">
        <w:t xml:space="preserve"> V. </w:t>
      </w:r>
      <w:proofErr w:type="spellStart"/>
      <w:r w:rsidRPr="008B0936">
        <w:t>Sajeev</w:t>
      </w:r>
      <w:proofErr w:type="spellEnd"/>
      <w:r w:rsidRPr="008B0936">
        <w:t xml:space="preserve"> Kumar, “Catholic Syrian Bank Moving to a More Stable and Sustainable Earnings Base,” </w:t>
      </w:r>
      <w:r w:rsidRPr="008B0936">
        <w:rPr>
          <w:i/>
        </w:rPr>
        <w:t>Hindu Business Line</w:t>
      </w:r>
      <w:r w:rsidRPr="008B0936">
        <w:t>, November 20, 2017, accessed March 9, 2018, www.thehindubusinessline.com/money-and-banking/catholic-syrian-bank-moving-to-a-more-stable-and-sustainable-earnings-base/article9967581.ece.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B7E43" w14:textId="77777777" w:rsidR="00EC0D1E" w:rsidRDefault="00EC0D1E" w:rsidP="00D75295">
      <w:r>
        <w:separator/>
      </w:r>
    </w:p>
  </w:footnote>
  <w:footnote w:type="continuationSeparator" w:id="0">
    <w:p w14:paraId="01A5056F" w14:textId="77777777" w:rsidR="00EC0D1E" w:rsidRDefault="00EC0D1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62012" w14:textId="1A31057B" w:rsidR="00EC0D1E" w:rsidRPr="00C92CC4" w:rsidRDefault="00EC0D1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97A03">
      <w:rPr>
        <w:rFonts w:ascii="Arial" w:hAnsi="Arial"/>
        <w:b/>
        <w:noProof/>
      </w:rPr>
      <w:t>11</w:t>
    </w:r>
    <w:r>
      <w:rPr>
        <w:rFonts w:ascii="Arial" w:hAnsi="Arial"/>
        <w:b/>
      </w:rPr>
      <w:fldChar w:fldCharType="end"/>
    </w:r>
    <w:r>
      <w:rPr>
        <w:rFonts w:ascii="Arial" w:hAnsi="Arial"/>
        <w:b/>
      </w:rPr>
      <w:tab/>
    </w:r>
    <w:r w:rsidR="004C49E6">
      <w:rPr>
        <w:rFonts w:ascii="Arial" w:hAnsi="Arial"/>
        <w:b/>
      </w:rPr>
      <w:t>9B19N005</w:t>
    </w:r>
  </w:p>
  <w:p w14:paraId="365935E5" w14:textId="77777777" w:rsidR="00EC0D1E" w:rsidRDefault="00EC0D1E" w:rsidP="00D13667">
    <w:pPr>
      <w:pStyle w:val="Header"/>
      <w:tabs>
        <w:tab w:val="clear" w:pos="4680"/>
      </w:tabs>
      <w:rPr>
        <w:sz w:val="18"/>
        <w:szCs w:val="18"/>
      </w:rPr>
    </w:pPr>
  </w:p>
  <w:p w14:paraId="1775667D" w14:textId="77777777" w:rsidR="00EC0D1E" w:rsidRPr="00C92CC4" w:rsidRDefault="00EC0D1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61A6B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CCF0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56D1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F8A5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2C0F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B20D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4CBA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B0DF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FA18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2E9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E68F5"/>
    <w:multiLevelType w:val="hybridMultilevel"/>
    <w:tmpl w:val="0F523940"/>
    <w:lvl w:ilvl="0" w:tplc="7C6835B8">
      <w:start w:val="1"/>
      <w:numFmt w:val="lowerLetter"/>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AB5440"/>
    <w:multiLevelType w:val="multilevel"/>
    <w:tmpl w:val="314A3606"/>
    <w:lvl w:ilvl="0">
      <w:start w:val="1"/>
      <w:numFmt w:val="lowerLetter"/>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223430"/>
    <w:multiLevelType w:val="hybridMultilevel"/>
    <w:tmpl w:val="BC48C822"/>
    <w:lvl w:ilvl="0" w:tplc="7C6835B8">
      <w:start w:val="1"/>
      <w:numFmt w:val="lowerLetter"/>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2DC5069"/>
    <w:multiLevelType w:val="hybridMultilevel"/>
    <w:tmpl w:val="4F6EBD34"/>
    <w:lvl w:ilvl="0" w:tplc="7C6835B8">
      <w:start w:val="1"/>
      <w:numFmt w:val="lowerLetter"/>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268AC"/>
    <w:multiLevelType w:val="multilevel"/>
    <w:tmpl w:val="0F523940"/>
    <w:lvl w:ilvl="0">
      <w:start w:val="1"/>
      <w:numFmt w:val="lowerLetter"/>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8955E5"/>
    <w:multiLevelType w:val="hybridMultilevel"/>
    <w:tmpl w:val="314A3606"/>
    <w:lvl w:ilvl="0" w:tplc="7C6835B8">
      <w:start w:val="1"/>
      <w:numFmt w:val="lowerLetter"/>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8847A5"/>
    <w:multiLevelType w:val="multilevel"/>
    <w:tmpl w:val="4F6EBD34"/>
    <w:lvl w:ilvl="0">
      <w:start w:val="1"/>
      <w:numFmt w:val="lowerLetter"/>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6"/>
  </w:num>
  <w:num w:numId="3">
    <w:abstractNumId w:val="13"/>
  </w:num>
  <w:num w:numId="4">
    <w:abstractNumId w:val="21"/>
  </w:num>
  <w:num w:numId="5">
    <w:abstractNumId w:val="14"/>
  </w:num>
  <w:num w:numId="6">
    <w:abstractNumId w:val="19"/>
  </w:num>
  <w:num w:numId="7">
    <w:abstractNumId w:val="11"/>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0"/>
  </w:num>
  <w:num w:numId="19">
    <w:abstractNumId w:val="18"/>
  </w:num>
  <w:num w:numId="20">
    <w:abstractNumId w:val="20"/>
  </w:num>
  <w:num w:numId="21">
    <w:abstractNumId w:val="12"/>
  </w:num>
  <w:num w:numId="22">
    <w:abstractNumId w:val="17"/>
  </w:num>
  <w:num w:numId="23">
    <w:abstractNumId w:val="23"/>
  </w:num>
  <w:num w:numId="24">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CA"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96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18DF"/>
    <w:rsid w:val="00024ED4"/>
    <w:rsid w:val="00025DC7"/>
    <w:rsid w:val="000321C3"/>
    <w:rsid w:val="00035F09"/>
    <w:rsid w:val="00036D9A"/>
    <w:rsid w:val="000413E8"/>
    <w:rsid w:val="00044ECC"/>
    <w:rsid w:val="000531D3"/>
    <w:rsid w:val="00053BE7"/>
    <w:rsid w:val="0005646B"/>
    <w:rsid w:val="0005788B"/>
    <w:rsid w:val="00063B81"/>
    <w:rsid w:val="00071CD0"/>
    <w:rsid w:val="00077A17"/>
    <w:rsid w:val="0008102D"/>
    <w:rsid w:val="00082F4B"/>
    <w:rsid w:val="00086B26"/>
    <w:rsid w:val="00094C0E"/>
    <w:rsid w:val="000963FE"/>
    <w:rsid w:val="000970F2"/>
    <w:rsid w:val="000A146D"/>
    <w:rsid w:val="000C151F"/>
    <w:rsid w:val="000D11C4"/>
    <w:rsid w:val="000D2707"/>
    <w:rsid w:val="000D2A2F"/>
    <w:rsid w:val="000D7091"/>
    <w:rsid w:val="000E1735"/>
    <w:rsid w:val="000E2A53"/>
    <w:rsid w:val="000F0C22"/>
    <w:rsid w:val="000F4524"/>
    <w:rsid w:val="000F6B09"/>
    <w:rsid w:val="000F6FDC"/>
    <w:rsid w:val="00104567"/>
    <w:rsid w:val="001046C8"/>
    <w:rsid w:val="00104916"/>
    <w:rsid w:val="00104AA7"/>
    <w:rsid w:val="001131E6"/>
    <w:rsid w:val="0012732D"/>
    <w:rsid w:val="001416B6"/>
    <w:rsid w:val="00143CA5"/>
    <w:rsid w:val="00143F25"/>
    <w:rsid w:val="001477CA"/>
    <w:rsid w:val="00152682"/>
    <w:rsid w:val="00154FC9"/>
    <w:rsid w:val="00155A16"/>
    <w:rsid w:val="00165BDA"/>
    <w:rsid w:val="0019241A"/>
    <w:rsid w:val="00192A18"/>
    <w:rsid w:val="00193C6F"/>
    <w:rsid w:val="001A22D1"/>
    <w:rsid w:val="001A752D"/>
    <w:rsid w:val="001A757E"/>
    <w:rsid w:val="001B5032"/>
    <w:rsid w:val="001C7777"/>
    <w:rsid w:val="001D344B"/>
    <w:rsid w:val="001E1481"/>
    <w:rsid w:val="001E1A28"/>
    <w:rsid w:val="001E364F"/>
    <w:rsid w:val="001F146C"/>
    <w:rsid w:val="001F4222"/>
    <w:rsid w:val="00203AA1"/>
    <w:rsid w:val="002112E9"/>
    <w:rsid w:val="00213E98"/>
    <w:rsid w:val="002146D0"/>
    <w:rsid w:val="00230150"/>
    <w:rsid w:val="0023081A"/>
    <w:rsid w:val="00233111"/>
    <w:rsid w:val="002360BC"/>
    <w:rsid w:val="002400D1"/>
    <w:rsid w:val="00264195"/>
    <w:rsid w:val="002647DC"/>
    <w:rsid w:val="00265FA8"/>
    <w:rsid w:val="002911B6"/>
    <w:rsid w:val="0029761A"/>
    <w:rsid w:val="002A2E5D"/>
    <w:rsid w:val="002C4E29"/>
    <w:rsid w:val="002C59A4"/>
    <w:rsid w:val="002D5EC3"/>
    <w:rsid w:val="002D75D2"/>
    <w:rsid w:val="002E3873"/>
    <w:rsid w:val="002E6907"/>
    <w:rsid w:val="002E7375"/>
    <w:rsid w:val="002F0507"/>
    <w:rsid w:val="002F171D"/>
    <w:rsid w:val="002F460C"/>
    <w:rsid w:val="002F48D6"/>
    <w:rsid w:val="0030596B"/>
    <w:rsid w:val="003146E9"/>
    <w:rsid w:val="00317391"/>
    <w:rsid w:val="00326216"/>
    <w:rsid w:val="00336580"/>
    <w:rsid w:val="00354899"/>
    <w:rsid w:val="003549D6"/>
    <w:rsid w:val="003557FF"/>
    <w:rsid w:val="00355FD6"/>
    <w:rsid w:val="00360411"/>
    <w:rsid w:val="00364A5C"/>
    <w:rsid w:val="0036663D"/>
    <w:rsid w:val="00373FB1"/>
    <w:rsid w:val="00396C76"/>
    <w:rsid w:val="00397A21"/>
    <w:rsid w:val="003B30D8"/>
    <w:rsid w:val="003B7EF2"/>
    <w:rsid w:val="003C1683"/>
    <w:rsid w:val="003C3FA4"/>
    <w:rsid w:val="003D09B8"/>
    <w:rsid w:val="003D0BA1"/>
    <w:rsid w:val="003D174A"/>
    <w:rsid w:val="003D24BF"/>
    <w:rsid w:val="003E1661"/>
    <w:rsid w:val="003E18B0"/>
    <w:rsid w:val="003F2B0C"/>
    <w:rsid w:val="003F50F0"/>
    <w:rsid w:val="003F51FE"/>
    <w:rsid w:val="003F5409"/>
    <w:rsid w:val="003F791D"/>
    <w:rsid w:val="004105B2"/>
    <w:rsid w:val="00410D37"/>
    <w:rsid w:val="0041145A"/>
    <w:rsid w:val="00412900"/>
    <w:rsid w:val="004221E4"/>
    <w:rsid w:val="00424F72"/>
    <w:rsid w:val="004273F8"/>
    <w:rsid w:val="0043511E"/>
    <w:rsid w:val="004355A3"/>
    <w:rsid w:val="00446546"/>
    <w:rsid w:val="00452769"/>
    <w:rsid w:val="00454FA7"/>
    <w:rsid w:val="00465348"/>
    <w:rsid w:val="0047276A"/>
    <w:rsid w:val="004979A5"/>
    <w:rsid w:val="004A25E0"/>
    <w:rsid w:val="004B1CCB"/>
    <w:rsid w:val="004B310F"/>
    <w:rsid w:val="004B632F"/>
    <w:rsid w:val="004C49E6"/>
    <w:rsid w:val="004D3FB1"/>
    <w:rsid w:val="004D6F21"/>
    <w:rsid w:val="004D73A5"/>
    <w:rsid w:val="004E2186"/>
    <w:rsid w:val="004E727B"/>
    <w:rsid w:val="004F2887"/>
    <w:rsid w:val="00504BD6"/>
    <w:rsid w:val="0050547E"/>
    <w:rsid w:val="00514126"/>
    <w:rsid w:val="005160F1"/>
    <w:rsid w:val="00524F2F"/>
    <w:rsid w:val="00526898"/>
    <w:rsid w:val="00527E5C"/>
    <w:rsid w:val="00531DC2"/>
    <w:rsid w:val="00532CF5"/>
    <w:rsid w:val="005339AA"/>
    <w:rsid w:val="00537215"/>
    <w:rsid w:val="00543269"/>
    <w:rsid w:val="00550624"/>
    <w:rsid w:val="005528CB"/>
    <w:rsid w:val="0056345B"/>
    <w:rsid w:val="00564B13"/>
    <w:rsid w:val="0056669C"/>
    <w:rsid w:val="00566771"/>
    <w:rsid w:val="00581551"/>
    <w:rsid w:val="00581E2E"/>
    <w:rsid w:val="00584F15"/>
    <w:rsid w:val="0059514B"/>
    <w:rsid w:val="005953CB"/>
    <w:rsid w:val="005A1B0F"/>
    <w:rsid w:val="005A4A35"/>
    <w:rsid w:val="005B2D00"/>
    <w:rsid w:val="005B5EFE"/>
    <w:rsid w:val="005C3920"/>
    <w:rsid w:val="006048D3"/>
    <w:rsid w:val="0061034C"/>
    <w:rsid w:val="006126F9"/>
    <w:rsid w:val="006163F7"/>
    <w:rsid w:val="00625C0C"/>
    <w:rsid w:val="00627C63"/>
    <w:rsid w:val="00632168"/>
    <w:rsid w:val="0063350B"/>
    <w:rsid w:val="00642D25"/>
    <w:rsid w:val="00652606"/>
    <w:rsid w:val="00652FA6"/>
    <w:rsid w:val="006553BC"/>
    <w:rsid w:val="0066401A"/>
    <w:rsid w:val="00665CCF"/>
    <w:rsid w:val="00667F3C"/>
    <w:rsid w:val="00676552"/>
    <w:rsid w:val="00691A6E"/>
    <w:rsid w:val="006946EE"/>
    <w:rsid w:val="0069730F"/>
    <w:rsid w:val="006A0A6F"/>
    <w:rsid w:val="006A58A9"/>
    <w:rsid w:val="006A606D"/>
    <w:rsid w:val="006B22E3"/>
    <w:rsid w:val="006B612F"/>
    <w:rsid w:val="006B7001"/>
    <w:rsid w:val="006C0371"/>
    <w:rsid w:val="006C08B6"/>
    <w:rsid w:val="006C0B1A"/>
    <w:rsid w:val="006C6065"/>
    <w:rsid w:val="006C7F9F"/>
    <w:rsid w:val="006D24A6"/>
    <w:rsid w:val="006D472A"/>
    <w:rsid w:val="006E2F6D"/>
    <w:rsid w:val="006E58F6"/>
    <w:rsid w:val="006E77E1"/>
    <w:rsid w:val="006E7D8F"/>
    <w:rsid w:val="006F131D"/>
    <w:rsid w:val="006F4B56"/>
    <w:rsid w:val="006F4BB9"/>
    <w:rsid w:val="00705B73"/>
    <w:rsid w:val="00711642"/>
    <w:rsid w:val="007331B7"/>
    <w:rsid w:val="007507C6"/>
    <w:rsid w:val="00751E0B"/>
    <w:rsid w:val="00752BCD"/>
    <w:rsid w:val="00756417"/>
    <w:rsid w:val="00766DA1"/>
    <w:rsid w:val="007728DA"/>
    <w:rsid w:val="00780D94"/>
    <w:rsid w:val="00781648"/>
    <w:rsid w:val="007866A6"/>
    <w:rsid w:val="007A130D"/>
    <w:rsid w:val="007B26D1"/>
    <w:rsid w:val="007B608F"/>
    <w:rsid w:val="007D1A2D"/>
    <w:rsid w:val="007D38FB"/>
    <w:rsid w:val="007D3962"/>
    <w:rsid w:val="007D4102"/>
    <w:rsid w:val="007E1A7A"/>
    <w:rsid w:val="007E54A7"/>
    <w:rsid w:val="007F2F32"/>
    <w:rsid w:val="007F43B7"/>
    <w:rsid w:val="007F65C2"/>
    <w:rsid w:val="00804494"/>
    <w:rsid w:val="00821FFC"/>
    <w:rsid w:val="008271CA"/>
    <w:rsid w:val="00833E7E"/>
    <w:rsid w:val="0083746B"/>
    <w:rsid w:val="00840F91"/>
    <w:rsid w:val="008467D5"/>
    <w:rsid w:val="008619FC"/>
    <w:rsid w:val="00862073"/>
    <w:rsid w:val="00870314"/>
    <w:rsid w:val="00875C80"/>
    <w:rsid w:val="00880548"/>
    <w:rsid w:val="00887A6D"/>
    <w:rsid w:val="00894653"/>
    <w:rsid w:val="008970AF"/>
    <w:rsid w:val="008A4DC4"/>
    <w:rsid w:val="008B0936"/>
    <w:rsid w:val="008B438C"/>
    <w:rsid w:val="008B4B94"/>
    <w:rsid w:val="008D06CA"/>
    <w:rsid w:val="008D3A46"/>
    <w:rsid w:val="008F182F"/>
    <w:rsid w:val="008F2385"/>
    <w:rsid w:val="00903380"/>
    <w:rsid w:val="00903B9A"/>
    <w:rsid w:val="009067A4"/>
    <w:rsid w:val="00915382"/>
    <w:rsid w:val="009206E4"/>
    <w:rsid w:val="00930885"/>
    <w:rsid w:val="00933D68"/>
    <w:rsid w:val="009340DB"/>
    <w:rsid w:val="0094618C"/>
    <w:rsid w:val="009468F6"/>
    <w:rsid w:val="0095684B"/>
    <w:rsid w:val="00956866"/>
    <w:rsid w:val="00960EC7"/>
    <w:rsid w:val="00972498"/>
    <w:rsid w:val="00972E98"/>
    <w:rsid w:val="0097481F"/>
    <w:rsid w:val="00974CC6"/>
    <w:rsid w:val="00976AD4"/>
    <w:rsid w:val="00994652"/>
    <w:rsid w:val="00995547"/>
    <w:rsid w:val="009A312F"/>
    <w:rsid w:val="009A5348"/>
    <w:rsid w:val="009A55C4"/>
    <w:rsid w:val="009A6431"/>
    <w:rsid w:val="009B0AB7"/>
    <w:rsid w:val="009B6981"/>
    <w:rsid w:val="009C76D5"/>
    <w:rsid w:val="009D04D0"/>
    <w:rsid w:val="009D0FDB"/>
    <w:rsid w:val="009D4E09"/>
    <w:rsid w:val="009D6E9E"/>
    <w:rsid w:val="009F19D7"/>
    <w:rsid w:val="009F704E"/>
    <w:rsid w:val="009F75AE"/>
    <w:rsid w:val="009F7AA4"/>
    <w:rsid w:val="00A10AD7"/>
    <w:rsid w:val="00A14E92"/>
    <w:rsid w:val="00A22CD1"/>
    <w:rsid w:val="00A559DB"/>
    <w:rsid w:val="00A569EA"/>
    <w:rsid w:val="00A62DF5"/>
    <w:rsid w:val="00A676A0"/>
    <w:rsid w:val="00AB1BBB"/>
    <w:rsid w:val="00AB6E77"/>
    <w:rsid w:val="00AC40DC"/>
    <w:rsid w:val="00AE420B"/>
    <w:rsid w:val="00AE4F82"/>
    <w:rsid w:val="00AF0593"/>
    <w:rsid w:val="00AF35FC"/>
    <w:rsid w:val="00AF401E"/>
    <w:rsid w:val="00AF5556"/>
    <w:rsid w:val="00B004C4"/>
    <w:rsid w:val="00B03639"/>
    <w:rsid w:val="00B03678"/>
    <w:rsid w:val="00B053F8"/>
    <w:rsid w:val="00B0652A"/>
    <w:rsid w:val="00B316DF"/>
    <w:rsid w:val="00B37F0C"/>
    <w:rsid w:val="00B40937"/>
    <w:rsid w:val="00B42146"/>
    <w:rsid w:val="00B423EF"/>
    <w:rsid w:val="00B453DE"/>
    <w:rsid w:val="00B50D5E"/>
    <w:rsid w:val="00B567B1"/>
    <w:rsid w:val="00B62497"/>
    <w:rsid w:val="00B63703"/>
    <w:rsid w:val="00B64F78"/>
    <w:rsid w:val="00B72597"/>
    <w:rsid w:val="00B87263"/>
    <w:rsid w:val="00B87DC0"/>
    <w:rsid w:val="00B901F9"/>
    <w:rsid w:val="00BA656F"/>
    <w:rsid w:val="00BC2936"/>
    <w:rsid w:val="00BC2C4A"/>
    <w:rsid w:val="00BC4D98"/>
    <w:rsid w:val="00BC54B4"/>
    <w:rsid w:val="00BD6EFB"/>
    <w:rsid w:val="00BE3DF5"/>
    <w:rsid w:val="00BF3F68"/>
    <w:rsid w:val="00BF5EAB"/>
    <w:rsid w:val="00C02410"/>
    <w:rsid w:val="00C02535"/>
    <w:rsid w:val="00C1320C"/>
    <w:rsid w:val="00C1584D"/>
    <w:rsid w:val="00C15BE2"/>
    <w:rsid w:val="00C17749"/>
    <w:rsid w:val="00C24447"/>
    <w:rsid w:val="00C329D4"/>
    <w:rsid w:val="00C3447F"/>
    <w:rsid w:val="00C420C5"/>
    <w:rsid w:val="00C44714"/>
    <w:rsid w:val="00C67102"/>
    <w:rsid w:val="00C7025B"/>
    <w:rsid w:val="00C81491"/>
    <w:rsid w:val="00C81676"/>
    <w:rsid w:val="00C8341D"/>
    <w:rsid w:val="00C85C5D"/>
    <w:rsid w:val="00C909EC"/>
    <w:rsid w:val="00C92CC4"/>
    <w:rsid w:val="00CA0AFB"/>
    <w:rsid w:val="00CA2CE1"/>
    <w:rsid w:val="00CA3976"/>
    <w:rsid w:val="00CA50E3"/>
    <w:rsid w:val="00CA757B"/>
    <w:rsid w:val="00CC1787"/>
    <w:rsid w:val="00CC182C"/>
    <w:rsid w:val="00CC2A7F"/>
    <w:rsid w:val="00CD0824"/>
    <w:rsid w:val="00CD2908"/>
    <w:rsid w:val="00CD2ED3"/>
    <w:rsid w:val="00CD3C50"/>
    <w:rsid w:val="00CD72F9"/>
    <w:rsid w:val="00CF47A8"/>
    <w:rsid w:val="00D03A82"/>
    <w:rsid w:val="00D11871"/>
    <w:rsid w:val="00D13667"/>
    <w:rsid w:val="00D138FC"/>
    <w:rsid w:val="00D14907"/>
    <w:rsid w:val="00D15344"/>
    <w:rsid w:val="00D23F57"/>
    <w:rsid w:val="00D31BEC"/>
    <w:rsid w:val="00D56116"/>
    <w:rsid w:val="00D601B3"/>
    <w:rsid w:val="00D63150"/>
    <w:rsid w:val="00D636BA"/>
    <w:rsid w:val="00D64A32"/>
    <w:rsid w:val="00D64EFC"/>
    <w:rsid w:val="00D75295"/>
    <w:rsid w:val="00D76CE9"/>
    <w:rsid w:val="00D812EF"/>
    <w:rsid w:val="00D9492D"/>
    <w:rsid w:val="00D97A03"/>
    <w:rsid w:val="00D97F12"/>
    <w:rsid w:val="00DA29C6"/>
    <w:rsid w:val="00DA6095"/>
    <w:rsid w:val="00DB3309"/>
    <w:rsid w:val="00DB42E7"/>
    <w:rsid w:val="00DB64BE"/>
    <w:rsid w:val="00DB69AF"/>
    <w:rsid w:val="00DC09D8"/>
    <w:rsid w:val="00DC449E"/>
    <w:rsid w:val="00DD7F20"/>
    <w:rsid w:val="00DE01A6"/>
    <w:rsid w:val="00DE038E"/>
    <w:rsid w:val="00DE7A98"/>
    <w:rsid w:val="00DF32C2"/>
    <w:rsid w:val="00DF34C9"/>
    <w:rsid w:val="00E11A99"/>
    <w:rsid w:val="00E222B9"/>
    <w:rsid w:val="00E266F8"/>
    <w:rsid w:val="00E32D02"/>
    <w:rsid w:val="00E41D34"/>
    <w:rsid w:val="00E471A7"/>
    <w:rsid w:val="00E5017E"/>
    <w:rsid w:val="00E574B7"/>
    <w:rsid w:val="00E635CF"/>
    <w:rsid w:val="00E64314"/>
    <w:rsid w:val="00E64FC5"/>
    <w:rsid w:val="00E81C57"/>
    <w:rsid w:val="00E96718"/>
    <w:rsid w:val="00EA7A7D"/>
    <w:rsid w:val="00EB1E3B"/>
    <w:rsid w:val="00EB329C"/>
    <w:rsid w:val="00EC0D1E"/>
    <w:rsid w:val="00EC2411"/>
    <w:rsid w:val="00EC6E0A"/>
    <w:rsid w:val="00ED063D"/>
    <w:rsid w:val="00ED4E18"/>
    <w:rsid w:val="00ED7922"/>
    <w:rsid w:val="00EE02C4"/>
    <w:rsid w:val="00EE0F57"/>
    <w:rsid w:val="00EE1F37"/>
    <w:rsid w:val="00EE504F"/>
    <w:rsid w:val="00EE6BB3"/>
    <w:rsid w:val="00EE6D2E"/>
    <w:rsid w:val="00F0159C"/>
    <w:rsid w:val="00F105B7"/>
    <w:rsid w:val="00F13220"/>
    <w:rsid w:val="00F17A21"/>
    <w:rsid w:val="00F3536A"/>
    <w:rsid w:val="00F37B27"/>
    <w:rsid w:val="00F42D8C"/>
    <w:rsid w:val="00F46556"/>
    <w:rsid w:val="00F50E91"/>
    <w:rsid w:val="00F57D29"/>
    <w:rsid w:val="00F60786"/>
    <w:rsid w:val="00F66B66"/>
    <w:rsid w:val="00F71427"/>
    <w:rsid w:val="00F87B51"/>
    <w:rsid w:val="00F91BC7"/>
    <w:rsid w:val="00F96201"/>
    <w:rsid w:val="00F9623D"/>
    <w:rsid w:val="00FA1BBC"/>
    <w:rsid w:val="00FC6B89"/>
    <w:rsid w:val="00FD0B18"/>
    <w:rsid w:val="00FD2FAD"/>
    <w:rsid w:val="00FE714F"/>
    <w:rsid w:val="00FF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7"/>
    <o:shapelayout v:ext="edit">
      <o:idmap v:ext="edit" data="1"/>
    </o:shapelayout>
  </w:shapeDefaults>
  <w:decimalSymbol w:val="."/>
  <w:listSeparator w:val=","/>
  <w14:docId w14:val="5BBB7744"/>
  <w15:docId w15:val="{366CC1AB-7E6A-4AA9-B048-F1541902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0D37"/>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410D37"/>
    <w:pPr>
      <w:keepNext/>
    </w:pPr>
    <w:rPr>
      <w:rFonts w:ascii="Arial" w:hAnsi="Arial" w:cs="Arial"/>
      <w:b/>
      <w:caps/>
      <w:sz w:val="20"/>
      <w:szCs w:val="20"/>
    </w:rPr>
  </w:style>
  <w:style w:type="character" w:customStyle="1" w:styleId="Casehead1Char">
    <w:name w:val="Casehead 1 Char"/>
    <w:basedOn w:val="BodyTextMainChar"/>
    <w:link w:val="Casehead1"/>
    <w:rsid w:val="00410D37"/>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D11871"/>
    <w:rPr>
      <w:b w:val="0"/>
      <w:color w:val="auto"/>
      <w:vertAlign w:val="superscript"/>
    </w:rPr>
  </w:style>
  <w:style w:type="paragraph" w:customStyle="1" w:styleId="Footnote">
    <w:name w:val="Footnote"/>
    <w:basedOn w:val="FootnoteText"/>
    <w:link w:val="FootnoteChar"/>
    <w:qFormat/>
    <w:rsid w:val="00C8341D"/>
    <w:rPr>
      <w:rFonts w:ascii="Arial" w:hAnsi="Arial" w:cs="Arial"/>
      <w:sz w:val="17"/>
      <w:szCs w:val="17"/>
    </w:rPr>
  </w:style>
  <w:style w:type="character" w:customStyle="1" w:styleId="FootnoteChar">
    <w:name w:val="Footnote Char"/>
    <w:basedOn w:val="FootnoteTextChar"/>
    <w:link w:val="Footnote"/>
    <w:rsid w:val="00C8341D"/>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410D37"/>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410D37"/>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rsid w:val="004273F8"/>
    <w:rPr>
      <w:b/>
      <w:bCs/>
    </w:rPr>
  </w:style>
  <w:style w:type="character" w:styleId="IntenseReference">
    <w:name w:val="Intense Reference"/>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D11871"/>
    <w:rPr>
      <w:b w:val="0"/>
      <w:color w:val="auto"/>
      <w:vertAlign w:val="superscript"/>
    </w:rPr>
  </w:style>
  <w:style w:type="paragraph" w:styleId="NoSpacing">
    <w:name w:val="No Spacing"/>
    <w:link w:val="NoSpacingChar"/>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character" w:styleId="HTMLCite">
    <w:name w:val="HTML Cite"/>
    <w:basedOn w:val="DefaultParagraphFont"/>
    <w:uiPriority w:val="99"/>
    <w:semiHidden/>
    <w:unhideWhenUsed/>
    <w:rsid w:val="00165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0712">
      <w:bodyDiv w:val="1"/>
      <w:marLeft w:val="0"/>
      <w:marRight w:val="0"/>
      <w:marTop w:val="0"/>
      <w:marBottom w:val="0"/>
      <w:divBdr>
        <w:top w:val="none" w:sz="0" w:space="0" w:color="auto"/>
        <w:left w:val="none" w:sz="0" w:space="0" w:color="auto"/>
        <w:bottom w:val="none" w:sz="0" w:space="0" w:color="auto"/>
        <w:right w:val="none" w:sz="0" w:space="0" w:color="auto"/>
      </w:divBdr>
    </w:div>
    <w:div w:id="225183773">
      <w:bodyDiv w:val="1"/>
      <w:marLeft w:val="0"/>
      <w:marRight w:val="0"/>
      <w:marTop w:val="0"/>
      <w:marBottom w:val="0"/>
      <w:divBdr>
        <w:top w:val="none" w:sz="0" w:space="0" w:color="auto"/>
        <w:left w:val="none" w:sz="0" w:space="0" w:color="auto"/>
        <w:bottom w:val="none" w:sz="0" w:space="0" w:color="auto"/>
        <w:right w:val="none" w:sz="0" w:space="0" w:color="auto"/>
      </w:divBdr>
    </w:div>
    <w:div w:id="442454742">
      <w:bodyDiv w:val="1"/>
      <w:marLeft w:val="0"/>
      <w:marRight w:val="0"/>
      <w:marTop w:val="0"/>
      <w:marBottom w:val="0"/>
      <w:divBdr>
        <w:top w:val="none" w:sz="0" w:space="0" w:color="auto"/>
        <w:left w:val="none" w:sz="0" w:space="0" w:color="auto"/>
        <w:bottom w:val="none" w:sz="0" w:space="0" w:color="auto"/>
        <w:right w:val="none" w:sz="0" w:space="0" w:color="auto"/>
      </w:divBdr>
      <w:divsChild>
        <w:div w:id="975724528">
          <w:marLeft w:val="0"/>
          <w:marRight w:val="0"/>
          <w:marTop w:val="0"/>
          <w:marBottom w:val="0"/>
          <w:divBdr>
            <w:top w:val="none" w:sz="0" w:space="0" w:color="auto"/>
            <w:left w:val="none" w:sz="0" w:space="0" w:color="auto"/>
            <w:bottom w:val="none" w:sz="0" w:space="0" w:color="auto"/>
            <w:right w:val="none" w:sz="0" w:space="0" w:color="auto"/>
          </w:divBdr>
        </w:div>
      </w:divsChild>
    </w:div>
    <w:div w:id="465900388">
      <w:bodyDiv w:val="1"/>
      <w:marLeft w:val="0"/>
      <w:marRight w:val="0"/>
      <w:marTop w:val="0"/>
      <w:marBottom w:val="0"/>
      <w:divBdr>
        <w:top w:val="none" w:sz="0" w:space="0" w:color="auto"/>
        <w:left w:val="none" w:sz="0" w:space="0" w:color="auto"/>
        <w:bottom w:val="none" w:sz="0" w:space="0" w:color="auto"/>
        <w:right w:val="none" w:sz="0" w:space="0" w:color="auto"/>
      </w:divBdr>
    </w:div>
    <w:div w:id="766586202">
      <w:bodyDiv w:val="1"/>
      <w:marLeft w:val="0"/>
      <w:marRight w:val="0"/>
      <w:marTop w:val="0"/>
      <w:marBottom w:val="0"/>
      <w:divBdr>
        <w:top w:val="none" w:sz="0" w:space="0" w:color="auto"/>
        <w:left w:val="none" w:sz="0" w:space="0" w:color="auto"/>
        <w:bottom w:val="none" w:sz="0" w:space="0" w:color="auto"/>
        <w:right w:val="none" w:sz="0" w:space="0" w:color="auto"/>
      </w:divBdr>
      <w:divsChild>
        <w:div w:id="1106927867">
          <w:marLeft w:val="0"/>
          <w:marRight w:val="0"/>
          <w:marTop w:val="0"/>
          <w:marBottom w:val="0"/>
          <w:divBdr>
            <w:top w:val="none" w:sz="0" w:space="0" w:color="auto"/>
            <w:left w:val="none" w:sz="0" w:space="0" w:color="auto"/>
            <w:bottom w:val="none" w:sz="0" w:space="0" w:color="auto"/>
            <w:right w:val="none" w:sz="0" w:space="0" w:color="auto"/>
          </w:divBdr>
        </w:div>
      </w:divsChild>
    </w:div>
    <w:div w:id="956066463">
      <w:bodyDiv w:val="1"/>
      <w:marLeft w:val="0"/>
      <w:marRight w:val="0"/>
      <w:marTop w:val="0"/>
      <w:marBottom w:val="0"/>
      <w:divBdr>
        <w:top w:val="none" w:sz="0" w:space="0" w:color="auto"/>
        <w:left w:val="none" w:sz="0" w:space="0" w:color="auto"/>
        <w:bottom w:val="none" w:sz="0" w:space="0" w:color="auto"/>
        <w:right w:val="none" w:sz="0" w:space="0" w:color="auto"/>
      </w:divBdr>
    </w:div>
    <w:div w:id="1304777277">
      <w:bodyDiv w:val="1"/>
      <w:marLeft w:val="0"/>
      <w:marRight w:val="0"/>
      <w:marTop w:val="0"/>
      <w:marBottom w:val="0"/>
      <w:divBdr>
        <w:top w:val="none" w:sz="0" w:space="0" w:color="auto"/>
        <w:left w:val="none" w:sz="0" w:space="0" w:color="auto"/>
        <w:bottom w:val="none" w:sz="0" w:space="0" w:color="auto"/>
        <w:right w:val="none" w:sz="0" w:space="0" w:color="auto"/>
      </w:divBdr>
    </w:div>
    <w:div w:id="132540209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43103921">
      <w:bodyDiv w:val="1"/>
      <w:marLeft w:val="0"/>
      <w:marRight w:val="0"/>
      <w:marTop w:val="0"/>
      <w:marBottom w:val="0"/>
      <w:divBdr>
        <w:top w:val="none" w:sz="0" w:space="0" w:color="auto"/>
        <w:left w:val="none" w:sz="0" w:space="0" w:color="auto"/>
        <w:bottom w:val="none" w:sz="0" w:space="0" w:color="auto"/>
        <w:right w:val="none" w:sz="0" w:space="0" w:color="auto"/>
      </w:divBdr>
    </w:div>
    <w:div w:id="201322077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12838-C20B-46EB-A6A3-489197C2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3965</Words>
  <Characters>22602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McCutcheon, Amber</dc:creator>
  <cp:lastModifiedBy>McCutcheon, Amber</cp:lastModifiedBy>
  <cp:revision>4</cp:revision>
  <cp:lastPrinted>2019-03-04T20:01:00Z</cp:lastPrinted>
  <dcterms:created xsi:type="dcterms:W3CDTF">2019-03-13T19:48:00Z</dcterms:created>
  <dcterms:modified xsi:type="dcterms:W3CDTF">2019-03-14T20:21:00Z</dcterms:modified>
</cp:coreProperties>
</file>