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4C72CB" w14:textId="77777777" w:rsidR="00427D4B" w:rsidRPr="00416121" w:rsidRDefault="00427D4B" w:rsidP="00427D4B">
      <w:pPr>
        <w:pBdr>
          <w:bottom w:val="single" w:sz="18" w:space="1" w:color="auto"/>
        </w:pBdr>
        <w:tabs>
          <w:tab w:val="left" w:pos="-1440"/>
          <w:tab w:val="left" w:pos="-720"/>
          <w:tab w:val="left" w:pos="1"/>
        </w:tabs>
        <w:jc w:val="both"/>
        <w:rPr>
          <w:rFonts w:ascii="Arial" w:hAnsi="Arial"/>
          <w:b/>
          <w:sz w:val="24"/>
        </w:rPr>
      </w:pPr>
      <w:r w:rsidRPr="00416121">
        <w:rPr>
          <w:rFonts w:ascii="Arial" w:hAnsi="Arial"/>
          <w:b/>
          <w:noProof/>
          <w:sz w:val="24"/>
          <w:lang w:val="en-US"/>
        </w:rPr>
        <w:drawing>
          <wp:inline distT="0" distB="0" distL="0" distR="0" wp14:anchorId="718361A3" wp14:editId="58458BD8">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52DC8912" w14:textId="706B835E" w:rsidR="00427D4B" w:rsidRPr="00416121" w:rsidRDefault="0080537B" w:rsidP="00427D4B">
      <w:pPr>
        <w:pStyle w:val="ProductNumber"/>
      </w:pPr>
      <w:r>
        <w:t>9B19N007</w:t>
      </w:r>
    </w:p>
    <w:p w14:paraId="4E057522" w14:textId="77777777" w:rsidR="00D75295" w:rsidRPr="00416121" w:rsidRDefault="00D75295" w:rsidP="00D75295">
      <w:pPr>
        <w:jc w:val="right"/>
        <w:rPr>
          <w:rFonts w:ascii="Arial" w:hAnsi="Arial"/>
          <w:b/>
          <w:sz w:val="28"/>
          <w:szCs w:val="28"/>
        </w:rPr>
      </w:pPr>
    </w:p>
    <w:p w14:paraId="426B7211" w14:textId="77777777" w:rsidR="00013360" w:rsidRPr="00416121" w:rsidRDefault="00013360" w:rsidP="00D75295">
      <w:pPr>
        <w:jc w:val="right"/>
        <w:rPr>
          <w:rFonts w:ascii="Arial" w:hAnsi="Arial"/>
          <w:b/>
          <w:sz w:val="28"/>
          <w:szCs w:val="28"/>
        </w:rPr>
      </w:pPr>
    </w:p>
    <w:p w14:paraId="339DCFF9" w14:textId="5BF11F31" w:rsidR="0081057D" w:rsidRPr="00416121" w:rsidRDefault="0081057D" w:rsidP="0081057D">
      <w:pPr>
        <w:jc w:val="both"/>
        <w:rPr>
          <w:rFonts w:ascii="Arial" w:eastAsia="Calibri" w:hAnsi="Arial" w:cs="Arial"/>
          <w:b/>
          <w:sz w:val="24"/>
          <w:szCs w:val="22"/>
        </w:rPr>
      </w:pPr>
      <w:r w:rsidRPr="00416121">
        <w:rPr>
          <w:rFonts w:ascii="Arial" w:eastAsia="Calibri" w:hAnsi="Arial" w:cs="Arial"/>
          <w:b/>
          <w:sz w:val="28"/>
          <w:szCs w:val="22"/>
        </w:rPr>
        <w:t>BERKSHIRE HATHAWAY: DIVIDEND POLICY PARADIGM</w:t>
      </w:r>
      <w:r w:rsidRPr="00660430">
        <w:rPr>
          <w:rStyle w:val="EndnoteReference"/>
          <w:rFonts w:ascii="Arial" w:eastAsia="Calibri" w:hAnsi="Arial" w:cs="Arial"/>
          <w:b/>
          <w:sz w:val="28"/>
          <w:szCs w:val="28"/>
        </w:rPr>
        <w:endnoteReference w:id="1"/>
      </w:r>
    </w:p>
    <w:p w14:paraId="40ABF6FD" w14:textId="77777777" w:rsidR="00CA3976" w:rsidRPr="00416121" w:rsidRDefault="00CA3976" w:rsidP="0081057D">
      <w:pPr>
        <w:pStyle w:val="CaseTitle"/>
        <w:spacing w:after="0" w:line="240" w:lineRule="auto"/>
        <w:rPr>
          <w:sz w:val="20"/>
          <w:szCs w:val="20"/>
        </w:rPr>
      </w:pPr>
    </w:p>
    <w:p w14:paraId="202F1085" w14:textId="77777777" w:rsidR="00013360" w:rsidRPr="00416121" w:rsidRDefault="00013360" w:rsidP="00013360">
      <w:pPr>
        <w:pStyle w:val="CaseTitle"/>
        <w:spacing w:after="0" w:line="240" w:lineRule="auto"/>
        <w:rPr>
          <w:sz w:val="20"/>
          <w:szCs w:val="20"/>
        </w:rPr>
      </w:pPr>
    </w:p>
    <w:p w14:paraId="58B0C73F" w14:textId="1487FD77" w:rsidR="00086B26" w:rsidRPr="00416121" w:rsidRDefault="00FB0117" w:rsidP="00086B26">
      <w:pPr>
        <w:pStyle w:val="StyleCopyrightStatementAfter0ptBottomSinglesolidline1"/>
      </w:pPr>
      <w:r w:rsidRPr="00416121">
        <w:rPr>
          <w:rFonts w:cs="Arial"/>
          <w:szCs w:val="16"/>
        </w:rPr>
        <w:t>Diwahar Nadar</w:t>
      </w:r>
      <w:r w:rsidR="00ED7922" w:rsidRPr="00416121">
        <w:rPr>
          <w:rFonts w:cs="Arial"/>
          <w:szCs w:val="16"/>
        </w:rPr>
        <w:t xml:space="preserve"> </w:t>
      </w:r>
      <w:r w:rsidR="00086B26" w:rsidRPr="00416121">
        <w:t>wrote this case solely to provide material for class discussion. The author do</w:t>
      </w:r>
      <w:r w:rsidR="006333DB">
        <w:t>es</w:t>
      </w:r>
      <w:r w:rsidR="00086B26" w:rsidRPr="00416121">
        <w:t xml:space="preserve"> not intend to illustrate either effective or ineffective handling of a managerial situation. The author may have disguised certain names and other identifying information to protect confidentiality.</w:t>
      </w:r>
    </w:p>
    <w:p w14:paraId="10D89D5F" w14:textId="77777777" w:rsidR="00086B26" w:rsidRPr="00416121" w:rsidRDefault="00086B26" w:rsidP="00086B26">
      <w:pPr>
        <w:pStyle w:val="StyleCopyrightStatementAfter0ptBottomSinglesolidline1"/>
      </w:pPr>
    </w:p>
    <w:p w14:paraId="57190373" w14:textId="77777777" w:rsidR="00427D4B" w:rsidRPr="00416121" w:rsidRDefault="00427D4B" w:rsidP="00427D4B">
      <w:pPr>
        <w:pStyle w:val="StyleStyleCopyrightStatementAfter0ptBottomSinglesolid"/>
        <w:rPr>
          <w:rFonts w:cs="Arial"/>
          <w:szCs w:val="16"/>
        </w:rPr>
      </w:pPr>
      <w:r w:rsidRPr="00416121">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 Our goal is to publish materials of the highest quality; submit any errata to publishcases@ivey.ca. </w:t>
      </w:r>
      <w:r w:rsidRPr="00416121">
        <w:rPr>
          <w:rFonts w:cs="Arial"/>
          <w:color w:val="FFFFFF" w:themeColor="background1"/>
          <w:szCs w:val="16"/>
        </w:rPr>
        <w:t>i1v2e5y5pubs</w:t>
      </w:r>
    </w:p>
    <w:p w14:paraId="75A62EF0" w14:textId="77777777" w:rsidR="00427D4B" w:rsidRPr="00416121" w:rsidRDefault="00427D4B" w:rsidP="00427D4B">
      <w:pPr>
        <w:pStyle w:val="StyleStyleCopyrightStatementAfter0ptBottomSinglesolid"/>
        <w:rPr>
          <w:rFonts w:cs="Arial"/>
          <w:szCs w:val="16"/>
        </w:rPr>
      </w:pPr>
    </w:p>
    <w:p w14:paraId="3922E14F" w14:textId="26C0EB9E" w:rsidR="00751E0B" w:rsidRPr="00416121" w:rsidRDefault="00427D4B" w:rsidP="00427D4B">
      <w:pPr>
        <w:pStyle w:val="StyleStyleCopyrightStatementAfter0ptBottomSinglesolid"/>
        <w:rPr>
          <w:rFonts w:cs="Arial"/>
          <w:szCs w:val="16"/>
        </w:rPr>
      </w:pPr>
      <w:r w:rsidRPr="00416121">
        <w:rPr>
          <w:rFonts w:cs="Arial"/>
          <w:iCs w:val="0"/>
          <w:color w:val="auto"/>
          <w:szCs w:val="16"/>
        </w:rPr>
        <w:t>Copyright © 2019, Ivey Business School Foundation</w:t>
      </w:r>
      <w:r w:rsidRPr="00416121">
        <w:rPr>
          <w:rFonts w:cs="Arial"/>
          <w:iCs w:val="0"/>
          <w:color w:val="auto"/>
          <w:szCs w:val="16"/>
        </w:rPr>
        <w:tab/>
        <w:t>Version: 2019-</w:t>
      </w:r>
      <w:r w:rsidR="006333DB">
        <w:rPr>
          <w:rFonts w:cs="Arial"/>
          <w:iCs w:val="0"/>
          <w:color w:val="auto"/>
          <w:szCs w:val="16"/>
        </w:rPr>
        <w:t>04-</w:t>
      </w:r>
      <w:r w:rsidR="0073763A">
        <w:rPr>
          <w:rFonts w:cs="Arial"/>
          <w:iCs w:val="0"/>
          <w:color w:val="auto"/>
          <w:szCs w:val="16"/>
        </w:rPr>
        <w:t>16</w:t>
      </w:r>
    </w:p>
    <w:p w14:paraId="0A2A54E4" w14:textId="77777777" w:rsidR="00751E0B" w:rsidRPr="00416121" w:rsidRDefault="00751E0B" w:rsidP="0081057D">
      <w:pPr>
        <w:pStyle w:val="StyleCopyrightStatementAfter0ptBottomSinglesolidline1"/>
        <w:rPr>
          <w:rFonts w:ascii="Times New Roman" w:hAnsi="Times New Roman"/>
          <w:sz w:val="22"/>
          <w:szCs w:val="22"/>
        </w:rPr>
      </w:pPr>
    </w:p>
    <w:p w14:paraId="6146AA2F" w14:textId="77777777" w:rsidR="0081057D" w:rsidRPr="00416121" w:rsidRDefault="0081057D" w:rsidP="0081057D">
      <w:pPr>
        <w:pStyle w:val="BodyTextMain"/>
        <w:rPr>
          <w:rFonts w:eastAsia="Calibri"/>
        </w:rPr>
      </w:pPr>
    </w:p>
    <w:p w14:paraId="6EFBC63B" w14:textId="521BD72D" w:rsidR="0081057D" w:rsidRPr="00416121" w:rsidRDefault="00842182" w:rsidP="0081057D">
      <w:pPr>
        <w:pStyle w:val="BodyTextMain"/>
        <w:rPr>
          <w:lang w:eastAsia="en-IN"/>
        </w:rPr>
      </w:pPr>
      <w:r w:rsidRPr="00416121">
        <w:rPr>
          <w:lang w:eastAsia="en-IN"/>
        </w:rPr>
        <w:t>From its inception in</w:t>
      </w:r>
      <w:r w:rsidR="0081057D" w:rsidRPr="00416121">
        <w:rPr>
          <w:lang w:eastAsia="en-IN"/>
        </w:rPr>
        <w:t xml:space="preserve"> 1955</w:t>
      </w:r>
      <w:r w:rsidR="0081057D" w:rsidRPr="006333DB">
        <w:rPr>
          <w:lang w:eastAsia="en-IN"/>
        </w:rPr>
        <w:t>,</w:t>
      </w:r>
      <w:r w:rsidR="0081057D" w:rsidRPr="00416121">
        <w:rPr>
          <w:b/>
          <w:lang w:eastAsia="en-IN"/>
        </w:rPr>
        <w:t xml:space="preserve"> </w:t>
      </w:r>
      <w:r w:rsidR="0081057D" w:rsidRPr="00416121">
        <w:rPr>
          <w:lang w:eastAsia="en-IN"/>
        </w:rPr>
        <w:t xml:space="preserve">Berkshire Hathaway </w:t>
      </w:r>
      <w:r w:rsidR="008F2AEE" w:rsidRPr="00416121">
        <w:rPr>
          <w:lang w:eastAsia="en-IN"/>
        </w:rPr>
        <w:t xml:space="preserve">Inc. </w:t>
      </w:r>
      <w:r w:rsidR="0073763A">
        <w:rPr>
          <w:lang w:eastAsia="en-IN"/>
        </w:rPr>
        <w:t xml:space="preserve">(Berkshire Hathaway) </w:t>
      </w:r>
      <w:r w:rsidR="0081057D" w:rsidRPr="00416121">
        <w:rPr>
          <w:lang w:eastAsia="en-IN"/>
        </w:rPr>
        <w:t>had grown by leaps and bounds in various sectors</w:t>
      </w:r>
      <w:r w:rsidRPr="00416121">
        <w:rPr>
          <w:lang w:eastAsia="en-IN"/>
        </w:rPr>
        <w:t>,</w:t>
      </w:r>
      <w:r w:rsidR="0081057D" w:rsidRPr="00416121">
        <w:rPr>
          <w:lang w:eastAsia="en-IN"/>
        </w:rPr>
        <w:t xml:space="preserve"> includ</w:t>
      </w:r>
      <w:r w:rsidRPr="00416121">
        <w:rPr>
          <w:lang w:eastAsia="en-IN"/>
        </w:rPr>
        <w:t>ing</w:t>
      </w:r>
      <w:r w:rsidR="0081057D" w:rsidRPr="00416121">
        <w:rPr>
          <w:lang w:eastAsia="en-IN"/>
        </w:rPr>
        <w:t xml:space="preserve"> financial services</w:t>
      </w:r>
      <w:r w:rsidRPr="00416121">
        <w:rPr>
          <w:lang w:eastAsia="en-IN"/>
        </w:rPr>
        <w:t>,</w:t>
      </w:r>
      <w:r w:rsidR="0081057D" w:rsidRPr="00416121">
        <w:rPr>
          <w:lang w:eastAsia="en-IN"/>
        </w:rPr>
        <w:t xml:space="preserve"> insurance, real estate, utilities, energy, </w:t>
      </w:r>
      <w:r w:rsidRPr="00416121">
        <w:rPr>
          <w:lang w:eastAsia="en-IN"/>
        </w:rPr>
        <w:t xml:space="preserve">and </w:t>
      </w:r>
      <w:r w:rsidR="0081057D" w:rsidRPr="00416121">
        <w:rPr>
          <w:lang w:eastAsia="en-IN"/>
        </w:rPr>
        <w:t xml:space="preserve">diversified manufacturing sectors. </w:t>
      </w:r>
      <w:r w:rsidR="00D86495" w:rsidRPr="00416121">
        <w:rPr>
          <w:lang w:eastAsia="en-IN"/>
        </w:rPr>
        <w:t xml:space="preserve">The company </w:t>
      </w:r>
      <w:r w:rsidR="00EB7470" w:rsidRPr="00416121">
        <w:rPr>
          <w:lang w:eastAsia="en-IN"/>
        </w:rPr>
        <w:t>had</w:t>
      </w:r>
      <w:r w:rsidR="0081057D" w:rsidRPr="00416121">
        <w:rPr>
          <w:lang w:eastAsia="en-IN"/>
        </w:rPr>
        <w:t xml:space="preserve"> become a conglomerate of more than </w:t>
      </w:r>
      <w:r w:rsidR="00D86495" w:rsidRPr="00416121">
        <w:rPr>
          <w:lang w:eastAsia="en-IN"/>
        </w:rPr>
        <w:t xml:space="preserve">80 </w:t>
      </w:r>
      <w:r w:rsidR="0081057D" w:rsidRPr="00416121">
        <w:rPr>
          <w:lang w:eastAsia="en-IN"/>
        </w:rPr>
        <w:t>operating entities spread i</w:t>
      </w:r>
      <w:r w:rsidR="009803F2" w:rsidRPr="00416121">
        <w:rPr>
          <w:lang w:eastAsia="en-IN"/>
        </w:rPr>
        <w:t>nto various strata of business.</w:t>
      </w:r>
      <w:r w:rsidR="0081057D" w:rsidRPr="00416121">
        <w:rPr>
          <w:rStyle w:val="EndnoteReference"/>
        </w:rPr>
        <w:endnoteReference w:id="2"/>
      </w:r>
    </w:p>
    <w:p w14:paraId="755B93CC" w14:textId="77777777" w:rsidR="0081057D" w:rsidRPr="00416121" w:rsidRDefault="0081057D" w:rsidP="0081057D">
      <w:pPr>
        <w:pStyle w:val="BodyTextMain"/>
        <w:rPr>
          <w:lang w:eastAsia="en-IN"/>
        </w:rPr>
      </w:pPr>
    </w:p>
    <w:p w14:paraId="4BF0BA9F" w14:textId="5BE9FA1A" w:rsidR="0081057D" w:rsidRPr="00416121" w:rsidRDefault="0081057D" w:rsidP="0081057D">
      <w:pPr>
        <w:pStyle w:val="BodyTextMain"/>
        <w:rPr>
          <w:lang w:eastAsia="en-IN"/>
        </w:rPr>
      </w:pPr>
      <w:r w:rsidRPr="00416121">
        <w:rPr>
          <w:lang w:eastAsia="en-IN"/>
        </w:rPr>
        <w:t>Since 1965</w:t>
      </w:r>
      <w:r w:rsidR="00EB7470" w:rsidRPr="00416121">
        <w:rPr>
          <w:lang w:eastAsia="en-IN"/>
        </w:rPr>
        <w:t>,</w:t>
      </w:r>
      <w:r w:rsidRPr="00416121">
        <w:rPr>
          <w:lang w:eastAsia="en-IN"/>
        </w:rPr>
        <w:t xml:space="preserve"> Berksh</w:t>
      </w:r>
      <w:r w:rsidR="00EB7470" w:rsidRPr="00416121">
        <w:rPr>
          <w:lang w:eastAsia="en-IN"/>
        </w:rPr>
        <w:t>ire Hathaway Class A shares had</w:t>
      </w:r>
      <w:r w:rsidR="00D86495" w:rsidRPr="00416121">
        <w:rPr>
          <w:lang w:eastAsia="en-IN"/>
        </w:rPr>
        <w:t>,</w:t>
      </w:r>
      <w:r w:rsidRPr="00416121">
        <w:rPr>
          <w:lang w:eastAsia="en-IN"/>
        </w:rPr>
        <w:t xml:space="preserve"> on average</w:t>
      </w:r>
      <w:r w:rsidR="00D86495" w:rsidRPr="00416121">
        <w:rPr>
          <w:lang w:eastAsia="en-IN"/>
        </w:rPr>
        <w:t>,</w:t>
      </w:r>
      <w:r w:rsidRPr="00416121">
        <w:rPr>
          <w:lang w:eastAsia="en-IN"/>
        </w:rPr>
        <w:t xml:space="preserve"> grown by almost </w:t>
      </w:r>
      <w:r w:rsidR="00D86495" w:rsidRPr="00416121">
        <w:rPr>
          <w:lang w:eastAsia="en-IN"/>
        </w:rPr>
        <w:t xml:space="preserve">21 </w:t>
      </w:r>
      <w:r w:rsidRPr="00416121">
        <w:rPr>
          <w:lang w:eastAsia="en-IN"/>
        </w:rPr>
        <w:t>per</w:t>
      </w:r>
      <w:r w:rsidR="00D86495" w:rsidRPr="00416121">
        <w:rPr>
          <w:lang w:eastAsia="en-IN"/>
        </w:rPr>
        <w:t xml:space="preserve"> </w:t>
      </w:r>
      <w:r w:rsidRPr="00416121">
        <w:rPr>
          <w:lang w:eastAsia="en-IN"/>
        </w:rPr>
        <w:t xml:space="preserve">cent per year as </w:t>
      </w:r>
      <w:r w:rsidR="00D86495" w:rsidRPr="00416121">
        <w:rPr>
          <w:lang w:eastAsia="en-IN"/>
        </w:rPr>
        <w:t xml:space="preserve">measured </w:t>
      </w:r>
      <w:r w:rsidRPr="00416121">
        <w:rPr>
          <w:lang w:eastAsia="en-IN"/>
        </w:rPr>
        <w:t xml:space="preserve">against the </w:t>
      </w:r>
      <w:r w:rsidR="00D86495" w:rsidRPr="00416121">
        <w:rPr>
          <w:lang w:eastAsia="en-IN"/>
        </w:rPr>
        <w:t>Standard &amp; Poor’s</w:t>
      </w:r>
      <w:r w:rsidR="00364CE4" w:rsidRPr="00416121">
        <w:rPr>
          <w:lang w:eastAsia="en-IN"/>
        </w:rPr>
        <w:t xml:space="preserve"> (</w:t>
      </w:r>
      <w:r w:rsidRPr="00416121">
        <w:rPr>
          <w:lang w:eastAsia="en-IN"/>
        </w:rPr>
        <w:t>S&amp;P</w:t>
      </w:r>
      <w:r w:rsidR="00364CE4" w:rsidRPr="00416121">
        <w:rPr>
          <w:lang w:eastAsia="en-IN"/>
        </w:rPr>
        <w:t>)</w:t>
      </w:r>
      <w:r w:rsidRPr="00416121">
        <w:rPr>
          <w:lang w:eastAsia="en-IN"/>
        </w:rPr>
        <w:t xml:space="preserve"> 500</w:t>
      </w:r>
      <w:r w:rsidR="00D86495" w:rsidRPr="00416121">
        <w:rPr>
          <w:lang w:eastAsia="en-IN"/>
        </w:rPr>
        <w:t>,</w:t>
      </w:r>
      <w:r w:rsidRPr="00416121">
        <w:rPr>
          <w:lang w:eastAsia="en-IN"/>
        </w:rPr>
        <w:t xml:space="preserve"> which </w:t>
      </w:r>
      <w:r w:rsidR="00D86495" w:rsidRPr="00416121">
        <w:rPr>
          <w:lang w:eastAsia="en-IN"/>
        </w:rPr>
        <w:t xml:space="preserve">itself </w:t>
      </w:r>
      <w:r w:rsidRPr="00416121">
        <w:rPr>
          <w:lang w:eastAsia="en-IN"/>
        </w:rPr>
        <w:t>ha</w:t>
      </w:r>
      <w:r w:rsidR="00764E9A" w:rsidRPr="00416121">
        <w:rPr>
          <w:lang w:eastAsia="en-IN"/>
        </w:rPr>
        <w:t>d</w:t>
      </w:r>
      <w:r w:rsidRPr="00416121">
        <w:rPr>
          <w:lang w:eastAsia="en-IN"/>
        </w:rPr>
        <w:t xml:space="preserve"> </w:t>
      </w:r>
      <w:r w:rsidR="00D86495" w:rsidRPr="00416121">
        <w:rPr>
          <w:lang w:eastAsia="en-IN"/>
        </w:rPr>
        <w:t xml:space="preserve">grown </w:t>
      </w:r>
      <w:r w:rsidRPr="00416121">
        <w:rPr>
          <w:lang w:eastAsia="en-IN"/>
        </w:rPr>
        <w:t xml:space="preserve">an average </w:t>
      </w:r>
      <w:r w:rsidR="00D86495" w:rsidRPr="00416121">
        <w:rPr>
          <w:lang w:eastAsia="en-IN"/>
        </w:rPr>
        <w:t>of 10</w:t>
      </w:r>
      <w:r w:rsidR="00EB7470" w:rsidRPr="00416121">
        <w:rPr>
          <w:lang w:eastAsia="en-IN"/>
        </w:rPr>
        <w:t xml:space="preserve"> per</w:t>
      </w:r>
      <w:r w:rsidR="00D86495" w:rsidRPr="00416121">
        <w:rPr>
          <w:lang w:eastAsia="en-IN"/>
        </w:rPr>
        <w:t xml:space="preserve"> </w:t>
      </w:r>
      <w:r w:rsidR="00EB7470" w:rsidRPr="00416121">
        <w:rPr>
          <w:lang w:eastAsia="en-IN"/>
        </w:rPr>
        <w:t>cent</w:t>
      </w:r>
      <w:r w:rsidR="00D86495" w:rsidRPr="00416121">
        <w:rPr>
          <w:lang w:eastAsia="en-IN"/>
        </w:rPr>
        <w:t xml:space="preserve"> per year</w:t>
      </w:r>
      <w:r w:rsidR="00EB7470" w:rsidRPr="00416121">
        <w:rPr>
          <w:lang w:eastAsia="en-IN"/>
        </w:rPr>
        <w:t>. Thus, the company had</w:t>
      </w:r>
      <w:r w:rsidRPr="00416121">
        <w:rPr>
          <w:lang w:eastAsia="en-IN"/>
        </w:rPr>
        <w:t xml:space="preserve"> achieved growth </w:t>
      </w:r>
      <w:r w:rsidR="009803F2" w:rsidRPr="00416121">
        <w:rPr>
          <w:lang w:eastAsia="en-IN"/>
        </w:rPr>
        <w:t>more than double the S&amp;P index.</w:t>
      </w:r>
      <w:r w:rsidRPr="00416121">
        <w:rPr>
          <w:rStyle w:val="EndnoteReference"/>
        </w:rPr>
        <w:endnoteReference w:id="3"/>
      </w:r>
    </w:p>
    <w:p w14:paraId="5C5462D9" w14:textId="77777777" w:rsidR="0081057D" w:rsidRPr="00416121" w:rsidRDefault="0081057D" w:rsidP="0081057D">
      <w:pPr>
        <w:pStyle w:val="BodyTextMain"/>
        <w:rPr>
          <w:lang w:eastAsia="en-IN"/>
        </w:rPr>
      </w:pPr>
    </w:p>
    <w:p w14:paraId="6D3442E5" w14:textId="111ABDD4" w:rsidR="0081057D" w:rsidRPr="00416121" w:rsidRDefault="0081057D" w:rsidP="0081057D">
      <w:pPr>
        <w:pStyle w:val="BodyTextMain"/>
        <w:rPr>
          <w:lang w:eastAsia="en-IN"/>
        </w:rPr>
      </w:pPr>
      <w:bookmarkStart w:id="0" w:name="_Hlk522376030"/>
      <w:r w:rsidRPr="00416121">
        <w:rPr>
          <w:lang w:eastAsia="en-IN"/>
        </w:rPr>
        <w:t>The company exist</w:t>
      </w:r>
      <w:r w:rsidR="00764E9A" w:rsidRPr="00416121">
        <w:rPr>
          <w:lang w:eastAsia="en-IN"/>
        </w:rPr>
        <w:t>ed</w:t>
      </w:r>
      <w:r w:rsidRPr="00416121">
        <w:rPr>
          <w:lang w:eastAsia="en-IN"/>
        </w:rPr>
        <w:t xml:space="preserve"> as a primordial example of value</w:t>
      </w:r>
      <w:r w:rsidR="00DE1627" w:rsidRPr="00416121">
        <w:rPr>
          <w:lang w:eastAsia="en-IN"/>
        </w:rPr>
        <w:t>-</w:t>
      </w:r>
      <w:r w:rsidRPr="00416121">
        <w:rPr>
          <w:lang w:eastAsia="en-IN"/>
        </w:rPr>
        <w:t>driven growth</w:t>
      </w:r>
      <w:r w:rsidR="00364CE4" w:rsidRPr="00416121">
        <w:rPr>
          <w:lang w:eastAsia="en-IN"/>
        </w:rPr>
        <w:t>,</w:t>
      </w:r>
      <w:r w:rsidR="00AF36B3" w:rsidRPr="00416121">
        <w:rPr>
          <w:lang w:eastAsia="en-IN"/>
        </w:rPr>
        <w:t xml:space="preserve"> </w:t>
      </w:r>
      <w:r w:rsidR="00364CE4" w:rsidRPr="00416121">
        <w:rPr>
          <w:lang w:eastAsia="en-IN"/>
        </w:rPr>
        <w:t xml:space="preserve">but one with </w:t>
      </w:r>
      <w:bookmarkEnd w:id="0"/>
      <w:r w:rsidR="00364CE4" w:rsidRPr="00416121">
        <w:rPr>
          <w:lang w:eastAsia="en-IN"/>
        </w:rPr>
        <w:t xml:space="preserve">distinctive </w:t>
      </w:r>
      <w:r w:rsidRPr="00416121">
        <w:rPr>
          <w:lang w:eastAsia="en-IN"/>
        </w:rPr>
        <w:t xml:space="preserve">facets </w:t>
      </w:r>
      <w:r w:rsidR="00364CE4" w:rsidRPr="00416121">
        <w:rPr>
          <w:lang w:eastAsia="en-IN"/>
        </w:rPr>
        <w:t xml:space="preserve">attributable </w:t>
      </w:r>
      <w:r w:rsidRPr="00416121">
        <w:rPr>
          <w:lang w:eastAsia="en-IN"/>
        </w:rPr>
        <w:t xml:space="preserve">not only to its phenomenal growth but also </w:t>
      </w:r>
      <w:r w:rsidR="0073763A">
        <w:rPr>
          <w:lang w:eastAsia="en-IN"/>
        </w:rPr>
        <w:t xml:space="preserve">to </w:t>
      </w:r>
      <w:r w:rsidRPr="00416121">
        <w:rPr>
          <w:lang w:eastAsia="en-IN"/>
        </w:rPr>
        <w:t xml:space="preserve">its dividend policy. From its formation in 1955 until 2017, </w:t>
      </w:r>
      <w:r w:rsidR="00364CE4" w:rsidRPr="00416121">
        <w:rPr>
          <w:lang w:eastAsia="en-IN"/>
        </w:rPr>
        <w:t xml:space="preserve">Berkshire Hathaway </w:t>
      </w:r>
      <w:r w:rsidRPr="00416121">
        <w:rPr>
          <w:lang w:eastAsia="en-IN"/>
        </w:rPr>
        <w:t xml:space="preserve">had never paid shareholders in the form of </w:t>
      </w:r>
      <w:r w:rsidR="00364CE4" w:rsidRPr="00416121">
        <w:rPr>
          <w:lang w:eastAsia="en-IN"/>
        </w:rPr>
        <w:t xml:space="preserve">a </w:t>
      </w:r>
      <w:r w:rsidRPr="00416121">
        <w:rPr>
          <w:lang w:eastAsia="en-IN"/>
        </w:rPr>
        <w:t>cash dividend</w:t>
      </w:r>
      <w:r w:rsidR="00364CE4" w:rsidRPr="00416121">
        <w:rPr>
          <w:lang w:eastAsia="en-IN"/>
        </w:rPr>
        <w:t>;</w:t>
      </w:r>
      <w:r w:rsidRPr="00416121">
        <w:rPr>
          <w:lang w:eastAsia="en-IN"/>
        </w:rPr>
        <w:t xml:space="preserve"> yet</w:t>
      </w:r>
      <w:r w:rsidR="00364CE4" w:rsidRPr="00416121">
        <w:rPr>
          <w:lang w:eastAsia="en-IN"/>
        </w:rPr>
        <w:t>,</w:t>
      </w:r>
      <w:r w:rsidRPr="00416121">
        <w:rPr>
          <w:lang w:eastAsia="en-IN"/>
        </w:rPr>
        <w:t xml:space="preserve"> </w:t>
      </w:r>
      <w:r w:rsidR="008F2AEE" w:rsidRPr="00416121">
        <w:rPr>
          <w:lang w:eastAsia="en-IN"/>
        </w:rPr>
        <w:t xml:space="preserve">the company’s </w:t>
      </w:r>
      <w:r w:rsidRPr="00416121">
        <w:rPr>
          <w:lang w:eastAsia="en-IN"/>
        </w:rPr>
        <w:t>share price was among the highest in the world.</w:t>
      </w:r>
      <w:r w:rsidRPr="00416121">
        <w:rPr>
          <w:rStyle w:val="EndnoteReference"/>
        </w:rPr>
        <w:endnoteReference w:id="4"/>
      </w:r>
      <w:r w:rsidRPr="00416121">
        <w:rPr>
          <w:lang w:eastAsia="en-IN"/>
        </w:rPr>
        <w:t xml:space="preserve"> </w:t>
      </w:r>
    </w:p>
    <w:p w14:paraId="1EE8D364" w14:textId="77777777" w:rsidR="0081057D" w:rsidRPr="00416121" w:rsidRDefault="0081057D" w:rsidP="0081057D">
      <w:pPr>
        <w:pStyle w:val="BodyTextMain"/>
        <w:rPr>
          <w:lang w:eastAsia="en-IN"/>
        </w:rPr>
      </w:pPr>
    </w:p>
    <w:p w14:paraId="1D5FFAF0" w14:textId="0130D452" w:rsidR="00C77571" w:rsidRPr="0073763A" w:rsidRDefault="0081057D" w:rsidP="0081057D">
      <w:pPr>
        <w:pStyle w:val="BodyTextMain"/>
        <w:rPr>
          <w:rFonts w:eastAsia="Calibri"/>
          <w:spacing w:val="-2"/>
          <w:lang w:eastAsia="en-IN"/>
        </w:rPr>
      </w:pPr>
      <w:r w:rsidRPr="0073763A">
        <w:rPr>
          <w:rFonts w:eastAsia="Calibri"/>
          <w:spacing w:val="-2"/>
          <w:lang w:eastAsia="en-IN"/>
        </w:rPr>
        <w:t xml:space="preserve">The company had been a staunch propagator of </w:t>
      </w:r>
      <w:r w:rsidR="008F2AEE" w:rsidRPr="0073763A">
        <w:rPr>
          <w:rFonts w:eastAsia="Calibri"/>
          <w:spacing w:val="-2"/>
          <w:lang w:eastAsia="en-IN"/>
        </w:rPr>
        <w:t xml:space="preserve">not </w:t>
      </w:r>
      <w:r w:rsidRPr="0073763A">
        <w:rPr>
          <w:rFonts w:eastAsia="Calibri"/>
          <w:spacing w:val="-2"/>
          <w:lang w:eastAsia="en-IN"/>
        </w:rPr>
        <w:t>pay</w:t>
      </w:r>
      <w:r w:rsidR="008F2AEE" w:rsidRPr="0073763A">
        <w:rPr>
          <w:rFonts w:eastAsia="Calibri"/>
          <w:spacing w:val="-2"/>
          <w:lang w:eastAsia="en-IN"/>
        </w:rPr>
        <w:t>ing</w:t>
      </w:r>
      <w:r w:rsidRPr="0073763A">
        <w:rPr>
          <w:rFonts w:eastAsia="Calibri"/>
          <w:spacing w:val="-2"/>
          <w:lang w:eastAsia="en-IN"/>
        </w:rPr>
        <w:t xml:space="preserve"> dividend</w:t>
      </w:r>
      <w:r w:rsidR="008F2AEE" w:rsidRPr="0073763A">
        <w:rPr>
          <w:rFonts w:eastAsia="Calibri"/>
          <w:spacing w:val="-2"/>
          <w:lang w:eastAsia="en-IN"/>
        </w:rPr>
        <w:t>s</w:t>
      </w:r>
      <w:r w:rsidRPr="0073763A">
        <w:rPr>
          <w:rFonts w:eastAsia="Calibri"/>
          <w:spacing w:val="-2"/>
          <w:lang w:eastAsia="en-IN"/>
        </w:rPr>
        <w:t xml:space="preserve"> and had preferred to reinvest earnings in business. This </w:t>
      </w:r>
      <w:r w:rsidR="00416121" w:rsidRPr="0073763A">
        <w:rPr>
          <w:rFonts w:eastAsia="Calibri"/>
          <w:spacing w:val="-2"/>
          <w:lang w:eastAsia="en-IN"/>
        </w:rPr>
        <w:t xml:space="preserve">approach </w:t>
      </w:r>
      <w:r w:rsidRPr="0073763A">
        <w:rPr>
          <w:rFonts w:eastAsia="Calibri"/>
          <w:spacing w:val="-2"/>
          <w:lang w:eastAsia="en-IN"/>
        </w:rPr>
        <w:t>was the result of the strategic outlook of the company’s chairman</w:t>
      </w:r>
      <w:r w:rsidR="008F2AEE" w:rsidRPr="0073763A">
        <w:rPr>
          <w:rFonts w:eastAsia="Calibri"/>
          <w:spacing w:val="-2"/>
          <w:lang w:eastAsia="en-IN"/>
        </w:rPr>
        <w:t>,</w:t>
      </w:r>
      <w:r w:rsidRPr="0073763A">
        <w:rPr>
          <w:rFonts w:eastAsia="Calibri"/>
          <w:spacing w:val="-2"/>
          <w:lang w:eastAsia="en-IN"/>
        </w:rPr>
        <w:t xml:space="preserve"> Warren Buffet. </w:t>
      </w:r>
      <w:r w:rsidR="00587B69" w:rsidRPr="0073763A">
        <w:rPr>
          <w:rFonts w:eastAsia="Calibri"/>
          <w:spacing w:val="-2"/>
          <w:lang w:eastAsia="en-IN"/>
        </w:rPr>
        <w:t xml:space="preserve">Considered </w:t>
      </w:r>
      <w:r w:rsidR="00775716" w:rsidRPr="0073763A">
        <w:rPr>
          <w:rFonts w:eastAsia="Calibri"/>
          <w:spacing w:val="-2"/>
          <w:lang w:eastAsia="en-IN"/>
        </w:rPr>
        <w:t xml:space="preserve">by </w:t>
      </w:r>
      <w:r w:rsidR="00587B69" w:rsidRPr="0073763A">
        <w:rPr>
          <w:rFonts w:eastAsia="Calibri"/>
          <w:i/>
          <w:spacing w:val="-2"/>
          <w:lang w:eastAsia="en-IN"/>
        </w:rPr>
        <w:t>Graham</w:t>
      </w:r>
      <w:r w:rsidR="008F2AEE" w:rsidRPr="0073763A">
        <w:rPr>
          <w:rFonts w:eastAsia="Calibri"/>
          <w:i/>
          <w:spacing w:val="-2"/>
          <w:lang w:eastAsia="en-IN"/>
        </w:rPr>
        <w:t xml:space="preserve"> </w:t>
      </w:r>
      <w:r w:rsidR="00775716" w:rsidRPr="0073763A">
        <w:rPr>
          <w:rFonts w:eastAsia="Calibri"/>
          <w:i/>
          <w:spacing w:val="-2"/>
          <w:lang w:eastAsia="en-IN"/>
        </w:rPr>
        <w:t>&amp;</w:t>
      </w:r>
      <w:r w:rsidR="008F2AEE" w:rsidRPr="0073763A">
        <w:rPr>
          <w:rFonts w:eastAsia="Calibri"/>
          <w:i/>
          <w:spacing w:val="-2"/>
          <w:lang w:eastAsia="en-IN"/>
        </w:rPr>
        <w:t xml:space="preserve"> </w:t>
      </w:r>
      <w:r w:rsidR="00587B69" w:rsidRPr="0073763A">
        <w:rPr>
          <w:rFonts w:eastAsia="Calibri"/>
          <w:i/>
          <w:spacing w:val="-2"/>
          <w:lang w:eastAsia="en-IN"/>
        </w:rPr>
        <w:t>Doddsville</w:t>
      </w:r>
      <w:r w:rsidR="00587B69" w:rsidRPr="0073763A">
        <w:rPr>
          <w:rFonts w:eastAsia="Calibri"/>
          <w:spacing w:val="-2"/>
          <w:lang w:eastAsia="en-IN"/>
        </w:rPr>
        <w:t xml:space="preserve"> </w:t>
      </w:r>
      <w:r w:rsidR="00775716" w:rsidRPr="0073763A">
        <w:rPr>
          <w:rFonts w:eastAsia="Calibri"/>
          <w:spacing w:val="-2"/>
          <w:lang w:eastAsia="en-IN"/>
        </w:rPr>
        <w:t>as a “</w:t>
      </w:r>
      <w:r w:rsidR="008F2AEE" w:rsidRPr="0073763A">
        <w:rPr>
          <w:rFonts w:eastAsia="Calibri"/>
          <w:spacing w:val="-2"/>
          <w:lang w:eastAsia="en-IN"/>
        </w:rPr>
        <w:t>superinvestor</w:t>
      </w:r>
      <w:r w:rsidR="00775716" w:rsidRPr="0073763A">
        <w:rPr>
          <w:rFonts w:eastAsia="Calibri"/>
          <w:spacing w:val="-2"/>
          <w:lang w:eastAsia="en-IN"/>
        </w:rPr>
        <w:t>”</w:t>
      </w:r>
      <w:r w:rsidR="008F2AEE" w:rsidRPr="0073763A">
        <w:rPr>
          <w:rFonts w:eastAsia="Calibri"/>
          <w:spacing w:val="-2"/>
          <w:lang w:eastAsia="en-IN"/>
        </w:rPr>
        <w:t xml:space="preserve"> </w:t>
      </w:r>
      <w:r w:rsidR="00C407A5" w:rsidRPr="0073763A">
        <w:rPr>
          <w:rFonts w:eastAsia="Calibri"/>
          <w:spacing w:val="-2"/>
          <w:lang w:eastAsia="en-IN"/>
        </w:rPr>
        <w:t>who focuse</w:t>
      </w:r>
      <w:r w:rsidR="00764E9A" w:rsidRPr="0073763A">
        <w:rPr>
          <w:rFonts w:eastAsia="Calibri"/>
          <w:spacing w:val="-2"/>
          <w:lang w:eastAsia="en-IN"/>
        </w:rPr>
        <w:t>d</w:t>
      </w:r>
      <w:r w:rsidR="00C407A5" w:rsidRPr="0073763A">
        <w:rPr>
          <w:rFonts w:eastAsia="Calibri"/>
          <w:spacing w:val="-2"/>
          <w:lang w:eastAsia="en-IN"/>
        </w:rPr>
        <w:t xml:space="preserve"> on value investing,</w:t>
      </w:r>
      <w:r w:rsidR="00C77571" w:rsidRPr="0073763A">
        <w:rPr>
          <w:rStyle w:val="EndnoteReference"/>
          <w:rFonts w:eastAsia="Calibri"/>
          <w:spacing w:val="-2"/>
          <w:lang w:eastAsia="en-IN"/>
        </w:rPr>
        <w:endnoteReference w:id="5"/>
      </w:r>
      <w:r w:rsidR="00C77571" w:rsidRPr="0073763A">
        <w:rPr>
          <w:rFonts w:eastAsia="Calibri"/>
          <w:spacing w:val="-2"/>
          <w:lang w:eastAsia="en-IN"/>
        </w:rPr>
        <w:t xml:space="preserve"> Buffet was able to steer Berkshire Hathaway to an overall gain of 1,088,029 per cent in book value per share (see Exhibit 1).</w:t>
      </w:r>
      <w:r w:rsidR="00C77571" w:rsidRPr="0073763A">
        <w:rPr>
          <w:rStyle w:val="EndnoteReference"/>
          <w:rFonts w:eastAsia="Calibri"/>
          <w:spacing w:val="-2"/>
        </w:rPr>
        <w:endnoteReference w:id="6"/>
      </w:r>
    </w:p>
    <w:p w14:paraId="2975BAFB" w14:textId="77777777" w:rsidR="00C77571" w:rsidRPr="00416121" w:rsidRDefault="00C77571" w:rsidP="0081057D">
      <w:pPr>
        <w:pStyle w:val="BodyTextMain"/>
        <w:rPr>
          <w:rFonts w:eastAsia="Calibri"/>
          <w:lang w:eastAsia="en-IN"/>
        </w:rPr>
      </w:pPr>
    </w:p>
    <w:p w14:paraId="32897F6D" w14:textId="41DEF448" w:rsidR="00C77571" w:rsidRPr="00416121" w:rsidRDefault="00C77571" w:rsidP="0081057D">
      <w:pPr>
        <w:pStyle w:val="BodyTextMain"/>
        <w:rPr>
          <w:rFonts w:eastAsia="Calibri"/>
          <w:lang w:eastAsia="en-IN"/>
        </w:rPr>
      </w:pPr>
      <w:r w:rsidRPr="00416121">
        <w:rPr>
          <w:rFonts w:eastAsia="Calibri"/>
          <w:lang w:eastAsia="en-IN"/>
        </w:rPr>
        <w:t>However, at Berkshire Hathaway’s May 2017 annual general meeting, Buffett reportedly said:</w:t>
      </w:r>
    </w:p>
    <w:p w14:paraId="0E3B447F" w14:textId="77777777" w:rsidR="00C77571" w:rsidRPr="00416121" w:rsidRDefault="00C77571" w:rsidP="0081057D">
      <w:pPr>
        <w:pStyle w:val="BodyTextMain"/>
        <w:rPr>
          <w:rFonts w:eastAsia="Calibri"/>
          <w:lang w:eastAsia="en-IN"/>
        </w:rPr>
      </w:pPr>
    </w:p>
    <w:p w14:paraId="5AFBE04A" w14:textId="52E216AC" w:rsidR="00C77571" w:rsidRPr="00416121" w:rsidRDefault="00C77571" w:rsidP="000445F3">
      <w:pPr>
        <w:pStyle w:val="BodyTextMain"/>
        <w:ind w:left="720"/>
        <w:rPr>
          <w:vertAlign w:val="superscript"/>
          <w:lang w:eastAsia="en-IN"/>
        </w:rPr>
      </w:pPr>
      <w:r w:rsidRPr="00416121">
        <w:rPr>
          <w:rFonts w:eastAsia="Calibri"/>
          <w:lang w:eastAsia="en-IN"/>
        </w:rPr>
        <w:t>A time could come reasonably soon, even while I am around, when Berkshire will have more cash than it can reasonably and profitably deploy. And Berkshire may choose to return those funds with additional stock buybacks, or it could be dividends.</w:t>
      </w:r>
      <w:r w:rsidRPr="00416121">
        <w:rPr>
          <w:rStyle w:val="EndnoteReference"/>
        </w:rPr>
        <w:endnoteReference w:id="7"/>
      </w:r>
      <w:r w:rsidRPr="00416121" w:rsidDel="00563EE8">
        <w:rPr>
          <w:vertAlign w:val="superscript"/>
          <w:lang w:eastAsia="en-IN"/>
        </w:rPr>
        <w:t xml:space="preserve"> </w:t>
      </w:r>
    </w:p>
    <w:p w14:paraId="11F0C93A" w14:textId="77777777" w:rsidR="00C77571" w:rsidRPr="00416121" w:rsidRDefault="00C77571" w:rsidP="000445F3">
      <w:pPr>
        <w:pStyle w:val="BodyTextMain"/>
        <w:rPr>
          <w:rFonts w:eastAsia="Calibri"/>
          <w:lang w:eastAsia="en-IN"/>
        </w:rPr>
      </w:pPr>
    </w:p>
    <w:p w14:paraId="08F742EE" w14:textId="0B3ECF4B" w:rsidR="00C77571" w:rsidRPr="00416121" w:rsidRDefault="00C77571" w:rsidP="000445F3">
      <w:pPr>
        <w:pStyle w:val="BodyTextMain"/>
        <w:rPr>
          <w:rFonts w:eastAsia="Calibri"/>
          <w:b/>
        </w:rPr>
      </w:pPr>
      <w:r w:rsidRPr="00416121">
        <w:rPr>
          <w:rFonts w:eastAsia="Calibri"/>
          <w:lang w:eastAsia="en-IN"/>
        </w:rPr>
        <w:t>Thus, questions arose as to what factors were influencing the dividend paradigm of the company in 2017, and whether the company should heed Buffett’s suggestion and pay a dividend.</w:t>
      </w:r>
      <w:r w:rsidRPr="00416121">
        <w:rPr>
          <w:rFonts w:eastAsia="Calibri"/>
          <w:shd w:val="clear" w:color="auto" w:fill="F8F9FA"/>
        </w:rPr>
        <w:t xml:space="preserve"> </w:t>
      </w:r>
    </w:p>
    <w:p w14:paraId="10CF6221" w14:textId="77777777" w:rsidR="00C77571" w:rsidRPr="00416121" w:rsidRDefault="00C77571" w:rsidP="00F06F63">
      <w:pPr>
        <w:pStyle w:val="BodyTextMain"/>
        <w:rPr>
          <w:rFonts w:eastAsia="Calibri"/>
        </w:rPr>
      </w:pPr>
    </w:p>
    <w:p w14:paraId="7EF45244" w14:textId="690AE8EC" w:rsidR="00C77571" w:rsidRPr="00416121" w:rsidRDefault="00C77571" w:rsidP="0081057D">
      <w:pPr>
        <w:pStyle w:val="Casehead1"/>
        <w:rPr>
          <w:rFonts w:eastAsia="Calibri"/>
        </w:rPr>
      </w:pPr>
      <w:r w:rsidRPr="00416121">
        <w:rPr>
          <w:rFonts w:eastAsia="Calibri"/>
        </w:rPr>
        <w:lastRenderedPageBreak/>
        <w:t>COMPANY INFORMATIOn</w:t>
      </w:r>
    </w:p>
    <w:p w14:paraId="0F91D7A7" w14:textId="77777777" w:rsidR="00C77571" w:rsidRPr="00416121" w:rsidRDefault="00C77571" w:rsidP="00F06F63">
      <w:pPr>
        <w:pStyle w:val="BodyTextMain"/>
        <w:keepNext/>
        <w:rPr>
          <w:rFonts w:eastAsia="Calibri"/>
        </w:rPr>
      </w:pPr>
    </w:p>
    <w:p w14:paraId="7E050970" w14:textId="77777777" w:rsidR="00C77571" w:rsidRPr="00416121" w:rsidRDefault="00C77571" w:rsidP="0081057D">
      <w:pPr>
        <w:pStyle w:val="Casehead2"/>
        <w:rPr>
          <w:lang w:eastAsia="en-IN"/>
        </w:rPr>
      </w:pPr>
      <w:r w:rsidRPr="00416121">
        <w:rPr>
          <w:lang w:eastAsia="en-IN"/>
        </w:rPr>
        <w:t>History</w:t>
      </w:r>
    </w:p>
    <w:p w14:paraId="62969BF8" w14:textId="77777777" w:rsidR="00C77571" w:rsidRPr="00416121" w:rsidRDefault="00C77571" w:rsidP="00F06F63">
      <w:pPr>
        <w:pStyle w:val="BodyTextMain"/>
        <w:keepNext/>
        <w:rPr>
          <w:lang w:eastAsia="en-IN"/>
        </w:rPr>
      </w:pPr>
    </w:p>
    <w:p w14:paraId="4BA1733B" w14:textId="11C00380" w:rsidR="00C77571" w:rsidRPr="00416121" w:rsidRDefault="00C77571" w:rsidP="0081057D">
      <w:pPr>
        <w:pStyle w:val="BodyTextMain"/>
        <w:rPr>
          <w:lang w:eastAsia="en-IN"/>
        </w:rPr>
      </w:pPr>
      <w:r w:rsidRPr="00416121">
        <w:rPr>
          <w:lang w:eastAsia="en-IN"/>
        </w:rPr>
        <w:t>In 1929, Berkshire Cotton Manufacturing Company merged with Valley Falls Company and formed Berkshire Fine Spinning Associates.</w:t>
      </w:r>
      <w:r w:rsidRPr="00416121">
        <w:rPr>
          <w:rStyle w:val="EndnoteReference"/>
        </w:rPr>
        <w:endnoteReference w:id="8"/>
      </w:r>
      <w:r w:rsidRPr="00416121">
        <w:rPr>
          <w:lang w:eastAsia="en-IN"/>
        </w:rPr>
        <w:t xml:space="preserve"> In 1955, Berkshire Fine Spinning Associates merged with Hathaway Manufacturing Company and formed Berkshire Hathaway. Seabury Stanton, who was experienced in the operations rather than strategy, headed this new company. But local and international competition along with the falling prices of cotton turned the company’s future grey.</w:t>
      </w:r>
      <w:r w:rsidRPr="00416121">
        <w:rPr>
          <w:rStyle w:val="EndnoteReference"/>
        </w:rPr>
        <w:endnoteReference w:id="9"/>
      </w:r>
      <w:r w:rsidRPr="00416121">
        <w:rPr>
          <w:lang w:eastAsia="en-IN"/>
        </w:rPr>
        <w:t xml:space="preserve"> In 1961, Berkshire Hathaway had to reduce its operational days to four days a week at many plants due to the continued losses year after year.</w:t>
      </w:r>
      <w:r w:rsidRPr="00416121">
        <w:rPr>
          <w:rStyle w:val="EndnoteReference"/>
        </w:rPr>
        <w:endnoteReference w:id="10"/>
      </w:r>
    </w:p>
    <w:p w14:paraId="60AF11A2" w14:textId="77777777" w:rsidR="00C77571" w:rsidRPr="00416121" w:rsidRDefault="00C77571" w:rsidP="0081057D">
      <w:pPr>
        <w:pStyle w:val="BodyTextMain"/>
        <w:rPr>
          <w:lang w:eastAsia="en-IN"/>
        </w:rPr>
      </w:pPr>
    </w:p>
    <w:p w14:paraId="7B226894" w14:textId="57FAF8DB" w:rsidR="0081057D" w:rsidRPr="00416121" w:rsidRDefault="00C77571" w:rsidP="0081057D">
      <w:pPr>
        <w:pStyle w:val="BodyTextMain"/>
        <w:rPr>
          <w:lang w:eastAsia="en-IN"/>
        </w:rPr>
      </w:pPr>
      <w:r w:rsidRPr="00416121">
        <w:rPr>
          <w:lang w:eastAsia="en-IN"/>
        </w:rPr>
        <w:t>In 1963, Buffett and his associates were purchasing Berkshire Hathaway shares because Buffett expected profit from a forecasted buyback.</w:t>
      </w:r>
      <w:r w:rsidRPr="00416121">
        <w:rPr>
          <w:rStyle w:val="EndnoteReference"/>
        </w:rPr>
        <w:endnoteReference w:id="11"/>
      </w:r>
      <w:r w:rsidRPr="00416121">
        <w:rPr>
          <w:lang w:eastAsia="en-IN"/>
        </w:rPr>
        <w:t xml:space="preserve"> By 1965, Buffett and his associates held significant shares in the company.</w:t>
      </w:r>
      <w:r w:rsidRPr="00416121">
        <w:rPr>
          <w:rStyle w:val="EndnoteReference"/>
        </w:rPr>
        <w:endnoteReference w:id="12"/>
      </w:r>
      <w:r w:rsidRPr="00416121">
        <w:rPr>
          <w:lang w:eastAsia="en-IN"/>
        </w:rPr>
        <w:t xml:space="preserve"> Stanton, who wanted to strengthen his family control, wished to buy back shares from Buffet and agreed to a price of US$11.50</w:t>
      </w:r>
      <w:r w:rsidRPr="00416121">
        <w:rPr>
          <w:rStyle w:val="EndnoteReference"/>
          <w:lang w:eastAsia="en-IN"/>
        </w:rPr>
        <w:endnoteReference w:id="13"/>
      </w:r>
      <w:r w:rsidRPr="00416121">
        <w:rPr>
          <w:lang w:eastAsia="en-IN"/>
        </w:rPr>
        <w:t xml:space="preserve"> </w:t>
      </w:r>
      <w:r w:rsidR="0081057D" w:rsidRPr="00416121">
        <w:rPr>
          <w:lang w:eastAsia="en-IN"/>
        </w:rPr>
        <w:t>per share</w:t>
      </w:r>
      <w:r w:rsidR="00605C2B" w:rsidRPr="00416121">
        <w:rPr>
          <w:lang w:eastAsia="en-IN"/>
        </w:rPr>
        <w:t>; however,</w:t>
      </w:r>
      <w:r w:rsidR="0081057D" w:rsidRPr="00416121">
        <w:rPr>
          <w:lang w:eastAsia="en-IN"/>
        </w:rPr>
        <w:t xml:space="preserve"> </w:t>
      </w:r>
      <w:r w:rsidR="00605C2B" w:rsidRPr="00416121">
        <w:rPr>
          <w:lang w:eastAsia="en-IN"/>
        </w:rPr>
        <w:t>i</w:t>
      </w:r>
      <w:r w:rsidR="0081057D" w:rsidRPr="00416121">
        <w:rPr>
          <w:lang w:eastAsia="en-IN"/>
        </w:rPr>
        <w:t xml:space="preserve">n the official offer letter </w:t>
      </w:r>
      <w:r w:rsidR="00605C2B" w:rsidRPr="00416121">
        <w:rPr>
          <w:lang w:eastAsia="en-IN"/>
        </w:rPr>
        <w:t xml:space="preserve">Stanton </w:t>
      </w:r>
      <w:r w:rsidR="0081057D" w:rsidRPr="00416121">
        <w:rPr>
          <w:lang w:eastAsia="en-IN"/>
        </w:rPr>
        <w:t>sent</w:t>
      </w:r>
      <w:r w:rsidR="00605C2B" w:rsidRPr="00416121">
        <w:rPr>
          <w:lang w:eastAsia="en-IN"/>
        </w:rPr>
        <w:t>,</w:t>
      </w:r>
      <w:r w:rsidR="005E21D6" w:rsidRPr="00416121">
        <w:rPr>
          <w:lang w:eastAsia="en-IN"/>
        </w:rPr>
        <w:t xml:space="preserve"> he quoted a price of</w:t>
      </w:r>
      <w:r w:rsidR="0081057D" w:rsidRPr="00416121">
        <w:rPr>
          <w:lang w:eastAsia="en-IN"/>
        </w:rPr>
        <w:t xml:space="preserve"> $11.37½ per share.</w:t>
      </w:r>
      <w:r w:rsidR="005E21D6" w:rsidRPr="00416121">
        <w:rPr>
          <w:rStyle w:val="EndnoteReference"/>
        </w:rPr>
        <w:endnoteReference w:id="14"/>
      </w:r>
      <w:r w:rsidR="0081057D" w:rsidRPr="00416121">
        <w:rPr>
          <w:lang w:eastAsia="en-IN"/>
        </w:rPr>
        <w:t xml:space="preserve"> Stanton</w:t>
      </w:r>
      <w:r w:rsidR="005E21D6" w:rsidRPr="00416121">
        <w:rPr>
          <w:lang w:eastAsia="en-IN"/>
        </w:rPr>
        <w:t>’s letter</w:t>
      </w:r>
      <w:r w:rsidR="0081057D" w:rsidRPr="00416121">
        <w:rPr>
          <w:lang w:eastAsia="en-IN"/>
        </w:rPr>
        <w:t xml:space="preserve"> angered Buffett</w:t>
      </w:r>
      <w:r w:rsidR="005E21D6" w:rsidRPr="00416121">
        <w:rPr>
          <w:lang w:eastAsia="en-IN"/>
        </w:rPr>
        <w:t>, who was</w:t>
      </w:r>
      <w:r w:rsidR="0081057D" w:rsidRPr="00416121">
        <w:rPr>
          <w:lang w:eastAsia="en-IN"/>
        </w:rPr>
        <w:t xml:space="preserve"> purchasing </w:t>
      </w:r>
      <w:r w:rsidR="005E21D6" w:rsidRPr="00416121">
        <w:rPr>
          <w:lang w:eastAsia="en-IN"/>
        </w:rPr>
        <w:t xml:space="preserve">a </w:t>
      </w:r>
      <w:r w:rsidR="0081057D" w:rsidRPr="00416121">
        <w:rPr>
          <w:lang w:eastAsia="en-IN"/>
        </w:rPr>
        <w:t>major stake in the company.</w:t>
      </w:r>
      <w:r w:rsidR="0081057D" w:rsidRPr="00416121">
        <w:rPr>
          <w:rStyle w:val="EndnoteReference"/>
        </w:rPr>
        <w:endnoteReference w:id="15"/>
      </w:r>
      <w:r w:rsidR="0081057D" w:rsidRPr="00416121">
        <w:rPr>
          <w:lang w:eastAsia="en-IN"/>
        </w:rPr>
        <w:t xml:space="preserve"> </w:t>
      </w:r>
      <w:r w:rsidR="005E21D6" w:rsidRPr="00416121">
        <w:rPr>
          <w:lang w:eastAsia="en-IN"/>
        </w:rPr>
        <w:t xml:space="preserve">Subsequently, </w:t>
      </w:r>
      <w:r w:rsidR="0081057D" w:rsidRPr="00416121">
        <w:rPr>
          <w:lang w:eastAsia="en-IN"/>
        </w:rPr>
        <w:t>Buffett and his associates took over the company’s management. At that time, the company had 2</w:t>
      </w:r>
      <w:r w:rsidR="00DE1627" w:rsidRPr="00416121">
        <w:rPr>
          <w:lang w:eastAsia="en-IN"/>
        </w:rPr>
        <w:t>,</w:t>
      </w:r>
      <w:r w:rsidR="0081057D" w:rsidRPr="00416121">
        <w:rPr>
          <w:lang w:eastAsia="en-IN"/>
        </w:rPr>
        <w:t>300 employees and two mills.</w:t>
      </w:r>
      <w:r w:rsidR="005E21D6" w:rsidRPr="00416121">
        <w:rPr>
          <w:lang w:eastAsia="en-IN"/>
        </w:rPr>
        <w:t xml:space="preserve"> </w:t>
      </w:r>
      <w:r w:rsidR="0081057D" w:rsidRPr="00416121">
        <w:rPr>
          <w:lang w:eastAsia="en-IN"/>
        </w:rPr>
        <w:t>In 1969, Buffett became the chairman of Berkshire Hathaway</w:t>
      </w:r>
      <w:r w:rsidR="005E21D6" w:rsidRPr="00416121">
        <w:rPr>
          <w:lang w:eastAsia="en-IN"/>
        </w:rPr>
        <w:t>, and</w:t>
      </w:r>
      <w:r w:rsidR="0081057D" w:rsidRPr="00416121">
        <w:rPr>
          <w:lang w:eastAsia="en-IN"/>
        </w:rPr>
        <w:t xml:space="preserve"> the company continued with </w:t>
      </w:r>
      <w:r w:rsidR="005E21D6" w:rsidRPr="00416121">
        <w:rPr>
          <w:lang w:eastAsia="en-IN"/>
        </w:rPr>
        <w:t xml:space="preserve">a </w:t>
      </w:r>
      <w:r w:rsidR="0081057D" w:rsidRPr="00416121">
        <w:rPr>
          <w:lang w:eastAsia="en-IN"/>
        </w:rPr>
        <w:t>strategy of diversification.</w:t>
      </w:r>
      <w:r w:rsidR="0081057D" w:rsidRPr="00416121">
        <w:rPr>
          <w:rStyle w:val="EndnoteReference"/>
        </w:rPr>
        <w:endnoteReference w:id="16"/>
      </w:r>
      <w:r w:rsidR="0081057D" w:rsidRPr="00416121">
        <w:rPr>
          <w:lang w:eastAsia="en-IN"/>
        </w:rPr>
        <w:t xml:space="preserve"> </w:t>
      </w:r>
    </w:p>
    <w:p w14:paraId="565EE331" w14:textId="77777777" w:rsidR="0081057D" w:rsidRPr="00416121" w:rsidRDefault="0081057D" w:rsidP="0081057D">
      <w:pPr>
        <w:pStyle w:val="BodyTextMain"/>
        <w:rPr>
          <w:lang w:eastAsia="en-IN"/>
        </w:rPr>
      </w:pPr>
    </w:p>
    <w:p w14:paraId="597C1EFB" w14:textId="5229DBAC" w:rsidR="0081057D" w:rsidRPr="00416121" w:rsidRDefault="0081057D" w:rsidP="0081057D">
      <w:pPr>
        <w:pStyle w:val="BodyTextMain"/>
        <w:rPr>
          <w:lang w:eastAsia="en-IN"/>
        </w:rPr>
      </w:pPr>
      <w:r w:rsidRPr="00416121">
        <w:rPr>
          <w:lang w:eastAsia="en-IN"/>
        </w:rPr>
        <w:t xml:space="preserve">In 1987, </w:t>
      </w:r>
      <w:r w:rsidR="005E21D6" w:rsidRPr="00416121">
        <w:rPr>
          <w:lang w:eastAsia="en-IN"/>
        </w:rPr>
        <w:t>t</w:t>
      </w:r>
      <w:r w:rsidRPr="00416121">
        <w:rPr>
          <w:lang w:eastAsia="en-IN"/>
        </w:rPr>
        <w:t xml:space="preserve">he </w:t>
      </w:r>
      <w:r w:rsidRPr="00416121">
        <w:rPr>
          <w:i/>
          <w:lang w:eastAsia="en-IN"/>
        </w:rPr>
        <w:t>Wall Street Journal</w:t>
      </w:r>
      <w:r w:rsidRPr="00416121">
        <w:rPr>
          <w:lang w:eastAsia="en-IN"/>
        </w:rPr>
        <w:t xml:space="preserve"> reported that Berkshire Hathaway</w:t>
      </w:r>
      <w:r w:rsidR="005E21D6" w:rsidRPr="00416121">
        <w:rPr>
          <w:lang w:eastAsia="en-IN"/>
        </w:rPr>
        <w:t>’s stock</w:t>
      </w:r>
      <w:r w:rsidRPr="00416121">
        <w:rPr>
          <w:lang w:eastAsia="en-IN"/>
        </w:rPr>
        <w:t xml:space="preserve"> had surpassed the </w:t>
      </w:r>
      <w:r w:rsidRPr="00416121">
        <w:rPr>
          <w:noProof/>
          <w:lang w:eastAsia="en-IN"/>
        </w:rPr>
        <w:t>Dow</w:t>
      </w:r>
      <w:r w:rsidRPr="00416121">
        <w:rPr>
          <w:lang w:eastAsia="en-IN"/>
        </w:rPr>
        <w:t xml:space="preserve"> Jones average. </w:t>
      </w:r>
      <w:r w:rsidR="00530649" w:rsidRPr="00416121">
        <w:rPr>
          <w:lang w:eastAsia="en-IN"/>
        </w:rPr>
        <w:t xml:space="preserve">On October 19 of </w:t>
      </w:r>
      <w:r w:rsidRPr="00416121">
        <w:rPr>
          <w:lang w:eastAsia="en-IN"/>
        </w:rPr>
        <w:t>the same year</w:t>
      </w:r>
      <w:r w:rsidR="00530649" w:rsidRPr="00416121">
        <w:rPr>
          <w:lang w:eastAsia="en-IN"/>
        </w:rPr>
        <w:t xml:space="preserve"> (later known as Black Monday), </w:t>
      </w:r>
      <w:r w:rsidRPr="00416121">
        <w:rPr>
          <w:lang w:eastAsia="en-IN"/>
        </w:rPr>
        <w:t>the stock market crashed</w:t>
      </w:r>
      <w:r w:rsidR="00530649" w:rsidRPr="00416121">
        <w:rPr>
          <w:lang w:eastAsia="en-IN"/>
        </w:rPr>
        <w:t xml:space="preserve">. </w:t>
      </w:r>
      <w:r w:rsidRPr="00416121">
        <w:rPr>
          <w:lang w:eastAsia="en-IN"/>
        </w:rPr>
        <w:t>Berkshire Hathaway</w:t>
      </w:r>
      <w:r w:rsidR="00530649" w:rsidRPr="00416121">
        <w:rPr>
          <w:lang w:eastAsia="en-IN"/>
        </w:rPr>
        <w:t>, however,</w:t>
      </w:r>
      <w:r w:rsidRPr="00416121">
        <w:rPr>
          <w:lang w:eastAsia="en-IN"/>
        </w:rPr>
        <w:t xml:space="preserve"> managed to survive the collapse</w:t>
      </w:r>
      <w:r w:rsidR="000668D1" w:rsidRPr="00416121">
        <w:rPr>
          <w:lang w:eastAsia="en-IN"/>
        </w:rPr>
        <w:t>, and b</w:t>
      </w:r>
      <w:r w:rsidRPr="00416121">
        <w:rPr>
          <w:lang w:eastAsia="en-IN"/>
        </w:rPr>
        <w:t>y 1988, Berkshire Hathaway</w:t>
      </w:r>
      <w:r w:rsidR="00530649" w:rsidRPr="00416121">
        <w:rPr>
          <w:lang w:eastAsia="en-IN"/>
        </w:rPr>
        <w:t>,</w:t>
      </w:r>
      <w:r w:rsidRPr="00416121">
        <w:rPr>
          <w:lang w:eastAsia="en-IN"/>
        </w:rPr>
        <w:t xml:space="preserve"> which </w:t>
      </w:r>
      <w:r w:rsidR="00530649" w:rsidRPr="00416121">
        <w:rPr>
          <w:lang w:eastAsia="en-IN"/>
        </w:rPr>
        <w:t xml:space="preserve">had been trading </w:t>
      </w:r>
      <w:r w:rsidRPr="00416121">
        <w:rPr>
          <w:lang w:eastAsia="en-IN"/>
        </w:rPr>
        <w:t xml:space="preserve">over the counter </w:t>
      </w:r>
      <w:r w:rsidR="00530649" w:rsidRPr="00416121">
        <w:rPr>
          <w:lang w:eastAsia="en-IN"/>
        </w:rPr>
        <w:t xml:space="preserve">as off-exchange stock, </w:t>
      </w:r>
      <w:r w:rsidRPr="00416121">
        <w:rPr>
          <w:lang w:eastAsia="en-IN"/>
        </w:rPr>
        <w:t xml:space="preserve">was listed on the New York Stock Exchange. At listing, </w:t>
      </w:r>
      <w:r w:rsidR="009D6177">
        <w:rPr>
          <w:lang w:eastAsia="en-IN"/>
        </w:rPr>
        <w:t>its</w:t>
      </w:r>
      <w:r w:rsidR="009D6177" w:rsidRPr="00416121">
        <w:rPr>
          <w:lang w:eastAsia="en-IN"/>
        </w:rPr>
        <w:t xml:space="preserve"> </w:t>
      </w:r>
      <w:r w:rsidRPr="00416121">
        <w:rPr>
          <w:lang w:eastAsia="en-IN"/>
        </w:rPr>
        <w:t xml:space="preserve">highest price was $4,300 </w:t>
      </w:r>
      <w:r w:rsidR="00553A88" w:rsidRPr="00416121">
        <w:rPr>
          <w:lang w:eastAsia="en-IN"/>
        </w:rPr>
        <w:t xml:space="preserve">per share, </w:t>
      </w:r>
      <w:r w:rsidRPr="00416121">
        <w:rPr>
          <w:lang w:eastAsia="en-IN"/>
        </w:rPr>
        <w:t xml:space="preserve">which </w:t>
      </w:r>
      <w:r w:rsidR="00764E9A" w:rsidRPr="00416121">
        <w:rPr>
          <w:lang w:eastAsia="en-IN"/>
        </w:rPr>
        <w:t>wa</w:t>
      </w:r>
      <w:r w:rsidRPr="00416121">
        <w:rPr>
          <w:lang w:eastAsia="en-IN"/>
        </w:rPr>
        <w:t xml:space="preserve">s a significant increase from </w:t>
      </w:r>
      <w:r w:rsidR="009D6177">
        <w:rPr>
          <w:lang w:eastAsia="en-IN"/>
        </w:rPr>
        <w:t xml:space="preserve">the price of </w:t>
      </w:r>
      <w:r w:rsidRPr="00416121">
        <w:rPr>
          <w:lang w:eastAsia="en-IN"/>
        </w:rPr>
        <w:t xml:space="preserve">$7.50 per share </w:t>
      </w:r>
      <w:r w:rsidR="009D6177">
        <w:rPr>
          <w:lang w:eastAsia="en-IN"/>
        </w:rPr>
        <w:t>that</w:t>
      </w:r>
      <w:r w:rsidR="009D6177" w:rsidRPr="00416121">
        <w:rPr>
          <w:lang w:eastAsia="en-IN"/>
        </w:rPr>
        <w:t xml:space="preserve"> </w:t>
      </w:r>
      <w:r w:rsidRPr="00416121">
        <w:rPr>
          <w:lang w:eastAsia="en-IN"/>
        </w:rPr>
        <w:t xml:space="preserve">Buffett </w:t>
      </w:r>
      <w:r w:rsidR="009D6177">
        <w:rPr>
          <w:lang w:eastAsia="en-IN"/>
        </w:rPr>
        <w:t>had paid</w:t>
      </w:r>
      <w:r w:rsidRPr="00416121">
        <w:rPr>
          <w:lang w:eastAsia="en-IN"/>
        </w:rPr>
        <w:t xml:space="preserve"> in 1962.</w:t>
      </w:r>
      <w:r w:rsidRPr="00416121">
        <w:rPr>
          <w:rStyle w:val="EndnoteReference"/>
        </w:rPr>
        <w:endnoteReference w:id="17"/>
      </w:r>
    </w:p>
    <w:p w14:paraId="2B9EEFD7" w14:textId="77777777" w:rsidR="0081057D" w:rsidRPr="00416121" w:rsidRDefault="0081057D" w:rsidP="0081057D">
      <w:pPr>
        <w:pStyle w:val="BodyTextMain"/>
        <w:rPr>
          <w:lang w:eastAsia="en-IN"/>
        </w:rPr>
      </w:pPr>
    </w:p>
    <w:p w14:paraId="0B63C3D4" w14:textId="77777777" w:rsidR="0081057D" w:rsidRPr="00416121" w:rsidRDefault="0081057D" w:rsidP="0081057D">
      <w:pPr>
        <w:pStyle w:val="BodyTextMain"/>
        <w:rPr>
          <w:lang w:eastAsia="en-IN"/>
        </w:rPr>
      </w:pPr>
    </w:p>
    <w:p w14:paraId="09BD7168" w14:textId="77777777" w:rsidR="0081057D" w:rsidRPr="00416121" w:rsidRDefault="0081057D" w:rsidP="0081057D">
      <w:pPr>
        <w:pStyle w:val="Casehead2"/>
        <w:rPr>
          <w:rFonts w:eastAsia="Calibri"/>
          <w:bdr w:val="none" w:sz="0" w:space="0" w:color="auto" w:frame="1"/>
          <w:lang w:eastAsia="en-IN"/>
        </w:rPr>
      </w:pPr>
      <w:r w:rsidRPr="00416121">
        <w:rPr>
          <w:rFonts w:eastAsia="Calibri"/>
          <w:bdr w:val="none" w:sz="0" w:space="0" w:color="auto" w:frame="1"/>
          <w:lang w:eastAsia="en-IN"/>
        </w:rPr>
        <w:t>Acquisitions</w:t>
      </w:r>
    </w:p>
    <w:p w14:paraId="0FE27DEB" w14:textId="77777777" w:rsidR="0081057D" w:rsidRPr="00416121" w:rsidRDefault="0081057D" w:rsidP="00F06F63">
      <w:pPr>
        <w:pStyle w:val="BodyTextMain"/>
        <w:rPr>
          <w:rFonts w:eastAsia="Calibri"/>
          <w:bdr w:val="none" w:sz="0" w:space="0" w:color="auto" w:frame="1"/>
          <w:lang w:eastAsia="en-IN"/>
        </w:rPr>
      </w:pPr>
    </w:p>
    <w:p w14:paraId="43B45DAD" w14:textId="130A42C0" w:rsidR="0081057D" w:rsidRPr="00416121" w:rsidRDefault="0081057D" w:rsidP="0081057D">
      <w:pPr>
        <w:pStyle w:val="BodyTextMain"/>
        <w:rPr>
          <w:lang w:eastAsia="en-IN"/>
        </w:rPr>
      </w:pPr>
      <w:r w:rsidRPr="00416121">
        <w:rPr>
          <w:rFonts w:eastAsia="Calibri"/>
          <w:bdr w:val="none" w:sz="0" w:space="0" w:color="auto" w:frame="1"/>
          <w:lang w:eastAsia="en-IN"/>
        </w:rPr>
        <w:t xml:space="preserve">In </w:t>
      </w:r>
      <w:r w:rsidRPr="00416121">
        <w:rPr>
          <w:lang w:eastAsia="en-IN"/>
        </w:rPr>
        <w:t xml:space="preserve">1967, as the first step in moving away from the cyclical nature of </w:t>
      </w:r>
      <w:r w:rsidR="00BB2B7F" w:rsidRPr="00416121">
        <w:rPr>
          <w:lang w:eastAsia="en-IN"/>
        </w:rPr>
        <w:t xml:space="preserve">the </w:t>
      </w:r>
      <w:r w:rsidRPr="00416121">
        <w:rPr>
          <w:lang w:eastAsia="en-IN"/>
        </w:rPr>
        <w:t>textile industry</w:t>
      </w:r>
      <w:r w:rsidR="00BB2B7F" w:rsidRPr="00416121">
        <w:rPr>
          <w:lang w:eastAsia="en-IN"/>
        </w:rPr>
        <w:t>,</w:t>
      </w:r>
      <w:r w:rsidRPr="00416121">
        <w:rPr>
          <w:lang w:eastAsia="en-IN"/>
        </w:rPr>
        <w:t xml:space="preserve"> which was unable to </w:t>
      </w:r>
      <w:r w:rsidR="00B729AA" w:rsidRPr="00416121">
        <w:rPr>
          <w:lang w:eastAsia="en-IN"/>
        </w:rPr>
        <w:t>yield</w:t>
      </w:r>
      <w:r w:rsidRPr="00416121">
        <w:rPr>
          <w:lang w:eastAsia="en-IN"/>
        </w:rPr>
        <w:t xml:space="preserve"> stable profits, the company purchased </w:t>
      </w:r>
      <w:r w:rsidR="006D591A">
        <w:rPr>
          <w:lang w:eastAsia="en-IN"/>
        </w:rPr>
        <w:t xml:space="preserve">the </w:t>
      </w:r>
      <w:r w:rsidR="005644F7" w:rsidRPr="00416121">
        <w:rPr>
          <w:lang w:eastAsia="en-IN"/>
        </w:rPr>
        <w:t xml:space="preserve">National </w:t>
      </w:r>
      <w:r w:rsidRPr="00416121">
        <w:rPr>
          <w:lang w:eastAsia="en-IN"/>
        </w:rPr>
        <w:t xml:space="preserve">Indemnity Company and </w:t>
      </w:r>
      <w:r w:rsidR="006D591A">
        <w:rPr>
          <w:lang w:eastAsia="en-IN"/>
        </w:rPr>
        <w:t xml:space="preserve">the </w:t>
      </w:r>
      <w:r w:rsidRPr="00416121">
        <w:rPr>
          <w:lang w:eastAsia="en-IN"/>
        </w:rPr>
        <w:t>National Fire &amp; Marine Insurance Company. The purchased companies primarily dealt with automobile insurance, which was</w:t>
      </w:r>
      <w:r w:rsidR="00B729AA" w:rsidRPr="00416121">
        <w:rPr>
          <w:lang w:eastAsia="en-IN"/>
        </w:rPr>
        <w:t xml:space="preserve"> </w:t>
      </w:r>
      <w:r w:rsidR="005644F7" w:rsidRPr="00416121">
        <w:rPr>
          <w:lang w:eastAsia="en-IN"/>
        </w:rPr>
        <w:t xml:space="preserve">more stable than </w:t>
      </w:r>
      <w:r w:rsidRPr="00416121">
        <w:rPr>
          <w:lang w:eastAsia="en-IN"/>
        </w:rPr>
        <w:t>the textile industry.</w:t>
      </w:r>
      <w:r w:rsidRPr="00416121">
        <w:rPr>
          <w:rStyle w:val="EndnoteReference"/>
        </w:rPr>
        <w:endnoteReference w:id="18"/>
      </w:r>
    </w:p>
    <w:p w14:paraId="797A86D8" w14:textId="77777777" w:rsidR="0081057D" w:rsidRPr="00416121" w:rsidRDefault="0081057D" w:rsidP="0081057D">
      <w:pPr>
        <w:pStyle w:val="BodyTextMain"/>
        <w:rPr>
          <w:rFonts w:eastAsia="Calibri"/>
          <w:bdr w:val="none" w:sz="0" w:space="0" w:color="auto" w:frame="1"/>
          <w:lang w:eastAsia="en-IN"/>
        </w:rPr>
      </w:pPr>
    </w:p>
    <w:p w14:paraId="02FF7EF8" w14:textId="2ADD47D4" w:rsidR="0081057D" w:rsidRPr="00416121" w:rsidRDefault="0081057D" w:rsidP="005A5766">
      <w:pPr>
        <w:pStyle w:val="BodyTextMain"/>
        <w:rPr>
          <w:spacing w:val="-4"/>
          <w:lang w:eastAsia="en-IN"/>
        </w:rPr>
      </w:pPr>
      <w:r w:rsidRPr="00416121">
        <w:rPr>
          <w:spacing w:val="-4"/>
          <w:lang w:eastAsia="en-IN"/>
        </w:rPr>
        <w:t xml:space="preserve">In 1968, Berkshire Hathaway acquired Sun Newspapers, a group of Omaha weeklies. </w:t>
      </w:r>
      <w:r w:rsidR="005644F7" w:rsidRPr="00416121">
        <w:rPr>
          <w:spacing w:val="-4"/>
          <w:lang w:eastAsia="en-IN"/>
        </w:rPr>
        <w:t>The next year</w:t>
      </w:r>
      <w:r w:rsidRPr="00416121">
        <w:rPr>
          <w:spacing w:val="-4"/>
          <w:lang w:eastAsia="en-IN"/>
        </w:rPr>
        <w:t xml:space="preserve">, the company acquired </w:t>
      </w:r>
      <w:r w:rsidR="005A5766" w:rsidRPr="00416121">
        <w:rPr>
          <w:spacing w:val="-4"/>
          <w:lang w:eastAsia="en-IN"/>
        </w:rPr>
        <w:t xml:space="preserve">Continental </w:t>
      </w:r>
      <w:r w:rsidRPr="00416121">
        <w:rPr>
          <w:spacing w:val="-4"/>
          <w:lang w:eastAsia="en-IN"/>
        </w:rPr>
        <w:t>Illinois National Bank &amp; Trust Company</w:t>
      </w:r>
      <w:r w:rsidR="005A5766" w:rsidRPr="00416121">
        <w:rPr>
          <w:spacing w:val="-4"/>
          <w:lang w:eastAsia="en-IN"/>
        </w:rPr>
        <w:t>, based in</w:t>
      </w:r>
      <w:r w:rsidRPr="00416121">
        <w:rPr>
          <w:spacing w:val="-4"/>
          <w:lang w:eastAsia="en-IN"/>
        </w:rPr>
        <w:t xml:space="preserve"> Rockford</w:t>
      </w:r>
      <w:r w:rsidR="005A5766" w:rsidRPr="00416121">
        <w:rPr>
          <w:spacing w:val="-4"/>
          <w:lang w:eastAsia="en-IN"/>
        </w:rPr>
        <w:t xml:space="preserve"> (Chicago), Illinois</w:t>
      </w:r>
      <w:r w:rsidRPr="00416121">
        <w:rPr>
          <w:spacing w:val="-4"/>
          <w:lang w:eastAsia="en-IN"/>
        </w:rPr>
        <w:t>.</w:t>
      </w:r>
      <w:r w:rsidR="005A5766" w:rsidRPr="00416121">
        <w:rPr>
          <w:spacing w:val="-4"/>
          <w:lang w:eastAsia="en-IN"/>
        </w:rPr>
        <w:t xml:space="preserve"> The company continued its acquisitions, acquiring </w:t>
      </w:r>
      <w:r w:rsidRPr="00416121">
        <w:rPr>
          <w:spacing w:val="-4"/>
          <w:lang w:eastAsia="en-IN"/>
        </w:rPr>
        <w:t>Wesco Financial Corporation</w:t>
      </w:r>
      <w:r w:rsidR="005A5766" w:rsidRPr="00416121">
        <w:rPr>
          <w:spacing w:val="-4"/>
          <w:lang w:eastAsia="en-IN"/>
        </w:rPr>
        <w:t xml:space="preserve"> in 1970</w:t>
      </w:r>
      <w:r w:rsidRPr="00416121">
        <w:rPr>
          <w:spacing w:val="-4"/>
          <w:lang w:eastAsia="en-IN"/>
        </w:rPr>
        <w:t xml:space="preserve">. </w:t>
      </w:r>
      <w:r w:rsidR="00F66AA2" w:rsidRPr="00416121">
        <w:rPr>
          <w:spacing w:val="-4"/>
          <w:lang w:eastAsia="en-IN"/>
        </w:rPr>
        <w:t>The company</w:t>
      </w:r>
      <w:r w:rsidRPr="00416121">
        <w:rPr>
          <w:spacing w:val="-4"/>
          <w:lang w:eastAsia="en-IN"/>
        </w:rPr>
        <w:t xml:space="preserve"> also </w:t>
      </w:r>
      <w:r w:rsidR="005A5766" w:rsidRPr="00416121">
        <w:rPr>
          <w:spacing w:val="-4"/>
          <w:lang w:eastAsia="en-IN"/>
        </w:rPr>
        <w:t xml:space="preserve">continued its foray into </w:t>
      </w:r>
      <w:r w:rsidRPr="00416121">
        <w:rPr>
          <w:spacing w:val="-4"/>
          <w:lang w:eastAsia="en-IN"/>
        </w:rPr>
        <w:t>the newspaper business</w:t>
      </w:r>
      <w:r w:rsidR="005A5766" w:rsidRPr="00416121">
        <w:rPr>
          <w:spacing w:val="-4"/>
          <w:lang w:eastAsia="en-IN"/>
        </w:rPr>
        <w:t xml:space="preserve">, </w:t>
      </w:r>
      <w:r w:rsidRPr="00416121">
        <w:rPr>
          <w:spacing w:val="-4"/>
          <w:lang w:eastAsia="en-IN"/>
        </w:rPr>
        <w:t xml:space="preserve">acquiring </w:t>
      </w:r>
      <w:r w:rsidR="005A5766" w:rsidRPr="00416121">
        <w:rPr>
          <w:spacing w:val="-4"/>
          <w:lang w:eastAsia="en-IN"/>
        </w:rPr>
        <w:t xml:space="preserve">what was then the </w:t>
      </w:r>
      <w:r w:rsidRPr="00416121">
        <w:rPr>
          <w:i/>
          <w:spacing w:val="-4"/>
          <w:lang w:eastAsia="en-IN"/>
        </w:rPr>
        <w:t>Buffalo Evening News</w:t>
      </w:r>
      <w:r w:rsidRPr="00416121">
        <w:rPr>
          <w:spacing w:val="-4"/>
          <w:lang w:eastAsia="en-IN"/>
        </w:rPr>
        <w:t>.</w:t>
      </w:r>
      <w:r w:rsidRPr="00416121">
        <w:rPr>
          <w:rStyle w:val="EndnoteReference"/>
          <w:spacing w:val="-4"/>
        </w:rPr>
        <w:endnoteReference w:id="19"/>
      </w:r>
    </w:p>
    <w:p w14:paraId="099F86D2" w14:textId="77777777" w:rsidR="0081057D" w:rsidRPr="00416121" w:rsidRDefault="0081057D" w:rsidP="0081057D">
      <w:pPr>
        <w:pStyle w:val="BodyTextMain"/>
        <w:rPr>
          <w:lang w:eastAsia="en-IN"/>
        </w:rPr>
      </w:pPr>
    </w:p>
    <w:p w14:paraId="1EB69230" w14:textId="71F104F5" w:rsidR="0081057D" w:rsidRPr="00416121" w:rsidRDefault="0081057D" w:rsidP="0081057D">
      <w:pPr>
        <w:pStyle w:val="BodyTextMain"/>
        <w:rPr>
          <w:lang w:eastAsia="en-IN"/>
        </w:rPr>
      </w:pPr>
      <w:r w:rsidRPr="00416121">
        <w:rPr>
          <w:lang w:eastAsia="en-IN"/>
        </w:rPr>
        <w:t xml:space="preserve">In 1985, Berkshire Hathaway closed the last textile mill, thus marking </w:t>
      </w:r>
      <w:r w:rsidR="00B44F7C" w:rsidRPr="00416121">
        <w:rPr>
          <w:lang w:eastAsia="en-IN"/>
        </w:rPr>
        <w:t xml:space="preserve">its </w:t>
      </w:r>
      <w:r w:rsidRPr="00416121">
        <w:rPr>
          <w:lang w:eastAsia="en-IN"/>
        </w:rPr>
        <w:t xml:space="preserve">exit from the textile industry. </w:t>
      </w:r>
      <w:r w:rsidR="00B44F7C" w:rsidRPr="00416121">
        <w:rPr>
          <w:lang w:eastAsia="en-IN"/>
        </w:rPr>
        <w:t>T</w:t>
      </w:r>
      <w:r w:rsidRPr="00416121">
        <w:rPr>
          <w:lang w:eastAsia="en-IN"/>
        </w:rPr>
        <w:t>he</w:t>
      </w:r>
      <w:r w:rsidR="00B44F7C" w:rsidRPr="00416121">
        <w:rPr>
          <w:lang w:eastAsia="en-IN"/>
        </w:rPr>
        <w:t xml:space="preserve"> </w:t>
      </w:r>
      <w:r w:rsidRPr="00416121">
        <w:rPr>
          <w:lang w:eastAsia="en-IN"/>
        </w:rPr>
        <w:t xml:space="preserve">company </w:t>
      </w:r>
      <w:r w:rsidR="00B44F7C" w:rsidRPr="00416121">
        <w:rPr>
          <w:lang w:eastAsia="en-IN"/>
        </w:rPr>
        <w:t xml:space="preserve">also continued its growth, </w:t>
      </w:r>
      <w:r w:rsidRPr="00416121">
        <w:rPr>
          <w:lang w:eastAsia="en-IN"/>
        </w:rPr>
        <w:t>ma</w:t>
      </w:r>
      <w:r w:rsidR="00B44F7C" w:rsidRPr="00416121">
        <w:rPr>
          <w:lang w:eastAsia="en-IN"/>
        </w:rPr>
        <w:t>king</w:t>
      </w:r>
      <w:r w:rsidRPr="00416121">
        <w:rPr>
          <w:lang w:eastAsia="en-IN"/>
        </w:rPr>
        <w:t xml:space="preserve"> monumental acquisitions </w:t>
      </w:r>
      <w:r w:rsidR="00B44F7C" w:rsidRPr="00416121">
        <w:rPr>
          <w:lang w:eastAsia="en-IN"/>
        </w:rPr>
        <w:t xml:space="preserve">that </w:t>
      </w:r>
      <w:r w:rsidRPr="00416121">
        <w:rPr>
          <w:lang w:eastAsia="en-IN"/>
        </w:rPr>
        <w:t>include</w:t>
      </w:r>
      <w:r w:rsidR="00F66AA2" w:rsidRPr="00416121">
        <w:rPr>
          <w:lang w:eastAsia="en-IN"/>
        </w:rPr>
        <w:t>d</w:t>
      </w:r>
      <w:r w:rsidRPr="00416121">
        <w:rPr>
          <w:lang w:eastAsia="en-IN"/>
        </w:rPr>
        <w:t xml:space="preserve"> companies </w:t>
      </w:r>
      <w:r w:rsidR="00416121">
        <w:rPr>
          <w:lang w:eastAsia="en-IN"/>
        </w:rPr>
        <w:t>such as</w:t>
      </w:r>
      <w:r w:rsidR="00416121" w:rsidRPr="00416121">
        <w:rPr>
          <w:lang w:eastAsia="en-IN"/>
        </w:rPr>
        <w:t xml:space="preserve"> </w:t>
      </w:r>
      <w:r w:rsidRPr="00416121">
        <w:rPr>
          <w:lang w:eastAsia="en-IN"/>
        </w:rPr>
        <w:t>Blue Chip Stamps</w:t>
      </w:r>
      <w:r w:rsidR="00B44F7C" w:rsidRPr="00416121">
        <w:rPr>
          <w:lang w:eastAsia="en-IN"/>
        </w:rPr>
        <w:t xml:space="preserve">, a loyalty program; </w:t>
      </w:r>
      <w:r w:rsidRPr="00416121">
        <w:rPr>
          <w:lang w:eastAsia="en-IN"/>
        </w:rPr>
        <w:t xml:space="preserve">Nebraska Furniture Mart, </w:t>
      </w:r>
      <w:r w:rsidR="00226E02" w:rsidRPr="00416121">
        <w:rPr>
          <w:lang w:eastAsia="en-IN"/>
        </w:rPr>
        <w:t xml:space="preserve">one of </w:t>
      </w:r>
      <w:r w:rsidR="00B44F7C" w:rsidRPr="00416121">
        <w:rPr>
          <w:lang w:eastAsia="en-IN"/>
        </w:rPr>
        <w:t>the largest home furnishing store</w:t>
      </w:r>
      <w:r w:rsidR="00226E02" w:rsidRPr="00416121">
        <w:rPr>
          <w:lang w:eastAsia="en-IN"/>
        </w:rPr>
        <w:t>s</w:t>
      </w:r>
      <w:r w:rsidR="00B44F7C" w:rsidRPr="00416121">
        <w:rPr>
          <w:lang w:eastAsia="en-IN"/>
        </w:rPr>
        <w:t xml:space="preserve"> in North America; </w:t>
      </w:r>
      <w:r w:rsidR="00226E02" w:rsidRPr="00416121">
        <w:rPr>
          <w:lang w:eastAsia="en-IN"/>
        </w:rPr>
        <w:t xml:space="preserve">the </w:t>
      </w:r>
      <w:r w:rsidRPr="00416121">
        <w:rPr>
          <w:lang w:eastAsia="en-IN"/>
        </w:rPr>
        <w:t xml:space="preserve">Scott Fetzer Company, </w:t>
      </w:r>
      <w:r w:rsidR="00226E02" w:rsidRPr="00416121">
        <w:rPr>
          <w:lang w:eastAsia="en-IN"/>
        </w:rPr>
        <w:t xml:space="preserve">manufacturer of the well-known Kirby vacuums, World Book reference materials, and other products for the home; and the </w:t>
      </w:r>
      <w:r w:rsidRPr="00416121">
        <w:rPr>
          <w:lang w:eastAsia="en-IN"/>
        </w:rPr>
        <w:t>Fireman’s Fund Insurance Company.</w:t>
      </w:r>
      <w:r w:rsidRPr="00416121">
        <w:rPr>
          <w:rStyle w:val="EndnoteReference"/>
        </w:rPr>
        <w:endnoteReference w:id="20"/>
      </w:r>
    </w:p>
    <w:p w14:paraId="4803CF46" w14:textId="77777777" w:rsidR="0081057D" w:rsidRPr="00416121" w:rsidRDefault="0081057D" w:rsidP="0081057D">
      <w:pPr>
        <w:pStyle w:val="BodyTextMain"/>
        <w:rPr>
          <w:lang w:eastAsia="en-IN"/>
        </w:rPr>
      </w:pPr>
    </w:p>
    <w:p w14:paraId="5D1307B7" w14:textId="209DDB33" w:rsidR="0081057D" w:rsidRPr="00416121" w:rsidRDefault="00226E02" w:rsidP="0081057D">
      <w:pPr>
        <w:pStyle w:val="BodyTextMain"/>
        <w:rPr>
          <w:lang w:eastAsia="en-IN"/>
        </w:rPr>
      </w:pPr>
      <w:r w:rsidRPr="00416121">
        <w:rPr>
          <w:lang w:eastAsia="en-IN"/>
        </w:rPr>
        <w:t>At the end of the</w:t>
      </w:r>
      <w:r w:rsidR="0081057D" w:rsidRPr="00416121">
        <w:rPr>
          <w:lang w:eastAsia="en-IN"/>
        </w:rPr>
        <w:t xml:space="preserve"> 1980s, Berkshire Hathaway acquired a </w:t>
      </w:r>
      <w:r w:rsidR="0081057D" w:rsidRPr="00416121">
        <w:rPr>
          <w:noProof/>
          <w:lang w:eastAsia="en-IN"/>
        </w:rPr>
        <w:t>significant</w:t>
      </w:r>
      <w:r w:rsidR="0081057D" w:rsidRPr="00416121">
        <w:rPr>
          <w:lang w:eastAsia="en-IN"/>
        </w:rPr>
        <w:t xml:space="preserve"> portion of </w:t>
      </w:r>
      <w:r w:rsidRPr="00416121">
        <w:rPr>
          <w:lang w:eastAsia="en-IN"/>
        </w:rPr>
        <w:t xml:space="preserve">the </w:t>
      </w:r>
      <w:r w:rsidR="0081057D" w:rsidRPr="00416121">
        <w:rPr>
          <w:lang w:eastAsia="en-IN"/>
        </w:rPr>
        <w:t xml:space="preserve">shares of many </w:t>
      </w:r>
      <w:r w:rsidRPr="00416121">
        <w:rPr>
          <w:lang w:eastAsia="en-IN"/>
        </w:rPr>
        <w:t xml:space="preserve">well-known and established </w:t>
      </w:r>
      <w:r w:rsidR="0081057D" w:rsidRPr="00416121">
        <w:rPr>
          <w:lang w:eastAsia="en-IN"/>
        </w:rPr>
        <w:t>companies</w:t>
      </w:r>
      <w:r w:rsidRPr="00416121">
        <w:rPr>
          <w:lang w:eastAsia="en-IN"/>
        </w:rPr>
        <w:t>,</w:t>
      </w:r>
      <w:r w:rsidR="0081057D" w:rsidRPr="00416121">
        <w:rPr>
          <w:lang w:eastAsia="en-IN"/>
        </w:rPr>
        <w:t xml:space="preserve"> such as Gillette </w:t>
      </w:r>
      <w:r w:rsidRPr="00416121">
        <w:rPr>
          <w:lang w:eastAsia="en-IN"/>
        </w:rPr>
        <w:t>Corporation</w:t>
      </w:r>
      <w:r w:rsidR="0081057D" w:rsidRPr="00416121">
        <w:rPr>
          <w:lang w:eastAsia="en-IN"/>
        </w:rPr>
        <w:t>, US</w:t>
      </w:r>
      <w:r w:rsidRPr="00416121">
        <w:rPr>
          <w:lang w:eastAsia="en-IN"/>
        </w:rPr>
        <w:t xml:space="preserve"> </w:t>
      </w:r>
      <w:r w:rsidR="0081057D" w:rsidRPr="00416121">
        <w:rPr>
          <w:lang w:eastAsia="en-IN"/>
        </w:rPr>
        <w:t>Air</w:t>
      </w:r>
      <w:r w:rsidRPr="00416121">
        <w:rPr>
          <w:lang w:eastAsia="en-IN"/>
        </w:rPr>
        <w:t>ways</w:t>
      </w:r>
      <w:r w:rsidR="0081057D" w:rsidRPr="00416121">
        <w:rPr>
          <w:lang w:eastAsia="en-IN"/>
        </w:rPr>
        <w:t xml:space="preserve"> Group, </w:t>
      </w:r>
      <w:r w:rsidR="00F4497B" w:rsidRPr="00416121">
        <w:rPr>
          <w:lang w:eastAsia="en-IN"/>
        </w:rPr>
        <w:t xml:space="preserve">the </w:t>
      </w:r>
      <w:r w:rsidR="0081057D" w:rsidRPr="00416121">
        <w:rPr>
          <w:lang w:eastAsia="en-IN"/>
        </w:rPr>
        <w:t>Coca-Cola</w:t>
      </w:r>
      <w:r w:rsidR="00F4497B" w:rsidRPr="00416121">
        <w:rPr>
          <w:lang w:eastAsia="en-IN"/>
        </w:rPr>
        <w:t xml:space="preserve"> Company, and forest products enterprise, Champion International Corporation</w:t>
      </w:r>
      <w:r w:rsidR="0081057D" w:rsidRPr="00416121">
        <w:rPr>
          <w:lang w:eastAsia="en-IN"/>
        </w:rPr>
        <w:t>.</w:t>
      </w:r>
      <w:r w:rsidR="0081057D" w:rsidRPr="00416121">
        <w:rPr>
          <w:rStyle w:val="EndnoteReference"/>
        </w:rPr>
        <w:endnoteReference w:id="21"/>
      </w:r>
    </w:p>
    <w:p w14:paraId="553397FB" w14:textId="77777777" w:rsidR="0081057D" w:rsidRPr="00416121" w:rsidRDefault="0081057D" w:rsidP="0081057D">
      <w:pPr>
        <w:pStyle w:val="BodyTextMain"/>
        <w:rPr>
          <w:lang w:eastAsia="en-IN"/>
        </w:rPr>
      </w:pPr>
    </w:p>
    <w:p w14:paraId="3E1BE4E0" w14:textId="7591D45C" w:rsidR="0081057D" w:rsidRPr="00416121" w:rsidRDefault="0081057D" w:rsidP="0081057D">
      <w:pPr>
        <w:pStyle w:val="BodyTextMain"/>
        <w:rPr>
          <w:lang w:eastAsia="en-IN"/>
        </w:rPr>
      </w:pPr>
      <w:r w:rsidRPr="00416121">
        <w:rPr>
          <w:lang w:eastAsia="en-IN"/>
        </w:rPr>
        <w:lastRenderedPageBreak/>
        <w:t xml:space="preserve">In 1996, Berkshire Hathaway achieved a major milestone </w:t>
      </w:r>
      <w:r w:rsidR="00F4497B" w:rsidRPr="00416121">
        <w:rPr>
          <w:lang w:eastAsia="en-IN"/>
        </w:rPr>
        <w:t>with</w:t>
      </w:r>
      <w:r w:rsidRPr="00416121">
        <w:rPr>
          <w:lang w:eastAsia="en-IN"/>
        </w:rPr>
        <w:t xml:space="preserve"> its insurance business</w:t>
      </w:r>
      <w:r w:rsidR="00F4497B" w:rsidRPr="00416121">
        <w:rPr>
          <w:lang w:eastAsia="en-IN"/>
        </w:rPr>
        <w:t>,</w:t>
      </w:r>
      <w:r w:rsidRPr="00416121">
        <w:rPr>
          <w:lang w:eastAsia="en-IN"/>
        </w:rPr>
        <w:t xml:space="preserve"> acqui</w:t>
      </w:r>
      <w:r w:rsidR="00F4497B" w:rsidRPr="00416121">
        <w:rPr>
          <w:lang w:eastAsia="en-IN"/>
        </w:rPr>
        <w:t>ring</w:t>
      </w:r>
      <w:r w:rsidRPr="00416121">
        <w:rPr>
          <w:lang w:eastAsia="en-IN"/>
        </w:rPr>
        <w:t xml:space="preserve"> </w:t>
      </w:r>
      <w:r w:rsidR="00F4497B" w:rsidRPr="00416121">
        <w:rPr>
          <w:lang w:eastAsia="en-IN"/>
        </w:rPr>
        <w:t xml:space="preserve">the </w:t>
      </w:r>
      <w:r w:rsidRPr="00416121">
        <w:rPr>
          <w:lang w:eastAsia="en-IN"/>
        </w:rPr>
        <w:t>Government Employees Insurance Company</w:t>
      </w:r>
      <w:r w:rsidR="00F4497B" w:rsidRPr="00416121">
        <w:rPr>
          <w:lang w:eastAsia="en-IN"/>
        </w:rPr>
        <w:t xml:space="preserve"> (GEICO)</w:t>
      </w:r>
      <w:r w:rsidRPr="00416121">
        <w:rPr>
          <w:lang w:eastAsia="en-IN"/>
        </w:rPr>
        <w:t xml:space="preserve">. </w:t>
      </w:r>
      <w:r w:rsidR="00F4497B" w:rsidRPr="00416121">
        <w:rPr>
          <w:lang w:eastAsia="en-IN"/>
        </w:rPr>
        <w:t xml:space="preserve">That acquisition and the company’s other investment decisions sent Berkshire Hathaway’s stock price to </w:t>
      </w:r>
      <w:r w:rsidRPr="00416121">
        <w:rPr>
          <w:lang w:eastAsia="en-IN"/>
        </w:rPr>
        <w:t>$36,000 per share.</w:t>
      </w:r>
      <w:r w:rsidRPr="00416121">
        <w:rPr>
          <w:rStyle w:val="EndnoteReference"/>
        </w:rPr>
        <w:endnoteReference w:id="22"/>
      </w:r>
    </w:p>
    <w:p w14:paraId="4F2846B5" w14:textId="77777777" w:rsidR="0081057D" w:rsidRPr="00416121" w:rsidRDefault="0081057D" w:rsidP="0081057D">
      <w:pPr>
        <w:pStyle w:val="BodyTextMain"/>
        <w:rPr>
          <w:lang w:eastAsia="en-IN"/>
        </w:rPr>
      </w:pPr>
    </w:p>
    <w:p w14:paraId="572D65B8" w14:textId="46582D01" w:rsidR="0081057D" w:rsidRPr="00416121" w:rsidRDefault="0081057D" w:rsidP="0081057D">
      <w:pPr>
        <w:pStyle w:val="BodyTextMain"/>
        <w:rPr>
          <w:lang w:eastAsia="en-IN"/>
        </w:rPr>
      </w:pPr>
      <w:r w:rsidRPr="00416121">
        <w:rPr>
          <w:lang w:eastAsia="en-IN"/>
        </w:rPr>
        <w:t xml:space="preserve">The company continued with valuable </w:t>
      </w:r>
      <w:r w:rsidR="002E527F" w:rsidRPr="00416121">
        <w:rPr>
          <w:lang w:eastAsia="en-IN"/>
        </w:rPr>
        <w:t xml:space="preserve">and diverse </w:t>
      </w:r>
      <w:r w:rsidRPr="00416121">
        <w:rPr>
          <w:lang w:eastAsia="en-IN"/>
        </w:rPr>
        <w:t xml:space="preserve">acquisitions </w:t>
      </w:r>
      <w:r w:rsidR="003A6ED8" w:rsidRPr="00416121">
        <w:rPr>
          <w:lang w:eastAsia="en-IN"/>
        </w:rPr>
        <w:t xml:space="preserve">as the calendar turned to </w:t>
      </w:r>
      <w:r w:rsidRPr="00416121">
        <w:rPr>
          <w:lang w:eastAsia="en-IN"/>
        </w:rPr>
        <w:t xml:space="preserve">the </w:t>
      </w:r>
      <w:r w:rsidR="00416121">
        <w:rPr>
          <w:lang w:eastAsia="en-IN"/>
        </w:rPr>
        <w:t>21</w:t>
      </w:r>
      <w:r w:rsidR="003A6ED8" w:rsidRPr="00416121">
        <w:rPr>
          <w:lang w:eastAsia="en-IN"/>
        </w:rPr>
        <w:t xml:space="preserve">st </w:t>
      </w:r>
      <w:r w:rsidRPr="00416121">
        <w:rPr>
          <w:lang w:eastAsia="en-IN"/>
        </w:rPr>
        <w:t xml:space="preserve">century. Prominent </w:t>
      </w:r>
      <w:r w:rsidR="003A6ED8" w:rsidRPr="00416121">
        <w:rPr>
          <w:lang w:eastAsia="en-IN"/>
        </w:rPr>
        <w:t xml:space="preserve">companies among </w:t>
      </w:r>
      <w:r w:rsidRPr="00416121">
        <w:rPr>
          <w:lang w:eastAsia="en-IN"/>
        </w:rPr>
        <w:t xml:space="preserve">these acquisitions were Benjamin Moore &amp; Co. and Johns Manville in 2001; Shaw </w:t>
      </w:r>
      <w:r w:rsidR="003A6ED8" w:rsidRPr="00416121">
        <w:rPr>
          <w:lang w:eastAsia="en-IN"/>
        </w:rPr>
        <w:t>I</w:t>
      </w:r>
      <w:r w:rsidRPr="00416121">
        <w:rPr>
          <w:lang w:eastAsia="en-IN"/>
        </w:rPr>
        <w:t xml:space="preserve">ndustries </w:t>
      </w:r>
      <w:r w:rsidR="003A6ED8" w:rsidRPr="00416121">
        <w:rPr>
          <w:lang w:eastAsia="en-IN"/>
        </w:rPr>
        <w:t xml:space="preserve">Group Inc. </w:t>
      </w:r>
      <w:r w:rsidRPr="00416121">
        <w:rPr>
          <w:lang w:eastAsia="en-IN"/>
        </w:rPr>
        <w:t>and Pampered Chef</w:t>
      </w:r>
      <w:r w:rsidR="003A6ED8" w:rsidRPr="00416121">
        <w:rPr>
          <w:lang w:eastAsia="en-IN"/>
        </w:rPr>
        <w:t xml:space="preserve"> Ltd.</w:t>
      </w:r>
      <w:r w:rsidRPr="00416121">
        <w:rPr>
          <w:lang w:eastAsia="en-IN"/>
        </w:rPr>
        <w:t xml:space="preserve"> in 2002; McLane Company </w:t>
      </w:r>
      <w:r w:rsidR="003A6ED8" w:rsidRPr="00416121">
        <w:rPr>
          <w:lang w:eastAsia="en-IN"/>
        </w:rPr>
        <w:t xml:space="preserve">Inc. </w:t>
      </w:r>
      <w:r w:rsidRPr="00416121">
        <w:rPr>
          <w:lang w:eastAsia="en-IN"/>
        </w:rPr>
        <w:t xml:space="preserve">in 2003; Medical </w:t>
      </w:r>
      <w:r w:rsidR="003A6ED8" w:rsidRPr="00416121">
        <w:rPr>
          <w:lang w:eastAsia="en-IN"/>
        </w:rPr>
        <w:t>P</w:t>
      </w:r>
      <w:r w:rsidRPr="00416121">
        <w:rPr>
          <w:lang w:eastAsia="en-IN"/>
        </w:rPr>
        <w:t xml:space="preserve">rotective </w:t>
      </w:r>
      <w:r w:rsidR="003A6ED8" w:rsidRPr="00416121">
        <w:rPr>
          <w:lang w:eastAsia="en-IN"/>
        </w:rPr>
        <w:t xml:space="preserve">(later MedPro Group) </w:t>
      </w:r>
      <w:r w:rsidRPr="00416121">
        <w:rPr>
          <w:lang w:eastAsia="en-IN"/>
        </w:rPr>
        <w:t xml:space="preserve">and Forest River </w:t>
      </w:r>
      <w:r w:rsidR="003A6ED8" w:rsidRPr="00416121">
        <w:rPr>
          <w:lang w:eastAsia="en-IN"/>
        </w:rPr>
        <w:t xml:space="preserve">Inc. </w:t>
      </w:r>
      <w:r w:rsidRPr="00416121">
        <w:rPr>
          <w:lang w:eastAsia="en-IN"/>
        </w:rPr>
        <w:t>in 2005; Russell Brands</w:t>
      </w:r>
      <w:r w:rsidR="002E527F" w:rsidRPr="00416121">
        <w:rPr>
          <w:lang w:eastAsia="en-IN"/>
        </w:rPr>
        <w:t xml:space="preserve"> LLC</w:t>
      </w:r>
      <w:r w:rsidRPr="00416121">
        <w:rPr>
          <w:lang w:eastAsia="en-IN"/>
        </w:rPr>
        <w:t>, Business Wire</w:t>
      </w:r>
      <w:r w:rsidR="002E527F" w:rsidRPr="00416121">
        <w:rPr>
          <w:lang w:eastAsia="en-IN"/>
        </w:rPr>
        <w:t>,</w:t>
      </w:r>
      <w:r w:rsidRPr="00416121">
        <w:rPr>
          <w:lang w:eastAsia="en-IN"/>
        </w:rPr>
        <w:t xml:space="preserve"> and Brooks Sports </w:t>
      </w:r>
      <w:r w:rsidR="002E527F" w:rsidRPr="00416121">
        <w:rPr>
          <w:lang w:eastAsia="en-IN"/>
        </w:rPr>
        <w:t xml:space="preserve">Inc. </w:t>
      </w:r>
      <w:r w:rsidRPr="00416121">
        <w:rPr>
          <w:lang w:eastAsia="en-IN"/>
        </w:rPr>
        <w:t>in 2006; TTI Inc</w:t>
      </w:r>
      <w:r w:rsidR="002E527F" w:rsidRPr="00416121">
        <w:rPr>
          <w:lang w:eastAsia="en-IN"/>
        </w:rPr>
        <w:t>.</w:t>
      </w:r>
      <w:r w:rsidRPr="00416121">
        <w:rPr>
          <w:lang w:eastAsia="en-IN"/>
        </w:rPr>
        <w:t>, Clayton Homes</w:t>
      </w:r>
      <w:r w:rsidR="002E527F" w:rsidRPr="00416121">
        <w:rPr>
          <w:lang w:eastAsia="en-IN"/>
        </w:rPr>
        <w:t>,</w:t>
      </w:r>
      <w:r w:rsidRPr="00416121">
        <w:rPr>
          <w:lang w:eastAsia="en-IN"/>
        </w:rPr>
        <w:t xml:space="preserve"> and Boat </w:t>
      </w:r>
      <w:r w:rsidR="002E527F" w:rsidRPr="00416121">
        <w:rPr>
          <w:lang w:eastAsia="en-IN"/>
        </w:rPr>
        <w:t xml:space="preserve">Owners Association of the United States (Boat U.S.) </w:t>
      </w:r>
      <w:r w:rsidRPr="00416121">
        <w:rPr>
          <w:lang w:eastAsia="en-IN"/>
        </w:rPr>
        <w:t xml:space="preserve">in 2007; Cavalier Homes </w:t>
      </w:r>
      <w:r w:rsidR="002E527F" w:rsidRPr="00416121">
        <w:rPr>
          <w:lang w:eastAsia="en-IN"/>
        </w:rPr>
        <w:t xml:space="preserve">Inc. </w:t>
      </w:r>
      <w:r w:rsidRPr="00416121">
        <w:rPr>
          <w:lang w:eastAsia="en-IN"/>
        </w:rPr>
        <w:t xml:space="preserve">in 2008; Burlington Northern Santa Fe </w:t>
      </w:r>
      <w:r w:rsidR="002E527F" w:rsidRPr="00416121">
        <w:rPr>
          <w:lang w:eastAsia="en-IN"/>
        </w:rPr>
        <w:t xml:space="preserve">LLC (BNSF Railway) </w:t>
      </w:r>
      <w:r w:rsidRPr="00416121">
        <w:rPr>
          <w:lang w:eastAsia="en-IN"/>
        </w:rPr>
        <w:t>in 2010; Lu</w:t>
      </w:r>
      <w:r w:rsidR="002E527F" w:rsidRPr="00416121">
        <w:rPr>
          <w:lang w:eastAsia="en-IN"/>
        </w:rPr>
        <w:t>b</w:t>
      </w:r>
      <w:r w:rsidRPr="00416121">
        <w:rPr>
          <w:lang w:eastAsia="en-IN"/>
        </w:rPr>
        <w:t xml:space="preserve">rizol </w:t>
      </w:r>
      <w:r w:rsidR="002E527F" w:rsidRPr="00416121">
        <w:rPr>
          <w:lang w:eastAsia="en-IN"/>
        </w:rPr>
        <w:t xml:space="preserve">Corporation </w:t>
      </w:r>
      <w:r w:rsidRPr="00416121">
        <w:rPr>
          <w:lang w:eastAsia="en-IN"/>
        </w:rPr>
        <w:t xml:space="preserve">in 2011; </w:t>
      </w:r>
      <w:r w:rsidR="00F66AA2" w:rsidRPr="00416121">
        <w:rPr>
          <w:lang w:eastAsia="en-IN"/>
        </w:rPr>
        <w:t>O</w:t>
      </w:r>
      <w:r w:rsidRPr="00416121">
        <w:rPr>
          <w:lang w:eastAsia="en-IN"/>
        </w:rPr>
        <w:t xml:space="preserve">riental Trading Company </w:t>
      </w:r>
      <w:r w:rsidR="002E527F" w:rsidRPr="00416121">
        <w:rPr>
          <w:lang w:eastAsia="en-IN"/>
        </w:rPr>
        <w:t xml:space="preserve">Inc. </w:t>
      </w:r>
      <w:r w:rsidRPr="00416121">
        <w:rPr>
          <w:lang w:eastAsia="en-IN"/>
        </w:rPr>
        <w:t xml:space="preserve">in 2012; </w:t>
      </w:r>
      <w:r w:rsidR="003E2202" w:rsidRPr="00416121">
        <w:rPr>
          <w:lang w:eastAsia="en-IN"/>
        </w:rPr>
        <w:t xml:space="preserve">television station </w:t>
      </w:r>
      <w:r w:rsidRPr="00416121">
        <w:rPr>
          <w:lang w:eastAsia="en-IN"/>
        </w:rPr>
        <w:t>WPLG and Charter Brokerage</w:t>
      </w:r>
      <w:r w:rsidR="003E2202" w:rsidRPr="00416121">
        <w:rPr>
          <w:lang w:eastAsia="en-IN"/>
        </w:rPr>
        <w:t xml:space="preserve"> LLC</w:t>
      </w:r>
      <w:r w:rsidRPr="00416121">
        <w:rPr>
          <w:lang w:eastAsia="en-IN"/>
        </w:rPr>
        <w:t xml:space="preserve"> in 2014; Louis Motor</w:t>
      </w:r>
      <w:r w:rsidR="003E2202" w:rsidRPr="00416121">
        <w:rPr>
          <w:lang w:eastAsia="en-IN"/>
        </w:rPr>
        <w:t>cycle Company</w:t>
      </w:r>
      <w:r w:rsidRPr="00416121">
        <w:rPr>
          <w:lang w:eastAsia="en-IN"/>
        </w:rPr>
        <w:t xml:space="preserve"> in 2015; </w:t>
      </w:r>
      <w:r w:rsidR="003E2202" w:rsidRPr="00416121">
        <w:rPr>
          <w:lang w:eastAsia="en-IN"/>
        </w:rPr>
        <w:t xml:space="preserve">and </w:t>
      </w:r>
      <w:r w:rsidRPr="00416121">
        <w:rPr>
          <w:lang w:eastAsia="en-IN"/>
        </w:rPr>
        <w:t xml:space="preserve">Precision Castparts Corp. and Duracell </w:t>
      </w:r>
      <w:r w:rsidR="003E2202" w:rsidRPr="00416121">
        <w:rPr>
          <w:lang w:eastAsia="en-IN"/>
        </w:rPr>
        <w:t xml:space="preserve">Inc. </w:t>
      </w:r>
      <w:r w:rsidRPr="00416121">
        <w:rPr>
          <w:lang w:eastAsia="en-IN"/>
        </w:rPr>
        <w:t>in 2016.</w:t>
      </w:r>
      <w:r w:rsidRPr="00416121">
        <w:rPr>
          <w:rStyle w:val="EndnoteReference"/>
          <w:rFonts w:eastAsia="Calibri"/>
        </w:rPr>
        <w:endnoteReference w:id="23"/>
      </w:r>
      <w:r w:rsidR="00277178" w:rsidRPr="00416121" w:rsidDel="00277178">
        <w:rPr>
          <w:rFonts w:ascii="Calibri" w:eastAsia="Calibri" w:hAnsi="Calibri"/>
          <w:vertAlign w:val="superscript"/>
        </w:rPr>
        <w:t xml:space="preserve"> </w:t>
      </w:r>
    </w:p>
    <w:p w14:paraId="03A42721" w14:textId="77777777" w:rsidR="0081057D" w:rsidRPr="00416121" w:rsidRDefault="0081057D" w:rsidP="00F06F63">
      <w:pPr>
        <w:pStyle w:val="BodyTextMain"/>
        <w:rPr>
          <w:rFonts w:eastAsia="Calibri"/>
        </w:rPr>
      </w:pPr>
    </w:p>
    <w:p w14:paraId="375A5313" w14:textId="77777777" w:rsidR="0081057D" w:rsidRPr="00416121" w:rsidRDefault="0081057D" w:rsidP="00F06F63">
      <w:pPr>
        <w:pStyle w:val="BodyTextMain"/>
        <w:rPr>
          <w:rFonts w:eastAsia="Calibri"/>
        </w:rPr>
      </w:pPr>
    </w:p>
    <w:p w14:paraId="4B7DC3F3" w14:textId="77777777" w:rsidR="0081057D" w:rsidRPr="00416121" w:rsidRDefault="0081057D" w:rsidP="0081057D">
      <w:pPr>
        <w:pStyle w:val="Casehead2"/>
        <w:rPr>
          <w:lang w:eastAsia="en-IN"/>
        </w:rPr>
      </w:pPr>
      <w:r w:rsidRPr="00416121">
        <w:rPr>
          <w:lang w:eastAsia="en-IN"/>
        </w:rPr>
        <w:t>Share Class</w:t>
      </w:r>
    </w:p>
    <w:p w14:paraId="0C23E88F" w14:textId="77777777" w:rsidR="0081057D" w:rsidRPr="00416121" w:rsidRDefault="0081057D" w:rsidP="00F06F63">
      <w:pPr>
        <w:pStyle w:val="BodyTextMain"/>
        <w:rPr>
          <w:lang w:eastAsia="en-IN"/>
        </w:rPr>
      </w:pPr>
    </w:p>
    <w:p w14:paraId="005EE23B" w14:textId="218004D1" w:rsidR="0081057D" w:rsidRPr="00D57C7D" w:rsidRDefault="0081057D" w:rsidP="00F06F63">
      <w:pPr>
        <w:pStyle w:val="BodyTextMain"/>
        <w:rPr>
          <w:spacing w:val="-4"/>
          <w:lang w:eastAsia="en-IN"/>
        </w:rPr>
      </w:pPr>
      <w:r w:rsidRPr="00D57C7D">
        <w:rPr>
          <w:spacing w:val="-4"/>
          <w:lang w:eastAsia="en-IN"/>
        </w:rPr>
        <w:t>Berkshire Hathaway ha</w:t>
      </w:r>
      <w:r w:rsidR="00764E9A" w:rsidRPr="00D57C7D">
        <w:rPr>
          <w:spacing w:val="-4"/>
          <w:lang w:eastAsia="en-IN"/>
        </w:rPr>
        <w:t>d</w:t>
      </w:r>
      <w:r w:rsidRPr="00D57C7D">
        <w:rPr>
          <w:spacing w:val="-4"/>
          <w:lang w:eastAsia="en-IN"/>
        </w:rPr>
        <w:t xml:space="preserve"> two classes of shares</w:t>
      </w:r>
      <w:r w:rsidR="00E83F9E" w:rsidRPr="00D57C7D">
        <w:rPr>
          <w:spacing w:val="-4"/>
          <w:lang w:eastAsia="en-IN"/>
        </w:rPr>
        <w:t>—</w:t>
      </w:r>
      <w:r w:rsidRPr="00D57C7D">
        <w:rPr>
          <w:spacing w:val="-4"/>
          <w:lang w:eastAsia="en-IN"/>
        </w:rPr>
        <w:t xml:space="preserve">Class A </w:t>
      </w:r>
      <w:r w:rsidR="003E2202" w:rsidRPr="00D57C7D">
        <w:rPr>
          <w:spacing w:val="-4"/>
          <w:lang w:eastAsia="en-IN"/>
        </w:rPr>
        <w:t xml:space="preserve">and </w:t>
      </w:r>
      <w:r w:rsidRPr="00D57C7D">
        <w:rPr>
          <w:spacing w:val="-4"/>
          <w:lang w:eastAsia="en-IN"/>
        </w:rPr>
        <w:t>Class B</w:t>
      </w:r>
      <w:r w:rsidR="00E83F9E" w:rsidRPr="00D57C7D">
        <w:rPr>
          <w:spacing w:val="-4"/>
          <w:lang w:eastAsia="en-IN"/>
        </w:rPr>
        <w:t>—</w:t>
      </w:r>
      <w:r w:rsidRPr="00D57C7D">
        <w:rPr>
          <w:spacing w:val="-4"/>
          <w:lang w:eastAsia="en-IN"/>
        </w:rPr>
        <w:t xml:space="preserve">trading on </w:t>
      </w:r>
      <w:r w:rsidR="003E2202" w:rsidRPr="00D57C7D">
        <w:rPr>
          <w:spacing w:val="-4"/>
          <w:lang w:eastAsia="en-IN"/>
        </w:rPr>
        <w:t xml:space="preserve">the </w:t>
      </w:r>
      <w:r w:rsidRPr="00D57C7D">
        <w:rPr>
          <w:spacing w:val="-4"/>
          <w:lang w:eastAsia="en-IN"/>
        </w:rPr>
        <w:t>New York Stock Exchange</w:t>
      </w:r>
      <w:r w:rsidR="00E83F9E" w:rsidRPr="00D57C7D">
        <w:rPr>
          <w:spacing w:val="-4"/>
          <w:lang w:eastAsia="en-IN"/>
        </w:rPr>
        <w:t>.</w:t>
      </w:r>
      <w:r w:rsidRPr="00D57C7D">
        <w:rPr>
          <w:spacing w:val="-4"/>
          <w:lang w:eastAsia="en-IN"/>
        </w:rPr>
        <w:t xml:space="preserve"> The </w:t>
      </w:r>
      <w:r w:rsidR="003E2202" w:rsidRPr="00D57C7D">
        <w:rPr>
          <w:spacing w:val="-4"/>
          <w:lang w:eastAsia="en-IN"/>
        </w:rPr>
        <w:t>C</w:t>
      </w:r>
      <w:r w:rsidRPr="00D57C7D">
        <w:rPr>
          <w:spacing w:val="-4"/>
          <w:lang w:eastAsia="en-IN"/>
        </w:rPr>
        <w:t xml:space="preserve">lass A </w:t>
      </w:r>
      <w:r w:rsidR="003E2202" w:rsidRPr="00D57C7D">
        <w:rPr>
          <w:spacing w:val="-4"/>
          <w:lang w:eastAsia="en-IN"/>
        </w:rPr>
        <w:t>s</w:t>
      </w:r>
      <w:r w:rsidRPr="00D57C7D">
        <w:rPr>
          <w:spacing w:val="-4"/>
          <w:lang w:eastAsia="en-IN"/>
        </w:rPr>
        <w:t xml:space="preserve">hares </w:t>
      </w:r>
      <w:r w:rsidR="00416121" w:rsidRPr="00D57C7D">
        <w:rPr>
          <w:spacing w:val="-4"/>
          <w:lang w:eastAsia="en-IN"/>
        </w:rPr>
        <w:t xml:space="preserve">had </w:t>
      </w:r>
      <w:r w:rsidRPr="00D57C7D">
        <w:rPr>
          <w:spacing w:val="-4"/>
          <w:lang w:eastAsia="en-IN"/>
        </w:rPr>
        <w:t xml:space="preserve">existed even before Buffett took over the business. </w:t>
      </w:r>
      <w:r w:rsidR="003E2202" w:rsidRPr="00D57C7D">
        <w:rPr>
          <w:spacing w:val="-4"/>
          <w:lang w:eastAsia="en-IN"/>
        </w:rPr>
        <w:t xml:space="preserve">Berkshire Hathaway had never split those stocks. </w:t>
      </w:r>
      <w:r w:rsidRPr="00D57C7D">
        <w:rPr>
          <w:spacing w:val="-4"/>
          <w:lang w:eastAsia="en-IN"/>
        </w:rPr>
        <w:t>As o</w:t>
      </w:r>
      <w:r w:rsidR="00E83F9E" w:rsidRPr="00D57C7D">
        <w:rPr>
          <w:spacing w:val="-4"/>
          <w:lang w:eastAsia="en-IN"/>
        </w:rPr>
        <w:t>f</w:t>
      </w:r>
      <w:r w:rsidRPr="00D57C7D">
        <w:rPr>
          <w:spacing w:val="-4"/>
          <w:lang w:eastAsia="en-IN"/>
        </w:rPr>
        <w:t xml:space="preserve"> January</w:t>
      </w:r>
      <w:r w:rsidR="003E2202" w:rsidRPr="00D57C7D">
        <w:rPr>
          <w:spacing w:val="-4"/>
          <w:lang w:eastAsia="en-IN"/>
        </w:rPr>
        <w:t xml:space="preserve"> 24</w:t>
      </w:r>
      <w:r w:rsidRPr="00D57C7D">
        <w:rPr>
          <w:spacing w:val="-4"/>
          <w:lang w:eastAsia="en-IN"/>
        </w:rPr>
        <w:t xml:space="preserve">, 2018, approximately </w:t>
      </w:r>
      <w:r w:rsidR="003E2202" w:rsidRPr="00D57C7D">
        <w:rPr>
          <w:spacing w:val="-4"/>
          <w:lang w:eastAsia="en-IN"/>
        </w:rPr>
        <w:t xml:space="preserve">11 </w:t>
      </w:r>
      <w:r w:rsidRPr="00D57C7D">
        <w:rPr>
          <w:spacing w:val="-4"/>
          <w:lang w:eastAsia="en-IN"/>
        </w:rPr>
        <w:t>per</w:t>
      </w:r>
      <w:r w:rsidR="003E2202" w:rsidRPr="00D57C7D">
        <w:rPr>
          <w:spacing w:val="-4"/>
          <w:lang w:eastAsia="en-IN"/>
        </w:rPr>
        <w:t xml:space="preserve"> </w:t>
      </w:r>
      <w:r w:rsidRPr="00D57C7D">
        <w:rPr>
          <w:spacing w:val="-4"/>
          <w:lang w:eastAsia="en-IN"/>
        </w:rPr>
        <w:t xml:space="preserve">cent of the Class A shares </w:t>
      </w:r>
      <w:r w:rsidR="00764E9A" w:rsidRPr="00D57C7D">
        <w:rPr>
          <w:spacing w:val="-4"/>
          <w:lang w:eastAsia="en-IN"/>
        </w:rPr>
        <w:t>wer</w:t>
      </w:r>
      <w:r w:rsidRPr="00D57C7D">
        <w:rPr>
          <w:spacing w:val="-4"/>
          <w:lang w:eastAsia="en-IN"/>
        </w:rPr>
        <w:t xml:space="preserve">e held by </w:t>
      </w:r>
      <w:r w:rsidR="003E2202" w:rsidRPr="00D57C7D">
        <w:rPr>
          <w:spacing w:val="-4"/>
          <w:lang w:eastAsia="en-IN"/>
        </w:rPr>
        <w:t xml:space="preserve">members of the </w:t>
      </w:r>
      <w:r w:rsidRPr="00D57C7D">
        <w:rPr>
          <w:spacing w:val="-4"/>
          <w:lang w:eastAsia="en-IN"/>
        </w:rPr>
        <w:t>general public</w:t>
      </w:r>
      <w:r w:rsidR="002713E5" w:rsidRPr="00D57C7D">
        <w:rPr>
          <w:spacing w:val="-4"/>
          <w:lang w:eastAsia="en-IN"/>
        </w:rPr>
        <w:t>;</w:t>
      </w:r>
      <w:r w:rsidRPr="00D57C7D">
        <w:rPr>
          <w:spacing w:val="-4"/>
          <w:lang w:eastAsia="en-IN"/>
        </w:rPr>
        <w:t xml:space="preserve"> </w:t>
      </w:r>
      <w:r w:rsidR="003E2202" w:rsidRPr="00D57C7D">
        <w:rPr>
          <w:spacing w:val="-4"/>
          <w:lang w:eastAsia="en-IN"/>
        </w:rPr>
        <w:t>48</w:t>
      </w:r>
      <w:r w:rsidRPr="00D57C7D">
        <w:rPr>
          <w:spacing w:val="-4"/>
          <w:lang w:eastAsia="en-IN"/>
        </w:rPr>
        <w:t xml:space="preserve"> per</w:t>
      </w:r>
      <w:r w:rsidR="003E2202" w:rsidRPr="00D57C7D">
        <w:rPr>
          <w:spacing w:val="-4"/>
          <w:lang w:eastAsia="en-IN"/>
        </w:rPr>
        <w:t xml:space="preserve"> </w:t>
      </w:r>
      <w:r w:rsidRPr="00D57C7D">
        <w:rPr>
          <w:spacing w:val="-4"/>
          <w:lang w:eastAsia="en-IN"/>
        </w:rPr>
        <w:t xml:space="preserve">cent </w:t>
      </w:r>
      <w:r w:rsidR="003E2202" w:rsidRPr="00D57C7D">
        <w:rPr>
          <w:spacing w:val="-4"/>
          <w:lang w:eastAsia="en-IN"/>
        </w:rPr>
        <w:t>were held by institutions and 41</w:t>
      </w:r>
      <w:r w:rsidRPr="00D57C7D">
        <w:rPr>
          <w:spacing w:val="-4"/>
          <w:lang w:eastAsia="en-IN"/>
        </w:rPr>
        <w:t xml:space="preserve"> per</w:t>
      </w:r>
      <w:r w:rsidR="003E2202" w:rsidRPr="00D57C7D">
        <w:rPr>
          <w:spacing w:val="-4"/>
          <w:lang w:eastAsia="en-IN"/>
        </w:rPr>
        <w:t xml:space="preserve"> </w:t>
      </w:r>
      <w:r w:rsidRPr="00D57C7D">
        <w:rPr>
          <w:spacing w:val="-4"/>
          <w:lang w:eastAsia="en-IN"/>
        </w:rPr>
        <w:t xml:space="preserve">cent by </w:t>
      </w:r>
      <w:r w:rsidR="00E83F9E" w:rsidRPr="00D57C7D">
        <w:rPr>
          <w:spacing w:val="-4"/>
          <w:lang w:eastAsia="en-IN"/>
        </w:rPr>
        <w:t>i</w:t>
      </w:r>
      <w:r w:rsidRPr="00D57C7D">
        <w:rPr>
          <w:spacing w:val="-4"/>
          <w:lang w:eastAsia="en-IN"/>
        </w:rPr>
        <w:t>nsider investors.</w:t>
      </w:r>
      <w:r w:rsidRPr="00D57C7D">
        <w:rPr>
          <w:rStyle w:val="EndnoteReference"/>
          <w:spacing w:val="-4"/>
        </w:rPr>
        <w:endnoteReference w:id="24"/>
      </w:r>
      <w:r w:rsidR="003E2202" w:rsidRPr="00D57C7D">
        <w:rPr>
          <w:spacing w:val="-4"/>
          <w:lang w:eastAsia="en-IN"/>
        </w:rPr>
        <w:t xml:space="preserve"> At the end of</w:t>
      </w:r>
      <w:r w:rsidRPr="00D57C7D">
        <w:rPr>
          <w:spacing w:val="-4"/>
          <w:lang w:eastAsia="en-IN"/>
        </w:rPr>
        <w:t xml:space="preserve"> 2017</w:t>
      </w:r>
      <w:r w:rsidR="003E2202" w:rsidRPr="00D57C7D">
        <w:rPr>
          <w:spacing w:val="-4"/>
          <w:lang w:eastAsia="en-IN"/>
        </w:rPr>
        <w:t>,</w:t>
      </w:r>
      <w:r w:rsidRPr="00D57C7D">
        <w:rPr>
          <w:spacing w:val="-4"/>
          <w:lang w:eastAsia="en-IN"/>
        </w:rPr>
        <w:t xml:space="preserve"> </w:t>
      </w:r>
      <w:r w:rsidR="003E2202" w:rsidRPr="00D57C7D">
        <w:rPr>
          <w:spacing w:val="-4"/>
          <w:lang w:eastAsia="en-IN"/>
        </w:rPr>
        <w:t xml:space="preserve">the average price of </w:t>
      </w:r>
      <w:r w:rsidRPr="00D57C7D">
        <w:rPr>
          <w:spacing w:val="-4"/>
          <w:lang w:eastAsia="en-IN"/>
        </w:rPr>
        <w:t xml:space="preserve">Berkshire Hathaway’s Class A stocks </w:t>
      </w:r>
      <w:r w:rsidR="003E2202" w:rsidRPr="00D57C7D">
        <w:rPr>
          <w:spacing w:val="-4"/>
          <w:lang w:eastAsia="en-IN"/>
        </w:rPr>
        <w:t xml:space="preserve">was </w:t>
      </w:r>
      <w:r w:rsidRPr="00D57C7D">
        <w:rPr>
          <w:spacing w:val="-4"/>
          <w:lang w:eastAsia="en-IN"/>
        </w:rPr>
        <w:t>$297,600 per share.</w:t>
      </w:r>
      <w:r w:rsidRPr="00D57C7D">
        <w:rPr>
          <w:rStyle w:val="EndnoteReference"/>
          <w:spacing w:val="-4"/>
        </w:rPr>
        <w:endnoteReference w:id="25"/>
      </w:r>
    </w:p>
    <w:p w14:paraId="5319B1CC" w14:textId="77777777" w:rsidR="0081057D" w:rsidRPr="00416121" w:rsidRDefault="0081057D" w:rsidP="0081057D">
      <w:pPr>
        <w:pStyle w:val="BodyTextMain"/>
        <w:rPr>
          <w:rFonts w:ascii="Arial" w:eastAsia="Calibri" w:hAnsi="Arial" w:cs="Arial"/>
          <w:spacing w:val="-2"/>
          <w:sz w:val="21"/>
          <w:szCs w:val="21"/>
          <w:shd w:val="clear" w:color="auto" w:fill="F8F9FA"/>
        </w:rPr>
      </w:pPr>
    </w:p>
    <w:p w14:paraId="0FFC4633" w14:textId="77047A2D" w:rsidR="0081057D" w:rsidRPr="00416121" w:rsidRDefault="0081057D" w:rsidP="0081057D">
      <w:pPr>
        <w:pStyle w:val="BodyTextMain"/>
        <w:rPr>
          <w:lang w:eastAsia="en-IN"/>
        </w:rPr>
      </w:pPr>
      <w:r w:rsidRPr="00416121">
        <w:rPr>
          <w:lang w:eastAsia="en-IN"/>
        </w:rPr>
        <w:t xml:space="preserve">The </w:t>
      </w:r>
      <w:r w:rsidR="000032A3" w:rsidRPr="00416121">
        <w:rPr>
          <w:lang w:eastAsia="en-IN"/>
        </w:rPr>
        <w:t>C</w:t>
      </w:r>
      <w:r w:rsidRPr="00416121">
        <w:rPr>
          <w:lang w:eastAsia="en-IN"/>
        </w:rPr>
        <w:t>lass B shares were created in 1996</w:t>
      </w:r>
      <w:r w:rsidR="000032A3" w:rsidRPr="00416121">
        <w:rPr>
          <w:lang w:eastAsia="en-IN"/>
        </w:rPr>
        <w:t xml:space="preserve">. They </w:t>
      </w:r>
      <w:r w:rsidRPr="00416121">
        <w:rPr>
          <w:lang w:eastAsia="en-IN"/>
        </w:rPr>
        <w:t xml:space="preserve">gave the Class A shareholders the right to convert each Class A share into </w:t>
      </w:r>
      <w:r w:rsidR="000032A3" w:rsidRPr="00416121">
        <w:rPr>
          <w:lang w:eastAsia="en-IN"/>
        </w:rPr>
        <w:t xml:space="preserve">30 </w:t>
      </w:r>
      <w:r w:rsidRPr="00416121">
        <w:rPr>
          <w:lang w:eastAsia="en-IN"/>
        </w:rPr>
        <w:t xml:space="preserve">Class B shares. The intention was to allow small investors to hold </w:t>
      </w:r>
      <w:r w:rsidR="000032A3" w:rsidRPr="00416121">
        <w:rPr>
          <w:lang w:eastAsia="en-IN"/>
        </w:rPr>
        <w:t xml:space="preserve">a </w:t>
      </w:r>
      <w:r w:rsidRPr="00416121">
        <w:rPr>
          <w:lang w:eastAsia="en-IN"/>
        </w:rPr>
        <w:t>stake in the company</w:t>
      </w:r>
      <w:r w:rsidR="000032A3" w:rsidRPr="00416121">
        <w:rPr>
          <w:lang w:eastAsia="en-IN"/>
        </w:rPr>
        <w:t xml:space="preserve">—a response </w:t>
      </w:r>
      <w:r w:rsidRPr="00416121">
        <w:rPr>
          <w:lang w:eastAsia="en-IN"/>
        </w:rPr>
        <w:t xml:space="preserve">to the threat of financial entrepreneurs </w:t>
      </w:r>
      <w:r w:rsidR="000032A3" w:rsidRPr="00416121">
        <w:rPr>
          <w:lang w:eastAsia="en-IN"/>
        </w:rPr>
        <w:t xml:space="preserve">who were </w:t>
      </w:r>
      <w:r w:rsidRPr="00416121">
        <w:rPr>
          <w:lang w:eastAsia="en-IN"/>
        </w:rPr>
        <w:t>attempting to create alternative investment vehicle</w:t>
      </w:r>
      <w:r w:rsidR="000032A3" w:rsidRPr="00416121">
        <w:rPr>
          <w:lang w:eastAsia="en-IN"/>
        </w:rPr>
        <w:t>s</w:t>
      </w:r>
      <w:r w:rsidRPr="00416121">
        <w:rPr>
          <w:lang w:eastAsia="en-IN"/>
        </w:rPr>
        <w:t>.</w:t>
      </w:r>
      <w:r w:rsidRPr="00416121">
        <w:rPr>
          <w:rStyle w:val="EndnoteReference"/>
        </w:rPr>
        <w:endnoteReference w:id="26"/>
      </w:r>
      <w:r w:rsidR="000032A3" w:rsidRPr="00416121">
        <w:rPr>
          <w:lang w:eastAsia="en-IN"/>
        </w:rPr>
        <w:t xml:space="preserve"> </w:t>
      </w:r>
      <w:r w:rsidRPr="00416121">
        <w:rPr>
          <w:lang w:eastAsia="en-IN"/>
        </w:rPr>
        <w:t xml:space="preserve">On </w:t>
      </w:r>
      <w:r w:rsidR="00E83F9E" w:rsidRPr="00416121">
        <w:rPr>
          <w:lang w:eastAsia="en-IN"/>
        </w:rPr>
        <w:t xml:space="preserve">January </w:t>
      </w:r>
      <w:r w:rsidRPr="00416121">
        <w:rPr>
          <w:lang w:eastAsia="en-IN"/>
        </w:rPr>
        <w:t xml:space="preserve">21, 2010, each </w:t>
      </w:r>
      <w:r w:rsidR="000032A3" w:rsidRPr="00416121">
        <w:rPr>
          <w:lang w:eastAsia="en-IN"/>
        </w:rPr>
        <w:t xml:space="preserve">Class B </w:t>
      </w:r>
      <w:r w:rsidRPr="00416121">
        <w:rPr>
          <w:lang w:eastAsia="en-IN"/>
        </w:rPr>
        <w:t xml:space="preserve">share was split into </w:t>
      </w:r>
      <w:r w:rsidR="000032A3" w:rsidRPr="00416121">
        <w:rPr>
          <w:lang w:eastAsia="en-IN"/>
        </w:rPr>
        <w:t xml:space="preserve">50 </w:t>
      </w:r>
      <w:r w:rsidRPr="00416121">
        <w:rPr>
          <w:lang w:eastAsia="en-IN"/>
        </w:rPr>
        <w:t>shares</w:t>
      </w:r>
      <w:r w:rsidR="000032A3" w:rsidRPr="00416121">
        <w:rPr>
          <w:lang w:eastAsia="en-IN"/>
        </w:rPr>
        <w:t>, t</w:t>
      </w:r>
      <w:r w:rsidRPr="00416121">
        <w:rPr>
          <w:lang w:eastAsia="en-IN"/>
        </w:rPr>
        <w:t>hus increas</w:t>
      </w:r>
      <w:r w:rsidR="000032A3" w:rsidRPr="00416121">
        <w:rPr>
          <w:lang w:eastAsia="en-IN"/>
        </w:rPr>
        <w:t>ing</w:t>
      </w:r>
      <w:r w:rsidRPr="00416121">
        <w:rPr>
          <w:lang w:eastAsia="en-IN"/>
        </w:rPr>
        <w:t xml:space="preserve"> the number of Class B shares in circulation.</w:t>
      </w:r>
      <w:r w:rsidRPr="00416121">
        <w:rPr>
          <w:rStyle w:val="EndnoteReference"/>
        </w:rPr>
        <w:endnoteReference w:id="27"/>
      </w:r>
      <w:r w:rsidRPr="00416121">
        <w:rPr>
          <w:lang w:eastAsia="en-IN"/>
        </w:rPr>
        <w:t xml:space="preserve"> </w:t>
      </w:r>
    </w:p>
    <w:p w14:paraId="5C1DCE65" w14:textId="77777777" w:rsidR="0081057D" w:rsidRPr="00416121" w:rsidRDefault="0081057D" w:rsidP="0081057D">
      <w:pPr>
        <w:pStyle w:val="BodyTextMain"/>
        <w:rPr>
          <w:rFonts w:ascii="Calibri" w:eastAsia="Calibri" w:hAnsi="Calibri"/>
          <w:lang w:eastAsia="en-IN"/>
        </w:rPr>
      </w:pPr>
    </w:p>
    <w:p w14:paraId="22F1146A" w14:textId="1CBB7186" w:rsidR="0081057D" w:rsidRPr="00416121" w:rsidRDefault="000032A3" w:rsidP="0081057D">
      <w:pPr>
        <w:pStyle w:val="BodyTextMain"/>
        <w:rPr>
          <w:lang w:eastAsia="en-IN"/>
        </w:rPr>
      </w:pPr>
      <w:r w:rsidRPr="00416121">
        <w:rPr>
          <w:lang w:eastAsia="en-IN"/>
        </w:rPr>
        <w:t xml:space="preserve">As of </w:t>
      </w:r>
      <w:r w:rsidR="00E83F9E" w:rsidRPr="00416121">
        <w:rPr>
          <w:lang w:eastAsia="en-IN"/>
        </w:rPr>
        <w:t xml:space="preserve">January </w:t>
      </w:r>
      <w:r w:rsidR="0081057D" w:rsidRPr="00416121">
        <w:rPr>
          <w:lang w:eastAsia="en-IN"/>
        </w:rPr>
        <w:t xml:space="preserve">24, 2018, approximately </w:t>
      </w:r>
      <w:r w:rsidRPr="00416121">
        <w:rPr>
          <w:lang w:eastAsia="en-IN"/>
        </w:rPr>
        <w:t>35</w:t>
      </w:r>
      <w:r w:rsidR="0081057D" w:rsidRPr="00416121">
        <w:rPr>
          <w:lang w:eastAsia="en-IN"/>
        </w:rPr>
        <w:t xml:space="preserve"> per</w:t>
      </w:r>
      <w:r w:rsidRPr="00416121">
        <w:rPr>
          <w:lang w:eastAsia="en-IN"/>
        </w:rPr>
        <w:t xml:space="preserve"> </w:t>
      </w:r>
      <w:r w:rsidR="0081057D" w:rsidRPr="00416121">
        <w:rPr>
          <w:lang w:eastAsia="en-IN"/>
        </w:rPr>
        <w:t xml:space="preserve">cent of </w:t>
      </w:r>
      <w:r w:rsidRPr="00416121">
        <w:rPr>
          <w:lang w:eastAsia="en-IN"/>
        </w:rPr>
        <w:t xml:space="preserve">Berkshire Hathaway’s </w:t>
      </w:r>
      <w:r w:rsidR="0081057D" w:rsidRPr="00416121">
        <w:rPr>
          <w:lang w:eastAsia="en-IN"/>
        </w:rPr>
        <w:t xml:space="preserve">Class B shares </w:t>
      </w:r>
      <w:r w:rsidR="00764E9A" w:rsidRPr="00416121">
        <w:rPr>
          <w:lang w:eastAsia="en-IN"/>
        </w:rPr>
        <w:t>we</w:t>
      </w:r>
      <w:r w:rsidR="0081057D" w:rsidRPr="00416121">
        <w:rPr>
          <w:lang w:eastAsia="en-IN"/>
        </w:rPr>
        <w:t xml:space="preserve">re held by </w:t>
      </w:r>
      <w:r w:rsidRPr="00416121">
        <w:rPr>
          <w:lang w:eastAsia="en-IN"/>
        </w:rPr>
        <w:t xml:space="preserve">members of the </w:t>
      </w:r>
      <w:r w:rsidR="0081057D" w:rsidRPr="00416121">
        <w:rPr>
          <w:lang w:eastAsia="en-IN"/>
        </w:rPr>
        <w:t>general public</w:t>
      </w:r>
      <w:r w:rsidR="002713E5" w:rsidRPr="00416121">
        <w:rPr>
          <w:lang w:eastAsia="en-IN"/>
        </w:rPr>
        <w:t>;</w:t>
      </w:r>
      <w:r w:rsidR="0081057D" w:rsidRPr="00416121">
        <w:rPr>
          <w:lang w:eastAsia="en-IN"/>
        </w:rPr>
        <w:t xml:space="preserve"> </w:t>
      </w:r>
      <w:r w:rsidRPr="00416121">
        <w:rPr>
          <w:lang w:eastAsia="en-IN"/>
        </w:rPr>
        <w:t>47</w:t>
      </w:r>
      <w:r w:rsidR="0081057D" w:rsidRPr="00416121">
        <w:rPr>
          <w:lang w:eastAsia="en-IN"/>
        </w:rPr>
        <w:t xml:space="preserve"> per</w:t>
      </w:r>
      <w:r w:rsidRPr="00416121">
        <w:rPr>
          <w:lang w:eastAsia="en-IN"/>
        </w:rPr>
        <w:t xml:space="preserve"> </w:t>
      </w:r>
      <w:r w:rsidR="0081057D" w:rsidRPr="00416121">
        <w:rPr>
          <w:lang w:eastAsia="en-IN"/>
        </w:rPr>
        <w:t xml:space="preserve">cent </w:t>
      </w:r>
      <w:r w:rsidRPr="00416121">
        <w:rPr>
          <w:lang w:eastAsia="en-IN"/>
        </w:rPr>
        <w:t xml:space="preserve">were held by institutions </w:t>
      </w:r>
      <w:r w:rsidR="0081057D" w:rsidRPr="00416121">
        <w:rPr>
          <w:lang w:eastAsia="en-IN"/>
        </w:rPr>
        <w:t xml:space="preserve">and </w:t>
      </w:r>
      <w:r w:rsidRPr="00416121">
        <w:rPr>
          <w:lang w:eastAsia="en-IN"/>
        </w:rPr>
        <w:t xml:space="preserve">19 </w:t>
      </w:r>
      <w:r w:rsidR="0081057D" w:rsidRPr="00416121">
        <w:rPr>
          <w:lang w:eastAsia="en-IN"/>
        </w:rPr>
        <w:t>per</w:t>
      </w:r>
      <w:r w:rsidRPr="00416121">
        <w:rPr>
          <w:lang w:eastAsia="en-IN"/>
        </w:rPr>
        <w:t xml:space="preserve"> </w:t>
      </w:r>
      <w:r w:rsidR="0081057D" w:rsidRPr="00416121">
        <w:rPr>
          <w:lang w:eastAsia="en-IN"/>
        </w:rPr>
        <w:t xml:space="preserve">cent by </w:t>
      </w:r>
      <w:r w:rsidRPr="00416121">
        <w:rPr>
          <w:lang w:eastAsia="en-IN"/>
        </w:rPr>
        <w:t>i</w:t>
      </w:r>
      <w:r w:rsidR="0081057D" w:rsidRPr="00416121">
        <w:rPr>
          <w:lang w:eastAsia="en-IN"/>
        </w:rPr>
        <w:t xml:space="preserve">nsider </w:t>
      </w:r>
      <w:r w:rsidRPr="00416121">
        <w:rPr>
          <w:lang w:eastAsia="en-IN"/>
        </w:rPr>
        <w:t>i</w:t>
      </w:r>
      <w:r w:rsidR="0081057D" w:rsidRPr="00416121">
        <w:rPr>
          <w:lang w:eastAsia="en-IN"/>
        </w:rPr>
        <w:t>nvestors.</w:t>
      </w:r>
      <w:r w:rsidR="0081057D" w:rsidRPr="00416121">
        <w:rPr>
          <w:rStyle w:val="EndnoteReference"/>
        </w:rPr>
        <w:endnoteReference w:id="28"/>
      </w:r>
      <w:r w:rsidRPr="00416121">
        <w:rPr>
          <w:lang w:eastAsia="en-IN"/>
        </w:rPr>
        <w:t xml:space="preserve"> At the end of </w:t>
      </w:r>
      <w:r w:rsidR="0081057D" w:rsidRPr="00416121">
        <w:rPr>
          <w:lang w:eastAsia="en-IN"/>
        </w:rPr>
        <w:t>2017</w:t>
      </w:r>
      <w:r w:rsidR="0061553C" w:rsidRPr="00416121">
        <w:rPr>
          <w:lang w:eastAsia="en-IN"/>
        </w:rPr>
        <w:t>,</w:t>
      </w:r>
      <w:r w:rsidR="0081057D" w:rsidRPr="00416121">
        <w:rPr>
          <w:lang w:eastAsia="en-IN"/>
        </w:rPr>
        <w:t xml:space="preserve"> </w:t>
      </w:r>
      <w:r w:rsidR="0061553C" w:rsidRPr="00416121">
        <w:rPr>
          <w:lang w:eastAsia="en-IN"/>
        </w:rPr>
        <w:t xml:space="preserve">the average price of </w:t>
      </w:r>
      <w:r w:rsidR="0081057D" w:rsidRPr="00416121">
        <w:rPr>
          <w:lang w:eastAsia="en-IN"/>
        </w:rPr>
        <w:t xml:space="preserve">Berkshire Hathaway’s Class B stocks </w:t>
      </w:r>
      <w:r w:rsidR="0061553C" w:rsidRPr="00416121">
        <w:rPr>
          <w:lang w:eastAsia="en-IN"/>
        </w:rPr>
        <w:t xml:space="preserve">was </w:t>
      </w:r>
      <w:r w:rsidR="0081057D" w:rsidRPr="00416121">
        <w:rPr>
          <w:lang w:eastAsia="en-IN"/>
        </w:rPr>
        <w:t>$200 per share.</w:t>
      </w:r>
      <w:r w:rsidR="0081057D" w:rsidRPr="00416121">
        <w:rPr>
          <w:rStyle w:val="EndnoteReference"/>
        </w:rPr>
        <w:endnoteReference w:id="29"/>
      </w:r>
    </w:p>
    <w:p w14:paraId="15A8F868" w14:textId="51D03A54" w:rsidR="0081057D" w:rsidRPr="00416121" w:rsidRDefault="0081057D" w:rsidP="00F06F63">
      <w:pPr>
        <w:pStyle w:val="BodyTextMain"/>
        <w:rPr>
          <w:lang w:eastAsia="en-IN"/>
        </w:rPr>
      </w:pPr>
    </w:p>
    <w:p w14:paraId="168A6CFF" w14:textId="77777777" w:rsidR="0081057D" w:rsidRPr="00416121" w:rsidRDefault="0081057D" w:rsidP="00F06F63">
      <w:pPr>
        <w:pStyle w:val="BodyTextMain"/>
        <w:rPr>
          <w:rFonts w:ascii="Calibri" w:eastAsia="Calibri" w:hAnsi="Calibri"/>
          <w:lang w:eastAsia="en-IN"/>
        </w:rPr>
      </w:pPr>
    </w:p>
    <w:p w14:paraId="0E4E75B7" w14:textId="77777777" w:rsidR="0081057D" w:rsidRPr="00416121" w:rsidRDefault="0081057D" w:rsidP="0081057D">
      <w:pPr>
        <w:pStyle w:val="Casehead1"/>
        <w:rPr>
          <w:rFonts w:eastAsia="Calibri"/>
        </w:rPr>
      </w:pPr>
      <w:r w:rsidRPr="00416121">
        <w:rPr>
          <w:rFonts w:eastAsia="Calibri"/>
        </w:rPr>
        <w:t>DIVIDEND POLICY</w:t>
      </w:r>
    </w:p>
    <w:p w14:paraId="578436D2" w14:textId="77777777" w:rsidR="0081057D" w:rsidRPr="00416121" w:rsidRDefault="0081057D" w:rsidP="00F06F63">
      <w:pPr>
        <w:pStyle w:val="BodyTextMain"/>
        <w:rPr>
          <w:rFonts w:eastAsia="Calibri"/>
        </w:rPr>
      </w:pPr>
    </w:p>
    <w:p w14:paraId="25CD3707" w14:textId="714E9468" w:rsidR="002713E5" w:rsidRPr="00416121" w:rsidRDefault="0081057D" w:rsidP="0081057D">
      <w:pPr>
        <w:pStyle w:val="BodyTextMain"/>
        <w:rPr>
          <w:rFonts w:eastAsia="Calibri"/>
        </w:rPr>
      </w:pPr>
      <w:r w:rsidRPr="00416121">
        <w:rPr>
          <w:rFonts w:eastAsia="Calibri"/>
        </w:rPr>
        <w:t>Buffett</w:t>
      </w:r>
      <w:r w:rsidR="00072625" w:rsidRPr="00416121">
        <w:rPr>
          <w:rFonts w:eastAsia="Calibri"/>
        </w:rPr>
        <w:t>’s strategy</w:t>
      </w:r>
      <w:r w:rsidR="006D689E" w:rsidRPr="00416121">
        <w:rPr>
          <w:rFonts w:eastAsia="Calibri"/>
        </w:rPr>
        <w:t xml:space="preserve"> was to make it a priority to diligently </w:t>
      </w:r>
      <w:r w:rsidR="00D54479" w:rsidRPr="00416121">
        <w:rPr>
          <w:rFonts w:eastAsia="Calibri"/>
        </w:rPr>
        <w:t>reinvest</w:t>
      </w:r>
      <w:r w:rsidR="006D689E" w:rsidRPr="00416121">
        <w:rPr>
          <w:rFonts w:eastAsia="Calibri"/>
        </w:rPr>
        <w:t xml:space="preserve"> earnings </w:t>
      </w:r>
      <w:r w:rsidRPr="00416121">
        <w:rPr>
          <w:rFonts w:eastAsia="Calibri"/>
        </w:rPr>
        <w:t>in the</w:t>
      </w:r>
      <w:r w:rsidR="002713E5" w:rsidRPr="00416121">
        <w:rPr>
          <w:rFonts w:eastAsia="Calibri"/>
        </w:rPr>
        <w:t xml:space="preserve"> company’s</w:t>
      </w:r>
      <w:r w:rsidRPr="00416121">
        <w:rPr>
          <w:rFonts w:eastAsia="Calibri"/>
        </w:rPr>
        <w:t xml:space="preserve"> existing multi</w:t>
      </w:r>
      <w:r w:rsidR="00E83F9E" w:rsidRPr="00416121">
        <w:rPr>
          <w:rFonts w:eastAsia="Calibri"/>
        </w:rPr>
        <w:t>-</w:t>
      </w:r>
      <w:r w:rsidRPr="00416121">
        <w:rPr>
          <w:rFonts w:eastAsia="Calibri"/>
        </w:rPr>
        <w:t xml:space="preserve">sector businesses. </w:t>
      </w:r>
      <w:r w:rsidR="00B729AA" w:rsidRPr="00416121">
        <w:rPr>
          <w:rFonts w:eastAsia="Calibri"/>
        </w:rPr>
        <w:t xml:space="preserve">In 2012, </w:t>
      </w:r>
      <w:r w:rsidR="00EB7470" w:rsidRPr="00416121">
        <w:rPr>
          <w:rFonts w:eastAsia="Calibri"/>
        </w:rPr>
        <w:t>Berkshire Hathaway made</w:t>
      </w:r>
      <w:r w:rsidRPr="00416121">
        <w:rPr>
          <w:rFonts w:eastAsia="Calibri"/>
        </w:rPr>
        <w:t xml:space="preserve"> </w:t>
      </w:r>
      <w:r w:rsidR="006D689E" w:rsidRPr="00416121">
        <w:rPr>
          <w:rFonts w:eastAsia="Calibri"/>
        </w:rPr>
        <w:t xml:space="preserve">capital expenditures of $12.1 billion </w:t>
      </w:r>
      <w:r w:rsidRPr="00416121">
        <w:rPr>
          <w:rFonts w:eastAsia="Calibri"/>
        </w:rPr>
        <w:t>in current business</w:t>
      </w:r>
      <w:r w:rsidR="006D689E" w:rsidRPr="00416121">
        <w:rPr>
          <w:rFonts w:eastAsia="Calibri"/>
        </w:rPr>
        <w:t>es</w:t>
      </w:r>
      <w:r w:rsidRPr="00416121">
        <w:rPr>
          <w:rFonts w:eastAsia="Calibri"/>
        </w:rPr>
        <w:t xml:space="preserve"> and new acquisitions. Buffet also </w:t>
      </w:r>
      <w:r w:rsidR="0023447F">
        <w:rPr>
          <w:rFonts w:eastAsia="Calibri"/>
        </w:rPr>
        <w:t xml:space="preserve">highlighted Berkshire Hathaway’s presence in numerous sectors which provided the company with varied options, showing that </w:t>
      </w:r>
      <w:r w:rsidRPr="00416121">
        <w:rPr>
          <w:rFonts w:eastAsia="Calibri"/>
        </w:rPr>
        <w:t>the company was in a strategic</w:t>
      </w:r>
      <w:r w:rsidR="006D689E" w:rsidRPr="00416121">
        <w:rPr>
          <w:rFonts w:eastAsia="Calibri"/>
        </w:rPr>
        <w:t>ally</w:t>
      </w:r>
      <w:r w:rsidRPr="00416121">
        <w:rPr>
          <w:rFonts w:eastAsia="Calibri"/>
        </w:rPr>
        <w:t xml:space="preserve"> advantageous position</w:t>
      </w:r>
      <w:r w:rsidR="0023447F">
        <w:rPr>
          <w:rFonts w:eastAsia="Calibri"/>
        </w:rPr>
        <w:t>.</w:t>
      </w:r>
      <w:r w:rsidR="0023447F" w:rsidRPr="00416121">
        <w:rPr>
          <w:rStyle w:val="EndnoteReference"/>
          <w:rFonts w:eastAsia="Calibri"/>
        </w:rPr>
        <w:endnoteReference w:id="30"/>
      </w:r>
    </w:p>
    <w:p w14:paraId="3677B040" w14:textId="77777777" w:rsidR="002713E5" w:rsidRPr="00416121" w:rsidRDefault="002713E5" w:rsidP="0081057D">
      <w:pPr>
        <w:pStyle w:val="BodyTextMain"/>
        <w:rPr>
          <w:rFonts w:eastAsia="Calibri"/>
        </w:rPr>
      </w:pPr>
    </w:p>
    <w:p w14:paraId="1F783966" w14:textId="77E4F930" w:rsidR="0081057D" w:rsidRPr="00416121" w:rsidRDefault="002713E5" w:rsidP="0023447F">
      <w:pPr>
        <w:pStyle w:val="BodyTextMain"/>
        <w:rPr>
          <w:rFonts w:eastAsia="Calibri"/>
        </w:rPr>
      </w:pPr>
      <w:r w:rsidRPr="00416121">
        <w:rPr>
          <w:rFonts w:eastAsia="Calibri"/>
        </w:rPr>
        <w:t>Buffet’s</w:t>
      </w:r>
      <w:r w:rsidR="00F82522" w:rsidRPr="00416121">
        <w:rPr>
          <w:rFonts w:eastAsia="Calibri"/>
        </w:rPr>
        <w:t xml:space="preserve"> principles </w:t>
      </w:r>
      <w:r w:rsidR="008668A7" w:rsidRPr="00416121">
        <w:rPr>
          <w:rFonts w:eastAsia="Calibri"/>
        </w:rPr>
        <w:t>were articulated in a</w:t>
      </w:r>
      <w:r w:rsidR="00F82522" w:rsidRPr="00416121">
        <w:rPr>
          <w:rFonts w:eastAsia="Calibri"/>
        </w:rPr>
        <w:t xml:space="preserve"> two-step </w:t>
      </w:r>
      <w:r w:rsidR="008668A7" w:rsidRPr="00416121">
        <w:rPr>
          <w:rFonts w:eastAsia="Calibri"/>
        </w:rPr>
        <w:t>priority, which</w:t>
      </w:r>
      <w:r w:rsidR="0081057D" w:rsidRPr="00416121">
        <w:rPr>
          <w:rFonts w:eastAsia="Calibri"/>
        </w:rPr>
        <w:t xml:space="preserve"> m</w:t>
      </w:r>
      <w:r w:rsidR="00764E9A" w:rsidRPr="00416121">
        <w:rPr>
          <w:rFonts w:eastAsia="Calibri"/>
        </w:rPr>
        <w:t>ade</w:t>
      </w:r>
      <w:r w:rsidR="0081057D" w:rsidRPr="00416121">
        <w:rPr>
          <w:rFonts w:eastAsia="Calibri"/>
        </w:rPr>
        <w:t xml:space="preserve"> it clear that funds would not be used for dividend payment</w:t>
      </w:r>
      <w:r w:rsidR="00416121">
        <w:rPr>
          <w:rFonts w:eastAsia="Calibri"/>
        </w:rPr>
        <w:t>s</w:t>
      </w:r>
      <w:r w:rsidR="0081057D" w:rsidRPr="00416121">
        <w:rPr>
          <w:rFonts w:eastAsia="Calibri"/>
        </w:rPr>
        <w:t>:</w:t>
      </w:r>
      <w:r w:rsidR="0023447F">
        <w:rPr>
          <w:rFonts w:eastAsia="Calibri"/>
        </w:rPr>
        <w:t xml:space="preserve"> (1): </w:t>
      </w:r>
      <w:r w:rsidR="0081057D" w:rsidRPr="00416121">
        <w:rPr>
          <w:rFonts w:eastAsia="Calibri"/>
          <w:noProof/>
        </w:rPr>
        <w:t>The first</w:t>
      </w:r>
      <w:r w:rsidR="0081057D" w:rsidRPr="00416121">
        <w:rPr>
          <w:rFonts w:eastAsia="Calibri"/>
        </w:rPr>
        <w:t xml:space="preserve"> priority with </w:t>
      </w:r>
      <w:r w:rsidR="00F82522" w:rsidRPr="00416121">
        <w:rPr>
          <w:rFonts w:eastAsia="Calibri"/>
        </w:rPr>
        <w:t xml:space="preserve">available </w:t>
      </w:r>
      <w:r w:rsidR="0081057D" w:rsidRPr="00416121">
        <w:rPr>
          <w:rFonts w:eastAsia="Calibri"/>
        </w:rPr>
        <w:t>funds would always be to evaluate whether they c</w:t>
      </w:r>
      <w:r w:rsidR="0069564A" w:rsidRPr="00416121">
        <w:rPr>
          <w:rFonts w:eastAsia="Calibri"/>
        </w:rPr>
        <w:t>ould</w:t>
      </w:r>
      <w:r w:rsidR="0081057D" w:rsidRPr="00416121">
        <w:rPr>
          <w:rFonts w:eastAsia="Calibri"/>
        </w:rPr>
        <w:t xml:space="preserve"> be diligently </w:t>
      </w:r>
      <w:r w:rsidR="00D54479" w:rsidRPr="00416121">
        <w:rPr>
          <w:rFonts w:eastAsia="Calibri"/>
        </w:rPr>
        <w:t xml:space="preserve">reinvested </w:t>
      </w:r>
      <w:r w:rsidR="0081057D" w:rsidRPr="00416121">
        <w:rPr>
          <w:rFonts w:eastAsia="Calibri"/>
        </w:rPr>
        <w:t xml:space="preserve">in </w:t>
      </w:r>
      <w:r w:rsidR="008668A7" w:rsidRPr="00416121">
        <w:rPr>
          <w:rFonts w:eastAsia="Calibri"/>
        </w:rPr>
        <w:t xml:space="preserve">the existing </w:t>
      </w:r>
      <w:r w:rsidR="0081057D" w:rsidRPr="00416121">
        <w:rPr>
          <w:rFonts w:eastAsia="Calibri"/>
        </w:rPr>
        <w:t>businesses</w:t>
      </w:r>
      <w:r w:rsidR="0023447F">
        <w:rPr>
          <w:rFonts w:eastAsia="Calibri"/>
        </w:rPr>
        <w:t xml:space="preserve">; (2): </w:t>
      </w:r>
      <w:r w:rsidR="0081057D" w:rsidRPr="00416121">
        <w:rPr>
          <w:rFonts w:eastAsia="Calibri"/>
        </w:rPr>
        <w:t xml:space="preserve">The next step </w:t>
      </w:r>
      <w:r w:rsidR="00F82522" w:rsidRPr="00416121">
        <w:rPr>
          <w:rFonts w:eastAsia="Calibri"/>
        </w:rPr>
        <w:t xml:space="preserve">was </w:t>
      </w:r>
      <w:r w:rsidR="0081057D" w:rsidRPr="00416121">
        <w:rPr>
          <w:rFonts w:eastAsia="Calibri"/>
        </w:rPr>
        <w:t xml:space="preserve">to search for acquisitions unrelated to </w:t>
      </w:r>
      <w:r w:rsidR="00F82522" w:rsidRPr="00416121">
        <w:rPr>
          <w:rFonts w:eastAsia="Calibri"/>
        </w:rPr>
        <w:t xml:space="preserve">the </w:t>
      </w:r>
      <w:r w:rsidR="0081057D" w:rsidRPr="00416121">
        <w:rPr>
          <w:rFonts w:eastAsia="Calibri"/>
        </w:rPr>
        <w:t>current businesses.</w:t>
      </w:r>
      <w:r w:rsidR="0081057D" w:rsidRPr="00416121">
        <w:rPr>
          <w:rStyle w:val="EndnoteReference"/>
          <w:rFonts w:eastAsia="Calibri"/>
        </w:rPr>
        <w:endnoteReference w:id="31"/>
      </w:r>
      <w:r w:rsidR="00277178" w:rsidRPr="00416121" w:rsidDel="00277178">
        <w:rPr>
          <w:rFonts w:eastAsia="Calibri"/>
          <w:vertAlign w:val="superscript"/>
        </w:rPr>
        <w:t xml:space="preserve"> </w:t>
      </w:r>
    </w:p>
    <w:p w14:paraId="447AD223" w14:textId="77777777" w:rsidR="0081057D" w:rsidRPr="00416121" w:rsidRDefault="0081057D" w:rsidP="0081057D">
      <w:pPr>
        <w:pStyle w:val="BodyTextMain"/>
        <w:rPr>
          <w:rFonts w:eastAsia="Calibri"/>
        </w:rPr>
      </w:pPr>
    </w:p>
    <w:p w14:paraId="244EC516" w14:textId="59AB4DBE" w:rsidR="002713E5" w:rsidRPr="00416121" w:rsidRDefault="008668A7" w:rsidP="0081057D">
      <w:pPr>
        <w:pStyle w:val="BodyTextMain"/>
        <w:rPr>
          <w:rFonts w:eastAsia="Calibri"/>
          <w:spacing w:val="-2"/>
        </w:rPr>
      </w:pPr>
      <w:r w:rsidRPr="00416121">
        <w:rPr>
          <w:rFonts w:eastAsia="Calibri"/>
          <w:spacing w:val="-2"/>
        </w:rPr>
        <w:t>Buffet considered a</w:t>
      </w:r>
      <w:r w:rsidR="0081057D" w:rsidRPr="00416121">
        <w:rPr>
          <w:rFonts w:eastAsia="Calibri"/>
          <w:spacing w:val="-2"/>
        </w:rPr>
        <w:t xml:space="preserve">nother valid use of funds </w:t>
      </w:r>
      <w:r w:rsidRPr="00416121">
        <w:rPr>
          <w:rFonts w:eastAsia="Calibri"/>
          <w:spacing w:val="-2"/>
        </w:rPr>
        <w:t>to be</w:t>
      </w:r>
      <w:r w:rsidR="0081057D" w:rsidRPr="00416121">
        <w:rPr>
          <w:rFonts w:eastAsia="Calibri"/>
          <w:noProof/>
          <w:spacing w:val="-2"/>
        </w:rPr>
        <w:t xml:space="preserve"> share</w:t>
      </w:r>
      <w:r w:rsidR="0081057D" w:rsidRPr="00416121">
        <w:rPr>
          <w:rFonts w:eastAsia="Calibri"/>
          <w:spacing w:val="-2"/>
        </w:rPr>
        <w:t xml:space="preserve"> repurchase at a fair price. The company employed a share repurchase option under which the shares would be repurchased at a premium</w:t>
      </w:r>
      <w:r w:rsidRPr="00416121">
        <w:rPr>
          <w:rFonts w:eastAsia="Calibri"/>
          <w:spacing w:val="-2"/>
        </w:rPr>
        <w:t>,</w:t>
      </w:r>
      <w:r w:rsidR="0081057D" w:rsidRPr="00416121">
        <w:rPr>
          <w:rFonts w:eastAsia="Calibri"/>
          <w:spacing w:val="-2"/>
        </w:rPr>
        <w:t xml:space="preserve"> </w:t>
      </w:r>
      <w:r w:rsidR="002D5326" w:rsidRPr="00416121">
        <w:rPr>
          <w:rFonts w:eastAsia="Calibri"/>
          <w:spacing w:val="-2"/>
        </w:rPr>
        <w:t xml:space="preserve">up to </w:t>
      </w:r>
      <w:r w:rsidR="00D54479" w:rsidRPr="00416121">
        <w:rPr>
          <w:rFonts w:eastAsia="Calibri"/>
          <w:spacing w:val="-2"/>
        </w:rPr>
        <w:t xml:space="preserve">120 per cent of </w:t>
      </w:r>
      <w:r w:rsidR="0081057D" w:rsidRPr="00416121">
        <w:rPr>
          <w:rFonts w:eastAsia="Calibri"/>
          <w:spacing w:val="-2"/>
        </w:rPr>
        <w:t>book</w:t>
      </w:r>
      <w:r w:rsidR="00034F99" w:rsidRPr="00416121">
        <w:rPr>
          <w:rFonts w:eastAsia="Calibri"/>
          <w:spacing w:val="-2"/>
        </w:rPr>
        <w:t xml:space="preserve"> </w:t>
      </w:r>
      <w:r w:rsidR="0081057D" w:rsidRPr="00416121">
        <w:rPr>
          <w:rFonts w:eastAsia="Calibri"/>
          <w:spacing w:val="-2"/>
        </w:rPr>
        <w:t>value.</w:t>
      </w:r>
      <w:r w:rsidR="002713E5" w:rsidRPr="00416121">
        <w:rPr>
          <w:rFonts w:eastAsia="Calibri"/>
          <w:spacing w:val="-2"/>
        </w:rPr>
        <w:t xml:space="preserve"> </w:t>
      </w:r>
      <w:r w:rsidR="0081057D" w:rsidRPr="00416121">
        <w:rPr>
          <w:rFonts w:eastAsia="Calibri"/>
          <w:spacing w:val="-2"/>
        </w:rPr>
        <w:t xml:space="preserve">Buffett </w:t>
      </w:r>
      <w:r w:rsidR="003011D8" w:rsidRPr="00416121">
        <w:rPr>
          <w:rFonts w:eastAsia="Calibri"/>
          <w:spacing w:val="-2"/>
        </w:rPr>
        <w:t xml:space="preserve">considered </w:t>
      </w:r>
      <w:r w:rsidR="0081057D" w:rsidRPr="00416121">
        <w:rPr>
          <w:rFonts w:eastAsia="Calibri"/>
          <w:spacing w:val="-2"/>
        </w:rPr>
        <w:t xml:space="preserve">the share repurchase option </w:t>
      </w:r>
      <w:r w:rsidR="003011D8" w:rsidRPr="00416121">
        <w:rPr>
          <w:rFonts w:eastAsia="Calibri"/>
          <w:spacing w:val="-2"/>
        </w:rPr>
        <w:t xml:space="preserve">to be a better </w:t>
      </w:r>
      <w:r w:rsidR="0081057D" w:rsidRPr="00416121">
        <w:rPr>
          <w:rFonts w:eastAsia="Calibri"/>
          <w:spacing w:val="-2"/>
        </w:rPr>
        <w:t xml:space="preserve">alternative to </w:t>
      </w:r>
      <w:r w:rsidR="003011D8" w:rsidRPr="00416121">
        <w:rPr>
          <w:rFonts w:eastAsia="Calibri"/>
          <w:spacing w:val="-2"/>
        </w:rPr>
        <w:t xml:space="preserve">a </w:t>
      </w:r>
      <w:r w:rsidR="0081057D" w:rsidRPr="00416121">
        <w:rPr>
          <w:rFonts w:eastAsia="Calibri"/>
          <w:noProof/>
          <w:spacing w:val="-2"/>
        </w:rPr>
        <w:t>dividend</w:t>
      </w:r>
      <w:r w:rsidR="0081057D" w:rsidRPr="00416121">
        <w:rPr>
          <w:rFonts w:eastAsia="Calibri"/>
          <w:spacing w:val="-2"/>
        </w:rPr>
        <w:t xml:space="preserve"> payment.</w:t>
      </w:r>
      <w:r w:rsidR="0023447F" w:rsidRPr="00416121">
        <w:rPr>
          <w:rStyle w:val="EndnoteReference"/>
          <w:rFonts w:eastAsia="Calibri"/>
          <w:spacing w:val="-2"/>
        </w:rPr>
        <w:endnoteReference w:id="32"/>
      </w:r>
    </w:p>
    <w:p w14:paraId="425EAFE4" w14:textId="716F303D" w:rsidR="003011D8" w:rsidRPr="00416121" w:rsidRDefault="003011D8" w:rsidP="0081057D">
      <w:pPr>
        <w:pStyle w:val="BodyTextMain"/>
        <w:rPr>
          <w:rFonts w:eastAsia="Calibri"/>
        </w:rPr>
      </w:pPr>
    </w:p>
    <w:p w14:paraId="7742F1AE" w14:textId="5E4706D4" w:rsidR="003011D8" w:rsidRPr="00416121" w:rsidRDefault="003011D8" w:rsidP="0081057D">
      <w:pPr>
        <w:pStyle w:val="BodyTextMain"/>
        <w:rPr>
          <w:rFonts w:eastAsia="Calibri"/>
        </w:rPr>
      </w:pPr>
    </w:p>
    <w:p w14:paraId="1E5CC659" w14:textId="519A805B" w:rsidR="003011D8" w:rsidRPr="00416121" w:rsidRDefault="003011D8" w:rsidP="006568CC">
      <w:pPr>
        <w:pStyle w:val="Casehead2"/>
        <w:rPr>
          <w:rFonts w:eastAsia="Calibri"/>
        </w:rPr>
      </w:pPr>
      <w:r w:rsidRPr="00416121">
        <w:rPr>
          <w:rFonts w:eastAsia="Calibri"/>
        </w:rPr>
        <w:t>Example</w:t>
      </w:r>
    </w:p>
    <w:p w14:paraId="0CBDDD43" w14:textId="77777777" w:rsidR="003011D8" w:rsidRPr="00416121" w:rsidRDefault="003011D8" w:rsidP="0081057D">
      <w:pPr>
        <w:pStyle w:val="BodyTextMain"/>
        <w:rPr>
          <w:rFonts w:eastAsia="Calibri"/>
        </w:rPr>
      </w:pPr>
    </w:p>
    <w:p w14:paraId="2783B244" w14:textId="709CDED7" w:rsidR="0081057D" w:rsidRPr="00416121" w:rsidRDefault="002713E5" w:rsidP="006568CC">
      <w:pPr>
        <w:pStyle w:val="BodyTextMain"/>
        <w:rPr>
          <w:rFonts w:eastAsia="Calibri"/>
          <w:spacing w:val="-2"/>
        </w:rPr>
      </w:pPr>
      <w:r w:rsidRPr="00416121">
        <w:rPr>
          <w:rFonts w:eastAsia="Calibri"/>
        </w:rPr>
        <w:t xml:space="preserve">To </w:t>
      </w:r>
      <w:r w:rsidRPr="00416121">
        <w:rPr>
          <w:rFonts w:eastAsia="Calibri"/>
          <w:noProof/>
        </w:rPr>
        <w:t>emphasize</w:t>
      </w:r>
      <w:r w:rsidRPr="00416121">
        <w:rPr>
          <w:rFonts w:eastAsia="Calibri"/>
        </w:rPr>
        <w:t xml:space="preserve"> why the repurchase option </w:t>
      </w:r>
      <w:r w:rsidR="00416121" w:rsidRPr="00416121">
        <w:rPr>
          <w:rFonts w:eastAsia="Calibri"/>
        </w:rPr>
        <w:t>m</w:t>
      </w:r>
      <w:r w:rsidR="00416121">
        <w:rPr>
          <w:rFonts w:eastAsia="Calibri"/>
        </w:rPr>
        <w:t>ight</w:t>
      </w:r>
      <w:r w:rsidR="00416121" w:rsidRPr="00416121">
        <w:rPr>
          <w:rFonts w:eastAsia="Calibri"/>
        </w:rPr>
        <w:t xml:space="preserve"> </w:t>
      </w:r>
      <w:r w:rsidRPr="00416121">
        <w:rPr>
          <w:rFonts w:eastAsia="Calibri"/>
        </w:rPr>
        <w:t>be better, Buffett provided an example with two scenarios.</w:t>
      </w:r>
      <w:r w:rsidRPr="00416121">
        <w:rPr>
          <w:rStyle w:val="EndnoteReference"/>
          <w:rFonts w:eastAsia="Calibri"/>
        </w:rPr>
        <w:endnoteReference w:id="33"/>
      </w:r>
      <w:r w:rsidR="0023447F">
        <w:rPr>
          <w:rFonts w:eastAsia="Calibri"/>
        </w:rPr>
        <w:t xml:space="preserve"> </w:t>
      </w:r>
      <w:bookmarkStart w:id="3" w:name="_Hlk518167320"/>
      <w:r w:rsidR="0081057D" w:rsidRPr="00416121">
        <w:rPr>
          <w:rFonts w:eastAsia="Calibri"/>
          <w:spacing w:val="-2"/>
        </w:rPr>
        <w:t>Assum</w:t>
      </w:r>
      <w:r w:rsidR="003011D8" w:rsidRPr="00416121">
        <w:rPr>
          <w:rFonts w:eastAsia="Calibri"/>
          <w:spacing w:val="-2"/>
        </w:rPr>
        <w:t>e</w:t>
      </w:r>
      <w:r w:rsidR="0081057D" w:rsidRPr="00416121">
        <w:rPr>
          <w:rFonts w:eastAsia="Calibri"/>
          <w:spacing w:val="-2"/>
        </w:rPr>
        <w:t xml:space="preserve"> there </w:t>
      </w:r>
      <w:r w:rsidR="00764E9A" w:rsidRPr="00416121">
        <w:rPr>
          <w:rFonts w:eastAsia="Calibri"/>
          <w:spacing w:val="-2"/>
        </w:rPr>
        <w:t>we</w:t>
      </w:r>
      <w:r w:rsidR="0081057D" w:rsidRPr="00416121">
        <w:rPr>
          <w:rFonts w:eastAsia="Calibri"/>
          <w:spacing w:val="-2"/>
        </w:rPr>
        <w:t xml:space="preserve">re two equal owners of a business with </w:t>
      </w:r>
      <w:r w:rsidR="003011D8" w:rsidRPr="00416121">
        <w:rPr>
          <w:rFonts w:eastAsia="Calibri"/>
          <w:spacing w:val="-2"/>
        </w:rPr>
        <w:t xml:space="preserve">a net worth of </w:t>
      </w:r>
      <w:r w:rsidR="0081057D" w:rsidRPr="00416121">
        <w:rPr>
          <w:rFonts w:eastAsia="Calibri"/>
          <w:spacing w:val="-2"/>
        </w:rPr>
        <w:t xml:space="preserve">$2 million. If the return on net worth </w:t>
      </w:r>
      <w:r w:rsidR="00764E9A" w:rsidRPr="00416121">
        <w:rPr>
          <w:rFonts w:eastAsia="Calibri"/>
          <w:spacing w:val="-2"/>
        </w:rPr>
        <w:t>was</w:t>
      </w:r>
      <w:r w:rsidR="0081057D" w:rsidRPr="00416121">
        <w:rPr>
          <w:rFonts w:eastAsia="Calibri"/>
          <w:spacing w:val="-2"/>
        </w:rPr>
        <w:t xml:space="preserve"> </w:t>
      </w:r>
      <w:r w:rsidR="003011D8" w:rsidRPr="00416121">
        <w:rPr>
          <w:rFonts w:eastAsia="Calibri"/>
          <w:spacing w:val="-2"/>
        </w:rPr>
        <w:t xml:space="preserve">12 </w:t>
      </w:r>
      <w:r w:rsidR="0081057D" w:rsidRPr="00416121">
        <w:rPr>
          <w:rFonts w:eastAsia="Calibri"/>
          <w:spacing w:val="-2"/>
        </w:rPr>
        <w:t>per</w:t>
      </w:r>
      <w:r w:rsidR="003011D8" w:rsidRPr="00416121">
        <w:rPr>
          <w:rFonts w:eastAsia="Calibri"/>
          <w:spacing w:val="-2"/>
        </w:rPr>
        <w:t xml:space="preserve"> </w:t>
      </w:r>
      <w:r w:rsidR="0081057D" w:rsidRPr="00416121">
        <w:rPr>
          <w:rFonts w:eastAsia="Calibri"/>
          <w:spacing w:val="-2"/>
        </w:rPr>
        <w:t xml:space="preserve">cent </w:t>
      </w:r>
      <w:r w:rsidR="003011D8" w:rsidRPr="00416121">
        <w:rPr>
          <w:rFonts w:eastAsia="Calibri"/>
          <w:spacing w:val="-2"/>
        </w:rPr>
        <w:t>per annum,</w:t>
      </w:r>
      <w:r w:rsidR="0081057D" w:rsidRPr="00416121">
        <w:rPr>
          <w:rFonts w:eastAsia="Calibri"/>
          <w:spacing w:val="-2"/>
        </w:rPr>
        <w:t xml:space="preserve"> the earnings would be $240,000</w:t>
      </w:r>
      <w:r w:rsidR="003011D8" w:rsidRPr="00416121">
        <w:rPr>
          <w:rFonts w:eastAsia="Calibri"/>
          <w:spacing w:val="-2"/>
        </w:rPr>
        <w:t xml:space="preserve"> per year</w:t>
      </w:r>
      <w:r w:rsidR="0081057D" w:rsidRPr="00416121">
        <w:rPr>
          <w:rFonts w:eastAsia="Calibri"/>
          <w:spacing w:val="-2"/>
        </w:rPr>
        <w:t xml:space="preserve">. </w:t>
      </w:r>
      <w:r w:rsidR="003011D8" w:rsidRPr="00416121">
        <w:rPr>
          <w:rFonts w:eastAsia="Calibri"/>
          <w:spacing w:val="-2"/>
        </w:rPr>
        <w:t>Assume</w:t>
      </w:r>
      <w:r w:rsidR="0081057D" w:rsidRPr="00416121">
        <w:rPr>
          <w:rFonts w:eastAsia="Calibri"/>
          <w:spacing w:val="-2"/>
        </w:rPr>
        <w:t xml:space="preserve"> there </w:t>
      </w:r>
      <w:r w:rsidR="003011D8" w:rsidRPr="00416121">
        <w:rPr>
          <w:rFonts w:eastAsia="Calibri"/>
          <w:spacing w:val="-2"/>
        </w:rPr>
        <w:t xml:space="preserve">also </w:t>
      </w:r>
      <w:r w:rsidR="0081057D" w:rsidRPr="00416121">
        <w:rPr>
          <w:rFonts w:eastAsia="Calibri"/>
          <w:spacing w:val="-2"/>
        </w:rPr>
        <w:t>exist</w:t>
      </w:r>
      <w:r w:rsidR="003342DA" w:rsidRPr="00416121">
        <w:rPr>
          <w:rFonts w:eastAsia="Calibri"/>
          <w:spacing w:val="-2"/>
        </w:rPr>
        <w:t>ed</w:t>
      </w:r>
      <w:r w:rsidR="0081057D" w:rsidRPr="00416121">
        <w:rPr>
          <w:rFonts w:eastAsia="Calibri"/>
          <w:spacing w:val="-2"/>
        </w:rPr>
        <w:t xml:space="preserve"> a buyer who ha</w:t>
      </w:r>
      <w:r w:rsidR="00764E9A" w:rsidRPr="00416121">
        <w:rPr>
          <w:rFonts w:eastAsia="Calibri"/>
          <w:spacing w:val="-2"/>
        </w:rPr>
        <w:t>d</w:t>
      </w:r>
      <w:r w:rsidR="0081057D" w:rsidRPr="00416121">
        <w:rPr>
          <w:rFonts w:eastAsia="Calibri"/>
          <w:spacing w:val="-2"/>
        </w:rPr>
        <w:t xml:space="preserve"> agreed to buy into the company at </w:t>
      </w:r>
      <w:r w:rsidR="003011D8" w:rsidRPr="00416121">
        <w:rPr>
          <w:rFonts w:eastAsia="Calibri"/>
          <w:spacing w:val="-2"/>
        </w:rPr>
        <w:t xml:space="preserve">a value of </w:t>
      </w:r>
      <w:r w:rsidR="0081057D" w:rsidRPr="00416121">
        <w:rPr>
          <w:rFonts w:eastAsia="Calibri"/>
          <w:spacing w:val="-2"/>
        </w:rPr>
        <w:t>125 per</w:t>
      </w:r>
      <w:r w:rsidR="003011D8" w:rsidRPr="00416121">
        <w:rPr>
          <w:rFonts w:eastAsia="Calibri"/>
          <w:spacing w:val="-2"/>
        </w:rPr>
        <w:t xml:space="preserve"> </w:t>
      </w:r>
      <w:r w:rsidR="0081057D" w:rsidRPr="00416121">
        <w:rPr>
          <w:rFonts w:eastAsia="Calibri"/>
          <w:spacing w:val="-2"/>
        </w:rPr>
        <w:t>cent of net worth. The offer thus implie</w:t>
      </w:r>
      <w:r w:rsidR="00764E9A" w:rsidRPr="00416121">
        <w:rPr>
          <w:rFonts w:eastAsia="Calibri"/>
          <w:spacing w:val="-2"/>
        </w:rPr>
        <w:t>d</w:t>
      </w:r>
      <w:r w:rsidR="0081057D" w:rsidRPr="00416121">
        <w:rPr>
          <w:rFonts w:eastAsia="Calibri"/>
          <w:spacing w:val="-2"/>
        </w:rPr>
        <w:t xml:space="preserve"> that the market value for the company </w:t>
      </w:r>
      <w:r w:rsidR="00DC68A6" w:rsidRPr="00416121">
        <w:rPr>
          <w:rFonts w:eastAsia="Calibri"/>
          <w:spacing w:val="-2"/>
        </w:rPr>
        <w:t xml:space="preserve">would be </w:t>
      </w:r>
      <w:r w:rsidR="0081057D" w:rsidRPr="00416121">
        <w:rPr>
          <w:rFonts w:eastAsia="Calibri"/>
          <w:spacing w:val="-2"/>
        </w:rPr>
        <w:t xml:space="preserve">$2.5 million and </w:t>
      </w:r>
      <w:r w:rsidR="00DC68A6" w:rsidRPr="00416121">
        <w:rPr>
          <w:rFonts w:eastAsia="Calibri"/>
          <w:spacing w:val="-2"/>
        </w:rPr>
        <w:t xml:space="preserve">each </w:t>
      </w:r>
      <w:r w:rsidR="0081057D" w:rsidRPr="00416121">
        <w:rPr>
          <w:rFonts w:eastAsia="Calibri"/>
          <w:spacing w:val="-2"/>
        </w:rPr>
        <w:t xml:space="preserve">individual share </w:t>
      </w:r>
      <w:r w:rsidR="00DC68A6" w:rsidRPr="00416121">
        <w:rPr>
          <w:rFonts w:eastAsia="Calibri"/>
          <w:spacing w:val="-2"/>
        </w:rPr>
        <w:t xml:space="preserve">would be </w:t>
      </w:r>
      <w:r w:rsidR="0081057D" w:rsidRPr="00416121">
        <w:rPr>
          <w:rFonts w:eastAsia="Calibri"/>
          <w:spacing w:val="-2"/>
        </w:rPr>
        <w:t>worth $1.25</w:t>
      </w:r>
      <w:r w:rsidR="00DC68A6" w:rsidRPr="00416121">
        <w:rPr>
          <w:rFonts w:eastAsia="Calibri"/>
          <w:spacing w:val="-2"/>
        </w:rPr>
        <w:t> </w:t>
      </w:r>
      <w:r w:rsidR="0081057D" w:rsidRPr="00416121">
        <w:rPr>
          <w:rFonts w:eastAsia="Calibri"/>
          <w:spacing w:val="-2"/>
        </w:rPr>
        <w:t>million.</w:t>
      </w:r>
    </w:p>
    <w:p w14:paraId="025A9C92" w14:textId="77777777" w:rsidR="0081057D" w:rsidRPr="00416121" w:rsidRDefault="0081057D" w:rsidP="0081057D">
      <w:pPr>
        <w:pStyle w:val="BodyTextMain"/>
        <w:rPr>
          <w:rFonts w:eastAsia="Calibri"/>
        </w:rPr>
      </w:pPr>
    </w:p>
    <w:p w14:paraId="3C0E776F" w14:textId="77777777" w:rsidR="00A332DE" w:rsidRPr="00416121" w:rsidRDefault="00A332DE" w:rsidP="0081057D">
      <w:pPr>
        <w:pStyle w:val="BodyTextMain"/>
        <w:rPr>
          <w:rFonts w:eastAsia="Calibri"/>
        </w:rPr>
      </w:pPr>
    </w:p>
    <w:p w14:paraId="6935338D" w14:textId="50B177FA" w:rsidR="0081057D" w:rsidRPr="00416121" w:rsidRDefault="0081057D" w:rsidP="00A332DE">
      <w:pPr>
        <w:pStyle w:val="Casehead3"/>
        <w:rPr>
          <w:rFonts w:eastAsia="Calibri"/>
        </w:rPr>
      </w:pPr>
      <w:r w:rsidRPr="00416121">
        <w:rPr>
          <w:rFonts w:eastAsia="Calibri"/>
        </w:rPr>
        <w:t>Scenario A: Pay</w:t>
      </w:r>
      <w:r w:rsidR="00DC68A6" w:rsidRPr="00416121">
        <w:rPr>
          <w:rFonts w:eastAsia="Calibri"/>
        </w:rPr>
        <w:t xml:space="preserve"> </w:t>
      </w:r>
      <w:r w:rsidR="00416121">
        <w:rPr>
          <w:rFonts w:eastAsia="Calibri"/>
        </w:rPr>
        <w:t>O</w:t>
      </w:r>
      <w:r w:rsidRPr="00416121">
        <w:rPr>
          <w:rFonts w:eastAsia="Calibri"/>
        </w:rPr>
        <w:t xml:space="preserve">ut </w:t>
      </w:r>
      <w:r w:rsidR="00416121">
        <w:rPr>
          <w:rFonts w:eastAsia="Calibri"/>
        </w:rPr>
        <w:t>O</w:t>
      </w:r>
      <w:r w:rsidRPr="00416121">
        <w:rPr>
          <w:rFonts w:eastAsia="Calibri"/>
        </w:rPr>
        <w:t>ne-</w:t>
      </w:r>
      <w:r w:rsidR="00416121">
        <w:rPr>
          <w:rFonts w:eastAsia="Calibri"/>
        </w:rPr>
        <w:t>T</w:t>
      </w:r>
      <w:r w:rsidRPr="00416121">
        <w:rPr>
          <w:rFonts w:eastAsia="Calibri"/>
        </w:rPr>
        <w:t xml:space="preserve">hird </w:t>
      </w:r>
      <w:r w:rsidR="00DC68A6" w:rsidRPr="00416121">
        <w:rPr>
          <w:rFonts w:eastAsia="Calibri"/>
        </w:rPr>
        <w:t xml:space="preserve">of the </w:t>
      </w:r>
      <w:r w:rsidR="00416121">
        <w:rPr>
          <w:rFonts w:eastAsia="Calibri"/>
        </w:rPr>
        <w:t>E</w:t>
      </w:r>
      <w:r w:rsidRPr="00416121">
        <w:rPr>
          <w:rFonts w:eastAsia="Calibri"/>
        </w:rPr>
        <w:t xml:space="preserve">arnings as </w:t>
      </w:r>
      <w:r w:rsidR="00DC68A6" w:rsidRPr="00416121">
        <w:rPr>
          <w:rFonts w:eastAsia="Calibri"/>
        </w:rPr>
        <w:t xml:space="preserve">a </w:t>
      </w:r>
      <w:r w:rsidR="00416121">
        <w:rPr>
          <w:rFonts w:eastAsia="Calibri"/>
        </w:rPr>
        <w:t>D</w:t>
      </w:r>
      <w:r w:rsidRPr="00416121">
        <w:rPr>
          <w:rFonts w:eastAsia="Calibri"/>
        </w:rPr>
        <w:t>ivid</w:t>
      </w:r>
      <w:r w:rsidR="00A332DE" w:rsidRPr="00416121">
        <w:rPr>
          <w:rFonts w:eastAsia="Calibri"/>
        </w:rPr>
        <w:t xml:space="preserve">end and </w:t>
      </w:r>
      <w:r w:rsidR="00416121">
        <w:rPr>
          <w:rFonts w:eastAsia="Calibri"/>
        </w:rPr>
        <w:t>R</w:t>
      </w:r>
      <w:r w:rsidR="00DC68A6" w:rsidRPr="00416121">
        <w:rPr>
          <w:rFonts w:eastAsia="Calibri"/>
        </w:rPr>
        <w:t xml:space="preserve">einvest the </w:t>
      </w:r>
      <w:r w:rsidR="00416121">
        <w:rPr>
          <w:rFonts w:eastAsia="Calibri"/>
        </w:rPr>
        <w:t>R</w:t>
      </w:r>
      <w:r w:rsidR="00DC68A6" w:rsidRPr="00416121">
        <w:rPr>
          <w:rFonts w:eastAsia="Calibri"/>
        </w:rPr>
        <w:t xml:space="preserve">emaining </w:t>
      </w:r>
      <w:r w:rsidR="00416121">
        <w:rPr>
          <w:rFonts w:eastAsia="Calibri"/>
        </w:rPr>
        <w:t>T</w:t>
      </w:r>
      <w:r w:rsidR="00A332DE" w:rsidRPr="00416121">
        <w:rPr>
          <w:rFonts w:eastAsia="Calibri"/>
        </w:rPr>
        <w:t>wo</w:t>
      </w:r>
      <w:r w:rsidR="00DC68A6" w:rsidRPr="00416121">
        <w:rPr>
          <w:rFonts w:eastAsia="Calibri"/>
        </w:rPr>
        <w:t>-</w:t>
      </w:r>
      <w:r w:rsidR="00416121">
        <w:rPr>
          <w:rFonts w:eastAsia="Calibri"/>
        </w:rPr>
        <w:t>T</w:t>
      </w:r>
      <w:r w:rsidR="00A332DE" w:rsidRPr="00416121">
        <w:rPr>
          <w:rFonts w:eastAsia="Calibri"/>
        </w:rPr>
        <w:t>hird</w:t>
      </w:r>
      <w:r w:rsidR="00DC68A6" w:rsidRPr="00416121">
        <w:rPr>
          <w:rFonts w:eastAsia="Calibri"/>
        </w:rPr>
        <w:t>s</w:t>
      </w:r>
    </w:p>
    <w:p w14:paraId="12089FDD" w14:textId="77777777" w:rsidR="00A332DE" w:rsidRPr="00416121" w:rsidRDefault="00A332DE" w:rsidP="00F06F63">
      <w:pPr>
        <w:pStyle w:val="BodyTextMain"/>
        <w:rPr>
          <w:rFonts w:eastAsia="Calibri"/>
        </w:rPr>
      </w:pPr>
    </w:p>
    <w:p w14:paraId="39079000" w14:textId="118585C2" w:rsidR="0081057D" w:rsidRPr="00416121" w:rsidRDefault="0081057D" w:rsidP="0081057D">
      <w:pPr>
        <w:pStyle w:val="BodyTextMain"/>
        <w:rPr>
          <w:rFonts w:eastAsia="Calibri"/>
        </w:rPr>
      </w:pPr>
      <w:r w:rsidRPr="00416121">
        <w:rPr>
          <w:rFonts w:eastAsia="Calibri"/>
        </w:rPr>
        <w:t xml:space="preserve">This scenario </w:t>
      </w:r>
      <w:r w:rsidR="003D3FE3" w:rsidRPr="00416121">
        <w:rPr>
          <w:rFonts w:eastAsia="Calibri"/>
        </w:rPr>
        <w:t>reflected the preference of</w:t>
      </w:r>
      <w:r w:rsidRPr="00416121">
        <w:rPr>
          <w:rFonts w:eastAsia="Calibri"/>
        </w:rPr>
        <w:t xml:space="preserve"> investors who </w:t>
      </w:r>
      <w:r w:rsidR="003D3FE3" w:rsidRPr="00416121">
        <w:rPr>
          <w:rFonts w:eastAsia="Calibri"/>
        </w:rPr>
        <w:t>wanted</w:t>
      </w:r>
      <w:r w:rsidR="00C834E3" w:rsidRPr="00416121">
        <w:rPr>
          <w:rFonts w:eastAsia="Calibri"/>
        </w:rPr>
        <w:t xml:space="preserve"> </w:t>
      </w:r>
      <w:r w:rsidRPr="00416121">
        <w:rPr>
          <w:rFonts w:eastAsia="Calibri"/>
        </w:rPr>
        <w:t xml:space="preserve">a balanced </w:t>
      </w:r>
      <w:r w:rsidR="00C834E3" w:rsidRPr="00416121">
        <w:rPr>
          <w:rFonts w:eastAsia="Calibri"/>
        </w:rPr>
        <w:t xml:space="preserve">investment </w:t>
      </w:r>
      <w:r w:rsidRPr="00416121">
        <w:rPr>
          <w:rFonts w:eastAsia="Calibri"/>
        </w:rPr>
        <w:t>policy</w:t>
      </w:r>
      <w:r w:rsidR="002713E5" w:rsidRPr="00416121">
        <w:rPr>
          <w:rFonts w:eastAsia="Calibri"/>
        </w:rPr>
        <w:t xml:space="preserve"> that</w:t>
      </w:r>
      <w:r w:rsidRPr="00416121">
        <w:rPr>
          <w:rFonts w:eastAsia="Calibri"/>
        </w:rPr>
        <w:t xml:space="preserve"> cater</w:t>
      </w:r>
      <w:r w:rsidR="00DE4004" w:rsidRPr="00416121">
        <w:rPr>
          <w:rFonts w:eastAsia="Calibri"/>
        </w:rPr>
        <w:t>ed</w:t>
      </w:r>
      <w:r w:rsidRPr="00416121">
        <w:rPr>
          <w:rFonts w:eastAsia="Calibri"/>
        </w:rPr>
        <w:t xml:space="preserve"> to both current income and capital appreciation. </w:t>
      </w:r>
    </w:p>
    <w:p w14:paraId="722C306E" w14:textId="77777777" w:rsidR="0081057D" w:rsidRPr="00416121" w:rsidRDefault="0081057D" w:rsidP="0081057D">
      <w:pPr>
        <w:pStyle w:val="BodyTextMain"/>
        <w:rPr>
          <w:rFonts w:eastAsia="Calibri"/>
        </w:rPr>
      </w:pPr>
    </w:p>
    <w:p w14:paraId="244AE366" w14:textId="39707B6F" w:rsidR="0081057D" w:rsidRPr="00416121" w:rsidRDefault="00C834E3" w:rsidP="0081057D">
      <w:pPr>
        <w:pStyle w:val="BodyTextMain"/>
        <w:rPr>
          <w:rFonts w:eastAsia="Calibri"/>
        </w:rPr>
      </w:pPr>
      <w:r w:rsidRPr="00416121">
        <w:rPr>
          <w:rFonts w:eastAsia="Calibri"/>
        </w:rPr>
        <w:t xml:space="preserve">In </w:t>
      </w:r>
      <w:r w:rsidR="0081057D" w:rsidRPr="00416121">
        <w:rPr>
          <w:rFonts w:eastAsia="Calibri"/>
        </w:rPr>
        <w:t>year zero, one</w:t>
      </w:r>
      <w:r w:rsidRPr="00416121">
        <w:rPr>
          <w:rFonts w:eastAsia="Calibri"/>
        </w:rPr>
        <w:t>-</w:t>
      </w:r>
      <w:r w:rsidR="0081057D" w:rsidRPr="00416121">
        <w:rPr>
          <w:rFonts w:eastAsia="Calibri"/>
        </w:rPr>
        <w:t>third of the earning</w:t>
      </w:r>
      <w:r w:rsidRPr="00416121">
        <w:rPr>
          <w:rFonts w:eastAsia="Calibri"/>
        </w:rPr>
        <w:t>s (</w:t>
      </w:r>
      <w:r w:rsidR="008703EE" w:rsidRPr="00416121">
        <w:rPr>
          <w:rFonts w:eastAsia="Calibri"/>
        </w:rPr>
        <w:t xml:space="preserve">$240,000 × </w:t>
      </w:r>
      <w:r w:rsidR="008703EE" w:rsidRPr="00416121">
        <w:rPr>
          <w:rFonts w:eastAsia="Calibri"/>
          <w:vertAlign w:val="superscript"/>
        </w:rPr>
        <w:t>1</w:t>
      </w:r>
      <w:r w:rsidR="008703EE" w:rsidRPr="00416121">
        <w:rPr>
          <w:rFonts w:eastAsia="Calibri"/>
        </w:rPr>
        <w:t>/</w:t>
      </w:r>
      <w:r w:rsidR="008703EE" w:rsidRPr="00416121">
        <w:rPr>
          <w:rFonts w:eastAsia="Calibri"/>
          <w:vertAlign w:val="subscript"/>
        </w:rPr>
        <w:t>3</w:t>
      </w:r>
      <w:r w:rsidR="008703EE" w:rsidRPr="00416121">
        <w:rPr>
          <w:rFonts w:eastAsia="Calibri"/>
        </w:rPr>
        <w:t xml:space="preserve"> = </w:t>
      </w:r>
      <w:r w:rsidR="0081057D" w:rsidRPr="00416121">
        <w:rPr>
          <w:rFonts w:eastAsia="Calibri"/>
        </w:rPr>
        <w:t>$80,000</w:t>
      </w:r>
      <w:r w:rsidRPr="00416121">
        <w:rPr>
          <w:rFonts w:eastAsia="Calibri"/>
        </w:rPr>
        <w:t>)</w:t>
      </w:r>
      <w:r w:rsidR="0081057D" w:rsidRPr="00416121">
        <w:rPr>
          <w:rFonts w:eastAsia="Calibri"/>
        </w:rPr>
        <w:t xml:space="preserve"> would be paid to the owners</w:t>
      </w:r>
      <w:r w:rsidR="002713E5" w:rsidRPr="00416121">
        <w:rPr>
          <w:rFonts w:eastAsia="Calibri"/>
        </w:rPr>
        <w:t xml:space="preserve"> as a dividend</w:t>
      </w:r>
      <w:r w:rsidRPr="00416121">
        <w:rPr>
          <w:rFonts w:eastAsia="Calibri"/>
        </w:rPr>
        <w:t>,</w:t>
      </w:r>
      <w:r w:rsidR="0081057D" w:rsidRPr="00416121">
        <w:rPr>
          <w:rFonts w:eastAsia="Calibri"/>
        </w:rPr>
        <w:t xml:space="preserve"> which g</w:t>
      </w:r>
      <w:r w:rsidR="006E1C00" w:rsidRPr="00416121">
        <w:rPr>
          <w:rFonts w:eastAsia="Calibri"/>
        </w:rPr>
        <w:t>ave</w:t>
      </w:r>
      <w:r w:rsidR="0081057D" w:rsidRPr="00416121">
        <w:rPr>
          <w:rFonts w:eastAsia="Calibri"/>
        </w:rPr>
        <w:t xml:space="preserve"> each of them </w:t>
      </w:r>
      <w:r w:rsidRPr="00416121">
        <w:rPr>
          <w:rFonts w:eastAsia="Calibri"/>
        </w:rPr>
        <w:t xml:space="preserve">an </w:t>
      </w:r>
      <w:r w:rsidR="0081057D" w:rsidRPr="00416121">
        <w:rPr>
          <w:rFonts w:eastAsia="Calibri"/>
        </w:rPr>
        <w:t>income of $40,000.</w:t>
      </w:r>
      <w:r w:rsidR="00842182" w:rsidRPr="00416121">
        <w:rPr>
          <w:rFonts w:eastAsia="Calibri"/>
        </w:rPr>
        <w:t xml:space="preserve"> </w:t>
      </w:r>
      <w:r w:rsidR="008703EE" w:rsidRPr="00416121">
        <w:rPr>
          <w:rFonts w:eastAsia="Calibri"/>
        </w:rPr>
        <w:t xml:space="preserve">After </w:t>
      </w:r>
      <w:r w:rsidR="0081057D" w:rsidRPr="00416121">
        <w:rPr>
          <w:rFonts w:eastAsia="Calibri"/>
        </w:rPr>
        <w:t>payment</w:t>
      </w:r>
      <w:r w:rsidR="008703EE" w:rsidRPr="00416121">
        <w:rPr>
          <w:rFonts w:eastAsia="Calibri"/>
        </w:rPr>
        <w:t>,</w:t>
      </w:r>
      <w:r w:rsidR="0081057D" w:rsidRPr="00416121">
        <w:rPr>
          <w:rFonts w:eastAsia="Calibri"/>
        </w:rPr>
        <w:t xml:space="preserve"> the company would be left with $160,000 to reinvest in the business. Earnings would continue to grow</w:t>
      </w:r>
      <w:r w:rsidR="008703EE" w:rsidRPr="00416121">
        <w:rPr>
          <w:rFonts w:eastAsia="Calibri"/>
        </w:rPr>
        <w:t>,</w:t>
      </w:r>
      <w:r w:rsidR="0081057D" w:rsidRPr="00416121">
        <w:rPr>
          <w:rFonts w:eastAsia="Calibri"/>
        </w:rPr>
        <w:t xml:space="preserve"> and </w:t>
      </w:r>
      <w:r w:rsidR="008703EE" w:rsidRPr="00416121">
        <w:rPr>
          <w:rFonts w:eastAsia="Calibri"/>
        </w:rPr>
        <w:t xml:space="preserve">dividends would increase </w:t>
      </w:r>
      <w:r w:rsidR="0081057D" w:rsidRPr="00416121">
        <w:rPr>
          <w:rFonts w:eastAsia="Calibri"/>
        </w:rPr>
        <w:t>proportionate</w:t>
      </w:r>
      <w:r w:rsidR="008703EE" w:rsidRPr="00416121">
        <w:rPr>
          <w:rFonts w:eastAsia="Calibri"/>
        </w:rPr>
        <w:t>ly</w:t>
      </w:r>
      <w:r w:rsidR="0081057D" w:rsidRPr="00416121">
        <w:rPr>
          <w:rFonts w:eastAsia="Calibri"/>
        </w:rPr>
        <w:t>. Thus, dividend</w:t>
      </w:r>
      <w:r w:rsidR="008703EE" w:rsidRPr="00416121">
        <w:rPr>
          <w:rFonts w:eastAsia="Calibri"/>
        </w:rPr>
        <w:t>s</w:t>
      </w:r>
      <w:r w:rsidR="0081057D" w:rsidRPr="00416121">
        <w:rPr>
          <w:rFonts w:eastAsia="Calibri"/>
        </w:rPr>
        <w:t xml:space="preserve"> and earnings would grow by 8 per</w:t>
      </w:r>
      <w:r w:rsidR="008703EE" w:rsidRPr="00416121">
        <w:rPr>
          <w:rFonts w:eastAsia="Calibri"/>
        </w:rPr>
        <w:t xml:space="preserve"> </w:t>
      </w:r>
      <w:r w:rsidR="0081057D" w:rsidRPr="00416121">
        <w:rPr>
          <w:rFonts w:eastAsia="Calibri"/>
        </w:rPr>
        <w:t xml:space="preserve">cent </w:t>
      </w:r>
      <w:r w:rsidR="008703EE" w:rsidRPr="00416121">
        <w:rPr>
          <w:rFonts w:eastAsia="Calibri"/>
        </w:rPr>
        <w:t>per annum</w:t>
      </w:r>
      <w:r w:rsidR="00580080" w:rsidRPr="00416121">
        <w:rPr>
          <w:rFonts w:eastAsia="Calibri"/>
        </w:rPr>
        <w:t xml:space="preserve"> (12 per cent earned on net worth less 4 per cent paid out from net worth)</w:t>
      </w:r>
      <w:r w:rsidR="0081057D" w:rsidRPr="00416121">
        <w:rPr>
          <w:rFonts w:eastAsia="Calibri"/>
        </w:rPr>
        <w:t>.</w:t>
      </w:r>
    </w:p>
    <w:p w14:paraId="68028835" w14:textId="77777777" w:rsidR="0081057D" w:rsidRPr="00416121" w:rsidRDefault="0081057D" w:rsidP="0081057D">
      <w:pPr>
        <w:pStyle w:val="BodyTextMain"/>
        <w:rPr>
          <w:rFonts w:eastAsia="Calibri"/>
        </w:rPr>
      </w:pPr>
    </w:p>
    <w:p w14:paraId="44305662" w14:textId="1BAFFB19" w:rsidR="0081057D" w:rsidRPr="00416121" w:rsidRDefault="0081057D" w:rsidP="0081057D">
      <w:pPr>
        <w:pStyle w:val="BodyTextMain"/>
        <w:rPr>
          <w:rFonts w:eastAsia="Calibri"/>
        </w:rPr>
      </w:pPr>
      <w:r w:rsidRPr="00416121">
        <w:rPr>
          <w:rFonts w:eastAsia="Calibri"/>
        </w:rPr>
        <w:t xml:space="preserve">After </w:t>
      </w:r>
      <w:r w:rsidR="00081357" w:rsidRPr="00416121">
        <w:rPr>
          <w:rFonts w:eastAsia="Calibri"/>
        </w:rPr>
        <w:t xml:space="preserve">10 </w:t>
      </w:r>
      <w:r w:rsidRPr="00416121">
        <w:rPr>
          <w:rFonts w:eastAsia="Calibri"/>
        </w:rPr>
        <w:t>years, the company’s net worth would be $4,317,850</w:t>
      </w:r>
      <w:r w:rsidR="00580080" w:rsidRPr="00416121">
        <w:rPr>
          <w:rFonts w:eastAsia="Calibri"/>
        </w:rPr>
        <w:t>—</w:t>
      </w:r>
      <w:r w:rsidRPr="00416121">
        <w:rPr>
          <w:rFonts w:eastAsia="Calibri"/>
        </w:rPr>
        <w:t xml:space="preserve">the result of the original $2 million compounded at 8 per cent </w:t>
      </w:r>
      <w:r w:rsidR="00580080" w:rsidRPr="00416121">
        <w:rPr>
          <w:rFonts w:eastAsia="Calibri"/>
        </w:rPr>
        <w:t>per annum</w:t>
      </w:r>
      <w:r w:rsidRPr="00416121">
        <w:rPr>
          <w:rFonts w:eastAsia="Calibri"/>
        </w:rPr>
        <w:t xml:space="preserve">. The dividend payment would be $86,357. The market value of </w:t>
      </w:r>
      <w:r w:rsidR="00580080" w:rsidRPr="00416121">
        <w:rPr>
          <w:rFonts w:eastAsia="Calibri"/>
        </w:rPr>
        <w:t xml:space="preserve">each </w:t>
      </w:r>
      <w:r w:rsidRPr="00416121">
        <w:rPr>
          <w:rFonts w:eastAsia="Calibri"/>
        </w:rPr>
        <w:t>individual</w:t>
      </w:r>
      <w:r w:rsidR="00580080" w:rsidRPr="00416121">
        <w:rPr>
          <w:rFonts w:eastAsia="Calibri"/>
        </w:rPr>
        <w:t>’s</w:t>
      </w:r>
      <w:r w:rsidRPr="00416121">
        <w:rPr>
          <w:rFonts w:eastAsia="Calibri"/>
        </w:rPr>
        <w:t xml:space="preserve"> holding would be $2,698,656.</w:t>
      </w:r>
    </w:p>
    <w:p w14:paraId="0D6ED47B" w14:textId="77777777" w:rsidR="0081057D" w:rsidRPr="00416121" w:rsidRDefault="0081057D" w:rsidP="0081057D">
      <w:pPr>
        <w:pStyle w:val="BodyTextMain"/>
        <w:rPr>
          <w:rFonts w:ascii="Calibri" w:eastAsia="Calibri" w:hAnsi="Calibri"/>
        </w:rPr>
      </w:pPr>
    </w:p>
    <w:p w14:paraId="0717EDE7" w14:textId="77777777" w:rsidR="00A332DE" w:rsidRPr="00416121" w:rsidRDefault="00A332DE" w:rsidP="0081057D">
      <w:pPr>
        <w:pStyle w:val="BodyTextMain"/>
        <w:rPr>
          <w:rFonts w:ascii="Calibri" w:eastAsia="Calibri" w:hAnsi="Calibri"/>
        </w:rPr>
      </w:pPr>
    </w:p>
    <w:p w14:paraId="6FDA3538" w14:textId="20A37FDB" w:rsidR="0081057D" w:rsidRPr="00416121" w:rsidRDefault="00A332DE" w:rsidP="00A332DE">
      <w:pPr>
        <w:pStyle w:val="Casehead3"/>
        <w:rPr>
          <w:rFonts w:eastAsia="Calibri"/>
        </w:rPr>
      </w:pPr>
      <w:r w:rsidRPr="00416121">
        <w:rPr>
          <w:rFonts w:eastAsia="Calibri"/>
        </w:rPr>
        <w:t xml:space="preserve">Scenario B: Sell </w:t>
      </w:r>
      <w:r w:rsidR="00A04845">
        <w:rPr>
          <w:rFonts w:eastAsia="Calibri"/>
        </w:rPr>
        <w:t>O</w:t>
      </w:r>
      <w:r w:rsidRPr="00416121">
        <w:rPr>
          <w:rFonts w:eastAsia="Calibri"/>
        </w:rPr>
        <w:t>ff</w:t>
      </w:r>
    </w:p>
    <w:p w14:paraId="2628DD9A" w14:textId="77777777" w:rsidR="0081057D" w:rsidRPr="00416121" w:rsidRDefault="0081057D" w:rsidP="0081057D">
      <w:pPr>
        <w:pStyle w:val="BodyTextMain"/>
        <w:rPr>
          <w:rFonts w:eastAsia="Calibri"/>
        </w:rPr>
      </w:pPr>
    </w:p>
    <w:p w14:paraId="21388A93" w14:textId="31C8A676" w:rsidR="0081057D" w:rsidRPr="00416121" w:rsidRDefault="0081057D" w:rsidP="0081057D">
      <w:pPr>
        <w:pStyle w:val="BodyTextMain"/>
        <w:rPr>
          <w:rFonts w:eastAsia="Calibri"/>
        </w:rPr>
      </w:pPr>
      <w:r w:rsidRPr="00416121">
        <w:rPr>
          <w:rFonts w:eastAsia="Calibri"/>
        </w:rPr>
        <w:t>This scenario reflect</w:t>
      </w:r>
      <w:r w:rsidR="005B1F3A" w:rsidRPr="00416121">
        <w:rPr>
          <w:rFonts w:eastAsia="Calibri"/>
        </w:rPr>
        <w:t>ed</w:t>
      </w:r>
      <w:r w:rsidRPr="00416121">
        <w:rPr>
          <w:rFonts w:eastAsia="Calibri"/>
        </w:rPr>
        <w:t xml:space="preserve"> </w:t>
      </w:r>
      <w:r w:rsidR="003D3FE3" w:rsidRPr="00416121">
        <w:rPr>
          <w:rFonts w:eastAsia="Calibri"/>
        </w:rPr>
        <w:t xml:space="preserve">Buffet’s </w:t>
      </w:r>
      <w:r w:rsidRPr="00416121">
        <w:rPr>
          <w:rFonts w:eastAsia="Calibri"/>
        </w:rPr>
        <w:t xml:space="preserve">philosophy </w:t>
      </w:r>
      <w:r w:rsidR="003D3FE3" w:rsidRPr="00416121">
        <w:rPr>
          <w:rFonts w:eastAsia="Calibri"/>
        </w:rPr>
        <w:t>and</w:t>
      </w:r>
      <w:r w:rsidRPr="00416121">
        <w:rPr>
          <w:rFonts w:eastAsia="Calibri"/>
        </w:rPr>
        <w:t xml:space="preserve"> </w:t>
      </w:r>
      <w:r w:rsidR="00764E9A" w:rsidRPr="00416121">
        <w:rPr>
          <w:rFonts w:eastAsia="Calibri"/>
        </w:rPr>
        <w:t>was</w:t>
      </w:r>
      <w:r w:rsidRPr="00416121">
        <w:rPr>
          <w:rFonts w:eastAsia="Calibri"/>
        </w:rPr>
        <w:t xml:space="preserve"> followed by Berkshire Hathaway.</w:t>
      </w:r>
    </w:p>
    <w:p w14:paraId="08CA155F" w14:textId="77777777" w:rsidR="0081057D" w:rsidRPr="00416121" w:rsidRDefault="0081057D" w:rsidP="0081057D">
      <w:pPr>
        <w:pStyle w:val="BodyTextMain"/>
        <w:rPr>
          <w:rFonts w:eastAsia="Calibri"/>
        </w:rPr>
      </w:pPr>
    </w:p>
    <w:p w14:paraId="1128EC2B" w14:textId="17636465" w:rsidR="0081057D" w:rsidRPr="00416121" w:rsidRDefault="0081057D" w:rsidP="0081057D">
      <w:pPr>
        <w:pStyle w:val="BodyTextMain"/>
        <w:rPr>
          <w:rFonts w:eastAsia="Calibri"/>
        </w:rPr>
      </w:pPr>
      <w:r w:rsidRPr="00416121">
        <w:rPr>
          <w:rFonts w:eastAsia="Calibri"/>
        </w:rPr>
        <w:t xml:space="preserve">Under this scenario, there would be </w:t>
      </w:r>
      <w:r w:rsidR="003D3FE3" w:rsidRPr="00416121">
        <w:rPr>
          <w:rFonts w:eastAsia="Calibri"/>
        </w:rPr>
        <w:t xml:space="preserve">no </w:t>
      </w:r>
      <w:r w:rsidRPr="00416121">
        <w:rPr>
          <w:rFonts w:eastAsia="Calibri"/>
        </w:rPr>
        <w:t xml:space="preserve">dividend payment and the entire earnings would be reinvested in the business. In order to </w:t>
      </w:r>
      <w:r w:rsidR="003D3FE3" w:rsidRPr="00416121">
        <w:rPr>
          <w:rFonts w:eastAsia="Calibri"/>
        </w:rPr>
        <w:t>maintain an</w:t>
      </w:r>
      <w:r w:rsidRPr="00416121">
        <w:rPr>
          <w:rFonts w:eastAsia="Calibri"/>
        </w:rPr>
        <w:t xml:space="preserve"> income without dividend</w:t>
      </w:r>
      <w:r w:rsidR="003D3FE3" w:rsidRPr="00416121">
        <w:rPr>
          <w:rFonts w:eastAsia="Calibri"/>
        </w:rPr>
        <w:t>s</w:t>
      </w:r>
      <w:r w:rsidRPr="00416121">
        <w:rPr>
          <w:rFonts w:eastAsia="Calibri"/>
        </w:rPr>
        <w:t>, each owner would sell 3.2 per</w:t>
      </w:r>
      <w:r w:rsidR="003D3FE3" w:rsidRPr="00416121">
        <w:rPr>
          <w:rFonts w:eastAsia="Calibri"/>
        </w:rPr>
        <w:t xml:space="preserve"> </w:t>
      </w:r>
      <w:r w:rsidRPr="00416121">
        <w:rPr>
          <w:rFonts w:eastAsia="Calibri"/>
        </w:rPr>
        <w:t xml:space="preserve">cent of their respective holding. </w:t>
      </w:r>
      <w:r w:rsidR="003D3FE3" w:rsidRPr="00416121">
        <w:rPr>
          <w:rFonts w:eastAsia="Calibri"/>
        </w:rPr>
        <w:t>Based on the prospective buyer’s offer, t</w:t>
      </w:r>
      <w:r w:rsidRPr="00416121">
        <w:rPr>
          <w:rFonts w:eastAsia="Calibri"/>
        </w:rPr>
        <w:t>he sale would earn 125 per</w:t>
      </w:r>
      <w:r w:rsidR="003D3FE3" w:rsidRPr="00416121">
        <w:rPr>
          <w:rFonts w:eastAsia="Calibri"/>
        </w:rPr>
        <w:t xml:space="preserve"> </w:t>
      </w:r>
      <w:r w:rsidRPr="00416121">
        <w:rPr>
          <w:rFonts w:eastAsia="Calibri"/>
        </w:rPr>
        <w:t xml:space="preserve">cent of the </w:t>
      </w:r>
      <w:r w:rsidR="003D3FE3" w:rsidRPr="00416121">
        <w:rPr>
          <w:rFonts w:eastAsia="Calibri"/>
        </w:rPr>
        <w:t xml:space="preserve">shares’ </w:t>
      </w:r>
      <w:r w:rsidRPr="00416121">
        <w:rPr>
          <w:rFonts w:eastAsia="Calibri"/>
        </w:rPr>
        <w:t xml:space="preserve">book value. So, </w:t>
      </w:r>
      <w:r w:rsidR="003D3FE3" w:rsidRPr="00416121">
        <w:rPr>
          <w:rFonts w:eastAsia="Calibri"/>
        </w:rPr>
        <w:t xml:space="preserve">in </w:t>
      </w:r>
      <w:r w:rsidRPr="00416121">
        <w:rPr>
          <w:rFonts w:eastAsia="Calibri"/>
        </w:rPr>
        <w:t>year zero, each owner would be able to earn the same $40,000 from the sale of shares</w:t>
      </w:r>
      <w:r w:rsidR="003D3FE3" w:rsidRPr="00416121">
        <w:rPr>
          <w:rFonts w:eastAsia="Calibri"/>
        </w:rPr>
        <w:t xml:space="preserve"> ($2.5 million × 3.2 per cent ÷ 2)</w:t>
      </w:r>
      <w:r w:rsidRPr="00416121">
        <w:rPr>
          <w:rFonts w:eastAsia="Calibri"/>
        </w:rPr>
        <w:t xml:space="preserve">. At the same time, the entire earnings of $240,000 would </w:t>
      </w:r>
      <w:r w:rsidR="003D3FE3" w:rsidRPr="00416121">
        <w:rPr>
          <w:rFonts w:eastAsia="Calibri"/>
        </w:rPr>
        <w:t xml:space="preserve">be </w:t>
      </w:r>
      <w:r w:rsidRPr="00416121">
        <w:rPr>
          <w:rFonts w:eastAsia="Calibri"/>
        </w:rPr>
        <w:t>reinvested in the company</w:t>
      </w:r>
      <w:r w:rsidR="003D3FE3" w:rsidRPr="00416121">
        <w:rPr>
          <w:rFonts w:eastAsia="Calibri"/>
        </w:rPr>
        <w:t xml:space="preserve">, which has </w:t>
      </w:r>
      <w:r w:rsidRPr="00416121">
        <w:rPr>
          <w:rFonts w:eastAsia="Calibri"/>
        </w:rPr>
        <w:t xml:space="preserve">a growth rate of 12 per cent </w:t>
      </w:r>
      <w:r w:rsidR="003D3FE3" w:rsidRPr="00416121">
        <w:rPr>
          <w:rFonts w:eastAsia="Calibri"/>
        </w:rPr>
        <w:t>per annum</w:t>
      </w:r>
      <w:r w:rsidRPr="00416121">
        <w:rPr>
          <w:rFonts w:eastAsia="Calibri"/>
        </w:rPr>
        <w:t xml:space="preserve">. </w:t>
      </w:r>
    </w:p>
    <w:p w14:paraId="62EFD770" w14:textId="77777777" w:rsidR="0081057D" w:rsidRPr="00416121" w:rsidRDefault="0081057D" w:rsidP="0081057D">
      <w:pPr>
        <w:pStyle w:val="BodyTextMain"/>
        <w:rPr>
          <w:rFonts w:eastAsia="Calibri"/>
        </w:rPr>
      </w:pPr>
    </w:p>
    <w:p w14:paraId="69F8DB07" w14:textId="26BA3D6E" w:rsidR="0081057D" w:rsidRPr="00416121" w:rsidRDefault="0081057D" w:rsidP="0081057D">
      <w:pPr>
        <w:pStyle w:val="BodyTextMain"/>
        <w:rPr>
          <w:rFonts w:eastAsia="Calibri"/>
        </w:rPr>
      </w:pPr>
      <w:r w:rsidRPr="00416121">
        <w:rPr>
          <w:rFonts w:eastAsia="Calibri"/>
        </w:rPr>
        <w:t xml:space="preserve">After </w:t>
      </w:r>
      <w:r w:rsidR="00081357" w:rsidRPr="00416121">
        <w:rPr>
          <w:rFonts w:eastAsia="Calibri"/>
        </w:rPr>
        <w:t xml:space="preserve">10 </w:t>
      </w:r>
      <w:r w:rsidRPr="00416121">
        <w:rPr>
          <w:rFonts w:eastAsia="Calibri"/>
        </w:rPr>
        <w:t>years, the company</w:t>
      </w:r>
      <w:r w:rsidR="003D3FE3" w:rsidRPr="00416121">
        <w:rPr>
          <w:rFonts w:eastAsia="Calibri"/>
        </w:rPr>
        <w:t>’s</w:t>
      </w:r>
      <w:r w:rsidRPr="00416121">
        <w:rPr>
          <w:rFonts w:eastAsia="Calibri"/>
        </w:rPr>
        <w:t xml:space="preserve"> net worth </w:t>
      </w:r>
      <w:r w:rsidR="003D3FE3" w:rsidRPr="00416121">
        <w:rPr>
          <w:rFonts w:eastAsia="Calibri"/>
        </w:rPr>
        <w:t xml:space="preserve">would be </w:t>
      </w:r>
      <w:r w:rsidRPr="00416121">
        <w:rPr>
          <w:rFonts w:eastAsia="Calibri"/>
        </w:rPr>
        <w:t>$6,211,696</w:t>
      </w:r>
      <w:r w:rsidR="003D3FE3" w:rsidRPr="00416121">
        <w:rPr>
          <w:rFonts w:eastAsia="Calibri"/>
        </w:rPr>
        <w:t>—</w:t>
      </w:r>
      <w:r w:rsidRPr="00416121">
        <w:rPr>
          <w:rFonts w:eastAsia="Calibri"/>
        </w:rPr>
        <w:t xml:space="preserve">the result of </w:t>
      </w:r>
      <w:r w:rsidR="003D3FE3" w:rsidRPr="00416121">
        <w:rPr>
          <w:rFonts w:eastAsia="Calibri"/>
        </w:rPr>
        <w:t xml:space="preserve">the original </w:t>
      </w:r>
      <w:r w:rsidRPr="00416121">
        <w:rPr>
          <w:rFonts w:eastAsia="Calibri"/>
        </w:rPr>
        <w:t>$2 million compounded at 12 per</w:t>
      </w:r>
      <w:r w:rsidR="00081357" w:rsidRPr="00416121">
        <w:rPr>
          <w:rFonts w:eastAsia="Calibri"/>
        </w:rPr>
        <w:t xml:space="preserve"> </w:t>
      </w:r>
      <w:r w:rsidRPr="00416121">
        <w:rPr>
          <w:rFonts w:eastAsia="Calibri"/>
        </w:rPr>
        <w:t xml:space="preserve">cent </w:t>
      </w:r>
      <w:r w:rsidR="003D3FE3" w:rsidRPr="00416121">
        <w:rPr>
          <w:rFonts w:eastAsia="Calibri"/>
        </w:rPr>
        <w:t>per annum</w:t>
      </w:r>
      <w:r w:rsidRPr="00416121">
        <w:rPr>
          <w:rFonts w:eastAsia="Calibri"/>
        </w:rPr>
        <w:t xml:space="preserve">. </w:t>
      </w:r>
      <w:r w:rsidR="00081357" w:rsidRPr="00416121">
        <w:rPr>
          <w:rFonts w:eastAsia="Calibri"/>
        </w:rPr>
        <w:t xml:space="preserve">Because the owners had been selling shares each year, the percentage of </w:t>
      </w:r>
      <w:r w:rsidRPr="00416121">
        <w:rPr>
          <w:rFonts w:eastAsia="Calibri"/>
        </w:rPr>
        <w:t>each owner</w:t>
      </w:r>
      <w:r w:rsidR="00081357" w:rsidRPr="00416121">
        <w:rPr>
          <w:rFonts w:eastAsia="Calibri"/>
        </w:rPr>
        <w:t>’s share</w:t>
      </w:r>
      <w:r w:rsidRPr="00416121">
        <w:rPr>
          <w:rFonts w:eastAsia="Calibri"/>
        </w:rPr>
        <w:t xml:space="preserve"> would </w:t>
      </w:r>
      <w:r w:rsidR="00081357" w:rsidRPr="00416121">
        <w:rPr>
          <w:rFonts w:eastAsia="Calibri"/>
        </w:rPr>
        <w:t xml:space="preserve">have dropped. After 10 years, each owner would hold </w:t>
      </w:r>
      <w:r w:rsidRPr="00416121">
        <w:rPr>
          <w:rFonts w:eastAsia="Calibri"/>
        </w:rPr>
        <w:t>36.12 per</w:t>
      </w:r>
      <w:r w:rsidR="00081357" w:rsidRPr="00416121">
        <w:rPr>
          <w:rFonts w:eastAsia="Calibri"/>
        </w:rPr>
        <w:t xml:space="preserve"> </w:t>
      </w:r>
      <w:r w:rsidRPr="00416121">
        <w:rPr>
          <w:rFonts w:eastAsia="Calibri"/>
        </w:rPr>
        <w:t>cent of the business</w:t>
      </w:r>
      <w:r w:rsidR="00081357" w:rsidRPr="00416121">
        <w:rPr>
          <w:rFonts w:eastAsia="Calibri"/>
        </w:rPr>
        <w:t xml:space="preserve">, </w:t>
      </w:r>
      <w:r w:rsidRPr="00416121">
        <w:rPr>
          <w:rFonts w:eastAsia="Calibri"/>
        </w:rPr>
        <w:t xml:space="preserve">which would amount to </w:t>
      </w:r>
      <w:r w:rsidR="00081357" w:rsidRPr="00416121">
        <w:rPr>
          <w:rFonts w:eastAsia="Calibri"/>
        </w:rPr>
        <w:t xml:space="preserve">a value of </w:t>
      </w:r>
      <w:r w:rsidRPr="00416121">
        <w:rPr>
          <w:rFonts w:eastAsia="Calibri"/>
        </w:rPr>
        <w:t xml:space="preserve">$2,243,665. The market value </w:t>
      </w:r>
      <w:r w:rsidR="00081357" w:rsidRPr="00416121">
        <w:rPr>
          <w:rFonts w:eastAsia="Calibri"/>
        </w:rPr>
        <w:t xml:space="preserve">would be 125 per cent of the net worth, meaning the market value </w:t>
      </w:r>
      <w:r w:rsidRPr="00416121">
        <w:rPr>
          <w:rFonts w:eastAsia="Calibri"/>
        </w:rPr>
        <w:t>of the individual share</w:t>
      </w:r>
      <w:r w:rsidR="00081357" w:rsidRPr="00416121">
        <w:rPr>
          <w:rFonts w:eastAsia="Calibri"/>
        </w:rPr>
        <w:t>s</w:t>
      </w:r>
      <w:r w:rsidRPr="00416121">
        <w:rPr>
          <w:rFonts w:eastAsia="Calibri"/>
        </w:rPr>
        <w:t xml:space="preserve"> would amount to $2,804,425. </w:t>
      </w:r>
    </w:p>
    <w:p w14:paraId="5DB4393C" w14:textId="77777777" w:rsidR="00081357" w:rsidRPr="00416121" w:rsidRDefault="00081357" w:rsidP="0081057D">
      <w:pPr>
        <w:pStyle w:val="BodyTextMain"/>
        <w:rPr>
          <w:rFonts w:eastAsia="Calibri"/>
        </w:rPr>
      </w:pPr>
    </w:p>
    <w:p w14:paraId="0AF7783C" w14:textId="791C58EE" w:rsidR="0081057D" w:rsidRPr="00416121" w:rsidRDefault="0081057D" w:rsidP="0081057D">
      <w:pPr>
        <w:pStyle w:val="BodyTextMain"/>
        <w:rPr>
          <w:rFonts w:eastAsia="Calibri"/>
        </w:rPr>
      </w:pPr>
      <w:r w:rsidRPr="00416121">
        <w:rPr>
          <w:rFonts w:eastAsia="Calibri"/>
        </w:rPr>
        <w:t xml:space="preserve">Thus, the sell-off scenario, while </w:t>
      </w:r>
      <w:r w:rsidR="00263871" w:rsidRPr="00416121">
        <w:rPr>
          <w:rFonts w:eastAsia="Calibri"/>
        </w:rPr>
        <w:t>providing</w:t>
      </w:r>
      <w:r w:rsidRPr="00416121">
        <w:rPr>
          <w:rFonts w:eastAsia="Calibri"/>
        </w:rPr>
        <w:t xml:space="preserve"> the owners </w:t>
      </w:r>
      <w:r w:rsidR="00263871" w:rsidRPr="00416121">
        <w:rPr>
          <w:rFonts w:eastAsia="Calibri"/>
        </w:rPr>
        <w:t xml:space="preserve">with their </w:t>
      </w:r>
      <w:r w:rsidRPr="00416121">
        <w:rPr>
          <w:rFonts w:eastAsia="Calibri"/>
        </w:rPr>
        <w:t>required income</w:t>
      </w:r>
      <w:r w:rsidR="00263871" w:rsidRPr="00416121">
        <w:rPr>
          <w:rFonts w:eastAsia="Calibri"/>
        </w:rPr>
        <w:t>,</w:t>
      </w:r>
      <w:r w:rsidRPr="00416121">
        <w:rPr>
          <w:rFonts w:eastAsia="Calibri"/>
        </w:rPr>
        <w:t xml:space="preserve"> add</w:t>
      </w:r>
      <w:r w:rsidR="00263871" w:rsidRPr="00416121">
        <w:rPr>
          <w:rFonts w:eastAsia="Calibri"/>
        </w:rPr>
        <w:t>ed</w:t>
      </w:r>
      <w:r w:rsidRPr="00416121">
        <w:rPr>
          <w:rFonts w:eastAsia="Calibri"/>
        </w:rPr>
        <w:t xml:space="preserve"> more value to the capital</w:t>
      </w:r>
      <w:r w:rsidR="00263871" w:rsidRPr="00416121">
        <w:rPr>
          <w:rFonts w:eastAsia="Calibri"/>
        </w:rPr>
        <w:t>—</w:t>
      </w:r>
      <w:r w:rsidRPr="00416121">
        <w:rPr>
          <w:rFonts w:eastAsia="Calibri"/>
        </w:rPr>
        <w:t>approximately $105,770</w:t>
      </w:r>
      <w:r w:rsidR="00263871" w:rsidRPr="00416121">
        <w:rPr>
          <w:rFonts w:eastAsia="Calibri"/>
        </w:rPr>
        <w:t xml:space="preserve"> more than </w:t>
      </w:r>
      <w:r w:rsidR="003A7886" w:rsidRPr="00416121">
        <w:rPr>
          <w:rFonts w:eastAsia="Calibri"/>
        </w:rPr>
        <w:t xml:space="preserve">with </w:t>
      </w:r>
      <w:r w:rsidR="00263871" w:rsidRPr="00416121">
        <w:rPr>
          <w:rFonts w:eastAsia="Calibri"/>
        </w:rPr>
        <w:t>the dividend scenario</w:t>
      </w:r>
      <w:r w:rsidRPr="00416121">
        <w:rPr>
          <w:rFonts w:eastAsia="Calibri"/>
        </w:rPr>
        <w:t>.</w:t>
      </w:r>
      <w:r w:rsidRPr="00416121">
        <w:rPr>
          <w:rStyle w:val="EndnoteReference"/>
          <w:rFonts w:eastAsia="Calibri"/>
        </w:rPr>
        <w:endnoteReference w:id="34"/>
      </w:r>
    </w:p>
    <w:p w14:paraId="52CC3D5C" w14:textId="61D31F4C" w:rsidR="0081057D" w:rsidRPr="00416121" w:rsidRDefault="00263871" w:rsidP="006568CC">
      <w:pPr>
        <w:pStyle w:val="BodyTextMain"/>
        <w:rPr>
          <w:rFonts w:eastAsia="Calibri"/>
        </w:rPr>
      </w:pPr>
      <w:r w:rsidRPr="00416121">
        <w:rPr>
          <w:rFonts w:eastAsia="Calibri"/>
        </w:rPr>
        <w:t xml:space="preserve">Buffet’s other argument against paying dividends considered the needs of individual shareholders. </w:t>
      </w:r>
      <w:r w:rsidR="0081057D" w:rsidRPr="00416121">
        <w:rPr>
          <w:rFonts w:eastAsia="Calibri"/>
        </w:rPr>
        <w:t xml:space="preserve">When a company </w:t>
      </w:r>
      <w:r w:rsidR="001A4446" w:rsidRPr="00416121">
        <w:rPr>
          <w:rFonts w:eastAsia="Calibri"/>
        </w:rPr>
        <w:t xml:space="preserve">paid a </w:t>
      </w:r>
      <w:r w:rsidR="0081057D" w:rsidRPr="00416121">
        <w:rPr>
          <w:rFonts w:eastAsia="Calibri"/>
        </w:rPr>
        <w:t>dividend, it decide</w:t>
      </w:r>
      <w:r w:rsidR="006E1C00" w:rsidRPr="00416121">
        <w:rPr>
          <w:rFonts w:eastAsia="Calibri"/>
        </w:rPr>
        <w:t>d</w:t>
      </w:r>
      <w:r w:rsidR="0081057D" w:rsidRPr="00416121">
        <w:rPr>
          <w:rFonts w:eastAsia="Calibri"/>
        </w:rPr>
        <w:t xml:space="preserve"> the amount that each shareholder would receive. Thus, dividend payment</w:t>
      </w:r>
      <w:r w:rsidR="001A4446" w:rsidRPr="00416121">
        <w:rPr>
          <w:rFonts w:eastAsia="Calibri"/>
        </w:rPr>
        <w:t>s</w:t>
      </w:r>
      <w:r w:rsidR="0081057D" w:rsidRPr="00416121">
        <w:rPr>
          <w:rFonts w:eastAsia="Calibri"/>
        </w:rPr>
        <w:t xml:space="preserve"> permit</w:t>
      </w:r>
      <w:r w:rsidR="006E1C00" w:rsidRPr="00416121">
        <w:rPr>
          <w:rFonts w:eastAsia="Calibri"/>
        </w:rPr>
        <w:t>ted</w:t>
      </w:r>
      <w:r w:rsidR="0081057D" w:rsidRPr="00416121">
        <w:rPr>
          <w:rFonts w:eastAsia="Calibri"/>
        </w:rPr>
        <w:t xml:space="preserve"> the company to decide the shareholder’s income. For example, if a company decide</w:t>
      </w:r>
      <w:r w:rsidR="006E1C00" w:rsidRPr="00416121">
        <w:rPr>
          <w:rFonts w:eastAsia="Calibri"/>
        </w:rPr>
        <w:t>d</w:t>
      </w:r>
      <w:r w:rsidR="0081057D" w:rsidRPr="00416121">
        <w:rPr>
          <w:rFonts w:eastAsia="Calibri"/>
        </w:rPr>
        <w:t xml:space="preserve"> to pay out 40 per</w:t>
      </w:r>
      <w:r w:rsidR="001A4446" w:rsidRPr="00416121">
        <w:rPr>
          <w:rFonts w:eastAsia="Calibri"/>
        </w:rPr>
        <w:t xml:space="preserve"> </w:t>
      </w:r>
      <w:r w:rsidR="0081057D" w:rsidRPr="00416121">
        <w:rPr>
          <w:rFonts w:eastAsia="Calibri"/>
        </w:rPr>
        <w:t>cent of the earnings, any shareholder who wanted income amounting to 50 per cent or 60 per</w:t>
      </w:r>
      <w:r w:rsidR="001A4446" w:rsidRPr="00416121">
        <w:rPr>
          <w:rFonts w:eastAsia="Calibri"/>
        </w:rPr>
        <w:t xml:space="preserve"> </w:t>
      </w:r>
      <w:r w:rsidR="0081057D" w:rsidRPr="00416121">
        <w:rPr>
          <w:rFonts w:eastAsia="Calibri"/>
        </w:rPr>
        <w:t>cent would be dismayed. The sell-off option</w:t>
      </w:r>
      <w:r w:rsidR="001A4446" w:rsidRPr="00416121">
        <w:rPr>
          <w:rFonts w:eastAsia="Calibri"/>
        </w:rPr>
        <w:t>, however,</w:t>
      </w:r>
      <w:r w:rsidR="0081057D" w:rsidRPr="00416121">
        <w:rPr>
          <w:rFonts w:eastAsia="Calibri"/>
        </w:rPr>
        <w:t xml:space="preserve"> allow</w:t>
      </w:r>
      <w:r w:rsidR="006E1C00" w:rsidRPr="00416121">
        <w:rPr>
          <w:rFonts w:eastAsia="Calibri"/>
        </w:rPr>
        <w:t>ed</w:t>
      </w:r>
      <w:r w:rsidR="0081057D" w:rsidRPr="00416121">
        <w:rPr>
          <w:rFonts w:eastAsia="Calibri"/>
        </w:rPr>
        <w:t xml:space="preserve"> shareholders to sell </w:t>
      </w:r>
      <w:r w:rsidR="001A4446" w:rsidRPr="00416121">
        <w:rPr>
          <w:rFonts w:eastAsia="Calibri"/>
        </w:rPr>
        <w:t xml:space="preserve">their </w:t>
      </w:r>
      <w:r w:rsidR="0081057D" w:rsidRPr="00416121">
        <w:rPr>
          <w:rFonts w:eastAsia="Calibri"/>
        </w:rPr>
        <w:t>shares in accordance with their income requirement.</w:t>
      </w:r>
      <w:r w:rsidR="0081057D" w:rsidRPr="00416121">
        <w:rPr>
          <w:rStyle w:val="EndnoteReference"/>
          <w:rFonts w:eastAsia="Calibri"/>
        </w:rPr>
        <w:endnoteReference w:id="35"/>
      </w:r>
    </w:p>
    <w:p w14:paraId="44C381FD" w14:textId="77777777" w:rsidR="0081057D" w:rsidRPr="00416121" w:rsidRDefault="0081057D" w:rsidP="00F06F63">
      <w:pPr>
        <w:pStyle w:val="BodyTextMain"/>
        <w:rPr>
          <w:rFonts w:eastAsia="Calibri"/>
        </w:rPr>
      </w:pPr>
    </w:p>
    <w:bookmarkEnd w:id="3"/>
    <w:p w14:paraId="005AC8AB" w14:textId="4DF38B8C" w:rsidR="0081057D" w:rsidRPr="00416121" w:rsidRDefault="0081057D" w:rsidP="00F06F63">
      <w:pPr>
        <w:pStyle w:val="BodyTextMain"/>
        <w:rPr>
          <w:rFonts w:eastAsia="Calibri"/>
        </w:rPr>
      </w:pPr>
      <w:r w:rsidRPr="00416121">
        <w:rPr>
          <w:rFonts w:eastAsia="Calibri"/>
        </w:rPr>
        <w:t xml:space="preserve">To reassert the philosophy of sell off as a substitute for dividend, Buffett </w:t>
      </w:r>
      <w:r w:rsidR="001A4446" w:rsidRPr="00416121">
        <w:rPr>
          <w:rFonts w:eastAsia="Calibri"/>
        </w:rPr>
        <w:t>revealed</w:t>
      </w:r>
      <w:r w:rsidRPr="00416121">
        <w:rPr>
          <w:rFonts w:eastAsia="Calibri"/>
        </w:rPr>
        <w:t xml:space="preserve"> that from 2005 </w:t>
      </w:r>
      <w:r w:rsidR="001A4446" w:rsidRPr="00416121">
        <w:rPr>
          <w:rFonts w:eastAsia="Calibri"/>
        </w:rPr>
        <w:t xml:space="preserve">until </w:t>
      </w:r>
      <w:r w:rsidRPr="00416121">
        <w:rPr>
          <w:rFonts w:eastAsia="Calibri"/>
        </w:rPr>
        <w:t xml:space="preserve">2012, he had annually </w:t>
      </w:r>
      <w:r w:rsidR="001624B4" w:rsidRPr="00416121">
        <w:rPr>
          <w:rFonts w:eastAsia="Calibri"/>
        </w:rPr>
        <w:t>divested</w:t>
      </w:r>
      <w:r w:rsidRPr="00416121">
        <w:rPr>
          <w:rFonts w:eastAsia="Calibri"/>
        </w:rPr>
        <w:t xml:space="preserve"> 4.25</w:t>
      </w:r>
      <w:r w:rsidR="00A332DE" w:rsidRPr="00416121">
        <w:rPr>
          <w:rFonts w:eastAsia="Calibri"/>
        </w:rPr>
        <w:t xml:space="preserve"> per cent</w:t>
      </w:r>
      <w:r w:rsidRPr="00416121">
        <w:rPr>
          <w:rFonts w:eastAsia="Calibri"/>
        </w:rPr>
        <w:t xml:space="preserve"> of his shares. Thus, </w:t>
      </w:r>
      <w:r w:rsidR="001A4446" w:rsidRPr="00416121">
        <w:rPr>
          <w:rFonts w:eastAsia="Calibri"/>
        </w:rPr>
        <w:t xml:space="preserve">his </w:t>
      </w:r>
      <w:r w:rsidRPr="00416121">
        <w:rPr>
          <w:rFonts w:eastAsia="Calibri"/>
        </w:rPr>
        <w:t xml:space="preserve">original holdings </w:t>
      </w:r>
      <w:r w:rsidR="001A4446" w:rsidRPr="00416121">
        <w:rPr>
          <w:rFonts w:eastAsia="Calibri"/>
        </w:rPr>
        <w:t xml:space="preserve">of </w:t>
      </w:r>
      <w:r w:rsidRPr="00416121">
        <w:rPr>
          <w:rFonts w:eastAsia="Calibri"/>
        </w:rPr>
        <w:t xml:space="preserve">712,497,000 B-equivalent shares </w:t>
      </w:r>
      <w:r w:rsidR="001A4446" w:rsidRPr="00416121">
        <w:rPr>
          <w:rFonts w:eastAsia="Calibri"/>
        </w:rPr>
        <w:t xml:space="preserve">were </w:t>
      </w:r>
      <w:r w:rsidRPr="00416121">
        <w:rPr>
          <w:rFonts w:eastAsia="Calibri"/>
        </w:rPr>
        <w:t>decreased to 528,525,623 shares</w:t>
      </w:r>
      <w:r w:rsidR="00FB4422" w:rsidRPr="00416121">
        <w:rPr>
          <w:rFonts w:eastAsia="Calibri"/>
        </w:rPr>
        <w:t>—a loss of almost 26 per cent</w:t>
      </w:r>
      <w:r w:rsidRPr="00416121">
        <w:rPr>
          <w:rFonts w:eastAsia="Calibri"/>
        </w:rPr>
        <w:t xml:space="preserve">. </w:t>
      </w:r>
      <w:r w:rsidR="001A4446" w:rsidRPr="00416121">
        <w:rPr>
          <w:rFonts w:eastAsia="Calibri"/>
        </w:rPr>
        <w:t>However, e</w:t>
      </w:r>
      <w:r w:rsidRPr="00416121">
        <w:rPr>
          <w:rFonts w:eastAsia="Calibri"/>
        </w:rPr>
        <w:t xml:space="preserve">ven though </w:t>
      </w:r>
      <w:r w:rsidR="001A4446" w:rsidRPr="00416121">
        <w:rPr>
          <w:rFonts w:eastAsia="Calibri"/>
        </w:rPr>
        <w:t xml:space="preserve">the percentage of Buffet’s </w:t>
      </w:r>
      <w:r w:rsidRPr="00416121">
        <w:rPr>
          <w:rFonts w:eastAsia="Calibri"/>
        </w:rPr>
        <w:t xml:space="preserve">ownership had decreased, the </w:t>
      </w:r>
      <w:r w:rsidR="001A4446" w:rsidRPr="00416121">
        <w:rPr>
          <w:rFonts w:eastAsia="Calibri"/>
        </w:rPr>
        <w:t xml:space="preserve">book value </w:t>
      </w:r>
      <w:r w:rsidRPr="00416121">
        <w:rPr>
          <w:rFonts w:eastAsia="Calibri"/>
        </w:rPr>
        <w:t>of his holdings had increased</w:t>
      </w:r>
      <w:r w:rsidR="001A4446" w:rsidRPr="00416121">
        <w:rPr>
          <w:rFonts w:eastAsia="Calibri"/>
        </w:rPr>
        <w:t xml:space="preserve"> significantly</w:t>
      </w:r>
      <w:r w:rsidRPr="00416121">
        <w:rPr>
          <w:rFonts w:eastAsia="Calibri"/>
        </w:rPr>
        <w:t xml:space="preserve"> from $28.2 billion </w:t>
      </w:r>
      <w:r w:rsidR="0023447F">
        <w:rPr>
          <w:rFonts w:eastAsia="Calibri"/>
        </w:rPr>
        <w:t>for</w:t>
      </w:r>
      <w:r w:rsidRPr="00416121">
        <w:rPr>
          <w:rFonts w:eastAsia="Calibri"/>
        </w:rPr>
        <w:t xml:space="preserve"> 2005 to $40.2</w:t>
      </w:r>
      <w:r w:rsidR="001A4446" w:rsidRPr="00416121">
        <w:rPr>
          <w:rFonts w:eastAsia="Calibri"/>
        </w:rPr>
        <w:t> </w:t>
      </w:r>
      <w:r w:rsidRPr="00416121">
        <w:rPr>
          <w:rFonts w:eastAsia="Calibri"/>
        </w:rPr>
        <w:t xml:space="preserve">billion </w:t>
      </w:r>
      <w:r w:rsidR="0023447F">
        <w:rPr>
          <w:rFonts w:eastAsia="Calibri"/>
        </w:rPr>
        <w:t>for</w:t>
      </w:r>
      <w:r w:rsidRPr="00416121">
        <w:rPr>
          <w:rFonts w:eastAsia="Calibri"/>
        </w:rPr>
        <w:t xml:space="preserve"> 2012</w:t>
      </w:r>
      <w:r w:rsidR="00FB4422" w:rsidRPr="00416121">
        <w:rPr>
          <w:rFonts w:eastAsia="Calibri"/>
        </w:rPr>
        <w:t>—a gain of over 140 per cent</w:t>
      </w:r>
      <w:r w:rsidRPr="00416121">
        <w:rPr>
          <w:rFonts w:eastAsia="Calibri"/>
        </w:rPr>
        <w:t>.</w:t>
      </w:r>
      <w:r w:rsidRPr="00416121">
        <w:rPr>
          <w:rStyle w:val="EndnoteReference"/>
          <w:rFonts w:eastAsia="Calibri"/>
        </w:rPr>
        <w:endnoteReference w:id="36"/>
      </w:r>
    </w:p>
    <w:p w14:paraId="06D0CAB7" w14:textId="77777777" w:rsidR="00A332DE" w:rsidRPr="00416121" w:rsidRDefault="00A332DE" w:rsidP="00F06F63">
      <w:pPr>
        <w:pStyle w:val="BodyTextMain"/>
        <w:rPr>
          <w:rFonts w:eastAsia="Calibri"/>
        </w:rPr>
      </w:pPr>
    </w:p>
    <w:p w14:paraId="0E6E9CD5" w14:textId="77777777" w:rsidR="00F964E4" w:rsidRPr="00416121" w:rsidRDefault="00F964E4" w:rsidP="00F06F63">
      <w:pPr>
        <w:pStyle w:val="BodyTextMain"/>
        <w:rPr>
          <w:rFonts w:eastAsia="Calibri"/>
        </w:rPr>
      </w:pPr>
    </w:p>
    <w:p w14:paraId="35D0FE38" w14:textId="7705C527" w:rsidR="0081057D" w:rsidRPr="00416121" w:rsidRDefault="0081057D" w:rsidP="00A332DE">
      <w:pPr>
        <w:pStyle w:val="Casehead1"/>
        <w:rPr>
          <w:rFonts w:eastAsia="Calibri"/>
        </w:rPr>
      </w:pPr>
      <w:r w:rsidRPr="00416121">
        <w:rPr>
          <w:rFonts w:eastAsia="Calibri"/>
        </w:rPr>
        <w:t>CURRENT FACTORS IN</w:t>
      </w:r>
      <w:r w:rsidR="003C2A84" w:rsidRPr="00416121">
        <w:rPr>
          <w:rFonts w:eastAsia="Calibri"/>
        </w:rPr>
        <w:t>FLUENCING THE DIVIDEND DECISION</w:t>
      </w:r>
    </w:p>
    <w:p w14:paraId="12FD857B" w14:textId="77777777" w:rsidR="00A332DE" w:rsidRPr="00416121" w:rsidRDefault="00A332DE" w:rsidP="00A332DE">
      <w:pPr>
        <w:pStyle w:val="BodyTextMain"/>
        <w:rPr>
          <w:rFonts w:eastAsia="Calibri"/>
        </w:rPr>
      </w:pPr>
    </w:p>
    <w:p w14:paraId="28719590" w14:textId="56E05FD7" w:rsidR="0081057D" w:rsidRPr="00416121" w:rsidRDefault="0081057D" w:rsidP="00A332DE">
      <w:pPr>
        <w:pStyle w:val="BodyTextMain"/>
        <w:rPr>
          <w:rFonts w:eastAsia="Calibri"/>
        </w:rPr>
      </w:pPr>
      <w:r w:rsidRPr="00416121">
        <w:rPr>
          <w:rFonts w:eastAsia="Calibri"/>
        </w:rPr>
        <w:t xml:space="preserve">As </w:t>
      </w:r>
      <w:r w:rsidR="00AB01EE" w:rsidRPr="00416121">
        <w:rPr>
          <w:rFonts w:eastAsia="Calibri"/>
        </w:rPr>
        <w:t>of the end of</w:t>
      </w:r>
      <w:r w:rsidRPr="00416121">
        <w:rPr>
          <w:rFonts w:eastAsia="Calibri"/>
        </w:rPr>
        <w:t xml:space="preserve"> 2017, Berkshire Hathaway was in possession of $115.95 billion in cash and short-term investments. Buffett had accepted that these investments ha</w:t>
      </w:r>
      <w:r w:rsidR="00AB01EE" w:rsidRPr="00416121">
        <w:rPr>
          <w:rFonts w:eastAsia="Calibri"/>
        </w:rPr>
        <w:t>d</w:t>
      </w:r>
      <w:r w:rsidRPr="00416121">
        <w:rPr>
          <w:rFonts w:eastAsia="Calibri"/>
        </w:rPr>
        <w:t xml:space="preserve"> earned </w:t>
      </w:r>
      <w:r w:rsidR="00B02283" w:rsidRPr="00416121">
        <w:rPr>
          <w:rFonts w:eastAsia="Calibri"/>
        </w:rPr>
        <w:t xml:space="preserve">a </w:t>
      </w:r>
      <w:r w:rsidRPr="00416121">
        <w:rPr>
          <w:rFonts w:eastAsia="Calibri"/>
        </w:rPr>
        <w:t>pittance.</w:t>
      </w:r>
      <w:r w:rsidRPr="00416121">
        <w:rPr>
          <w:rStyle w:val="EndnoteReference"/>
          <w:rFonts w:eastAsia="Calibri"/>
        </w:rPr>
        <w:endnoteReference w:id="37"/>
      </w:r>
      <w:r w:rsidR="00842182" w:rsidRPr="00416121">
        <w:rPr>
          <w:rFonts w:eastAsia="Calibri"/>
        </w:rPr>
        <w:t xml:space="preserve"> </w:t>
      </w:r>
      <w:r w:rsidRPr="00416121">
        <w:rPr>
          <w:rFonts w:eastAsia="Calibri"/>
        </w:rPr>
        <w:t>Keeping so much money in the bank decrease</w:t>
      </w:r>
      <w:r w:rsidR="006E1C00" w:rsidRPr="00416121">
        <w:rPr>
          <w:rFonts w:eastAsia="Calibri"/>
        </w:rPr>
        <w:t>d</w:t>
      </w:r>
      <w:r w:rsidRPr="00416121">
        <w:rPr>
          <w:rFonts w:eastAsia="Calibri"/>
        </w:rPr>
        <w:t xml:space="preserve"> the real value of the reserves because the yield on the cash balances </w:t>
      </w:r>
      <w:r w:rsidR="00AB01EE" w:rsidRPr="00416121">
        <w:rPr>
          <w:rFonts w:eastAsia="Calibri"/>
        </w:rPr>
        <w:t xml:space="preserve">was </w:t>
      </w:r>
      <w:r w:rsidRPr="00416121">
        <w:rPr>
          <w:rFonts w:eastAsia="Calibri"/>
        </w:rPr>
        <w:t>less than the inflation rate.</w:t>
      </w:r>
      <w:r w:rsidRPr="00416121">
        <w:rPr>
          <w:rStyle w:val="EndnoteReference"/>
          <w:rFonts w:eastAsia="Calibri"/>
        </w:rPr>
        <w:endnoteReference w:id="38"/>
      </w:r>
      <w:r w:rsidR="003E5585" w:rsidRPr="00416121">
        <w:rPr>
          <w:rFonts w:eastAsia="Calibri"/>
        </w:rPr>
        <w:t xml:space="preserve"> </w:t>
      </w:r>
      <w:r w:rsidRPr="00416121">
        <w:rPr>
          <w:rFonts w:eastAsia="Calibri"/>
        </w:rPr>
        <w:t xml:space="preserve">A portfolio manager </w:t>
      </w:r>
      <w:r w:rsidR="00AB01EE" w:rsidRPr="00416121">
        <w:rPr>
          <w:rFonts w:eastAsia="Calibri"/>
        </w:rPr>
        <w:t>calculated</w:t>
      </w:r>
      <w:r w:rsidRPr="00416121">
        <w:rPr>
          <w:rFonts w:eastAsia="Calibri"/>
        </w:rPr>
        <w:t xml:space="preserve"> that Berkshire Hathaway was in a position to pay a one-time dividend of $20 billion and </w:t>
      </w:r>
      <w:r w:rsidR="00AB01EE" w:rsidRPr="00416121">
        <w:rPr>
          <w:rFonts w:eastAsia="Calibri"/>
        </w:rPr>
        <w:t xml:space="preserve">still </w:t>
      </w:r>
      <w:r w:rsidRPr="00416121">
        <w:rPr>
          <w:rFonts w:eastAsia="Calibri"/>
        </w:rPr>
        <w:t>be left with enough cash to cover future investment requirement</w:t>
      </w:r>
      <w:r w:rsidR="00AB01EE" w:rsidRPr="00416121">
        <w:rPr>
          <w:rFonts w:eastAsia="Calibri"/>
        </w:rPr>
        <w:t>s</w:t>
      </w:r>
      <w:r w:rsidRPr="00416121">
        <w:rPr>
          <w:rFonts w:eastAsia="Calibri"/>
        </w:rPr>
        <w:t>.</w:t>
      </w:r>
      <w:r w:rsidRPr="00416121">
        <w:rPr>
          <w:rStyle w:val="EndnoteReference"/>
          <w:rFonts w:eastAsia="Calibri"/>
        </w:rPr>
        <w:endnoteReference w:id="39"/>
      </w:r>
    </w:p>
    <w:p w14:paraId="28838BDB" w14:textId="77777777" w:rsidR="0081057D" w:rsidRPr="00416121" w:rsidRDefault="0081057D" w:rsidP="00A332DE">
      <w:pPr>
        <w:pStyle w:val="BodyTextMain"/>
        <w:rPr>
          <w:rFonts w:eastAsia="Calibri"/>
        </w:rPr>
      </w:pPr>
    </w:p>
    <w:p w14:paraId="59992287" w14:textId="57B2B6AD" w:rsidR="0081057D" w:rsidRPr="00416121" w:rsidRDefault="0081057D" w:rsidP="00A332DE">
      <w:pPr>
        <w:pStyle w:val="BodyTextMain"/>
        <w:rPr>
          <w:rFonts w:eastAsia="Calibri"/>
        </w:rPr>
      </w:pPr>
      <w:r w:rsidRPr="00416121">
        <w:rPr>
          <w:rFonts w:eastAsia="Calibri"/>
        </w:rPr>
        <w:t xml:space="preserve">Buffett </w:t>
      </w:r>
      <w:r w:rsidR="00AB01EE" w:rsidRPr="00416121">
        <w:rPr>
          <w:rFonts w:eastAsia="Calibri"/>
        </w:rPr>
        <w:t>acknowledged</w:t>
      </w:r>
      <w:r w:rsidRPr="00416121">
        <w:rPr>
          <w:rFonts w:eastAsia="Calibri"/>
        </w:rPr>
        <w:t xml:space="preserve"> that many potential acquisitions </w:t>
      </w:r>
      <w:r w:rsidR="00AB01EE" w:rsidRPr="00416121">
        <w:rPr>
          <w:rFonts w:eastAsia="Calibri"/>
        </w:rPr>
        <w:t xml:space="preserve">had been </w:t>
      </w:r>
      <w:r w:rsidRPr="00416121">
        <w:rPr>
          <w:rFonts w:eastAsia="Calibri"/>
        </w:rPr>
        <w:t xml:space="preserve">reviewed </w:t>
      </w:r>
      <w:r w:rsidR="00AB01EE" w:rsidRPr="00416121">
        <w:rPr>
          <w:rFonts w:eastAsia="Calibri"/>
        </w:rPr>
        <w:t xml:space="preserve">in </w:t>
      </w:r>
      <w:r w:rsidR="001624B4" w:rsidRPr="00416121">
        <w:rPr>
          <w:rFonts w:eastAsia="Calibri"/>
        </w:rPr>
        <w:t>2016,</w:t>
      </w:r>
      <w:r w:rsidRPr="00416121">
        <w:rPr>
          <w:rFonts w:eastAsia="Calibri"/>
        </w:rPr>
        <w:t xml:space="preserve"> but rich valuation</w:t>
      </w:r>
      <w:r w:rsidR="00352DA5" w:rsidRPr="00416121">
        <w:rPr>
          <w:rFonts w:eastAsia="Calibri"/>
        </w:rPr>
        <w:t xml:space="preserve">s inhibited </w:t>
      </w:r>
      <w:r w:rsidRPr="00416121">
        <w:rPr>
          <w:rFonts w:eastAsia="Calibri"/>
        </w:rPr>
        <w:t>the deals. Therefore, Buffett could</w:t>
      </w:r>
      <w:r w:rsidR="00352DA5" w:rsidRPr="00416121">
        <w:rPr>
          <w:rFonts w:eastAsia="Calibri"/>
        </w:rPr>
        <w:t xml:space="preserve"> </w:t>
      </w:r>
      <w:r w:rsidRPr="00416121">
        <w:rPr>
          <w:rFonts w:eastAsia="Calibri"/>
        </w:rPr>
        <w:t>n</w:t>
      </w:r>
      <w:r w:rsidR="00352DA5" w:rsidRPr="00416121">
        <w:rPr>
          <w:rFonts w:eastAsia="Calibri"/>
        </w:rPr>
        <w:t>o</w:t>
      </w:r>
      <w:r w:rsidRPr="00416121">
        <w:rPr>
          <w:rFonts w:eastAsia="Calibri"/>
        </w:rPr>
        <w:t xml:space="preserve">t identify any promising stocks </w:t>
      </w:r>
      <w:r w:rsidR="00352DA5" w:rsidRPr="00416121">
        <w:rPr>
          <w:rFonts w:eastAsia="Calibri"/>
        </w:rPr>
        <w:t xml:space="preserve">that could be purchased </w:t>
      </w:r>
      <w:r w:rsidRPr="00416121">
        <w:rPr>
          <w:rFonts w:eastAsia="Calibri"/>
        </w:rPr>
        <w:t>at a fair price.</w:t>
      </w:r>
      <w:r w:rsidRPr="00416121">
        <w:rPr>
          <w:rStyle w:val="EndnoteReference"/>
          <w:rFonts w:eastAsia="Calibri"/>
        </w:rPr>
        <w:endnoteReference w:id="40"/>
      </w:r>
      <w:r w:rsidR="00842182" w:rsidRPr="00416121">
        <w:rPr>
          <w:rFonts w:eastAsia="Calibri"/>
          <w:vertAlign w:val="superscript"/>
        </w:rPr>
        <w:t xml:space="preserve"> </w:t>
      </w:r>
      <w:r w:rsidRPr="00416121">
        <w:rPr>
          <w:rFonts w:eastAsia="Calibri"/>
        </w:rPr>
        <w:t xml:space="preserve">Berkshire Hathaway had planned a massive acquisition of Unilever NV through </w:t>
      </w:r>
      <w:r w:rsidR="009C47E0">
        <w:rPr>
          <w:rFonts w:eastAsia="Calibri"/>
        </w:rPr>
        <w:t xml:space="preserve">a </w:t>
      </w:r>
      <w:r w:rsidR="00D93285" w:rsidRPr="00416121">
        <w:rPr>
          <w:rFonts w:eastAsia="Calibri"/>
        </w:rPr>
        <w:t xml:space="preserve">Berkshire Hathaway </w:t>
      </w:r>
      <w:r w:rsidRPr="00416121">
        <w:rPr>
          <w:rFonts w:eastAsia="Calibri"/>
        </w:rPr>
        <w:t>subsidiary</w:t>
      </w:r>
      <w:r w:rsidR="009C47E0">
        <w:rPr>
          <w:rFonts w:eastAsia="Calibri"/>
        </w:rPr>
        <w:t>,</w:t>
      </w:r>
      <w:r w:rsidRPr="00416121">
        <w:rPr>
          <w:rFonts w:eastAsia="Calibri"/>
        </w:rPr>
        <w:t xml:space="preserve"> </w:t>
      </w:r>
      <w:r w:rsidR="00352DA5" w:rsidRPr="00416121">
        <w:rPr>
          <w:rFonts w:eastAsia="Calibri"/>
        </w:rPr>
        <w:t xml:space="preserve">the </w:t>
      </w:r>
      <w:r w:rsidRPr="00416121">
        <w:rPr>
          <w:rFonts w:eastAsia="Calibri"/>
        </w:rPr>
        <w:t>Kraft Heinz Co</w:t>
      </w:r>
      <w:r w:rsidR="00352DA5" w:rsidRPr="00416121">
        <w:rPr>
          <w:rFonts w:eastAsia="Calibri"/>
        </w:rPr>
        <w:t>mpany,</w:t>
      </w:r>
      <w:r w:rsidRPr="00416121">
        <w:rPr>
          <w:rFonts w:eastAsia="Calibri"/>
        </w:rPr>
        <w:t xml:space="preserve"> but </w:t>
      </w:r>
      <w:r w:rsidR="00D93285" w:rsidRPr="00416121">
        <w:rPr>
          <w:rFonts w:eastAsia="Calibri"/>
        </w:rPr>
        <w:t xml:space="preserve">misunderstandings between </w:t>
      </w:r>
      <w:r w:rsidR="003A7886" w:rsidRPr="00416121">
        <w:rPr>
          <w:rFonts w:eastAsia="Calibri"/>
        </w:rPr>
        <w:t xml:space="preserve">Unilever and Kraft Heinz </w:t>
      </w:r>
      <w:r w:rsidR="00D93285" w:rsidRPr="00416121">
        <w:rPr>
          <w:rFonts w:eastAsia="Calibri"/>
        </w:rPr>
        <w:t>led Kraft Heinz to withdraw its bid</w:t>
      </w:r>
      <w:r w:rsidRPr="00416121">
        <w:rPr>
          <w:rFonts w:eastAsia="Calibri"/>
        </w:rPr>
        <w:t>.</w:t>
      </w:r>
      <w:r w:rsidRPr="00416121">
        <w:rPr>
          <w:rStyle w:val="EndnoteReference"/>
          <w:rFonts w:eastAsia="Calibri"/>
        </w:rPr>
        <w:endnoteReference w:id="41"/>
      </w:r>
    </w:p>
    <w:p w14:paraId="62CE8A4E" w14:textId="77777777" w:rsidR="0081057D" w:rsidRPr="00416121" w:rsidRDefault="0081057D" w:rsidP="006568CC">
      <w:pPr>
        <w:pStyle w:val="BodyTextMain"/>
        <w:rPr>
          <w:rFonts w:eastAsia="Calibri"/>
        </w:rPr>
      </w:pPr>
    </w:p>
    <w:p w14:paraId="289CB671" w14:textId="7E16E1FC" w:rsidR="0081057D" w:rsidRPr="00416121" w:rsidRDefault="00977B7C" w:rsidP="00A332DE">
      <w:pPr>
        <w:pStyle w:val="BodyTextMain"/>
        <w:rPr>
          <w:rFonts w:eastAsia="Calibri"/>
          <w:spacing w:val="-2"/>
        </w:rPr>
      </w:pPr>
      <w:r w:rsidRPr="00416121">
        <w:rPr>
          <w:rFonts w:eastAsia="Calibri"/>
          <w:spacing w:val="-2"/>
        </w:rPr>
        <w:t>Buffet had said that his inclination was toward share repurchase instead of a cash dividend payment because a dividend payment implied a promise of payment forever.</w:t>
      </w:r>
      <w:r w:rsidRPr="00416121">
        <w:rPr>
          <w:rStyle w:val="EndnoteReference"/>
          <w:rFonts w:eastAsia="Calibri"/>
          <w:spacing w:val="-2"/>
        </w:rPr>
        <w:endnoteReference w:id="42"/>
      </w:r>
      <w:r w:rsidRPr="00416121">
        <w:rPr>
          <w:rFonts w:eastAsia="Calibri"/>
          <w:spacing w:val="-2"/>
        </w:rPr>
        <w:t xml:space="preserve"> </w:t>
      </w:r>
      <w:r w:rsidR="00DE16FE" w:rsidRPr="00416121">
        <w:rPr>
          <w:rFonts w:eastAsia="Calibri"/>
          <w:spacing w:val="-2"/>
        </w:rPr>
        <w:t xml:space="preserve">However, </w:t>
      </w:r>
      <w:r w:rsidR="0081057D" w:rsidRPr="00416121">
        <w:rPr>
          <w:rFonts w:eastAsia="Calibri"/>
          <w:spacing w:val="-2"/>
        </w:rPr>
        <w:t>Berkshire Hathaway</w:t>
      </w:r>
      <w:r w:rsidR="003E5585" w:rsidRPr="00416121">
        <w:rPr>
          <w:rFonts w:eastAsia="Calibri"/>
          <w:spacing w:val="-2"/>
        </w:rPr>
        <w:t>’</w:t>
      </w:r>
      <w:r w:rsidR="0081057D" w:rsidRPr="00416121">
        <w:rPr>
          <w:rFonts w:eastAsia="Calibri"/>
          <w:spacing w:val="-2"/>
        </w:rPr>
        <w:t xml:space="preserve">s </w:t>
      </w:r>
      <w:r w:rsidR="003E5585" w:rsidRPr="00416121">
        <w:rPr>
          <w:rFonts w:eastAsia="Calibri"/>
          <w:spacing w:val="-2"/>
        </w:rPr>
        <w:t xml:space="preserve">share repurchase offer </w:t>
      </w:r>
      <w:r w:rsidR="0081057D" w:rsidRPr="00416121">
        <w:rPr>
          <w:rFonts w:eastAsia="Calibri"/>
          <w:spacing w:val="-2"/>
        </w:rPr>
        <w:t xml:space="preserve">was applicable </w:t>
      </w:r>
      <w:r w:rsidR="00A04845">
        <w:rPr>
          <w:rFonts w:eastAsia="Calibri"/>
          <w:spacing w:val="-2"/>
        </w:rPr>
        <w:t xml:space="preserve">only </w:t>
      </w:r>
      <w:r w:rsidR="0081057D" w:rsidRPr="00416121">
        <w:rPr>
          <w:rFonts w:eastAsia="Calibri"/>
          <w:spacing w:val="-2"/>
        </w:rPr>
        <w:t>when shares hit 120 per</w:t>
      </w:r>
      <w:r w:rsidR="003E5585" w:rsidRPr="00416121">
        <w:rPr>
          <w:rFonts w:eastAsia="Calibri"/>
          <w:spacing w:val="-2"/>
        </w:rPr>
        <w:t xml:space="preserve"> </w:t>
      </w:r>
      <w:r w:rsidR="0081057D" w:rsidRPr="00416121">
        <w:rPr>
          <w:rFonts w:eastAsia="Calibri"/>
          <w:spacing w:val="-2"/>
        </w:rPr>
        <w:t>cent of book value</w:t>
      </w:r>
      <w:r w:rsidR="00DE16FE" w:rsidRPr="00416121">
        <w:rPr>
          <w:rFonts w:eastAsia="Calibri"/>
          <w:spacing w:val="-2"/>
        </w:rPr>
        <w:t>, and e</w:t>
      </w:r>
      <w:r w:rsidRPr="00416121">
        <w:rPr>
          <w:rFonts w:eastAsia="Calibri"/>
          <w:spacing w:val="-2"/>
        </w:rPr>
        <w:t>arly in 2018</w:t>
      </w:r>
      <w:r w:rsidR="003E5585" w:rsidRPr="00416121">
        <w:rPr>
          <w:rFonts w:eastAsia="Calibri"/>
          <w:spacing w:val="-2"/>
        </w:rPr>
        <w:t>, b</w:t>
      </w:r>
      <w:r w:rsidR="0081057D" w:rsidRPr="00416121">
        <w:rPr>
          <w:rFonts w:eastAsia="Calibri"/>
          <w:spacing w:val="-2"/>
        </w:rPr>
        <w:t xml:space="preserve">oth the Class A and </w:t>
      </w:r>
      <w:r w:rsidR="003E5585" w:rsidRPr="00416121">
        <w:rPr>
          <w:rFonts w:eastAsia="Calibri"/>
          <w:spacing w:val="-2"/>
        </w:rPr>
        <w:t xml:space="preserve">Class </w:t>
      </w:r>
      <w:r w:rsidR="0081057D" w:rsidRPr="00416121">
        <w:rPr>
          <w:rFonts w:eastAsia="Calibri"/>
          <w:spacing w:val="-2"/>
        </w:rPr>
        <w:t>B shares were trading near 170 per</w:t>
      </w:r>
      <w:r w:rsidRPr="00416121">
        <w:rPr>
          <w:rFonts w:eastAsia="Calibri"/>
          <w:spacing w:val="-2"/>
        </w:rPr>
        <w:t xml:space="preserve"> </w:t>
      </w:r>
      <w:r w:rsidR="0081057D" w:rsidRPr="00416121">
        <w:rPr>
          <w:rFonts w:eastAsia="Calibri"/>
          <w:spacing w:val="-2"/>
        </w:rPr>
        <w:t>cent</w:t>
      </w:r>
      <w:r w:rsidR="00DE16FE" w:rsidRPr="00416121">
        <w:rPr>
          <w:rFonts w:eastAsia="Calibri"/>
          <w:spacing w:val="-2"/>
        </w:rPr>
        <w:t>—</w:t>
      </w:r>
      <w:r w:rsidRPr="00416121">
        <w:rPr>
          <w:rFonts w:eastAsia="Calibri"/>
          <w:spacing w:val="-2"/>
        </w:rPr>
        <w:t>far above the company’s limit for repurchase</w:t>
      </w:r>
      <w:r w:rsidR="0081057D" w:rsidRPr="00416121">
        <w:rPr>
          <w:rFonts w:eastAsia="Calibri"/>
          <w:spacing w:val="-2"/>
        </w:rPr>
        <w:t>.</w:t>
      </w:r>
      <w:r w:rsidR="0081057D" w:rsidRPr="00416121">
        <w:rPr>
          <w:rStyle w:val="EndnoteReference"/>
          <w:rFonts w:eastAsia="Calibri"/>
          <w:spacing w:val="-2"/>
        </w:rPr>
        <w:endnoteReference w:id="43"/>
      </w:r>
    </w:p>
    <w:p w14:paraId="3E36A03A" w14:textId="77777777" w:rsidR="0081057D" w:rsidRPr="00416121" w:rsidRDefault="0081057D" w:rsidP="00F06F63">
      <w:pPr>
        <w:pStyle w:val="BodyTextMain"/>
        <w:rPr>
          <w:rFonts w:eastAsia="Calibri"/>
          <w:spacing w:val="-2"/>
        </w:rPr>
      </w:pPr>
    </w:p>
    <w:p w14:paraId="093C8510" w14:textId="77777777" w:rsidR="00A332DE" w:rsidRPr="00416121" w:rsidRDefault="00A332DE" w:rsidP="00F06F63">
      <w:pPr>
        <w:pStyle w:val="BodyTextMain"/>
        <w:rPr>
          <w:rFonts w:eastAsia="Calibri"/>
        </w:rPr>
      </w:pPr>
    </w:p>
    <w:p w14:paraId="50ADAC42" w14:textId="3A7D25FC" w:rsidR="0081057D" w:rsidRPr="00416121" w:rsidRDefault="003C2A84" w:rsidP="00A332DE">
      <w:pPr>
        <w:pStyle w:val="Casehead1"/>
        <w:rPr>
          <w:rFonts w:eastAsia="Calibri"/>
        </w:rPr>
      </w:pPr>
      <w:r w:rsidRPr="00416121">
        <w:rPr>
          <w:rFonts w:eastAsia="Calibri"/>
        </w:rPr>
        <w:t>DECISION</w:t>
      </w:r>
    </w:p>
    <w:p w14:paraId="71C97992" w14:textId="77777777" w:rsidR="00A332DE" w:rsidRPr="00416121" w:rsidRDefault="00A332DE" w:rsidP="00F06F63">
      <w:pPr>
        <w:pStyle w:val="BodyTextMain"/>
        <w:keepNext/>
        <w:rPr>
          <w:rFonts w:eastAsia="Calibri"/>
        </w:rPr>
      </w:pPr>
    </w:p>
    <w:p w14:paraId="372834D9" w14:textId="4A0D2726" w:rsidR="00A332DE" w:rsidRPr="00416121" w:rsidRDefault="00DE16FE" w:rsidP="006568CC">
      <w:pPr>
        <w:pStyle w:val="BodyTextMain"/>
        <w:rPr>
          <w:rFonts w:ascii="Arial" w:eastAsia="Calibri" w:hAnsi="Arial" w:cs="Arial"/>
          <w:b/>
        </w:rPr>
      </w:pPr>
      <w:r w:rsidRPr="00416121">
        <w:rPr>
          <w:rFonts w:eastAsia="Calibri"/>
        </w:rPr>
        <w:t>C</w:t>
      </w:r>
      <w:r w:rsidR="0081057D" w:rsidRPr="00416121">
        <w:rPr>
          <w:rFonts w:eastAsia="Calibri"/>
        </w:rPr>
        <w:t>onsider</w:t>
      </w:r>
      <w:r w:rsidRPr="00416121">
        <w:rPr>
          <w:rFonts w:eastAsia="Calibri"/>
        </w:rPr>
        <w:t>ing</w:t>
      </w:r>
      <w:r w:rsidR="0081057D" w:rsidRPr="00416121">
        <w:rPr>
          <w:rFonts w:eastAsia="Calibri"/>
        </w:rPr>
        <w:t xml:space="preserve"> the history of Berkshire Hathaway </w:t>
      </w:r>
      <w:r w:rsidRPr="00416121">
        <w:rPr>
          <w:rFonts w:eastAsia="Calibri"/>
        </w:rPr>
        <w:t xml:space="preserve">and Buffet’s historical investment strategy, what would you recommend the company do with almost $116 billion in cash and cash-equivalent reserves? Are Buffet’s strategic reasons for not paying dividends sustainable? </w:t>
      </w:r>
      <w:r w:rsidR="0081057D" w:rsidRPr="00416121">
        <w:rPr>
          <w:rFonts w:eastAsia="Calibri"/>
        </w:rPr>
        <w:t xml:space="preserve">Is </w:t>
      </w:r>
      <w:r w:rsidRPr="00416121">
        <w:rPr>
          <w:rFonts w:eastAsia="Calibri"/>
        </w:rPr>
        <w:t xml:space="preserve">the company’s </w:t>
      </w:r>
      <w:r w:rsidR="0081057D" w:rsidRPr="00416121">
        <w:rPr>
          <w:rFonts w:eastAsia="Calibri"/>
        </w:rPr>
        <w:t xml:space="preserve">share repurchase plan </w:t>
      </w:r>
      <w:r w:rsidRPr="00416121">
        <w:rPr>
          <w:rFonts w:eastAsia="Calibri"/>
        </w:rPr>
        <w:t xml:space="preserve">still </w:t>
      </w:r>
      <w:r w:rsidR="0081057D" w:rsidRPr="00416121">
        <w:rPr>
          <w:rFonts w:eastAsia="Calibri"/>
        </w:rPr>
        <w:t xml:space="preserve">a viable alternative to </w:t>
      </w:r>
      <w:r w:rsidRPr="00416121">
        <w:rPr>
          <w:rFonts w:eastAsia="Calibri"/>
        </w:rPr>
        <w:t xml:space="preserve">a </w:t>
      </w:r>
      <w:r w:rsidR="0081057D" w:rsidRPr="00416121">
        <w:rPr>
          <w:rFonts w:eastAsia="Calibri"/>
        </w:rPr>
        <w:t xml:space="preserve">dividend? </w:t>
      </w:r>
      <w:r w:rsidR="001C6311" w:rsidRPr="00416121">
        <w:rPr>
          <w:rFonts w:eastAsia="Calibri"/>
        </w:rPr>
        <w:t xml:space="preserve">Looking at Berkshire Hathaway’s financials (see Exhibits 2–4), </w:t>
      </w:r>
      <w:r w:rsidR="00A04845" w:rsidRPr="00416121">
        <w:rPr>
          <w:rFonts w:eastAsia="Calibri"/>
        </w:rPr>
        <w:t xml:space="preserve">if you were in Buffet’s </w:t>
      </w:r>
      <w:r w:rsidR="00A04845">
        <w:rPr>
          <w:rFonts w:eastAsia="Calibri"/>
        </w:rPr>
        <w:t>position,</w:t>
      </w:r>
      <w:r w:rsidR="00A04845" w:rsidRPr="00416121">
        <w:rPr>
          <w:rFonts w:eastAsia="Calibri"/>
        </w:rPr>
        <w:t xml:space="preserve"> </w:t>
      </w:r>
      <w:r w:rsidR="0081057D" w:rsidRPr="00416121">
        <w:rPr>
          <w:rFonts w:eastAsia="Calibri"/>
        </w:rPr>
        <w:t xml:space="preserve">would you alter the </w:t>
      </w:r>
      <w:r w:rsidR="00B02283" w:rsidRPr="00416121">
        <w:rPr>
          <w:rFonts w:eastAsia="Calibri"/>
        </w:rPr>
        <w:t>d</w:t>
      </w:r>
      <w:r w:rsidR="0081057D" w:rsidRPr="00416121">
        <w:rPr>
          <w:rFonts w:eastAsia="Calibri"/>
        </w:rPr>
        <w:t xml:space="preserve">ividend policy or </w:t>
      </w:r>
      <w:r w:rsidR="0005182B" w:rsidRPr="00416121">
        <w:rPr>
          <w:rFonts w:eastAsia="Calibri"/>
        </w:rPr>
        <w:t xml:space="preserve">leave it </w:t>
      </w:r>
      <w:r w:rsidR="0081057D" w:rsidRPr="00416121">
        <w:rPr>
          <w:rFonts w:eastAsia="Calibri"/>
        </w:rPr>
        <w:t xml:space="preserve">unaltered? </w:t>
      </w:r>
      <w:r w:rsidR="00A332DE" w:rsidRPr="00416121">
        <w:rPr>
          <w:rFonts w:ascii="Arial" w:eastAsia="Calibri" w:hAnsi="Arial" w:cs="Arial"/>
          <w:b/>
        </w:rPr>
        <w:br w:type="page"/>
      </w:r>
    </w:p>
    <w:p w14:paraId="085EE581" w14:textId="79F48164" w:rsidR="00185BEC" w:rsidRPr="00416121" w:rsidRDefault="00185BEC" w:rsidP="00185BEC">
      <w:pPr>
        <w:pStyle w:val="ExhibitHeading"/>
        <w:rPr>
          <w:rFonts w:eastAsia="Calibri"/>
        </w:rPr>
      </w:pPr>
      <w:r w:rsidRPr="00416121">
        <w:rPr>
          <w:rFonts w:eastAsia="Calibri"/>
        </w:rPr>
        <w:t xml:space="preserve">EXHIBIT 1: </w:t>
      </w:r>
      <w:r w:rsidR="00165AC0" w:rsidRPr="00416121">
        <w:rPr>
          <w:rFonts w:eastAsia="Calibri"/>
        </w:rPr>
        <w:t xml:space="preserve">Comparing </w:t>
      </w:r>
      <w:r w:rsidRPr="00416121">
        <w:t>Berkshire’s Performance with the S&amp;P 500</w:t>
      </w:r>
      <w:r w:rsidR="00A04845">
        <w:t>, 1965–2017</w:t>
      </w:r>
    </w:p>
    <w:p w14:paraId="3B973598" w14:textId="77777777" w:rsidR="00185BEC" w:rsidRPr="00416121" w:rsidRDefault="00185BEC" w:rsidP="00F06F63">
      <w:pPr>
        <w:pStyle w:val="ExhibitText"/>
        <w:rPr>
          <w:rFonts w:eastAsia="Calibri"/>
        </w:rPr>
      </w:pPr>
    </w:p>
    <w:tbl>
      <w:tblPr>
        <w:tblStyle w:val="TableGrid"/>
        <w:tblW w:w="4184" w:type="pct"/>
        <w:jc w:val="center"/>
        <w:tblLayout w:type="fixed"/>
        <w:tblLook w:val="04A0" w:firstRow="1" w:lastRow="0" w:firstColumn="1" w:lastColumn="0" w:noHBand="0" w:noVBand="1"/>
      </w:tblPr>
      <w:tblGrid>
        <w:gridCol w:w="1169"/>
        <w:gridCol w:w="2025"/>
        <w:gridCol w:w="2025"/>
        <w:gridCol w:w="2605"/>
      </w:tblGrid>
      <w:tr w:rsidR="009A466E" w:rsidRPr="00416121" w14:paraId="28D2CFB8" w14:textId="77777777" w:rsidTr="00427D4B">
        <w:trPr>
          <w:trHeight w:val="404"/>
          <w:tblHeader/>
          <w:jc w:val="center"/>
        </w:trPr>
        <w:tc>
          <w:tcPr>
            <w:tcW w:w="1170" w:type="dxa"/>
            <w:vMerge w:val="restart"/>
            <w:noWrap/>
            <w:vAlign w:val="center"/>
          </w:tcPr>
          <w:p w14:paraId="08426648" w14:textId="65AF2EFA" w:rsidR="009A466E" w:rsidRPr="00416121" w:rsidRDefault="009A466E" w:rsidP="009A466E">
            <w:pPr>
              <w:pStyle w:val="ExhibitText"/>
              <w:jc w:val="center"/>
            </w:pPr>
            <w:r w:rsidRPr="00416121">
              <w:t>Year</w:t>
            </w:r>
          </w:p>
        </w:tc>
        <w:tc>
          <w:tcPr>
            <w:tcW w:w="4050" w:type="dxa"/>
            <w:gridSpan w:val="2"/>
            <w:tcBorders>
              <w:bottom w:val="nil"/>
            </w:tcBorders>
            <w:tcMar>
              <w:left w:w="115" w:type="dxa"/>
            </w:tcMar>
            <w:vAlign w:val="center"/>
          </w:tcPr>
          <w:p w14:paraId="08920FB6" w14:textId="24E21988" w:rsidR="009A466E" w:rsidRPr="00416121" w:rsidRDefault="009A466E" w:rsidP="009A466E">
            <w:pPr>
              <w:pStyle w:val="ExhibitText"/>
              <w:jc w:val="center"/>
            </w:pPr>
            <w:r w:rsidRPr="00416121">
              <w:t xml:space="preserve">Change in Berkshire’s </w:t>
            </w:r>
            <w:r w:rsidR="00A04845">
              <w:t>P</w:t>
            </w:r>
            <w:r w:rsidRPr="00416121">
              <w:t xml:space="preserve">er </w:t>
            </w:r>
            <w:r w:rsidR="00A04845">
              <w:t>S</w:t>
            </w:r>
            <w:r w:rsidRPr="00416121">
              <w:t xml:space="preserve">hare </w:t>
            </w:r>
            <w:r w:rsidR="00A04845">
              <w:t>V</w:t>
            </w:r>
            <w:r w:rsidRPr="00416121">
              <w:t>alue (%)</w:t>
            </w:r>
          </w:p>
        </w:tc>
        <w:tc>
          <w:tcPr>
            <w:tcW w:w="2605" w:type="dxa"/>
            <w:vMerge w:val="restart"/>
            <w:tcBorders>
              <w:bottom w:val="single" w:sz="12" w:space="0" w:color="auto"/>
            </w:tcBorders>
            <w:vAlign w:val="center"/>
          </w:tcPr>
          <w:p w14:paraId="66716F97" w14:textId="414372F1" w:rsidR="009A466E" w:rsidRPr="00416121" w:rsidRDefault="009A466E" w:rsidP="006333DB">
            <w:pPr>
              <w:pStyle w:val="ExhibitText"/>
              <w:jc w:val="center"/>
            </w:pPr>
            <w:r w:rsidRPr="00416121">
              <w:t>Change in S&amp;P 500</w:t>
            </w:r>
            <w:r w:rsidR="006333DB">
              <w:t xml:space="preserve"> </w:t>
            </w:r>
            <w:r w:rsidR="00A04845">
              <w:t>I</w:t>
            </w:r>
            <w:r w:rsidR="00B467BE" w:rsidRPr="00416121">
              <w:t xml:space="preserve">ncluding </w:t>
            </w:r>
            <w:r w:rsidR="00A04845">
              <w:t>D</w:t>
            </w:r>
            <w:r w:rsidRPr="00416121">
              <w:t>ividends</w:t>
            </w:r>
            <w:r w:rsidR="00B467BE" w:rsidRPr="00416121">
              <w:t xml:space="preserve"> </w:t>
            </w:r>
            <w:r w:rsidRPr="00416121">
              <w:t>(%)</w:t>
            </w:r>
          </w:p>
        </w:tc>
      </w:tr>
      <w:tr w:rsidR="009A466E" w:rsidRPr="00416121" w14:paraId="02A0DD3B" w14:textId="77777777" w:rsidTr="00427D4B">
        <w:trPr>
          <w:trHeight w:val="259"/>
          <w:tblHeader/>
          <w:jc w:val="center"/>
        </w:trPr>
        <w:tc>
          <w:tcPr>
            <w:tcW w:w="1170" w:type="dxa"/>
            <w:vMerge/>
            <w:tcBorders>
              <w:bottom w:val="single" w:sz="12" w:space="0" w:color="auto"/>
            </w:tcBorders>
            <w:noWrap/>
            <w:tcMar>
              <w:left w:w="115" w:type="dxa"/>
            </w:tcMar>
            <w:vAlign w:val="center"/>
            <w:hideMark/>
          </w:tcPr>
          <w:p w14:paraId="32EFD6BF" w14:textId="6918562F" w:rsidR="009A466E" w:rsidRPr="00416121" w:rsidRDefault="009A466E" w:rsidP="009A466E">
            <w:pPr>
              <w:pStyle w:val="ExhibitText"/>
              <w:jc w:val="center"/>
            </w:pPr>
          </w:p>
        </w:tc>
        <w:tc>
          <w:tcPr>
            <w:tcW w:w="2025" w:type="dxa"/>
            <w:tcBorders>
              <w:top w:val="nil"/>
              <w:bottom w:val="single" w:sz="12" w:space="0" w:color="auto"/>
            </w:tcBorders>
            <w:tcMar>
              <w:left w:w="115" w:type="dxa"/>
            </w:tcMar>
            <w:vAlign w:val="center"/>
            <w:hideMark/>
          </w:tcPr>
          <w:p w14:paraId="360E1EA6" w14:textId="37296338" w:rsidR="009A466E" w:rsidRPr="00416121" w:rsidRDefault="009A466E" w:rsidP="003059BB">
            <w:pPr>
              <w:pStyle w:val="ExhibitText"/>
              <w:jc w:val="center"/>
            </w:pPr>
            <w:r w:rsidRPr="00416121">
              <w:t>Book Value</w:t>
            </w:r>
          </w:p>
        </w:tc>
        <w:tc>
          <w:tcPr>
            <w:tcW w:w="2025" w:type="dxa"/>
            <w:tcBorders>
              <w:top w:val="nil"/>
              <w:bottom w:val="single" w:sz="12" w:space="0" w:color="auto"/>
            </w:tcBorders>
            <w:tcMar>
              <w:left w:w="115" w:type="dxa"/>
            </w:tcMar>
            <w:vAlign w:val="center"/>
            <w:hideMark/>
          </w:tcPr>
          <w:p w14:paraId="56BAA829" w14:textId="16627BFC" w:rsidR="009A466E" w:rsidRPr="00416121" w:rsidRDefault="009A466E" w:rsidP="003059BB">
            <w:pPr>
              <w:pStyle w:val="ExhibitText"/>
              <w:jc w:val="center"/>
            </w:pPr>
            <w:r w:rsidRPr="00416121">
              <w:t>Market Value</w:t>
            </w:r>
          </w:p>
        </w:tc>
        <w:tc>
          <w:tcPr>
            <w:tcW w:w="2605" w:type="dxa"/>
            <w:vMerge/>
            <w:tcBorders>
              <w:bottom w:val="single" w:sz="12" w:space="0" w:color="auto"/>
            </w:tcBorders>
            <w:tcMar>
              <w:left w:w="115" w:type="dxa"/>
              <w:right w:w="720" w:type="dxa"/>
            </w:tcMar>
            <w:vAlign w:val="center"/>
            <w:hideMark/>
          </w:tcPr>
          <w:p w14:paraId="51D20F46" w14:textId="6FF62B73" w:rsidR="009A466E" w:rsidRPr="00416121" w:rsidRDefault="009A466E" w:rsidP="003059BB">
            <w:pPr>
              <w:pStyle w:val="ExhibitText"/>
              <w:jc w:val="right"/>
            </w:pPr>
          </w:p>
        </w:tc>
      </w:tr>
      <w:tr w:rsidR="003059BB" w:rsidRPr="00416121" w14:paraId="1A6F688A" w14:textId="77777777" w:rsidTr="00427D4B">
        <w:trPr>
          <w:trHeight w:val="259"/>
          <w:jc w:val="center"/>
        </w:trPr>
        <w:tc>
          <w:tcPr>
            <w:tcW w:w="1170" w:type="dxa"/>
            <w:tcBorders>
              <w:top w:val="single" w:sz="12" w:space="0" w:color="auto"/>
            </w:tcBorders>
            <w:noWrap/>
            <w:vAlign w:val="center"/>
            <w:hideMark/>
          </w:tcPr>
          <w:p w14:paraId="7053CA04" w14:textId="77777777" w:rsidR="00185BEC" w:rsidRPr="00416121" w:rsidRDefault="00185BEC" w:rsidP="006568CC">
            <w:pPr>
              <w:pStyle w:val="ExhibitText"/>
              <w:jc w:val="center"/>
            </w:pPr>
            <w:r w:rsidRPr="00416121">
              <w:t>1965</w:t>
            </w:r>
          </w:p>
        </w:tc>
        <w:tc>
          <w:tcPr>
            <w:tcW w:w="2025" w:type="dxa"/>
            <w:tcBorders>
              <w:top w:val="single" w:sz="12" w:space="0" w:color="auto"/>
            </w:tcBorders>
            <w:noWrap/>
            <w:tcMar>
              <w:left w:w="115" w:type="dxa"/>
              <w:right w:w="720" w:type="dxa"/>
            </w:tcMar>
            <w:vAlign w:val="center"/>
            <w:hideMark/>
          </w:tcPr>
          <w:p w14:paraId="5979F463" w14:textId="77777777" w:rsidR="00185BEC" w:rsidRPr="00416121" w:rsidRDefault="00185BEC" w:rsidP="003059BB">
            <w:pPr>
              <w:pStyle w:val="ExhibitText"/>
              <w:jc w:val="right"/>
            </w:pPr>
            <w:r w:rsidRPr="00416121">
              <w:t>23.8</w:t>
            </w:r>
          </w:p>
        </w:tc>
        <w:tc>
          <w:tcPr>
            <w:tcW w:w="2025" w:type="dxa"/>
            <w:tcBorders>
              <w:top w:val="single" w:sz="12" w:space="0" w:color="auto"/>
            </w:tcBorders>
            <w:noWrap/>
            <w:tcMar>
              <w:left w:w="115" w:type="dxa"/>
              <w:right w:w="720" w:type="dxa"/>
            </w:tcMar>
            <w:vAlign w:val="center"/>
            <w:hideMark/>
          </w:tcPr>
          <w:p w14:paraId="36A17154" w14:textId="77777777" w:rsidR="00185BEC" w:rsidRPr="00416121" w:rsidRDefault="00185BEC" w:rsidP="003059BB">
            <w:pPr>
              <w:pStyle w:val="ExhibitText"/>
              <w:jc w:val="right"/>
            </w:pPr>
            <w:r w:rsidRPr="00416121">
              <w:t>49.5</w:t>
            </w:r>
          </w:p>
        </w:tc>
        <w:tc>
          <w:tcPr>
            <w:tcW w:w="2605" w:type="dxa"/>
            <w:tcBorders>
              <w:top w:val="single" w:sz="12" w:space="0" w:color="auto"/>
            </w:tcBorders>
            <w:noWrap/>
            <w:tcMar>
              <w:left w:w="115" w:type="dxa"/>
              <w:right w:w="1080" w:type="dxa"/>
            </w:tcMar>
            <w:vAlign w:val="center"/>
            <w:hideMark/>
          </w:tcPr>
          <w:p w14:paraId="6A85648D" w14:textId="6A4F46D4" w:rsidR="00185BEC" w:rsidRPr="00416121" w:rsidRDefault="00185BEC" w:rsidP="006333DB">
            <w:pPr>
              <w:pStyle w:val="ExhibitText"/>
              <w:tabs>
                <w:tab w:val="decimal" w:pos="1234"/>
              </w:tabs>
              <w:ind w:right="-178"/>
            </w:pPr>
            <w:r w:rsidRPr="00416121">
              <w:t>10</w:t>
            </w:r>
            <w:r w:rsidR="00E21B3E" w:rsidRPr="00416121">
              <w:t>.0</w:t>
            </w:r>
          </w:p>
        </w:tc>
      </w:tr>
      <w:tr w:rsidR="003059BB" w:rsidRPr="00416121" w14:paraId="0928C303" w14:textId="77777777" w:rsidTr="00427D4B">
        <w:trPr>
          <w:trHeight w:val="259"/>
          <w:jc w:val="center"/>
        </w:trPr>
        <w:tc>
          <w:tcPr>
            <w:tcW w:w="1170" w:type="dxa"/>
            <w:noWrap/>
            <w:vAlign w:val="center"/>
            <w:hideMark/>
          </w:tcPr>
          <w:p w14:paraId="3F0A3E84" w14:textId="77777777" w:rsidR="00185BEC" w:rsidRPr="00416121" w:rsidRDefault="00185BEC" w:rsidP="006568CC">
            <w:pPr>
              <w:pStyle w:val="ExhibitText"/>
              <w:jc w:val="center"/>
            </w:pPr>
            <w:r w:rsidRPr="00416121">
              <w:t>1966</w:t>
            </w:r>
          </w:p>
        </w:tc>
        <w:tc>
          <w:tcPr>
            <w:tcW w:w="2025" w:type="dxa"/>
            <w:noWrap/>
            <w:tcMar>
              <w:left w:w="115" w:type="dxa"/>
              <w:right w:w="720" w:type="dxa"/>
            </w:tcMar>
            <w:vAlign w:val="center"/>
            <w:hideMark/>
          </w:tcPr>
          <w:p w14:paraId="070D1344" w14:textId="77777777" w:rsidR="00185BEC" w:rsidRPr="00416121" w:rsidRDefault="00185BEC" w:rsidP="003059BB">
            <w:pPr>
              <w:pStyle w:val="ExhibitText"/>
              <w:jc w:val="right"/>
            </w:pPr>
            <w:r w:rsidRPr="00416121">
              <w:t>20.3</w:t>
            </w:r>
          </w:p>
        </w:tc>
        <w:tc>
          <w:tcPr>
            <w:tcW w:w="2025" w:type="dxa"/>
            <w:noWrap/>
            <w:tcMar>
              <w:left w:w="115" w:type="dxa"/>
              <w:right w:w="720" w:type="dxa"/>
            </w:tcMar>
            <w:vAlign w:val="center"/>
            <w:hideMark/>
          </w:tcPr>
          <w:p w14:paraId="1BA8CBDB" w14:textId="19449DA9" w:rsidR="00185BEC" w:rsidRPr="00416121" w:rsidRDefault="00E21B3E" w:rsidP="003059BB">
            <w:pPr>
              <w:pStyle w:val="ExhibitText"/>
              <w:jc w:val="right"/>
            </w:pPr>
            <w:r w:rsidRPr="00416121">
              <w:t>−</w:t>
            </w:r>
            <w:r w:rsidR="00185BEC" w:rsidRPr="00416121">
              <w:t>3.4</w:t>
            </w:r>
          </w:p>
        </w:tc>
        <w:tc>
          <w:tcPr>
            <w:tcW w:w="2605" w:type="dxa"/>
            <w:noWrap/>
            <w:tcMar>
              <w:left w:w="115" w:type="dxa"/>
              <w:right w:w="1080" w:type="dxa"/>
            </w:tcMar>
            <w:vAlign w:val="center"/>
            <w:hideMark/>
          </w:tcPr>
          <w:p w14:paraId="35A15438" w14:textId="78610CCC" w:rsidR="00185BEC" w:rsidRPr="00416121" w:rsidRDefault="00E21B3E" w:rsidP="006333DB">
            <w:pPr>
              <w:pStyle w:val="ExhibitText"/>
              <w:tabs>
                <w:tab w:val="decimal" w:pos="1234"/>
              </w:tabs>
              <w:ind w:right="-178"/>
            </w:pPr>
            <w:r w:rsidRPr="00416121">
              <w:t>−</w:t>
            </w:r>
            <w:r w:rsidR="00185BEC" w:rsidRPr="00416121">
              <w:t>11.7</w:t>
            </w:r>
          </w:p>
        </w:tc>
      </w:tr>
      <w:tr w:rsidR="003059BB" w:rsidRPr="00416121" w14:paraId="4E091E7D" w14:textId="77777777" w:rsidTr="00427D4B">
        <w:trPr>
          <w:trHeight w:val="259"/>
          <w:jc w:val="center"/>
        </w:trPr>
        <w:tc>
          <w:tcPr>
            <w:tcW w:w="1170" w:type="dxa"/>
            <w:noWrap/>
            <w:vAlign w:val="center"/>
            <w:hideMark/>
          </w:tcPr>
          <w:p w14:paraId="7BCDF552" w14:textId="77777777" w:rsidR="00185BEC" w:rsidRPr="00416121" w:rsidRDefault="00185BEC" w:rsidP="006568CC">
            <w:pPr>
              <w:pStyle w:val="ExhibitText"/>
              <w:jc w:val="center"/>
            </w:pPr>
            <w:r w:rsidRPr="00416121">
              <w:t>1967</w:t>
            </w:r>
          </w:p>
        </w:tc>
        <w:tc>
          <w:tcPr>
            <w:tcW w:w="2025" w:type="dxa"/>
            <w:noWrap/>
            <w:tcMar>
              <w:left w:w="115" w:type="dxa"/>
              <w:right w:w="720" w:type="dxa"/>
            </w:tcMar>
            <w:vAlign w:val="center"/>
            <w:hideMark/>
          </w:tcPr>
          <w:p w14:paraId="27494393" w14:textId="0FE46763" w:rsidR="00185BEC" w:rsidRPr="00416121" w:rsidRDefault="00185BEC" w:rsidP="003059BB">
            <w:pPr>
              <w:pStyle w:val="ExhibitText"/>
              <w:jc w:val="right"/>
            </w:pPr>
            <w:r w:rsidRPr="00416121">
              <w:t>11</w:t>
            </w:r>
            <w:r w:rsidR="00E21B3E" w:rsidRPr="00416121">
              <w:t>.0</w:t>
            </w:r>
          </w:p>
        </w:tc>
        <w:tc>
          <w:tcPr>
            <w:tcW w:w="2025" w:type="dxa"/>
            <w:noWrap/>
            <w:tcMar>
              <w:left w:w="115" w:type="dxa"/>
              <w:right w:w="720" w:type="dxa"/>
            </w:tcMar>
            <w:vAlign w:val="center"/>
            <w:hideMark/>
          </w:tcPr>
          <w:p w14:paraId="40B230C0" w14:textId="77777777" w:rsidR="00185BEC" w:rsidRPr="00416121" w:rsidRDefault="00185BEC" w:rsidP="003059BB">
            <w:pPr>
              <w:pStyle w:val="ExhibitText"/>
              <w:jc w:val="right"/>
            </w:pPr>
            <w:r w:rsidRPr="00416121">
              <w:t>13.3</w:t>
            </w:r>
          </w:p>
        </w:tc>
        <w:tc>
          <w:tcPr>
            <w:tcW w:w="2605" w:type="dxa"/>
            <w:noWrap/>
            <w:tcMar>
              <w:left w:w="115" w:type="dxa"/>
              <w:right w:w="1080" w:type="dxa"/>
            </w:tcMar>
            <w:vAlign w:val="center"/>
            <w:hideMark/>
          </w:tcPr>
          <w:p w14:paraId="0F050122" w14:textId="77777777" w:rsidR="00185BEC" w:rsidRPr="00416121" w:rsidRDefault="00185BEC" w:rsidP="006333DB">
            <w:pPr>
              <w:pStyle w:val="ExhibitText"/>
              <w:tabs>
                <w:tab w:val="decimal" w:pos="1234"/>
              </w:tabs>
              <w:ind w:right="-178"/>
            </w:pPr>
            <w:r w:rsidRPr="00416121">
              <w:t>30.9</w:t>
            </w:r>
          </w:p>
        </w:tc>
      </w:tr>
      <w:tr w:rsidR="003059BB" w:rsidRPr="00416121" w14:paraId="62CA602E" w14:textId="77777777" w:rsidTr="00427D4B">
        <w:trPr>
          <w:trHeight w:val="259"/>
          <w:jc w:val="center"/>
        </w:trPr>
        <w:tc>
          <w:tcPr>
            <w:tcW w:w="1170" w:type="dxa"/>
            <w:noWrap/>
            <w:vAlign w:val="center"/>
            <w:hideMark/>
          </w:tcPr>
          <w:p w14:paraId="4EE37089" w14:textId="77777777" w:rsidR="00185BEC" w:rsidRPr="00416121" w:rsidRDefault="00185BEC" w:rsidP="006568CC">
            <w:pPr>
              <w:pStyle w:val="ExhibitText"/>
              <w:jc w:val="center"/>
            </w:pPr>
            <w:r w:rsidRPr="00416121">
              <w:t>1968</w:t>
            </w:r>
          </w:p>
        </w:tc>
        <w:tc>
          <w:tcPr>
            <w:tcW w:w="2025" w:type="dxa"/>
            <w:noWrap/>
            <w:tcMar>
              <w:left w:w="115" w:type="dxa"/>
              <w:right w:w="720" w:type="dxa"/>
            </w:tcMar>
            <w:vAlign w:val="center"/>
            <w:hideMark/>
          </w:tcPr>
          <w:p w14:paraId="06610A6B" w14:textId="73CAE6BE" w:rsidR="00185BEC" w:rsidRPr="00416121" w:rsidRDefault="00185BEC" w:rsidP="003059BB">
            <w:pPr>
              <w:pStyle w:val="ExhibitText"/>
              <w:jc w:val="right"/>
            </w:pPr>
            <w:r w:rsidRPr="00416121">
              <w:t>19</w:t>
            </w:r>
            <w:r w:rsidR="00E21B3E" w:rsidRPr="00416121">
              <w:t>.0</w:t>
            </w:r>
          </w:p>
        </w:tc>
        <w:tc>
          <w:tcPr>
            <w:tcW w:w="2025" w:type="dxa"/>
            <w:noWrap/>
            <w:tcMar>
              <w:left w:w="115" w:type="dxa"/>
              <w:right w:w="720" w:type="dxa"/>
            </w:tcMar>
            <w:vAlign w:val="center"/>
            <w:hideMark/>
          </w:tcPr>
          <w:p w14:paraId="53D96BC2" w14:textId="77777777" w:rsidR="00185BEC" w:rsidRPr="00416121" w:rsidRDefault="00185BEC" w:rsidP="003059BB">
            <w:pPr>
              <w:pStyle w:val="ExhibitText"/>
              <w:jc w:val="right"/>
            </w:pPr>
            <w:r w:rsidRPr="00416121">
              <w:t>77.8</w:t>
            </w:r>
          </w:p>
        </w:tc>
        <w:tc>
          <w:tcPr>
            <w:tcW w:w="2605" w:type="dxa"/>
            <w:noWrap/>
            <w:tcMar>
              <w:left w:w="115" w:type="dxa"/>
              <w:right w:w="1080" w:type="dxa"/>
            </w:tcMar>
            <w:vAlign w:val="center"/>
            <w:hideMark/>
          </w:tcPr>
          <w:p w14:paraId="5707D6DA" w14:textId="4E340B3B" w:rsidR="00185BEC" w:rsidRPr="00416121" w:rsidRDefault="00185BEC" w:rsidP="006333DB">
            <w:pPr>
              <w:pStyle w:val="ExhibitText"/>
              <w:tabs>
                <w:tab w:val="decimal" w:pos="1234"/>
              </w:tabs>
              <w:ind w:right="-178"/>
            </w:pPr>
            <w:r w:rsidRPr="00416121">
              <w:t>11</w:t>
            </w:r>
            <w:r w:rsidR="00E21B3E" w:rsidRPr="00416121">
              <w:t>.0</w:t>
            </w:r>
          </w:p>
        </w:tc>
      </w:tr>
      <w:tr w:rsidR="003059BB" w:rsidRPr="00416121" w14:paraId="385B2AE3" w14:textId="77777777" w:rsidTr="00427D4B">
        <w:trPr>
          <w:trHeight w:val="259"/>
          <w:jc w:val="center"/>
        </w:trPr>
        <w:tc>
          <w:tcPr>
            <w:tcW w:w="1170" w:type="dxa"/>
            <w:noWrap/>
            <w:vAlign w:val="center"/>
            <w:hideMark/>
          </w:tcPr>
          <w:p w14:paraId="08D8AFA3" w14:textId="77777777" w:rsidR="00185BEC" w:rsidRPr="00416121" w:rsidRDefault="00185BEC" w:rsidP="006568CC">
            <w:pPr>
              <w:pStyle w:val="ExhibitText"/>
              <w:jc w:val="center"/>
            </w:pPr>
            <w:r w:rsidRPr="00416121">
              <w:t>1969</w:t>
            </w:r>
          </w:p>
        </w:tc>
        <w:tc>
          <w:tcPr>
            <w:tcW w:w="2025" w:type="dxa"/>
            <w:noWrap/>
            <w:tcMar>
              <w:left w:w="115" w:type="dxa"/>
              <w:right w:w="720" w:type="dxa"/>
            </w:tcMar>
            <w:vAlign w:val="center"/>
            <w:hideMark/>
          </w:tcPr>
          <w:p w14:paraId="7BD6BB68" w14:textId="77777777" w:rsidR="00185BEC" w:rsidRPr="00416121" w:rsidRDefault="00185BEC" w:rsidP="003059BB">
            <w:pPr>
              <w:pStyle w:val="ExhibitText"/>
              <w:jc w:val="right"/>
            </w:pPr>
            <w:r w:rsidRPr="00416121">
              <w:t>16.2</w:t>
            </w:r>
          </w:p>
        </w:tc>
        <w:tc>
          <w:tcPr>
            <w:tcW w:w="2025" w:type="dxa"/>
            <w:noWrap/>
            <w:tcMar>
              <w:left w:w="115" w:type="dxa"/>
              <w:right w:w="720" w:type="dxa"/>
            </w:tcMar>
            <w:vAlign w:val="center"/>
            <w:hideMark/>
          </w:tcPr>
          <w:p w14:paraId="77E071A6" w14:textId="77777777" w:rsidR="00185BEC" w:rsidRPr="00416121" w:rsidRDefault="00185BEC" w:rsidP="003059BB">
            <w:pPr>
              <w:pStyle w:val="ExhibitText"/>
              <w:jc w:val="right"/>
            </w:pPr>
            <w:r w:rsidRPr="00416121">
              <w:t>19.4</w:t>
            </w:r>
          </w:p>
        </w:tc>
        <w:tc>
          <w:tcPr>
            <w:tcW w:w="2605" w:type="dxa"/>
            <w:noWrap/>
            <w:tcMar>
              <w:left w:w="115" w:type="dxa"/>
              <w:right w:w="1080" w:type="dxa"/>
            </w:tcMar>
            <w:vAlign w:val="center"/>
            <w:hideMark/>
          </w:tcPr>
          <w:p w14:paraId="7874EAA8" w14:textId="670AC94A" w:rsidR="00185BEC" w:rsidRPr="00416121" w:rsidRDefault="00185BEC" w:rsidP="006333DB">
            <w:pPr>
              <w:pStyle w:val="ExhibitText"/>
              <w:tabs>
                <w:tab w:val="decimal" w:pos="1234"/>
              </w:tabs>
              <w:ind w:right="-178"/>
            </w:pPr>
            <w:r w:rsidRPr="00416121">
              <w:t>8.4</w:t>
            </w:r>
          </w:p>
        </w:tc>
      </w:tr>
      <w:tr w:rsidR="003059BB" w:rsidRPr="00416121" w14:paraId="76B46E58" w14:textId="77777777" w:rsidTr="00427D4B">
        <w:trPr>
          <w:trHeight w:val="259"/>
          <w:jc w:val="center"/>
        </w:trPr>
        <w:tc>
          <w:tcPr>
            <w:tcW w:w="1170" w:type="dxa"/>
            <w:noWrap/>
            <w:vAlign w:val="center"/>
            <w:hideMark/>
          </w:tcPr>
          <w:p w14:paraId="1C892A0C" w14:textId="77777777" w:rsidR="00185BEC" w:rsidRPr="00416121" w:rsidRDefault="00185BEC" w:rsidP="006568CC">
            <w:pPr>
              <w:pStyle w:val="ExhibitText"/>
              <w:jc w:val="center"/>
            </w:pPr>
            <w:r w:rsidRPr="00416121">
              <w:t>1970</w:t>
            </w:r>
          </w:p>
        </w:tc>
        <w:tc>
          <w:tcPr>
            <w:tcW w:w="2025" w:type="dxa"/>
            <w:noWrap/>
            <w:tcMar>
              <w:left w:w="115" w:type="dxa"/>
              <w:right w:w="720" w:type="dxa"/>
            </w:tcMar>
            <w:vAlign w:val="center"/>
            <w:hideMark/>
          </w:tcPr>
          <w:p w14:paraId="551ED132" w14:textId="4A7A592A" w:rsidR="00185BEC" w:rsidRPr="00416121" w:rsidRDefault="00185BEC" w:rsidP="003059BB">
            <w:pPr>
              <w:pStyle w:val="ExhibitText"/>
              <w:jc w:val="right"/>
            </w:pPr>
            <w:r w:rsidRPr="00416121">
              <w:t>12</w:t>
            </w:r>
            <w:r w:rsidR="00E21B3E" w:rsidRPr="00416121">
              <w:t>.0</w:t>
            </w:r>
          </w:p>
        </w:tc>
        <w:tc>
          <w:tcPr>
            <w:tcW w:w="2025" w:type="dxa"/>
            <w:noWrap/>
            <w:tcMar>
              <w:left w:w="115" w:type="dxa"/>
              <w:right w:w="720" w:type="dxa"/>
            </w:tcMar>
            <w:vAlign w:val="center"/>
            <w:hideMark/>
          </w:tcPr>
          <w:p w14:paraId="1A4C45E8" w14:textId="0BDBB086" w:rsidR="00185BEC" w:rsidRPr="00416121" w:rsidRDefault="00E21B3E" w:rsidP="003059BB">
            <w:pPr>
              <w:pStyle w:val="ExhibitText"/>
              <w:jc w:val="right"/>
            </w:pPr>
            <w:r w:rsidRPr="00416121">
              <w:t>−</w:t>
            </w:r>
            <w:r w:rsidR="00185BEC" w:rsidRPr="00416121">
              <w:t>4.6</w:t>
            </w:r>
          </w:p>
        </w:tc>
        <w:tc>
          <w:tcPr>
            <w:tcW w:w="2605" w:type="dxa"/>
            <w:noWrap/>
            <w:tcMar>
              <w:left w:w="115" w:type="dxa"/>
              <w:right w:w="1080" w:type="dxa"/>
            </w:tcMar>
            <w:vAlign w:val="center"/>
            <w:hideMark/>
          </w:tcPr>
          <w:p w14:paraId="7B22877B" w14:textId="77777777" w:rsidR="00185BEC" w:rsidRPr="00416121" w:rsidRDefault="00185BEC" w:rsidP="006333DB">
            <w:pPr>
              <w:pStyle w:val="ExhibitText"/>
              <w:tabs>
                <w:tab w:val="decimal" w:pos="1234"/>
              </w:tabs>
              <w:ind w:right="-178"/>
            </w:pPr>
            <w:r w:rsidRPr="00416121">
              <w:t>3.9</w:t>
            </w:r>
          </w:p>
        </w:tc>
      </w:tr>
      <w:tr w:rsidR="003059BB" w:rsidRPr="00416121" w14:paraId="4718E06F" w14:textId="77777777" w:rsidTr="00427D4B">
        <w:trPr>
          <w:trHeight w:val="259"/>
          <w:jc w:val="center"/>
        </w:trPr>
        <w:tc>
          <w:tcPr>
            <w:tcW w:w="1170" w:type="dxa"/>
            <w:noWrap/>
            <w:vAlign w:val="center"/>
            <w:hideMark/>
          </w:tcPr>
          <w:p w14:paraId="02FA1F22" w14:textId="77777777" w:rsidR="00185BEC" w:rsidRPr="00416121" w:rsidRDefault="00185BEC" w:rsidP="006568CC">
            <w:pPr>
              <w:pStyle w:val="ExhibitText"/>
              <w:jc w:val="center"/>
            </w:pPr>
            <w:r w:rsidRPr="00416121">
              <w:t>1971</w:t>
            </w:r>
          </w:p>
        </w:tc>
        <w:tc>
          <w:tcPr>
            <w:tcW w:w="2025" w:type="dxa"/>
            <w:noWrap/>
            <w:tcMar>
              <w:left w:w="115" w:type="dxa"/>
              <w:right w:w="720" w:type="dxa"/>
            </w:tcMar>
            <w:vAlign w:val="center"/>
            <w:hideMark/>
          </w:tcPr>
          <w:p w14:paraId="508903E3" w14:textId="77777777" w:rsidR="00185BEC" w:rsidRPr="00416121" w:rsidRDefault="00185BEC" w:rsidP="003059BB">
            <w:pPr>
              <w:pStyle w:val="ExhibitText"/>
              <w:jc w:val="right"/>
            </w:pPr>
            <w:r w:rsidRPr="00416121">
              <w:t>16.4</w:t>
            </w:r>
          </w:p>
        </w:tc>
        <w:tc>
          <w:tcPr>
            <w:tcW w:w="2025" w:type="dxa"/>
            <w:noWrap/>
            <w:tcMar>
              <w:left w:w="115" w:type="dxa"/>
              <w:right w:w="720" w:type="dxa"/>
            </w:tcMar>
            <w:vAlign w:val="center"/>
            <w:hideMark/>
          </w:tcPr>
          <w:p w14:paraId="3366FF93" w14:textId="77777777" w:rsidR="00185BEC" w:rsidRPr="00416121" w:rsidRDefault="00185BEC" w:rsidP="003059BB">
            <w:pPr>
              <w:pStyle w:val="ExhibitText"/>
              <w:jc w:val="right"/>
            </w:pPr>
            <w:r w:rsidRPr="00416121">
              <w:t>80.5</w:t>
            </w:r>
          </w:p>
        </w:tc>
        <w:tc>
          <w:tcPr>
            <w:tcW w:w="2605" w:type="dxa"/>
            <w:noWrap/>
            <w:tcMar>
              <w:left w:w="115" w:type="dxa"/>
              <w:right w:w="1080" w:type="dxa"/>
            </w:tcMar>
            <w:vAlign w:val="center"/>
            <w:hideMark/>
          </w:tcPr>
          <w:p w14:paraId="1167684C" w14:textId="77777777" w:rsidR="00185BEC" w:rsidRPr="00416121" w:rsidRDefault="00185BEC" w:rsidP="006333DB">
            <w:pPr>
              <w:pStyle w:val="ExhibitText"/>
              <w:tabs>
                <w:tab w:val="decimal" w:pos="1234"/>
              </w:tabs>
              <w:ind w:right="-178"/>
            </w:pPr>
            <w:r w:rsidRPr="00416121">
              <w:t>14.6</w:t>
            </w:r>
          </w:p>
        </w:tc>
      </w:tr>
      <w:tr w:rsidR="003059BB" w:rsidRPr="00416121" w14:paraId="415B58B0" w14:textId="77777777" w:rsidTr="00427D4B">
        <w:trPr>
          <w:trHeight w:val="259"/>
          <w:jc w:val="center"/>
        </w:trPr>
        <w:tc>
          <w:tcPr>
            <w:tcW w:w="1170" w:type="dxa"/>
            <w:noWrap/>
            <w:vAlign w:val="center"/>
            <w:hideMark/>
          </w:tcPr>
          <w:p w14:paraId="2066DE57" w14:textId="77777777" w:rsidR="00185BEC" w:rsidRPr="00416121" w:rsidRDefault="00185BEC" w:rsidP="006568CC">
            <w:pPr>
              <w:pStyle w:val="ExhibitText"/>
              <w:jc w:val="center"/>
            </w:pPr>
            <w:r w:rsidRPr="00416121">
              <w:t>1972</w:t>
            </w:r>
          </w:p>
        </w:tc>
        <w:tc>
          <w:tcPr>
            <w:tcW w:w="2025" w:type="dxa"/>
            <w:noWrap/>
            <w:tcMar>
              <w:left w:w="115" w:type="dxa"/>
              <w:right w:w="720" w:type="dxa"/>
            </w:tcMar>
            <w:vAlign w:val="center"/>
            <w:hideMark/>
          </w:tcPr>
          <w:p w14:paraId="256C652E" w14:textId="77777777" w:rsidR="00185BEC" w:rsidRPr="00416121" w:rsidRDefault="00185BEC" w:rsidP="003059BB">
            <w:pPr>
              <w:pStyle w:val="ExhibitText"/>
              <w:jc w:val="right"/>
            </w:pPr>
            <w:r w:rsidRPr="00416121">
              <w:t>21.7</w:t>
            </w:r>
          </w:p>
        </w:tc>
        <w:tc>
          <w:tcPr>
            <w:tcW w:w="2025" w:type="dxa"/>
            <w:noWrap/>
            <w:tcMar>
              <w:left w:w="115" w:type="dxa"/>
              <w:right w:w="720" w:type="dxa"/>
            </w:tcMar>
            <w:vAlign w:val="center"/>
            <w:hideMark/>
          </w:tcPr>
          <w:p w14:paraId="4A726AAE" w14:textId="77777777" w:rsidR="00185BEC" w:rsidRPr="00416121" w:rsidRDefault="00185BEC" w:rsidP="003059BB">
            <w:pPr>
              <w:pStyle w:val="ExhibitText"/>
              <w:jc w:val="right"/>
            </w:pPr>
            <w:r w:rsidRPr="00416121">
              <w:t>8.1</w:t>
            </w:r>
          </w:p>
        </w:tc>
        <w:tc>
          <w:tcPr>
            <w:tcW w:w="2605" w:type="dxa"/>
            <w:noWrap/>
            <w:tcMar>
              <w:left w:w="115" w:type="dxa"/>
              <w:right w:w="1080" w:type="dxa"/>
            </w:tcMar>
            <w:vAlign w:val="center"/>
            <w:hideMark/>
          </w:tcPr>
          <w:p w14:paraId="22736E4E" w14:textId="77777777" w:rsidR="00185BEC" w:rsidRPr="00416121" w:rsidRDefault="00185BEC" w:rsidP="006333DB">
            <w:pPr>
              <w:pStyle w:val="ExhibitText"/>
              <w:tabs>
                <w:tab w:val="decimal" w:pos="1234"/>
              </w:tabs>
              <w:ind w:right="-178"/>
            </w:pPr>
            <w:r w:rsidRPr="00416121">
              <w:t>18.9</w:t>
            </w:r>
          </w:p>
        </w:tc>
      </w:tr>
      <w:tr w:rsidR="003059BB" w:rsidRPr="00416121" w14:paraId="1244EEF9" w14:textId="77777777" w:rsidTr="00427D4B">
        <w:trPr>
          <w:trHeight w:val="259"/>
          <w:jc w:val="center"/>
        </w:trPr>
        <w:tc>
          <w:tcPr>
            <w:tcW w:w="1170" w:type="dxa"/>
            <w:noWrap/>
            <w:vAlign w:val="center"/>
            <w:hideMark/>
          </w:tcPr>
          <w:p w14:paraId="6866342C" w14:textId="77777777" w:rsidR="00185BEC" w:rsidRPr="00416121" w:rsidRDefault="00185BEC" w:rsidP="006568CC">
            <w:pPr>
              <w:pStyle w:val="ExhibitText"/>
              <w:jc w:val="center"/>
            </w:pPr>
            <w:r w:rsidRPr="00416121">
              <w:t>1973</w:t>
            </w:r>
          </w:p>
        </w:tc>
        <w:tc>
          <w:tcPr>
            <w:tcW w:w="2025" w:type="dxa"/>
            <w:noWrap/>
            <w:tcMar>
              <w:left w:w="115" w:type="dxa"/>
              <w:right w:w="720" w:type="dxa"/>
            </w:tcMar>
            <w:vAlign w:val="center"/>
            <w:hideMark/>
          </w:tcPr>
          <w:p w14:paraId="33EC6CD4" w14:textId="77777777" w:rsidR="00185BEC" w:rsidRPr="00416121" w:rsidRDefault="00185BEC" w:rsidP="003059BB">
            <w:pPr>
              <w:pStyle w:val="ExhibitText"/>
              <w:jc w:val="right"/>
            </w:pPr>
            <w:r w:rsidRPr="00416121">
              <w:t>4.7</w:t>
            </w:r>
          </w:p>
        </w:tc>
        <w:tc>
          <w:tcPr>
            <w:tcW w:w="2025" w:type="dxa"/>
            <w:noWrap/>
            <w:tcMar>
              <w:left w:w="115" w:type="dxa"/>
              <w:right w:w="720" w:type="dxa"/>
            </w:tcMar>
            <w:vAlign w:val="center"/>
            <w:hideMark/>
          </w:tcPr>
          <w:p w14:paraId="1017C9A0" w14:textId="060FCA84" w:rsidR="00185BEC" w:rsidRPr="00416121" w:rsidRDefault="00E21B3E" w:rsidP="003059BB">
            <w:pPr>
              <w:pStyle w:val="ExhibitText"/>
              <w:jc w:val="right"/>
            </w:pPr>
            <w:r w:rsidRPr="00416121">
              <w:t>−</w:t>
            </w:r>
            <w:r w:rsidR="00185BEC" w:rsidRPr="00416121">
              <w:t>2.5</w:t>
            </w:r>
          </w:p>
        </w:tc>
        <w:tc>
          <w:tcPr>
            <w:tcW w:w="2605" w:type="dxa"/>
            <w:noWrap/>
            <w:tcMar>
              <w:left w:w="115" w:type="dxa"/>
              <w:right w:w="1080" w:type="dxa"/>
            </w:tcMar>
            <w:vAlign w:val="center"/>
            <w:hideMark/>
          </w:tcPr>
          <w:p w14:paraId="7B9EB2F9" w14:textId="26D8E885" w:rsidR="00185BEC" w:rsidRPr="00416121" w:rsidRDefault="00E21B3E" w:rsidP="006333DB">
            <w:pPr>
              <w:pStyle w:val="ExhibitText"/>
              <w:tabs>
                <w:tab w:val="decimal" w:pos="1234"/>
              </w:tabs>
              <w:ind w:right="-178"/>
            </w:pPr>
            <w:r w:rsidRPr="00416121">
              <w:t>−</w:t>
            </w:r>
            <w:r w:rsidR="00185BEC" w:rsidRPr="00416121">
              <w:t>14.8</w:t>
            </w:r>
          </w:p>
        </w:tc>
      </w:tr>
      <w:tr w:rsidR="003059BB" w:rsidRPr="00416121" w14:paraId="7C070534" w14:textId="77777777" w:rsidTr="00427D4B">
        <w:trPr>
          <w:trHeight w:val="259"/>
          <w:jc w:val="center"/>
        </w:trPr>
        <w:tc>
          <w:tcPr>
            <w:tcW w:w="1170" w:type="dxa"/>
            <w:noWrap/>
            <w:vAlign w:val="center"/>
            <w:hideMark/>
          </w:tcPr>
          <w:p w14:paraId="79908B50" w14:textId="77777777" w:rsidR="00185BEC" w:rsidRPr="00416121" w:rsidRDefault="00185BEC" w:rsidP="006568CC">
            <w:pPr>
              <w:pStyle w:val="ExhibitText"/>
              <w:jc w:val="center"/>
            </w:pPr>
            <w:r w:rsidRPr="00416121">
              <w:t>1974</w:t>
            </w:r>
          </w:p>
        </w:tc>
        <w:tc>
          <w:tcPr>
            <w:tcW w:w="2025" w:type="dxa"/>
            <w:noWrap/>
            <w:tcMar>
              <w:left w:w="115" w:type="dxa"/>
              <w:right w:w="720" w:type="dxa"/>
            </w:tcMar>
            <w:vAlign w:val="center"/>
            <w:hideMark/>
          </w:tcPr>
          <w:p w14:paraId="393D797E" w14:textId="77777777" w:rsidR="00185BEC" w:rsidRPr="00416121" w:rsidRDefault="00185BEC" w:rsidP="003059BB">
            <w:pPr>
              <w:pStyle w:val="ExhibitText"/>
              <w:jc w:val="right"/>
            </w:pPr>
            <w:r w:rsidRPr="00416121">
              <w:t>5.5</w:t>
            </w:r>
          </w:p>
        </w:tc>
        <w:tc>
          <w:tcPr>
            <w:tcW w:w="2025" w:type="dxa"/>
            <w:noWrap/>
            <w:tcMar>
              <w:left w:w="115" w:type="dxa"/>
              <w:right w:w="720" w:type="dxa"/>
            </w:tcMar>
            <w:vAlign w:val="center"/>
            <w:hideMark/>
          </w:tcPr>
          <w:p w14:paraId="066AB350" w14:textId="6A5D037E" w:rsidR="00185BEC" w:rsidRPr="00416121" w:rsidRDefault="00E21B3E" w:rsidP="003059BB">
            <w:pPr>
              <w:pStyle w:val="ExhibitText"/>
              <w:jc w:val="right"/>
            </w:pPr>
            <w:r w:rsidRPr="00416121">
              <w:t>−</w:t>
            </w:r>
            <w:r w:rsidR="00185BEC" w:rsidRPr="00416121">
              <w:t>48.7</w:t>
            </w:r>
          </w:p>
        </w:tc>
        <w:tc>
          <w:tcPr>
            <w:tcW w:w="2605" w:type="dxa"/>
            <w:noWrap/>
            <w:tcMar>
              <w:left w:w="115" w:type="dxa"/>
              <w:right w:w="1080" w:type="dxa"/>
            </w:tcMar>
            <w:vAlign w:val="center"/>
            <w:hideMark/>
          </w:tcPr>
          <w:p w14:paraId="466DC40D" w14:textId="0D5BD610" w:rsidR="00185BEC" w:rsidRPr="00416121" w:rsidRDefault="00E21B3E" w:rsidP="006333DB">
            <w:pPr>
              <w:pStyle w:val="ExhibitText"/>
              <w:tabs>
                <w:tab w:val="decimal" w:pos="1234"/>
              </w:tabs>
              <w:ind w:right="-178"/>
            </w:pPr>
            <w:r w:rsidRPr="00416121">
              <w:t>−</w:t>
            </w:r>
            <w:r w:rsidR="00185BEC" w:rsidRPr="00416121">
              <w:t>26.64</w:t>
            </w:r>
          </w:p>
        </w:tc>
      </w:tr>
      <w:tr w:rsidR="003059BB" w:rsidRPr="00416121" w14:paraId="4EE56E84" w14:textId="77777777" w:rsidTr="00427D4B">
        <w:trPr>
          <w:trHeight w:val="259"/>
          <w:jc w:val="center"/>
        </w:trPr>
        <w:tc>
          <w:tcPr>
            <w:tcW w:w="1170" w:type="dxa"/>
            <w:noWrap/>
            <w:vAlign w:val="center"/>
            <w:hideMark/>
          </w:tcPr>
          <w:p w14:paraId="345F9DF8" w14:textId="77777777" w:rsidR="00185BEC" w:rsidRPr="00416121" w:rsidRDefault="00185BEC" w:rsidP="006568CC">
            <w:pPr>
              <w:pStyle w:val="ExhibitText"/>
              <w:jc w:val="center"/>
            </w:pPr>
            <w:r w:rsidRPr="00416121">
              <w:t>1975</w:t>
            </w:r>
          </w:p>
        </w:tc>
        <w:tc>
          <w:tcPr>
            <w:tcW w:w="2025" w:type="dxa"/>
            <w:noWrap/>
            <w:tcMar>
              <w:left w:w="115" w:type="dxa"/>
              <w:right w:w="720" w:type="dxa"/>
            </w:tcMar>
            <w:vAlign w:val="center"/>
            <w:hideMark/>
          </w:tcPr>
          <w:p w14:paraId="533BF328" w14:textId="77777777" w:rsidR="00185BEC" w:rsidRPr="00416121" w:rsidRDefault="00185BEC" w:rsidP="003059BB">
            <w:pPr>
              <w:pStyle w:val="ExhibitText"/>
              <w:jc w:val="right"/>
            </w:pPr>
            <w:r w:rsidRPr="00416121">
              <w:t>21.9</w:t>
            </w:r>
          </w:p>
        </w:tc>
        <w:tc>
          <w:tcPr>
            <w:tcW w:w="2025" w:type="dxa"/>
            <w:noWrap/>
            <w:tcMar>
              <w:left w:w="115" w:type="dxa"/>
              <w:right w:w="720" w:type="dxa"/>
            </w:tcMar>
            <w:vAlign w:val="center"/>
            <w:hideMark/>
          </w:tcPr>
          <w:p w14:paraId="3DEC2AFC" w14:textId="77777777" w:rsidR="00185BEC" w:rsidRPr="00416121" w:rsidRDefault="00185BEC" w:rsidP="003059BB">
            <w:pPr>
              <w:pStyle w:val="ExhibitText"/>
              <w:jc w:val="right"/>
            </w:pPr>
            <w:r w:rsidRPr="00416121">
              <w:t>2.5</w:t>
            </w:r>
          </w:p>
        </w:tc>
        <w:tc>
          <w:tcPr>
            <w:tcW w:w="2605" w:type="dxa"/>
            <w:noWrap/>
            <w:tcMar>
              <w:left w:w="115" w:type="dxa"/>
              <w:right w:w="1080" w:type="dxa"/>
            </w:tcMar>
            <w:vAlign w:val="center"/>
            <w:hideMark/>
          </w:tcPr>
          <w:p w14:paraId="2839DD24" w14:textId="77777777" w:rsidR="00185BEC" w:rsidRPr="00416121" w:rsidRDefault="00185BEC" w:rsidP="006333DB">
            <w:pPr>
              <w:pStyle w:val="ExhibitText"/>
              <w:tabs>
                <w:tab w:val="decimal" w:pos="1234"/>
              </w:tabs>
              <w:ind w:right="-178"/>
            </w:pPr>
            <w:r w:rsidRPr="00416121">
              <w:t>37.2</w:t>
            </w:r>
          </w:p>
        </w:tc>
      </w:tr>
      <w:tr w:rsidR="003059BB" w:rsidRPr="00416121" w14:paraId="24FAC448" w14:textId="77777777" w:rsidTr="00427D4B">
        <w:trPr>
          <w:trHeight w:val="259"/>
          <w:jc w:val="center"/>
        </w:trPr>
        <w:tc>
          <w:tcPr>
            <w:tcW w:w="1170" w:type="dxa"/>
            <w:noWrap/>
            <w:vAlign w:val="center"/>
            <w:hideMark/>
          </w:tcPr>
          <w:p w14:paraId="52CD9FE2" w14:textId="77777777" w:rsidR="00185BEC" w:rsidRPr="00416121" w:rsidRDefault="00185BEC" w:rsidP="006568CC">
            <w:pPr>
              <w:pStyle w:val="ExhibitText"/>
              <w:jc w:val="center"/>
            </w:pPr>
            <w:r w:rsidRPr="00416121">
              <w:t>1976</w:t>
            </w:r>
          </w:p>
        </w:tc>
        <w:tc>
          <w:tcPr>
            <w:tcW w:w="2025" w:type="dxa"/>
            <w:noWrap/>
            <w:tcMar>
              <w:left w:w="115" w:type="dxa"/>
              <w:right w:w="720" w:type="dxa"/>
            </w:tcMar>
            <w:vAlign w:val="center"/>
            <w:hideMark/>
          </w:tcPr>
          <w:p w14:paraId="357B8A74" w14:textId="77777777" w:rsidR="00185BEC" w:rsidRPr="00416121" w:rsidRDefault="00185BEC" w:rsidP="003059BB">
            <w:pPr>
              <w:pStyle w:val="ExhibitText"/>
              <w:jc w:val="right"/>
            </w:pPr>
            <w:r w:rsidRPr="00416121">
              <w:t>59.3</w:t>
            </w:r>
          </w:p>
        </w:tc>
        <w:tc>
          <w:tcPr>
            <w:tcW w:w="2025" w:type="dxa"/>
            <w:noWrap/>
            <w:tcMar>
              <w:left w:w="115" w:type="dxa"/>
              <w:right w:w="720" w:type="dxa"/>
            </w:tcMar>
            <w:vAlign w:val="center"/>
            <w:hideMark/>
          </w:tcPr>
          <w:p w14:paraId="5F7B4673" w14:textId="77777777" w:rsidR="00185BEC" w:rsidRPr="00416121" w:rsidRDefault="00185BEC" w:rsidP="003059BB">
            <w:pPr>
              <w:pStyle w:val="ExhibitText"/>
              <w:jc w:val="right"/>
            </w:pPr>
            <w:r w:rsidRPr="00416121">
              <w:t>129.3</w:t>
            </w:r>
          </w:p>
        </w:tc>
        <w:tc>
          <w:tcPr>
            <w:tcW w:w="2605" w:type="dxa"/>
            <w:noWrap/>
            <w:tcMar>
              <w:left w:w="115" w:type="dxa"/>
              <w:right w:w="1080" w:type="dxa"/>
            </w:tcMar>
            <w:vAlign w:val="center"/>
            <w:hideMark/>
          </w:tcPr>
          <w:p w14:paraId="174AA077" w14:textId="77777777" w:rsidR="00185BEC" w:rsidRPr="00416121" w:rsidRDefault="00185BEC" w:rsidP="006333DB">
            <w:pPr>
              <w:pStyle w:val="ExhibitText"/>
              <w:tabs>
                <w:tab w:val="decimal" w:pos="1234"/>
              </w:tabs>
              <w:ind w:right="-178"/>
            </w:pPr>
            <w:r w:rsidRPr="00416121">
              <w:t>23.6</w:t>
            </w:r>
          </w:p>
        </w:tc>
      </w:tr>
      <w:tr w:rsidR="003059BB" w:rsidRPr="00416121" w14:paraId="60553E24" w14:textId="77777777" w:rsidTr="00427D4B">
        <w:trPr>
          <w:trHeight w:val="259"/>
          <w:jc w:val="center"/>
        </w:trPr>
        <w:tc>
          <w:tcPr>
            <w:tcW w:w="1170" w:type="dxa"/>
            <w:noWrap/>
            <w:vAlign w:val="center"/>
            <w:hideMark/>
          </w:tcPr>
          <w:p w14:paraId="4348C9D5" w14:textId="77777777" w:rsidR="00185BEC" w:rsidRPr="00416121" w:rsidRDefault="00185BEC" w:rsidP="006568CC">
            <w:pPr>
              <w:pStyle w:val="ExhibitText"/>
              <w:jc w:val="center"/>
            </w:pPr>
            <w:r w:rsidRPr="00416121">
              <w:t>1977</w:t>
            </w:r>
          </w:p>
        </w:tc>
        <w:tc>
          <w:tcPr>
            <w:tcW w:w="2025" w:type="dxa"/>
            <w:noWrap/>
            <w:tcMar>
              <w:left w:w="115" w:type="dxa"/>
              <w:right w:w="720" w:type="dxa"/>
            </w:tcMar>
            <w:vAlign w:val="center"/>
            <w:hideMark/>
          </w:tcPr>
          <w:p w14:paraId="5A73DBC0" w14:textId="77777777" w:rsidR="00185BEC" w:rsidRPr="00416121" w:rsidRDefault="00185BEC" w:rsidP="003059BB">
            <w:pPr>
              <w:pStyle w:val="ExhibitText"/>
              <w:jc w:val="right"/>
            </w:pPr>
            <w:r w:rsidRPr="00416121">
              <w:t>31.9</w:t>
            </w:r>
          </w:p>
        </w:tc>
        <w:tc>
          <w:tcPr>
            <w:tcW w:w="2025" w:type="dxa"/>
            <w:noWrap/>
            <w:tcMar>
              <w:left w:w="115" w:type="dxa"/>
              <w:right w:w="720" w:type="dxa"/>
            </w:tcMar>
            <w:vAlign w:val="center"/>
            <w:hideMark/>
          </w:tcPr>
          <w:p w14:paraId="29C239C1" w14:textId="77777777" w:rsidR="00185BEC" w:rsidRPr="00416121" w:rsidRDefault="00185BEC" w:rsidP="003059BB">
            <w:pPr>
              <w:pStyle w:val="ExhibitText"/>
              <w:jc w:val="right"/>
            </w:pPr>
            <w:r w:rsidRPr="00416121">
              <w:t>46.8</w:t>
            </w:r>
          </w:p>
        </w:tc>
        <w:tc>
          <w:tcPr>
            <w:tcW w:w="2605" w:type="dxa"/>
            <w:noWrap/>
            <w:tcMar>
              <w:left w:w="115" w:type="dxa"/>
              <w:right w:w="1080" w:type="dxa"/>
            </w:tcMar>
            <w:vAlign w:val="center"/>
            <w:hideMark/>
          </w:tcPr>
          <w:p w14:paraId="1B2E7543" w14:textId="172FDCC3" w:rsidR="00185BEC" w:rsidRPr="00416121" w:rsidRDefault="00E21B3E" w:rsidP="006333DB">
            <w:pPr>
              <w:pStyle w:val="ExhibitText"/>
              <w:tabs>
                <w:tab w:val="decimal" w:pos="1234"/>
              </w:tabs>
              <w:ind w:right="-178"/>
            </w:pPr>
            <w:r w:rsidRPr="00416121">
              <w:t>−</w:t>
            </w:r>
            <w:r w:rsidR="00185BEC" w:rsidRPr="00416121">
              <w:t>7.4</w:t>
            </w:r>
          </w:p>
        </w:tc>
      </w:tr>
      <w:tr w:rsidR="003059BB" w:rsidRPr="00416121" w14:paraId="5DE11E34" w14:textId="77777777" w:rsidTr="00427D4B">
        <w:trPr>
          <w:trHeight w:val="259"/>
          <w:jc w:val="center"/>
        </w:trPr>
        <w:tc>
          <w:tcPr>
            <w:tcW w:w="1170" w:type="dxa"/>
            <w:noWrap/>
            <w:vAlign w:val="center"/>
            <w:hideMark/>
          </w:tcPr>
          <w:p w14:paraId="413DCAC3" w14:textId="77777777" w:rsidR="00185BEC" w:rsidRPr="00416121" w:rsidRDefault="00185BEC" w:rsidP="006568CC">
            <w:pPr>
              <w:pStyle w:val="ExhibitText"/>
              <w:jc w:val="center"/>
            </w:pPr>
            <w:r w:rsidRPr="00416121">
              <w:t>1978</w:t>
            </w:r>
          </w:p>
        </w:tc>
        <w:tc>
          <w:tcPr>
            <w:tcW w:w="2025" w:type="dxa"/>
            <w:noWrap/>
            <w:tcMar>
              <w:left w:w="115" w:type="dxa"/>
              <w:right w:w="720" w:type="dxa"/>
            </w:tcMar>
            <w:vAlign w:val="center"/>
            <w:hideMark/>
          </w:tcPr>
          <w:p w14:paraId="7A9872F4" w14:textId="2B69E911" w:rsidR="00185BEC" w:rsidRPr="00416121" w:rsidRDefault="00185BEC" w:rsidP="003059BB">
            <w:pPr>
              <w:pStyle w:val="ExhibitText"/>
              <w:jc w:val="right"/>
            </w:pPr>
            <w:r w:rsidRPr="00416121">
              <w:t>24</w:t>
            </w:r>
            <w:r w:rsidR="00E21B3E" w:rsidRPr="00416121">
              <w:t>.0</w:t>
            </w:r>
          </w:p>
        </w:tc>
        <w:tc>
          <w:tcPr>
            <w:tcW w:w="2025" w:type="dxa"/>
            <w:noWrap/>
            <w:tcMar>
              <w:left w:w="115" w:type="dxa"/>
              <w:right w:w="720" w:type="dxa"/>
            </w:tcMar>
            <w:vAlign w:val="center"/>
            <w:hideMark/>
          </w:tcPr>
          <w:p w14:paraId="457EEBDB" w14:textId="77777777" w:rsidR="00185BEC" w:rsidRPr="00416121" w:rsidRDefault="00185BEC" w:rsidP="003059BB">
            <w:pPr>
              <w:pStyle w:val="ExhibitText"/>
              <w:jc w:val="right"/>
            </w:pPr>
            <w:r w:rsidRPr="00416121">
              <w:t>14.5</w:t>
            </w:r>
          </w:p>
        </w:tc>
        <w:tc>
          <w:tcPr>
            <w:tcW w:w="2605" w:type="dxa"/>
            <w:noWrap/>
            <w:tcMar>
              <w:left w:w="115" w:type="dxa"/>
              <w:right w:w="1080" w:type="dxa"/>
            </w:tcMar>
            <w:vAlign w:val="center"/>
            <w:hideMark/>
          </w:tcPr>
          <w:p w14:paraId="312B1C15" w14:textId="77777777" w:rsidR="00185BEC" w:rsidRPr="00416121" w:rsidRDefault="00185BEC" w:rsidP="006333DB">
            <w:pPr>
              <w:pStyle w:val="ExhibitText"/>
              <w:tabs>
                <w:tab w:val="decimal" w:pos="1234"/>
              </w:tabs>
              <w:ind w:right="-178"/>
            </w:pPr>
            <w:r w:rsidRPr="00416121">
              <w:t>6.4</w:t>
            </w:r>
          </w:p>
        </w:tc>
      </w:tr>
      <w:tr w:rsidR="003059BB" w:rsidRPr="00416121" w14:paraId="179910A9" w14:textId="77777777" w:rsidTr="00427D4B">
        <w:trPr>
          <w:trHeight w:val="259"/>
          <w:jc w:val="center"/>
        </w:trPr>
        <w:tc>
          <w:tcPr>
            <w:tcW w:w="1170" w:type="dxa"/>
            <w:noWrap/>
            <w:vAlign w:val="center"/>
            <w:hideMark/>
          </w:tcPr>
          <w:p w14:paraId="2050A329" w14:textId="77777777" w:rsidR="00185BEC" w:rsidRPr="00416121" w:rsidRDefault="00185BEC" w:rsidP="006568CC">
            <w:pPr>
              <w:pStyle w:val="ExhibitText"/>
              <w:jc w:val="center"/>
            </w:pPr>
            <w:r w:rsidRPr="00416121">
              <w:t>1979</w:t>
            </w:r>
          </w:p>
        </w:tc>
        <w:tc>
          <w:tcPr>
            <w:tcW w:w="2025" w:type="dxa"/>
            <w:noWrap/>
            <w:tcMar>
              <w:left w:w="115" w:type="dxa"/>
              <w:right w:w="720" w:type="dxa"/>
            </w:tcMar>
            <w:vAlign w:val="center"/>
            <w:hideMark/>
          </w:tcPr>
          <w:p w14:paraId="50900F72" w14:textId="77777777" w:rsidR="00185BEC" w:rsidRPr="00416121" w:rsidRDefault="00185BEC" w:rsidP="003059BB">
            <w:pPr>
              <w:pStyle w:val="ExhibitText"/>
              <w:jc w:val="right"/>
            </w:pPr>
            <w:r w:rsidRPr="00416121">
              <w:t>35.7</w:t>
            </w:r>
          </w:p>
        </w:tc>
        <w:tc>
          <w:tcPr>
            <w:tcW w:w="2025" w:type="dxa"/>
            <w:noWrap/>
            <w:tcMar>
              <w:left w:w="115" w:type="dxa"/>
              <w:right w:w="720" w:type="dxa"/>
            </w:tcMar>
            <w:vAlign w:val="center"/>
            <w:hideMark/>
          </w:tcPr>
          <w:p w14:paraId="41AD610E" w14:textId="77777777" w:rsidR="00185BEC" w:rsidRPr="00416121" w:rsidRDefault="00185BEC" w:rsidP="003059BB">
            <w:pPr>
              <w:pStyle w:val="ExhibitText"/>
              <w:jc w:val="right"/>
            </w:pPr>
            <w:r w:rsidRPr="00416121">
              <w:t>102.5</w:t>
            </w:r>
          </w:p>
        </w:tc>
        <w:tc>
          <w:tcPr>
            <w:tcW w:w="2605" w:type="dxa"/>
            <w:noWrap/>
            <w:tcMar>
              <w:left w:w="115" w:type="dxa"/>
              <w:right w:w="1080" w:type="dxa"/>
            </w:tcMar>
            <w:vAlign w:val="center"/>
            <w:hideMark/>
          </w:tcPr>
          <w:p w14:paraId="33712B5B" w14:textId="77777777" w:rsidR="00185BEC" w:rsidRPr="00416121" w:rsidRDefault="00185BEC" w:rsidP="006333DB">
            <w:pPr>
              <w:pStyle w:val="ExhibitText"/>
              <w:tabs>
                <w:tab w:val="decimal" w:pos="1234"/>
              </w:tabs>
              <w:ind w:right="-178"/>
            </w:pPr>
            <w:r w:rsidRPr="00416121">
              <w:t>18.2</w:t>
            </w:r>
          </w:p>
        </w:tc>
      </w:tr>
      <w:tr w:rsidR="003059BB" w:rsidRPr="00416121" w14:paraId="17007CF9" w14:textId="77777777" w:rsidTr="00427D4B">
        <w:trPr>
          <w:trHeight w:val="259"/>
          <w:jc w:val="center"/>
        </w:trPr>
        <w:tc>
          <w:tcPr>
            <w:tcW w:w="1170" w:type="dxa"/>
            <w:noWrap/>
            <w:vAlign w:val="center"/>
            <w:hideMark/>
          </w:tcPr>
          <w:p w14:paraId="6620EBA0" w14:textId="77777777" w:rsidR="00185BEC" w:rsidRPr="00416121" w:rsidRDefault="00185BEC" w:rsidP="006568CC">
            <w:pPr>
              <w:pStyle w:val="ExhibitText"/>
              <w:jc w:val="center"/>
            </w:pPr>
            <w:r w:rsidRPr="00416121">
              <w:t>1980</w:t>
            </w:r>
          </w:p>
        </w:tc>
        <w:tc>
          <w:tcPr>
            <w:tcW w:w="2025" w:type="dxa"/>
            <w:noWrap/>
            <w:tcMar>
              <w:left w:w="115" w:type="dxa"/>
              <w:right w:w="720" w:type="dxa"/>
            </w:tcMar>
            <w:vAlign w:val="center"/>
            <w:hideMark/>
          </w:tcPr>
          <w:p w14:paraId="17FC36DD" w14:textId="77777777" w:rsidR="00185BEC" w:rsidRPr="00416121" w:rsidRDefault="00185BEC" w:rsidP="003059BB">
            <w:pPr>
              <w:pStyle w:val="ExhibitText"/>
              <w:jc w:val="right"/>
            </w:pPr>
            <w:r w:rsidRPr="00416121">
              <w:t>19.3</w:t>
            </w:r>
          </w:p>
        </w:tc>
        <w:tc>
          <w:tcPr>
            <w:tcW w:w="2025" w:type="dxa"/>
            <w:noWrap/>
            <w:tcMar>
              <w:left w:w="115" w:type="dxa"/>
              <w:right w:w="720" w:type="dxa"/>
            </w:tcMar>
            <w:vAlign w:val="center"/>
            <w:hideMark/>
          </w:tcPr>
          <w:p w14:paraId="41D178AD" w14:textId="77777777" w:rsidR="00185BEC" w:rsidRPr="00416121" w:rsidRDefault="00185BEC" w:rsidP="003059BB">
            <w:pPr>
              <w:pStyle w:val="ExhibitText"/>
              <w:jc w:val="right"/>
            </w:pPr>
            <w:r w:rsidRPr="00416121">
              <w:t>32.8</w:t>
            </w:r>
          </w:p>
        </w:tc>
        <w:tc>
          <w:tcPr>
            <w:tcW w:w="2605" w:type="dxa"/>
            <w:noWrap/>
            <w:tcMar>
              <w:left w:w="115" w:type="dxa"/>
              <w:right w:w="1080" w:type="dxa"/>
            </w:tcMar>
            <w:vAlign w:val="center"/>
            <w:hideMark/>
          </w:tcPr>
          <w:p w14:paraId="1C0F6E20" w14:textId="77777777" w:rsidR="00185BEC" w:rsidRPr="00416121" w:rsidRDefault="00185BEC" w:rsidP="006333DB">
            <w:pPr>
              <w:pStyle w:val="ExhibitText"/>
              <w:tabs>
                <w:tab w:val="decimal" w:pos="1234"/>
              </w:tabs>
              <w:ind w:right="-178"/>
            </w:pPr>
            <w:r w:rsidRPr="00416121">
              <w:t>32.3</w:t>
            </w:r>
          </w:p>
        </w:tc>
      </w:tr>
      <w:tr w:rsidR="003059BB" w:rsidRPr="00416121" w14:paraId="6264E740" w14:textId="77777777" w:rsidTr="00427D4B">
        <w:trPr>
          <w:trHeight w:val="259"/>
          <w:jc w:val="center"/>
        </w:trPr>
        <w:tc>
          <w:tcPr>
            <w:tcW w:w="1170" w:type="dxa"/>
            <w:noWrap/>
            <w:vAlign w:val="center"/>
            <w:hideMark/>
          </w:tcPr>
          <w:p w14:paraId="08C70A8B" w14:textId="77777777" w:rsidR="00185BEC" w:rsidRPr="00416121" w:rsidRDefault="00185BEC" w:rsidP="006568CC">
            <w:pPr>
              <w:pStyle w:val="ExhibitText"/>
              <w:jc w:val="center"/>
            </w:pPr>
            <w:r w:rsidRPr="00416121">
              <w:t>1981</w:t>
            </w:r>
          </w:p>
        </w:tc>
        <w:tc>
          <w:tcPr>
            <w:tcW w:w="2025" w:type="dxa"/>
            <w:noWrap/>
            <w:tcMar>
              <w:left w:w="115" w:type="dxa"/>
              <w:right w:w="720" w:type="dxa"/>
            </w:tcMar>
            <w:vAlign w:val="center"/>
            <w:hideMark/>
          </w:tcPr>
          <w:p w14:paraId="56EC1ECE" w14:textId="77777777" w:rsidR="00185BEC" w:rsidRPr="00416121" w:rsidRDefault="00185BEC" w:rsidP="003059BB">
            <w:pPr>
              <w:pStyle w:val="ExhibitText"/>
              <w:jc w:val="right"/>
            </w:pPr>
            <w:r w:rsidRPr="00416121">
              <w:t>31.4</w:t>
            </w:r>
          </w:p>
        </w:tc>
        <w:tc>
          <w:tcPr>
            <w:tcW w:w="2025" w:type="dxa"/>
            <w:noWrap/>
            <w:tcMar>
              <w:left w:w="115" w:type="dxa"/>
              <w:right w:w="720" w:type="dxa"/>
            </w:tcMar>
            <w:vAlign w:val="center"/>
            <w:hideMark/>
          </w:tcPr>
          <w:p w14:paraId="3B66BA66" w14:textId="77777777" w:rsidR="00185BEC" w:rsidRPr="00416121" w:rsidRDefault="00185BEC" w:rsidP="003059BB">
            <w:pPr>
              <w:pStyle w:val="ExhibitText"/>
              <w:jc w:val="right"/>
            </w:pPr>
            <w:r w:rsidRPr="00416121">
              <w:t>31.8</w:t>
            </w:r>
          </w:p>
        </w:tc>
        <w:tc>
          <w:tcPr>
            <w:tcW w:w="2605" w:type="dxa"/>
            <w:noWrap/>
            <w:tcMar>
              <w:left w:w="115" w:type="dxa"/>
              <w:right w:w="1080" w:type="dxa"/>
            </w:tcMar>
            <w:vAlign w:val="center"/>
            <w:hideMark/>
          </w:tcPr>
          <w:p w14:paraId="6F09B4AB" w14:textId="2234DA1E" w:rsidR="00185BEC" w:rsidRPr="00416121" w:rsidRDefault="00E21B3E" w:rsidP="006333DB">
            <w:pPr>
              <w:pStyle w:val="ExhibitText"/>
              <w:tabs>
                <w:tab w:val="decimal" w:pos="1234"/>
              </w:tabs>
              <w:ind w:right="-178"/>
            </w:pPr>
            <w:r w:rsidRPr="00416121">
              <w:t>−</w:t>
            </w:r>
            <w:r w:rsidR="00185BEC" w:rsidRPr="00416121">
              <w:t>5</w:t>
            </w:r>
            <w:r w:rsidRPr="00416121">
              <w:t>.0</w:t>
            </w:r>
          </w:p>
        </w:tc>
      </w:tr>
      <w:tr w:rsidR="003059BB" w:rsidRPr="00416121" w14:paraId="731B5983" w14:textId="77777777" w:rsidTr="00427D4B">
        <w:trPr>
          <w:trHeight w:val="259"/>
          <w:jc w:val="center"/>
        </w:trPr>
        <w:tc>
          <w:tcPr>
            <w:tcW w:w="1170" w:type="dxa"/>
            <w:noWrap/>
            <w:vAlign w:val="center"/>
            <w:hideMark/>
          </w:tcPr>
          <w:p w14:paraId="54086814" w14:textId="77777777" w:rsidR="00185BEC" w:rsidRPr="00416121" w:rsidRDefault="00185BEC" w:rsidP="006568CC">
            <w:pPr>
              <w:pStyle w:val="ExhibitText"/>
              <w:jc w:val="center"/>
            </w:pPr>
            <w:r w:rsidRPr="00416121">
              <w:t>1982</w:t>
            </w:r>
          </w:p>
        </w:tc>
        <w:tc>
          <w:tcPr>
            <w:tcW w:w="2025" w:type="dxa"/>
            <w:noWrap/>
            <w:tcMar>
              <w:left w:w="115" w:type="dxa"/>
              <w:right w:w="720" w:type="dxa"/>
            </w:tcMar>
            <w:vAlign w:val="center"/>
            <w:hideMark/>
          </w:tcPr>
          <w:p w14:paraId="618D9B55" w14:textId="10A853E6" w:rsidR="00185BEC" w:rsidRPr="00416121" w:rsidRDefault="00185BEC" w:rsidP="003059BB">
            <w:pPr>
              <w:pStyle w:val="ExhibitText"/>
              <w:jc w:val="right"/>
            </w:pPr>
            <w:r w:rsidRPr="00416121">
              <w:t>40</w:t>
            </w:r>
            <w:r w:rsidR="00E21B3E" w:rsidRPr="00416121">
              <w:t>.0</w:t>
            </w:r>
          </w:p>
        </w:tc>
        <w:tc>
          <w:tcPr>
            <w:tcW w:w="2025" w:type="dxa"/>
            <w:noWrap/>
            <w:tcMar>
              <w:left w:w="115" w:type="dxa"/>
              <w:right w:w="720" w:type="dxa"/>
            </w:tcMar>
            <w:vAlign w:val="center"/>
            <w:hideMark/>
          </w:tcPr>
          <w:p w14:paraId="108D0471" w14:textId="77777777" w:rsidR="00185BEC" w:rsidRPr="00416121" w:rsidRDefault="00185BEC" w:rsidP="003059BB">
            <w:pPr>
              <w:pStyle w:val="ExhibitText"/>
              <w:jc w:val="right"/>
            </w:pPr>
            <w:r w:rsidRPr="00416121">
              <w:t>38.4</w:t>
            </w:r>
          </w:p>
        </w:tc>
        <w:tc>
          <w:tcPr>
            <w:tcW w:w="2605" w:type="dxa"/>
            <w:noWrap/>
            <w:tcMar>
              <w:left w:w="115" w:type="dxa"/>
              <w:right w:w="1080" w:type="dxa"/>
            </w:tcMar>
            <w:vAlign w:val="center"/>
            <w:hideMark/>
          </w:tcPr>
          <w:p w14:paraId="0CF0207F" w14:textId="77777777" w:rsidR="00185BEC" w:rsidRPr="00416121" w:rsidRDefault="00185BEC" w:rsidP="006333DB">
            <w:pPr>
              <w:pStyle w:val="ExhibitText"/>
              <w:tabs>
                <w:tab w:val="decimal" w:pos="1234"/>
              </w:tabs>
              <w:ind w:right="-178"/>
            </w:pPr>
            <w:r w:rsidRPr="00416121">
              <w:t>21.4</w:t>
            </w:r>
          </w:p>
        </w:tc>
      </w:tr>
      <w:tr w:rsidR="003059BB" w:rsidRPr="00416121" w14:paraId="305CCA6B" w14:textId="77777777" w:rsidTr="00427D4B">
        <w:trPr>
          <w:trHeight w:val="259"/>
          <w:jc w:val="center"/>
        </w:trPr>
        <w:tc>
          <w:tcPr>
            <w:tcW w:w="1170" w:type="dxa"/>
            <w:noWrap/>
            <w:vAlign w:val="center"/>
            <w:hideMark/>
          </w:tcPr>
          <w:p w14:paraId="7B45EB53" w14:textId="77777777" w:rsidR="00185BEC" w:rsidRPr="00416121" w:rsidRDefault="00185BEC" w:rsidP="006568CC">
            <w:pPr>
              <w:pStyle w:val="ExhibitText"/>
              <w:jc w:val="center"/>
            </w:pPr>
            <w:r w:rsidRPr="00416121">
              <w:t>1983</w:t>
            </w:r>
          </w:p>
        </w:tc>
        <w:tc>
          <w:tcPr>
            <w:tcW w:w="2025" w:type="dxa"/>
            <w:noWrap/>
            <w:tcMar>
              <w:left w:w="115" w:type="dxa"/>
              <w:right w:w="720" w:type="dxa"/>
            </w:tcMar>
            <w:vAlign w:val="center"/>
            <w:hideMark/>
          </w:tcPr>
          <w:p w14:paraId="4461CF5B" w14:textId="77777777" w:rsidR="00185BEC" w:rsidRPr="00416121" w:rsidRDefault="00185BEC" w:rsidP="003059BB">
            <w:pPr>
              <w:pStyle w:val="ExhibitText"/>
              <w:jc w:val="right"/>
            </w:pPr>
            <w:r w:rsidRPr="00416121">
              <w:t>32.3</w:t>
            </w:r>
          </w:p>
        </w:tc>
        <w:tc>
          <w:tcPr>
            <w:tcW w:w="2025" w:type="dxa"/>
            <w:noWrap/>
            <w:tcMar>
              <w:left w:w="115" w:type="dxa"/>
              <w:right w:w="720" w:type="dxa"/>
            </w:tcMar>
            <w:vAlign w:val="center"/>
            <w:hideMark/>
          </w:tcPr>
          <w:p w14:paraId="775CA7CD" w14:textId="03E6367F" w:rsidR="00185BEC" w:rsidRPr="00416121" w:rsidRDefault="00185BEC" w:rsidP="003059BB">
            <w:pPr>
              <w:pStyle w:val="ExhibitText"/>
              <w:jc w:val="right"/>
            </w:pPr>
            <w:r w:rsidRPr="00416121">
              <w:t>69</w:t>
            </w:r>
            <w:r w:rsidR="00E21B3E" w:rsidRPr="00416121">
              <w:t>.0</w:t>
            </w:r>
          </w:p>
        </w:tc>
        <w:tc>
          <w:tcPr>
            <w:tcW w:w="2605" w:type="dxa"/>
            <w:noWrap/>
            <w:tcMar>
              <w:left w:w="115" w:type="dxa"/>
              <w:right w:w="1080" w:type="dxa"/>
            </w:tcMar>
            <w:vAlign w:val="center"/>
            <w:hideMark/>
          </w:tcPr>
          <w:p w14:paraId="389E6A32" w14:textId="77777777" w:rsidR="00185BEC" w:rsidRPr="00416121" w:rsidRDefault="00185BEC" w:rsidP="006333DB">
            <w:pPr>
              <w:pStyle w:val="ExhibitText"/>
              <w:tabs>
                <w:tab w:val="decimal" w:pos="1234"/>
              </w:tabs>
              <w:ind w:right="-178"/>
            </w:pPr>
            <w:r w:rsidRPr="00416121">
              <w:t>22.4</w:t>
            </w:r>
          </w:p>
        </w:tc>
      </w:tr>
      <w:tr w:rsidR="003059BB" w:rsidRPr="00416121" w14:paraId="5C4B7127" w14:textId="77777777" w:rsidTr="00427D4B">
        <w:trPr>
          <w:trHeight w:val="259"/>
          <w:jc w:val="center"/>
        </w:trPr>
        <w:tc>
          <w:tcPr>
            <w:tcW w:w="1170" w:type="dxa"/>
            <w:noWrap/>
            <w:vAlign w:val="center"/>
            <w:hideMark/>
          </w:tcPr>
          <w:p w14:paraId="72CE44EF" w14:textId="77777777" w:rsidR="00185BEC" w:rsidRPr="00416121" w:rsidRDefault="00185BEC" w:rsidP="006568CC">
            <w:pPr>
              <w:pStyle w:val="ExhibitText"/>
              <w:jc w:val="center"/>
            </w:pPr>
            <w:r w:rsidRPr="00416121">
              <w:t>1984</w:t>
            </w:r>
          </w:p>
        </w:tc>
        <w:tc>
          <w:tcPr>
            <w:tcW w:w="2025" w:type="dxa"/>
            <w:noWrap/>
            <w:tcMar>
              <w:left w:w="115" w:type="dxa"/>
              <w:right w:w="720" w:type="dxa"/>
            </w:tcMar>
            <w:vAlign w:val="center"/>
            <w:hideMark/>
          </w:tcPr>
          <w:p w14:paraId="6E376B66" w14:textId="77777777" w:rsidR="00185BEC" w:rsidRPr="00416121" w:rsidRDefault="00185BEC" w:rsidP="003059BB">
            <w:pPr>
              <w:pStyle w:val="ExhibitText"/>
              <w:jc w:val="right"/>
            </w:pPr>
            <w:r w:rsidRPr="00416121">
              <w:t>13.6</w:t>
            </w:r>
          </w:p>
        </w:tc>
        <w:tc>
          <w:tcPr>
            <w:tcW w:w="2025" w:type="dxa"/>
            <w:noWrap/>
            <w:tcMar>
              <w:left w:w="115" w:type="dxa"/>
              <w:right w:w="720" w:type="dxa"/>
            </w:tcMar>
            <w:vAlign w:val="center"/>
            <w:hideMark/>
          </w:tcPr>
          <w:p w14:paraId="5F201B85" w14:textId="60A069FE" w:rsidR="00185BEC" w:rsidRPr="00416121" w:rsidRDefault="00E21B3E" w:rsidP="003059BB">
            <w:pPr>
              <w:pStyle w:val="ExhibitText"/>
              <w:jc w:val="right"/>
            </w:pPr>
            <w:r w:rsidRPr="00416121">
              <w:t>−</w:t>
            </w:r>
            <w:r w:rsidR="00185BEC" w:rsidRPr="00416121">
              <w:t>2.7</w:t>
            </w:r>
          </w:p>
        </w:tc>
        <w:tc>
          <w:tcPr>
            <w:tcW w:w="2605" w:type="dxa"/>
            <w:noWrap/>
            <w:tcMar>
              <w:left w:w="115" w:type="dxa"/>
              <w:right w:w="1080" w:type="dxa"/>
            </w:tcMar>
            <w:vAlign w:val="center"/>
            <w:hideMark/>
          </w:tcPr>
          <w:p w14:paraId="6DCC93B5" w14:textId="77777777" w:rsidR="00185BEC" w:rsidRPr="00416121" w:rsidRDefault="00185BEC" w:rsidP="006333DB">
            <w:pPr>
              <w:pStyle w:val="ExhibitText"/>
              <w:tabs>
                <w:tab w:val="decimal" w:pos="1234"/>
              </w:tabs>
              <w:ind w:right="-178"/>
            </w:pPr>
            <w:r w:rsidRPr="00416121">
              <w:t>6.1</w:t>
            </w:r>
          </w:p>
        </w:tc>
      </w:tr>
      <w:tr w:rsidR="003059BB" w:rsidRPr="00416121" w14:paraId="69ABC40B" w14:textId="77777777" w:rsidTr="00427D4B">
        <w:trPr>
          <w:trHeight w:val="259"/>
          <w:jc w:val="center"/>
        </w:trPr>
        <w:tc>
          <w:tcPr>
            <w:tcW w:w="1170" w:type="dxa"/>
            <w:noWrap/>
            <w:vAlign w:val="center"/>
            <w:hideMark/>
          </w:tcPr>
          <w:p w14:paraId="5540BC4F" w14:textId="77777777" w:rsidR="00185BEC" w:rsidRPr="00416121" w:rsidRDefault="00185BEC" w:rsidP="006568CC">
            <w:pPr>
              <w:pStyle w:val="ExhibitText"/>
              <w:jc w:val="center"/>
            </w:pPr>
            <w:r w:rsidRPr="00416121">
              <w:t>1985</w:t>
            </w:r>
          </w:p>
        </w:tc>
        <w:tc>
          <w:tcPr>
            <w:tcW w:w="2025" w:type="dxa"/>
            <w:noWrap/>
            <w:tcMar>
              <w:left w:w="115" w:type="dxa"/>
              <w:right w:w="720" w:type="dxa"/>
            </w:tcMar>
            <w:vAlign w:val="center"/>
            <w:hideMark/>
          </w:tcPr>
          <w:p w14:paraId="2F85060E" w14:textId="77777777" w:rsidR="00185BEC" w:rsidRPr="00416121" w:rsidRDefault="00185BEC" w:rsidP="003059BB">
            <w:pPr>
              <w:pStyle w:val="ExhibitText"/>
              <w:jc w:val="right"/>
            </w:pPr>
            <w:r w:rsidRPr="00416121">
              <w:t>48.2</w:t>
            </w:r>
          </w:p>
        </w:tc>
        <w:tc>
          <w:tcPr>
            <w:tcW w:w="2025" w:type="dxa"/>
            <w:noWrap/>
            <w:tcMar>
              <w:left w:w="115" w:type="dxa"/>
              <w:right w:w="720" w:type="dxa"/>
            </w:tcMar>
            <w:vAlign w:val="center"/>
            <w:hideMark/>
          </w:tcPr>
          <w:p w14:paraId="1D461B62" w14:textId="77777777" w:rsidR="00185BEC" w:rsidRPr="00416121" w:rsidRDefault="00185BEC" w:rsidP="003059BB">
            <w:pPr>
              <w:pStyle w:val="ExhibitText"/>
              <w:jc w:val="right"/>
            </w:pPr>
            <w:r w:rsidRPr="00416121">
              <w:t>93.7</w:t>
            </w:r>
          </w:p>
        </w:tc>
        <w:tc>
          <w:tcPr>
            <w:tcW w:w="2605" w:type="dxa"/>
            <w:noWrap/>
            <w:tcMar>
              <w:left w:w="115" w:type="dxa"/>
              <w:right w:w="1080" w:type="dxa"/>
            </w:tcMar>
            <w:vAlign w:val="center"/>
            <w:hideMark/>
          </w:tcPr>
          <w:p w14:paraId="25953F57" w14:textId="77777777" w:rsidR="00185BEC" w:rsidRPr="00416121" w:rsidRDefault="00185BEC" w:rsidP="006333DB">
            <w:pPr>
              <w:pStyle w:val="ExhibitText"/>
              <w:tabs>
                <w:tab w:val="decimal" w:pos="1234"/>
              </w:tabs>
              <w:ind w:right="-178"/>
            </w:pPr>
            <w:r w:rsidRPr="00416121">
              <w:t>31.6</w:t>
            </w:r>
          </w:p>
        </w:tc>
      </w:tr>
      <w:tr w:rsidR="003059BB" w:rsidRPr="00416121" w14:paraId="0C18716F" w14:textId="77777777" w:rsidTr="00427D4B">
        <w:trPr>
          <w:trHeight w:val="259"/>
          <w:jc w:val="center"/>
        </w:trPr>
        <w:tc>
          <w:tcPr>
            <w:tcW w:w="1170" w:type="dxa"/>
            <w:noWrap/>
            <w:vAlign w:val="center"/>
            <w:hideMark/>
          </w:tcPr>
          <w:p w14:paraId="7D8CD939" w14:textId="77777777" w:rsidR="00185BEC" w:rsidRPr="00416121" w:rsidRDefault="00185BEC" w:rsidP="006568CC">
            <w:pPr>
              <w:pStyle w:val="ExhibitText"/>
              <w:jc w:val="center"/>
            </w:pPr>
            <w:r w:rsidRPr="00416121">
              <w:t>1986</w:t>
            </w:r>
          </w:p>
        </w:tc>
        <w:tc>
          <w:tcPr>
            <w:tcW w:w="2025" w:type="dxa"/>
            <w:noWrap/>
            <w:tcMar>
              <w:left w:w="115" w:type="dxa"/>
              <w:right w:w="720" w:type="dxa"/>
            </w:tcMar>
            <w:vAlign w:val="center"/>
            <w:hideMark/>
          </w:tcPr>
          <w:p w14:paraId="1F7649E2" w14:textId="77777777" w:rsidR="00185BEC" w:rsidRPr="00416121" w:rsidRDefault="00185BEC" w:rsidP="003059BB">
            <w:pPr>
              <w:pStyle w:val="ExhibitText"/>
              <w:jc w:val="right"/>
            </w:pPr>
            <w:r w:rsidRPr="00416121">
              <w:t>26.1</w:t>
            </w:r>
          </w:p>
        </w:tc>
        <w:tc>
          <w:tcPr>
            <w:tcW w:w="2025" w:type="dxa"/>
            <w:noWrap/>
            <w:tcMar>
              <w:left w:w="115" w:type="dxa"/>
              <w:right w:w="720" w:type="dxa"/>
            </w:tcMar>
            <w:vAlign w:val="center"/>
            <w:hideMark/>
          </w:tcPr>
          <w:p w14:paraId="17FD256A" w14:textId="77777777" w:rsidR="00185BEC" w:rsidRPr="00416121" w:rsidRDefault="00185BEC" w:rsidP="003059BB">
            <w:pPr>
              <w:pStyle w:val="ExhibitText"/>
              <w:jc w:val="right"/>
            </w:pPr>
            <w:r w:rsidRPr="00416121">
              <w:t>14.2</w:t>
            </w:r>
          </w:p>
        </w:tc>
        <w:tc>
          <w:tcPr>
            <w:tcW w:w="2605" w:type="dxa"/>
            <w:noWrap/>
            <w:tcMar>
              <w:left w:w="115" w:type="dxa"/>
              <w:right w:w="1080" w:type="dxa"/>
            </w:tcMar>
            <w:vAlign w:val="center"/>
            <w:hideMark/>
          </w:tcPr>
          <w:p w14:paraId="659123D4" w14:textId="77777777" w:rsidR="00185BEC" w:rsidRPr="00416121" w:rsidRDefault="00185BEC" w:rsidP="006333DB">
            <w:pPr>
              <w:pStyle w:val="ExhibitText"/>
              <w:tabs>
                <w:tab w:val="decimal" w:pos="1234"/>
              </w:tabs>
              <w:ind w:right="-178"/>
            </w:pPr>
            <w:r w:rsidRPr="00416121">
              <w:t>18.6</w:t>
            </w:r>
          </w:p>
        </w:tc>
      </w:tr>
      <w:tr w:rsidR="003059BB" w:rsidRPr="00416121" w14:paraId="77CA7251" w14:textId="77777777" w:rsidTr="00427D4B">
        <w:trPr>
          <w:trHeight w:val="259"/>
          <w:jc w:val="center"/>
        </w:trPr>
        <w:tc>
          <w:tcPr>
            <w:tcW w:w="1170" w:type="dxa"/>
            <w:noWrap/>
            <w:vAlign w:val="center"/>
            <w:hideMark/>
          </w:tcPr>
          <w:p w14:paraId="20C454A4" w14:textId="77777777" w:rsidR="00185BEC" w:rsidRPr="00416121" w:rsidRDefault="00185BEC" w:rsidP="006568CC">
            <w:pPr>
              <w:pStyle w:val="ExhibitText"/>
              <w:jc w:val="center"/>
            </w:pPr>
            <w:r w:rsidRPr="00416121">
              <w:t>1987</w:t>
            </w:r>
          </w:p>
        </w:tc>
        <w:tc>
          <w:tcPr>
            <w:tcW w:w="2025" w:type="dxa"/>
            <w:noWrap/>
            <w:tcMar>
              <w:left w:w="115" w:type="dxa"/>
              <w:right w:w="720" w:type="dxa"/>
            </w:tcMar>
            <w:vAlign w:val="center"/>
            <w:hideMark/>
          </w:tcPr>
          <w:p w14:paraId="26EFDC97" w14:textId="77777777" w:rsidR="00185BEC" w:rsidRPr="00416121" w:rsidRDefault="00185BEC" w:rsidP="003059BB">
            <w:pPr>
              <w:pStyle w:val="ExhibitText"/>
              <w:jc w:val="right"/>
            </w:pPr>
            <w:r w:rsidRPr="00416121">
              <w:t>19.5</w:t>
            </w:r>
          </w:p>
        </w:tc>
        <w:tc>
          <w:tcPr>
            <w:tcW w:w="2025" w:type="dxa"/>
            <w:noWrap/>
            <w:tcMar>
              <w:left w:w="115" w:type="dxa"/>
              <w:right w:w="720" w:type="dxa"/>
            </w:tcMar>
            <w:vAlign w:val="center"/>
            <w:hideMark/>
          </w:tcPr>
          <w:p w14:paraId="5AEE4B7F" w14:textId="77777777" w:rsidR="00185BEC" w:rsidRPr="00416121" w:rsidRDefault="00185BEC" w:rsidP="003059BB">
            <w:pPr>
              <w:pStyle w:val="ExhibitText"/>
              <w:jc w:val="right"/>
            </w:pPr>
            <w:r w:rsidRPr="00416121">
              <w:t>4.6</w:t>
            </w:r>
          </w:p>
        </w:tc>
        <w:tc>
          <w:tcPr>
            <w:tcW w:w="2605" w:type="dxa"/>
            <w:noWrap/>
            <w:tcMar>
              <w:left w:w="115" w:type="dxa"/>
              <w:right w:w="1080" w:type="dxa"/>
            </w:tcMar>
            <w:vAlign w:val="center"/>
            <w:hideMark/>
          </w:tcPr>
          <w:p w14:paraId="02D31B49" w14:textId="77777777" w:rsidR="00185BEC" w:rsidRPr="00416121" w:rsidRDefault="00185BEC" w:rsidP="006333DB">
            <w:pPr>
              <w:pStyle w:val="ExhibitText"/>
              <w:tabs>
                <w:tab w:val="decimal" w:pos="1234"/>
              </w:tabs>
              <w:ind w:right="-178"/>
            </w:pPr>
            <w:r w:rsidRPr="00416121">
              <w:t>5.1</w:t>
            </w:r>
          </w:p>
        </w:tc>
      </w:tr>
      <w:tr w:rsidR="003059BB" w:rsidRPr="00416121" w14:paraId="4179833F" w14:textId="77777777" w:rsidTr="00427D4B">
        <w:trPr>
          <w:trHeight w:val="259"/>
          <w:jc w:val="center"/>
        </w:trPr>
        <w:tc>
          <w:tcPr>
            <w:tcW w:w="1170" w:type="dxa"/>
            <w:noWrap/>
            <w:vAlign w:val="center"/>
            <w:hideMark/>
          </w:tcPr>
          <w:p w14:paraId="2C90937A" w14:textId="77777777" w:rsidR="00185BEC" w:rsidRPr="00416121" w:rsidRDefault="00185BEC" w:rsidP="006568CC">
            <w:pPr>
              <w:pStyle w:val="ExhibitText"/>
              <w:jc w:val="center"/>
            </w:pPr>
            <w:r w:rsidRPr="00416121">
              <w:t>1988</w:t>
            </w:r>
          </w:p>
        </w:tc>
        <w:tc>
          <w:tcPr>
            <w:tcW w:w="2025" w:type="dxa"/>
            <w:noWrap/>
            <w:tcMar>
              <w:left w:w="115" w:type="dxa"/>
              <w:right w:w="720" w:type="dxa"/>
            </w:tcMar>
            <w:vAlign w:val="center"/>
            <w:hideMark/>
          </w:tcPr>
          <w:p w14:paraId="41767813" w14:textId="77777777" w:rsidR="00185BEC" w:rsidRPr="00416121" w:rsidRDefault="00185BEC" w:rsidP="003059BB">
            <w:pPr>
              <w:pStyle w:val="ExhibitText"/>
              <w:jc w:val="right"/>
            </w:pPr>
            <w:r w:rsidRPr="00416121">
              <w:t>20.1</w:t>
            </w:r>
          </w:p>
        </w:tc>
        <w:tc>
          <w:tcPr>
            <w:tcW w:w="2025" w:type="dxa"/>
            <w:noWrap/>
            <w:tcMar>
              <w:left w:w="115" w:type="dxa"/>
              <w:right w:w="720" w:type="dxa"/>
            </w:tcMar>
            <w:vAlign w:val="center"/>
            <w:hideMark/>
          </w:tcPr>
          <w:p w14:paraId="78E9590D" w14:textId="77777777" w:rsidR="00185BEC" w:rsidRPr="00416121" w:rsidRDefault="00185BEC" w:rsidP="003059BB">
            <w:pPr>
              <w:pStyle w:val="ExhibitText"/>
              <w:jc w:val="right"/>
            </w:pPr>
            <w:r w:rsidRPr="00416121">
              <w:t>59.3</w:t>
            </w:r>
          </w:p>
        </w:tc>
        <w:tc>
          <w:tcPr>
            <w:tcW w:w="2605" w:type="dxa"/>
            <w:noWrap/>
            <w:tcMar>
              <w:left w:w="115" w:type="dxa"/>
              <w:right w:w="1080" w:type="dxa"/>
            </w:tcMar>
            <w:vAlign w:val="center"/>
            <w:hideMark/>
          </w:tcPr>
          <w:p w14:paraId="2B0A33FF" w14:textId="77777777" w:rsidR="00185BEC" w:rsidRPr="00416121" w:rsidRDefault="00185BEC" w:rsidP="006333DB">
            <w:pPr>
              <w:pStyle w:val="ExhibitText"/>
              <w:tabs>
                <w:tab w:val="decimal" w:pos="1234"/>
              </w:tabs>
              <w:ind w:right="-178"/>
            </w:pPr>
            <w:r w:rsidRPr="00416121">
              <w:t>16.6</w:t>
            </w:r>
          </w:p>
        </w:tc>
      </w:tr>
      <w:tr w:rsidR="003059BB" w:rsidRPr="00416121" w14:paraId="4782A21A" w14:textId="77777777" w:rsidTr="00427D4B">
        <w:trPr>
          <w:trHeight w:val="259"/>
          <w:jc w:val="center"/>
        </w:trPr>
        <w:tc>
          <w:tcPr>
            <w:tcW w:w="1170" w:type="dxa"/>
            <w:noWrap/>
            <w:vAlign w:val="center"/>
            <w:hideMark/>
          </w:tcPr>
          <w:p w14:paraId="6DACD7E8" w14:textId="77777777" w:rsidR="00185BEC" w:rsidRPr="00416121" w:rsidRDefault="00185BEC" w:rsidP="006568CC">
            <w:pPr>
              <w:pStyle w:val="ExhibitText"/>
              <w:jc w:val="center"/>
            </w:pPr>
            <w:r w:rsidRPr="00416121">
              <w:t>1989</w:t>
            </w:r>
          </w:p>
        </w:tc>
        <w:tc>
          <w:tcPr>
            <w:tcW w:w="2025" w:type="dxa"/>
            <w:noWrap/>
            <w:tcMar>
              <w:left w:w="115" w:type="dxa"/>
              <w:right w:w="720" w:type="dxa"/>
            </w:tcMar>
            <w:vAlign w:val="center"/>
            <w:hideMark/>
          </w:tcPr>
          <w:p w14:paraId="1AE3DF30" w14:textId="77777777" w:rsidR="00185BEC" w:rsidRPr="00416121" w:rsidRDefault="00185BEC" w:rsidP="003059BB">
            <w:pPr>
              <w:pStyle w:val="ExhibitText"/>
              <w:jc w:val="right"/>
            </w:pPr>
            <w:r w:rsidRPr="00416121">
              <w:t>44.4</w:t>
            </w:r>
          </w:p>
        </w:tc>
        <w:tc>
          <w:tcPr>
            <w:tcW w:w="2025" w:type="dxa"/>
            <w:noWrap/>
            <w:tcMar>
              <w:left w:w="115" w:type="dxa"/>
              <w:right w:w="720" w:type="dxa"/>
            </w:tcMar>
            <w:vAlign w:val="center"/>
            <w:hideMark/>
          </w:tcPr>
          <w:p w14:paraId="32F5EA50" w14:textId="77777777" w:rsidR="00185BEC" w:rsidRPr="00416121" w:rsidRDefault="00185BEC" w:rsidP="003059BB">
            <w:pPr>
              <w:pStyle w:val="ExhibitText"/>
              <w:jc w:val="right"/>
            </w:pPr>
            <w:r w:rsidRPr="00416121">
              <w:t>84.6</w:t>
            </w:r>
          </w:p>
        </w:tc>
        <w:tc>
          <w:tcPr>
            <w:tcW w:w="2605" w:type="dxa"/>
            <w:noWrap/>
            <w:tcMar>
              <w:left w:w="115" w:type="dxa"/>
              <w:right w:w="1080" w:type="dxa"/>
            </w:tcMar>
            <w:vAlign w:val="center"/>
            <w:hideMark/>
          </w:tcPr>
          <w:p w14:paraId="1F2AC98B" w14:textId="77777777" w:rsidR="00185BEC" w:rsidRPr="00416121" w:rsidRDefault="00185BEC" w:rsidP="006333DB">
            <w:pPr>
              <w:pStyle w:val="ExhibitText"/>
              <w:tabs>
                <w:tab w:val="decimal" w:pos="1234"/>
              </w:tabs>
              <w:ind w:right="-178"/>
            </w:pPr>
            <w:r w:rsidRPr="00416121">
              <w:t>31.7</w:t>
            </w:r>
          </w:p>
        </w:tc>
      </w:tr>
      <w:tr w:rsidR="003059BB" w:rsidRPr="00416121" w14:paraId="29E97108" w14:textId="77777777" w:rsidTr="00427D4B">
        <w:trPr>
          <w:trHeight w:val="259"/>
          <w:jc w:val="center"/>
        </w:trPr>
        <w:tc>
          <w:tcPr>
            <w:tcW w:w="1170" w:type="dxa"/>
            <w:noWrap/>
            <w:vAlign w:val="center"/>
            <w:hideMark/>
          </w:tcPr>
          <w:p w14:paraId="799199A8" w14:textId="77777777" w:rsidR="00185BEC" w:rsidRPr="00416121" w:rsidRDefault="00185BEC" w:rsidP="006568CC">
            <w:pPr>
              <w:pStyle w:val="ExhibitText"/>
              <w:jc w:val="center"/>
            </w:pPr>
            <w:r w:rsidRPr="00416121">
              <w:t>1990</w:t>
            </w:r>
          </w:p>
        </w:tc>
        <w:tc>
          <w:tcPr>
            <w:tcW w:w="2025" w:type="dxa"/>
            <w:noWrap/>
            <w:tcMar>
              <w:left w:w="115" w:type="dxa"/>
              <w:right w:w="720" w:type="dxa"/>
            </w:tcMar>
            <w:vAlign w:val="center"/>
            <w:hideMark/>
          </w:tcPr>
          <w:p w14:paraId="61C0B68B" w14:textId="77777777" w:rsidR="00185BEC" w:rsidRPr="00416121" w:rsidRDefault="00185BEC" w:rsidP="003059BB">
            <w:pPr>
              <w:pStyle w:val="ExhibitText"/>
              <w:jc w:val="right"/>
            </w:pPr>
            <w:r w:rsidRPr="00416121">
              <w:t>7.4</w:t>
            </w:r>
          </w:p>
        </w:tc>
        <w:tc>
          <w:tcPr>
            <w:tcW w:w="2025" w:type="dxa"/>
            <w:noWrap/>
            <w:tcMar>
              <w:left w:w="115" w:type="dxa"/>
              <w:right w:w="720" w:type="dxa"/>
            </w:tcMar>
            <w:vAlign w:val="center"/>
            <w:hideMark/>
          </w:tcPr>
          <w:p w14:paraId="3927DDB8" w14:textId="050F1EDA" w:rsidR="00185BEC" w:rsidRPr="00416121" w:rsidRDefault="00E21B3E" w:rsidP="003059BB">
            <w:pPr>
              <w:pStyle w:val="ExhibitText"/>
              <w:jc w:val="right"/>
            </w:pPr>
            <w:r w:rsidRPr="00416121">
              <w:t>−</w:t>
            </w:r>
            <w:r w:rsidR="00185BEC" w:rsidRPr="00416121">
              <w:t>23.1</w:t>
            </w:r>
          </w:p>
        </w:tc>
        <w:tc>
          <w:tcPr>
            <w:tcW w:w="2605" w:type="dxa"/>
            <w:noWrap/>
            <w:tcMar>
              <w:left w:w="115" w:type="dxa"/>
              <w:right w:w="1080" w:type="dxa"/>
            </w:tcMar>
            <w:vAlign w:val="center"/>
            <w:hideMark/>
          </w:tcPr>
          <w:p w14:paraId="4971B2E9" w14:textId="301F420D" w:rsidR="00185BEC" w:rsidRPr="00416121" w:rsidRDefault="00E21B3E" w:rsidP="006333DB">
            <w:pPr>
              <w:pStyle w:val="ExhibitText"/>
              <w:tabs>
                <w:tab w:val="decimal" w:pos="1234"/>
              </w:tabs>
              <w:ind w:right="-178"/>
            </w:pPr>
            <w:r w:rsidRPr="00416121">
              <w:t>−</w:t>
            </w:r>
            <w:r w:rsidR="00185BEC" w:rsidRPr="00416121">
              <w:t>3.1</w:t>
            </w:r>
          </w:p>
        </w:tc>
      </w:tr>
      <w:tr w:rsidR="003059BB" w:rsidRPr="00416121" w14:paraId="37BD9A83" w14:textId="77777777" w:rsidTr="00427D4B">
        <w:trPr>
          <w:trHeight w:val="259"/>
          <w:jc w:val="center"/>
        </w:trPr>
        <w:tc>
          <w:tcPr>
            <w:tcW w:w="1170" w:type="dxa"/>
            <w:noWrap/>
            <w:vAlign w:val="center"/>
            <w:hideMark/>
          </w:tcPr>
          <w:p w14:paraId="7BA21851" w14:textId="77777777" w:rsidR="00185BEC" w:rsidRPr="00416121" w:rsidRDefault="00185BEC" w:rsidP="006568CC">
            <w:pPr>
              <w:pStyle w:val="ExhibitText"/>
              <w:jc w:val="center"/>
            </w:pPr>
            <w:r w:rsidRPr="00416121">
              <w:t>1991</w:t>
            </w:r>
          </w:p>
        </w:tc>
        <w:tc>
          <w:tcPr>
            <w:tcW w:w="2025" w:type="dxa"/>
            <w:noWrap/>
            <w:tcMar>
              <w:left w:w="115" w:type="dxa"/>
              <w:right w:w="720" w:type="dxa"/>
            </w:tcMar>
            <w:vAlign w:val="center"/>
            <w:hideMark/>
          </w:tcPr>
          <w:p w14:paraId="148BE885" w14:textId="77777777" w:rsidR="00185BEC" w:rsidRPr="00416121" w:rsidRDefault="00185BEC" w:rsidP="003059BB">
            <w:pPr>
              <w:pStyle w:val="ExhibitText"/>
              <w:jc w:val="right"/>
            </w:pPr>
            <w:r w:rsidRPr="00416121">
              <w:t>39.6</w:t>
            </w:r>
          </w:p>
        </w:tc>
        <w:tc>
          <w:tcPr>
            <w:tcW w:w="2025" w:type="dxa"/>
            <w:noWrap/>
            <w:tcMar>
              <w:left w:w="115" w:type="dxa"/>
              <w:right w:w="720" w:type="dxa"/>
            </w:tcMar>
            <w:vAlign w:val="center"/>
            <w:hideMark/>
          </w:tcPr>
          <w:p w14:paraId="5663EAFD" w14:textId="77777777" w:rsidR="00185BEC" w:rsidRPr="00416121" w:rsidRDefault="00185BEC" w:rsidP="003059BB">
            <w:pPr>
              <w:pStyle w:val="ExhibitText"/>
              <w:jc w:val="right"/>
            </w:pPr>
            <w:r w:rsidRPr="00416121">
              <w:t>35.6</w:t>
            </w:r>
          </w:p>
        </w:tc>
        <w:tc>
          <w:tcPr>
            <w:tcW w:w="2605" w:type="dxa"/>
            <w:noWrap/>
            <w:tcMar>
              <w:left w:w="115" w:type="dxa"/>
              <w:right w:w="1080" w:type="dxa"/>
            </w:tcMar>
            <w:vAlign w:val="center"/>
            <w:hideMark/>
          </w:tcPr>
          <w:p w14:paraId="523AE059" w14:textId="77777777" w:rsidR="00185BEC" w:rsidRPr="00416121" w:rsidRDefault="00185BEC" w:rsidP="006333DB">
            <w:pPr>
              <w:pStyle w:val="ExhibitText"/>
              <w:tabs>
                <w:tab w:val="decimal" w:pos="1234"/>
              </w:tabs>
              <w:ind w:right="-178"/>
            </w:pPr>
            <w:r w:rsidRPr="00416121">
              <w:t>30.5</w:t>
            </w:r>
          </w:p>
        </w:tc>
      </w:tr>
      <w:tr w:rsidR="003059BB" w:rsidRPr="00416121" w14:paraId="4D0C1897" w14:textId="77777777" w:rsidTr="00427D4B">
        <w:trPr>
          <w:trHeight w:val="259"/>
          <w:jc w:val="center"/>
        </w:trPr>
        <w:tc>
          <w:tcPr>
            <w:tcW w:w="1170" w:type="dxa"/>
            <w:noWrap/>
            <w:vAlign w:val="center"/>
            <w:hideMark/>
          </w:tcPr>
          <w:p w14:paraId="7FDD67CE" w14:textId="77777777" w:rsidR="00185BEC" w:rsidRPr="00416121" w:rsidRDefault="00185BEC" w:rsidP="006568CC">
            <w:pPr>
              <w:pStyle w:val="ExhibitText"/>
              <w:jc w:val="center"/>
            </w:pPr>
            <w:r w:rsidRPr="00416121">
              <w:t>1992</w:t>
            </w:r>
          </w:p>
        </w:tc>
        <w:tc>
          <w:tcPr>
            <w:tcW w:w="2025" w:type="dxa"/>
            <w:noWrap/>
            <w:tcMar>
              <w:left w:w="115" w:type="dxa"/>
              <w:right w:w="720" w:type="dxa"/>
            </w:tcMar>
            <w:vAlign w:val="center"/>
            <w:hideMark/>
          </w:tcPr>
          <w:p w14:paraId="6BE45054" w14:textId="77777777" w:rsidR="00185BEC" w:rsidRPr="00416121" w:rsidRDefault="00185BEC" w:rsidP="003059BB">
            <w:pPr>
              <w:pStyle w:val="ExhibitText"/>
              <w:jc w:val="right"/>
            </w:pPr>
            <w:r w:rsidRPr="00416121">
              <w:t>20.3</w:t>
            </w:r>
          </w:p>
        </w:tc>
        <w:tc>
          <w:tcPr>
            <w:tcW w:w="2025" w:type="dxa"/>
            <w:noWrap/>
            <w:tcMar>
              <w:left w:w="115" w:type="dxa"/>
              <w:right w:w="720" w:type="dxa"/>
            </w:tcMar>
            <w:vAlign w:val="center"/>
            <w:hideMark/>
          </w:tcPr>
          <w:p w14:paraId="30EAA884" w14:textId="77777777" w:rsidR="00185BEC" w:rsidRPr="00416121" w:rsidRDefault="00185BEC" w:rsidP="003059BB">
            <w:pPr>
              <w:pStyle w:val="ExhibitText"/>
              <w:jc w:val="right"/>
            </w:pPr>
            <w:r w:rsidRPr="00416121">
              <w:t>29.8</w:t>
            </w:r>
          </w:p>
        </w:tc>
        <w:tc>
          <w:tcPr>
            <w:tcW w:w="2605" w:type="dxa"/>
            <w:noWrap/>
            <w:tcMar>
              <w:left w:w="115" w:type="dxa"/>
              <w:right w:w="1080" w:type="dxa"/>
            </w:tcMar>
            <w:vAlign w:val="center"/>
            <w:hideMark/>
          </w:tcPr>
          <w:p w14:paraId="354FAF7D" w14:textId="77777777" w:rsidR="00185BEC" w:rsidRPr="00416121" w:rsidRDefault="00185BEC" w:rsidP="006333DB">
            <w:pPr>
              <w:pStyle w:val="ExhibitText"/>
              <w:tabs>
                <w:tab w:val="decimal" w:pos="1234"/>
              </w:tabs>
              <w:ind w:right="-178"/>
            </w:pPr>
            <w:r w:rsidRPr="00416121">
              <w:t>7.6</w:t>
            </w:r>
          </w:p>
        </w:tc>
      </w:tr>
      <w:tr w:rsidR="003059BB" w:rsidRPr="00416121" w14:paraId="1F2F98D0" w14:textId="77777777" w:rsidTr="00427D4B">
        <w:trPr>
          <w:trHeight w:val="259"/>
          <w:jc w:val="center"/>
        </w:trPr>
        <w:tc>
          <w:tcPr>
            <w:tcW w:w="1170" w:type="dxa"/>
            <w:noWrap/>
            <w:vAlign w:val="center"/>
            <w:hideMark/>
          </w:tcPr>
          <w:p w14:paraId="64182BF3" w14:textId="77777777" w:rsidR="00185BEC" w:rsidRPr="00416121" w:rsidRDefault="00185BEC" w:rsidP="006568CC">
            <w:pPr>
              <w:pStyle w:val="ExhibitText"/>
              <w:jc w:val="center"/>
            </w:pPr>
            <w:r w:rsidRPr="00416121">
              <w:t>1993</w:t>
            </w:r>
          </w:p>
        </w:tc>
        <w:tc>
          <w:tcPr>
            <w:tcW w:w="2025" w:type="dxa"/>
            <w:noWrap/>
            <w:tcMar>
              <w:left w:w="115" w:type="dxa"/>
              <w:right w:w="720" w:type="dxa"/>
            </w:tcMar>
            <w:vAlign w:val="center"/>
            <w:hideMark/>
          </w:tcPr>
          <w:p w14:paraId="0E5AF3FB" w14:textId="77777777" w:rsidR="00185BEC" w:rsidRPr="00416121" w:rsidRDefault="00185BEC" w:rsidP="003059BB">
            <w:pPr>
              <w:pStyle w:val="ExhibitText"/>
              <w:jc w:val="right"/>
            </w:pPr>
            <w:r w:rsidRPr="00416121">
              <w:t>14.3</w:t>
            </w:r>
          </w:p>
        </w:tc>
        <w:tc>
          <w:tcPr>
            <w:tcW w:w="2025" w:type="dxa"/>
            <w:noWrap/>
            <w:tcMar>
              <w:left w:w="115" w:type="dxa"/>
              <w:right w:w="720" w:type="dxa"/>
            </w:tcMar>
            <w:vAlign w:val="center"/>
            <w:hideMark/>
          </w:tcPr>
          <w:p w14:paraId="524E8A79" w14:textId="77777777" w:rsidR="00185BEC" w:rsidRPr="00416121" w:rsidRDefault="00185BEC" w:rsidP="003059BB">
            <w:pPr>
              <w:pStyle w:val="ExhibitText"/>
              <w:jc w:val="right"/>
            </w:pPr>
            <w:r w:rsidRPr="00416121">
              <w:t>38.9</w:t>
            </w:r>
          </w:p>
        </w:tc>
        <w:tc>
          <w:tcPr>
            <w:tcW w:w="2605" w:type="dxa"/>
            <w:noWrap/>
            <w:tcMar>
              <w:left w:w="115" w:type="dxa"/>
              <w:right w:w="1080" w:type="dxa"/>
            </w:tcMar>
            <w:vAlign w:val="center"/>
            <w:hideMark/>
          </w:tcPr>
          <w:p w14:paraId="2A2316D4" w14:textId="77777777" w:rsidR="00185BEC" w:rsidRPr="00416121" w:rsidRDefault="00185BEC" w:rsidP="006333DB">
            <w:pPr>
              <w:pStyle w:val="ExhibitText"/>
              <w:tabs>
                <w:tab w:val="decimal" w:pos="1234"/>
              </w:tabs>
              <w:ind w:right="-178"/>
            </w:pPr>
            <w:r w:rsidRPr="00416121">
              <w:t>10.1</w:t>
            </w:r>
          </w:p>
        </w:tc>
      </w:tr>
      <w:tr w:rsidR="003059BB" w:rsidRPr="00416121" w14:paraId="27F4C35E" w14:textId="77777777" w:rsidTr="00427D4B">
        <w:trPr>
          <w:trHeight w:val="259"/>
          <w:jc w:val="center"/>
        </w:trPr>
        <w:tc>
          <w:tcPr>
            <w:tcW w:w="1170" w:type="dxa"/>
            <w:noWrap/>
            <w:vAlign w:val="center"/>
            <w:hideMark/>
          </w:tcPr>
          <w:p w14:paraId="00061638" w14:textId="77777777" w:rsidR="00185BEC" w:rsidRPr="00416121" w:rsidRDefault="00185BEC" w:rsidP="006568CC">
            <w:pPr>
              <w:pStyle w:val="ExhibitText"/>
              <w:jc w:val="center"/>
            </w:pPr>
            <w:r w:rsidRPr="00416121">
              <w:t>1994</w:t>
            </w:r>
          </w:p>
        </w:tc>
        <w:tc>
          <w:tcPr>
            <w:tcW w:w="2025" w:type="dxa"/>
            <w:noWrap/>
            <w:tcMar>
              <w:left w:w="115" w:type="dxa"/>
              <w:right w:w="720" w:type="dxa"/>
            </w:tcMar>
            <w:vAlign w:val="center"/>
            <w:hideMark/>
          </w:tcPr>
          <w:p w14:paraId="048F0DBB" w14:textId="77777777" w:rsidR="00185BEC" w:rsidRPr="00416121" w:rsidRDefault="00185BEC" w:rsidP="003059BB">
            <w:pPr>
              <w:pStyle w:val="ExhibitText"/>
              <w:jc w:val="right"/>
            </w:pPr>
            <w:r w:rsidRPr="00416121">
              <w:t>13.9</w:t>
            </w:r>
          </w:p>
        </w:tc>
        <w:tc>
          <w:tcPr>
            <w:tcW w:w="2025" w:type="dxa"/>
            <w:noWrap/>
            <w:tcMar>
              <w:left w:w="115" w:type="dxa"/>
              <w:right w:w="720" w:type="dxa"/>
            </w:tcMar>
            <w:vAlign w:val="center"/>
            <w:hideMark/>
          </w:tcPr>
          <w:p w14:paraId="7F0E78ED" w14:textId="52BF85DB" w:rsidR="00185BEC" w:rsidRPr="00416121" w:rsidRDefault="00185BEC" w:rsidP="003059BB">
            <w:pPr>
              <w:pStyle w:val="ExhibitText"/>
              <w:jc w:val="right"/>
            </w:pPr>
            <w:r w:rsidRPr="00416121">
              <w:t>25</w:t>
            </w:r>
            <w:r w:rsidR="00E21B3E" w:rsidRPr="00416121">
              <w:t>.0</w:t>
            </w:r>
          </w:p>
        </w:tc>
        <w:tc>
          <w:tcPr>
            <w:tcW w:w="2605" w:type="dxa"/>
            <w:noWrap/>
            <w:tcMar>
              <w:left w:w="115" w:type="dxa"/>
              <w:right w:w="1080" w:type="dxa"/>
            </w:tcMar>
            <w:vAlign w:val="center"/>
            <w:hideMark/>
          </w:tcPr>
          <w:p w14:paraId="69421A38" w14:textId="77777777" w:rsidR="00185BEC" w:rsidRPr="00416121" w:rsidRDefault="00185BEC" w:rsidP="006333DB">
            <w:pPr>
              <w:pStyle w:val="ExhibitText"/>
              <w:tabs>
                <w:tab w:val="decimal" w:pos="1234"/>
              </w:tabs>
              <w:ind w:right="-178"/>
            </w:pPr>
            <w:r w:rsidRPr="00416121">
              <w:t>1.3</w:t>
            </w:r>
          </w:p>
        </w:tc>
      </w:tr>
      <w:tr w:rsidR="003059BB" w:rsidRPr="00416121" w14:paraId="0FC3C668" w14:textId="77777777" w:rsidTr="00427D4B">
        <w:trPr>
          <w:trHeight w:val="259"/>
          <w:jc w:val="center"/>
        </w:trPr>
        <w:tc>
          <w:tcPr>
            <w:tcW w:w="1170" w:type="dxa"/>
            <w:noWrap/>
            <w:vAlign w:val="center"/>
            <w:hideMark/>
          </w:tcPr>
          <w:p w14:paraId="73F7ABA3" w14:textId="77777777" w:rsidR="00185BEC" w:rsidRPr="00416121" w:rsidRDefault="00185BEC" w:rsidP="006568CC">
            <w:pPr>
              <w:pStyle w:val="ExhibitText"/>
              <w:jc w:val="center"/>
            </w:pPr>
            <w:r w:rsidRPr="00416121">
              <w:t>1995</w:t>
            </w:r>
          </w:p>
        </w:tc>
        <w:tc>
          <w:tcPr>
            <w:tcW w:w="2025" w:type="dxa"/>
            <w:noWrap/>
            <w:tcMar>
              <w:left w:w="115" w:type="dxa"/>
              <w:right w:w="720" w:type="dxa"/>
            </w:tcMar>
            <w:vAlign w:val="center"/>
            <w:hideMark/>
          </w:tcPr>
          <w:p w14:paraId="7F8078C8" w14:textId="77777777" w:rsidR="00185BEC" w:rsidRPr="00416121" w:rsidRDefault="00185BEC" w:rsidP="003059BB">
            <w:pPr>
              <w:pStyle w:val="ExhibitText"/>
              <w:jc w:val="right"/>
            </w:pPr>
            <w:r w:rsidRPr="00416121">
              <w:t>43.1</w:t>
            </w:r>
          </w:p>
        </w:tc>
        <w:tc>
          <w:tcPr>
            <w:tcW w:w="2025" w:type="dxa"/>
            <w:noWrap/>
            <w:tcMar>
              <w:left w:w="115" w:type="dxa"/>
              <w:right w:w="720" w:type="dxa"/>
            </w:tcMar>
            <w:vAlign w:val="center"/>
            <w:hideMark/>
          </w:tcPr>
          <w:p w14:paraId="7EA6987F" w14:textId="77777777" w:rsidR="00185BEC" w:rsidRPr="00416121" w:rsidRDefault="00185BEC" w:rsidP="003059BB">
            <w:pPr>
              <w:pStyle w:val="ExhibitText"/>
              <w:jc w:val="right"/>
            </w:pPr>
            <w:r w:rsidRPr="00416121">
              <w:t>57.4</w:t>
            </w:r>
          </w:p>
        </w:tc>
        <w:tc>
          <w:tcPr>
            <w:tcW w:w="2605" w:type="dxa"/>
            <w:noWrap/>
            <w:tcMar>
              <w:left w:w="115" w:type="dxa"/>
              <w:right w:w="1080" w:type="dxa"/>
            </w:tcMar>
            <w:vAlign w:val="center"/>
            <w:hideMark/>
          </w:tcPr>
          <w:p w14:paraId="58354C7A" w14:textId="77777777" w:rsidR="00185BEC" w:rsidRPr="00416121" w:rsidRDefault="00185BEC" w:rsidP="006333DB">
            <w:pPr>
              <w:pStyle w:val="ExhibitText"/>
              <w:tabs>
                <w:tab w:val="decimal" w:pos="1234"/>
              </w:tabs>
              <w:ind w:right="-178"/>
            </w:pPr>
            <w:r w:rsidRPr="00416121">
              <w:t>37.6</w:t>
            </w:r>
          </w:p>
        </w:tc>
      </w:tr>
      <w:tr w:rsidR="003059BB" w:rsidRPr="00416121" w14:paraId="7A07DCAB" w14:textId="77777777" w:rsidTr="00427D4B">
        <w:trPr>
          <w:trHeight w:val="259"/>
          <w:jc w:val="center"/>
        </w:trPr>
        <w:tc>
          <w:tcPr>
            <w:tcW w:w="1170" w:type="dxa"/>
            <w:noWrap/>
            <w:vAlign w:val="center"/>
            <w:hideMark/>
          </w:tcPr>
          <w:p w14:paraId="649F2E57" w14:textId="77777777" w:rsidR="00185BEC" w:rsidRPr="00416121" w:rsidRDefault="00185BEC" w:rsidP="006568CC">
            <w:pPr>
              <w:pStyle w:val="ExhibitText"/>
              <w:jc w:val="center"/>
            </w:pPr>
            <w:r w:rsidRPr="00416121">
              <w:t>1996</w:t>
            </w:r>
          </w:p>
        </w:tc>
        <w:tc>
          <w:tcPr>
            <w:tcW w:w="2025" w:type="dxa"/>
            <w:noWrap/>
            <w:tcMar>
              <w:left w:w="115" w:type="dxa"/>
              <w:right w:w="720" w:type="dxa"/>
            </w:tcMar>
            <w:vAlign w:val="center"/>
            <w:hideMark/>
          </w:tcPr>
          <w:p w14:paraId="49C1A00A" w14:textId="77777777" w:rsidR="00185BEC" w:rsidRPr="00416121" w:rsidRDefault="00185BEC" w:rsidP="003059BB">
            <w:pPr>
              <w:pStyle w:val="ExhibitText"/>
              <w:jc w:val="right"/>
            </w:pPr>
            <w:r w:rsidRPr="00416121">
              <w:t>31.8</w:t>
            </w:r>
          </w:p>
        </w:tc>
        <w:tc>
          <w:tcPr>
            <w:tcW w:w="2025" w:type="dxa"/>
            <w:noWrap/>
            <w:tcMar>
              <w:left w:w="115" w:type="dxa"/>
              <w:right w:w="720" w:type="dxa"/>
            </w:tcMar>
            <w:vAlign w:val="center"/>
            <w:hideMark/>
          </w:tcPr>
          <w:p w14:paraId="242570B5" w14:textId="77777777" w:rsidR="00185BEC" w:rsidRPr="00416121" w:rsidRDefault="00185BEC" w:rsidP="003059BB">
            <w:pPr>
              <w:pStyle w:val="ExhibitText"/>
              <w:jc w:val="right"/>
            </w:pPr>
            <w:r w:rsidRPr="00416121">
              <w:t>6.2</w:t>
            </w:r>
          </w:p>
        </w:tc>
        <w:tc>
          <w:tcPr>
            <w:tcW w:w="2605" w:type="dxa"/>
            <w:noWrap/>
            <w:tcMar>
              <w:left w:w="115" w:type="dxa"/>
              <w:right w:w="1080" w:type="dxa"/>
            </w:tcMar>
            <w:vAlign w:val="center"/>
            <w:hideMark/>
          </w:tcPr>
          <w:p w14:paraId="4B6197C2" w14:textId="14140A10" w:rsidR="00185BEC" w:rsidRPr="00416121" w:rsidRDefault="00185BEC" w:rsidP="006333DB">
            <w:pPr>
              <w:pStyle w:val="ExhibitText"/>
              <w:tabs>
                <w:tab w:val="decimal" w:pos="1234"/>
              </w:tabs>
              <w:ind w:right="-178"/>
            </w:pPr>
            <w:r w:rsidRPr="00416121">
              <w:t>23</w:t>
            </w:r>
            <w:r w:rsidR="00E21B3E" w:rsidRPr="00416121">
              <w:t>.0</w:t>
            </w:r>
          </w:p>
        </w:tc>
      </w:tr>
      <w:tr w:rsidR="003059BB" w:rsidRPr="00416121" w14:paraId="34278346" w14:textId="77777777" w:rsidTr="00427D4B">
        <w:trPr>
          <w:trHeight w:val="259"/>
          <w:jc w:val="center"/>
        </w:trPr>
        <w:tc>
          <w:tcPr>
            <w:tcW w:w="1170" w:type="dxa"/>
            <w:noWrap/>
            <w:vAlign w:val="center"/>
            <w:hideMark/>
          </w:tcPr>
          <w:p w14:paraId="1AA97B3E" w14:textId="77777777" w:rsidR="00185BEC" w:rsidRPr="00416121" w:rsidRDefault="00185BEC" w:rsidP="006568CC">
            <w:pPr>
              <w:pStyle w:val="ExhibitText"/>
              <w:jc w:val="center"/>
            </w:pPr>
            <w:r w:rsidRPr="00416121">
              <w:t>1997</w:t>
            </w:r>
          </w:p>
        </w:tc>
        <w:tc>
          <w:tcPr>
            <w:tcW w:w="2025" w:type="dxa"/>
            <w:noWrap/>
            <w:tcMar>
              <w:left w:w="115" w:type="dxa"/>
              <w:right w:w="720" w:type="dxa"/>
            </w:tcMar>
            <w:vAlign w:val="center"/>
            <w:hideMark/>
          </w:tcPr>
          <w:p w14:paraId="72E9BB62" w14:textId="77777777" w:rsidR="00185BEC" w:rsidRPr="00416121" w:rsidRDefault="00185BEC" w:rsidP="003059BB">
            <w:pPr>
              <w:pStyle w:val="ExhibitText"/>
              <w:jc w:val="right"/>
            </w:pPr>
            <w:r w:rsidRPr="00416121">
              <w:t>34.1</w:t>
            </w:r>
          </w:p>
        </w:tc>
        <w:tc>
          <w:tcPr>
            <w:tcW w:w="2025" w:type="dxa"/>
            <w:noWrap/>
            <w:tcMar>
              <w:left w:w="115" w:type="dxa"/>
              <w:right w:w="720" w:type="dxa"/>
            </w:tcMar>
            <w:vAlign w:val="center"/>
            <w:hideMark/>
          </w:tcPr>
          <w:p w14:paraId="0BC691D8" w14:textId="77777777" w:rsidR="00185BEC" w:rsidRPr="00416121" w:rsidRDefault="00185BEC" w:rsidP="003059BB">
            <w:pPr>
              <w:pStyle w:val="ExhibitText"/>
              <w:jc w:val="right"/>
            </w:pPr>
            <w:r w:rsidRPr="00416121">
              <w:t>34.9</w:t>
            </w:r>
          </w:p>
        </w:tc>
        <w:tc>
          <w:tcPr>
            <w:tcW w:w="2605" w:type="dxa"/>
            <w:noWrap/>
            <w:tcMar>
              <w:left w:w="115" w:type="dxa"/>
              <w:right w:w="1080" w:type="dxa"/>
            </w:tcMar>
            <w:vAlign w:val="center"/>
            <w:hideMark/>
          </w:tcPr>
          <w:p w14:paraId="5BD5CD08" w14:textId="77777777" w:rsidR="00185BEC" w:rsidRPr="00416121" w:rsidRDefault="00185BEC" w:rsidP="006333DB">
            <w:pPr>
              <w:pStyle w:val="ExhibitText"/>
              <w:tabs>
                <w:tab w:val="decimal" w:pos="1234"/>
              </w:tabs>
              <w:ind w:right="-178"/>
            </w:pPr>
            <w:r w:rsidRPr="00416121">
              <w:t>33.4</w:t>
            </w:r>
          </w:p>
        </w:tc>
      </w:tr>
      <w:tr w:rsidR="003059BB" w:rsidRPr="00416121" w14:paraId="3DCE6B11" w14:textId="77777777" w:rsidTr="00427D4B">
        <w:trPr>
          <w:trHeight w:val="259"/>
          <w:jc w:val="center"/>
        </w:trPr>
        <w:tc>
          <w:tcPr>
            <w:tcW w:w="1170" w:type="dxa"/>
            <w:noWrap/>
            <w:vAlign w:val="center"/>
            <w:hideMark/>
          </w:tcPr>
          <w:p w14:paraId="6AE3E653" w14:textId="77777777" w:rsidR="00185BEC" w:rsidRPr="00416121" w:rsidRDefault="00185BEC" w:rsidP="006568CC">
            <w:pPr>
              <w:pStyle w:val="ExhibitText"/>
              <w:jc w:val="center"/>
            </w:pPr>
            <w:r w:rsidRPr="00416121">
              <w:t>1998</w:t>
            </w:r>
          </w:p>
        </w:tc>
        <w:tc>
          <w:tcPr>
            <w:tcW w:w="2025" w:type="dxa"/>
            <w:noWrap/>
            <w:tcMar>
              <w:left w:w="115" w:type="dxa"/>
              <w:right w:w="720" w:type="dxa"/>
            </w:tcMar>
            <w:vAlign w:val="center"/>
            <w:hideMark/>
          </w:tcPr>
          <w:p w14:paraId="4407EC72" w14:textId="77777777" w:rsidR="00185BEC" w:rsidRPr="00416121" w:rsidRDefault="00185BEC" w:rsidP="003059BB">
            <w:pPr>
              <w:pStyle w:val="ExhibitText"/>
              <w:jc w:val="right"/>
            </w:pPr>
            <w:r w:rsidRPr="00416121">
              <w:t>48.3</w:t>
            </w:r>
          </w:p>
        </w:tc>
        <w:tc>
          <w:tcPr>
            <w:tcW w:w="2025" w:type="dxa"/>
            <w:noWrap/>
            <w:tcMar>
              <w:left w:w="115" w:type="dxa"/>
              <w:right w:w="720" w:type="dxa"/>
            </w:tcMar>
            <w:vAlign w:val="center"/>
            <w:hideMark/>
          </w:tcPr>
          <w:p w14:paraId="7F06B9A3" w14:textId="77777777" w:rsidR="00185BEC" w:rsidRPr="00416121" w:rsidRDefault="00185BEC" w:rsidP="003059BB">
            <w:pPr>
              <w:pStyle w:val="ExhibitText"/>
              <w:jc w:val="right"/>
            </w:pPr>
            <w:r w:rsidRPr="00416121">
              <w:t>52.2</w:t>
            </w:r>
          </w:p>
        </w:tc>
        <w:tc>
          <w:tcPr>
            <w:tcW w:w="2605" w:type="dxa"/>
            <w:noWrap/>
            <w:tcMar>
              <w:left w:w="115" w:type="dxa"/>
              <w:right w:w="1080" w:type="dxa"/>
            </w:tcMar>
            <w:vAlign w:val="center"/>
            <w:hideMark/>
          </w:tcPr>
          <w:p w14:paraId="400C9574" w14:textId="77777777" w:rsidR="00185BEC" w:rsidRPr="00416121" w:rsidRDefault="00185BEC" w:rsidP="006333DB">
            <w:pPr>
              <w:pStyle w:val="ExhibitText"/>
              <w:tabs>
                <w:tab w:val="decimal" w:pos="1234"/>
              </w:tabs>
              <w:ind w:right="-178"/>
            </w:pPr>
            <w:r w:rsidRPr="00416121">
              <w:t>28.6</w:t>
            </w:r>
          </w:p>
        </w:tc>
      </w:tr>
      <w:tr w:rsidR="003059BB" w:rsidRPr="00416121" w14:paraId="3A637FCA" w14:textId="77777777" w:rsidTr="00427D4B">
        <w:trPr>
          <w:trHeight w:val="259"/>
          <w:jc w:val="center"/>
        </w:trPr>
        <w:tc>
          <w:tcPr>
            <w:tcW w:w="1170" w:type="dxa"/>
            <w:noWrap/>
            <w:vAlign w:val="center"/>
            <w:hideMark/>
          </w:tcPr>
          <w:p w14:paraId="32EE428B" w14:textId="77777777" w:rsidR="00185BEC" w:rsidRPr="00416121" w:rsidRDefault="00185BEC" w:rsidP="006568CC">
            <w:pPr>
              <w:pStyle w:val="ExhibitText"/>
              <w:jc w:val="center"/>
            </w:pPr>
            <w:r w:rsidRPr="00416121">
              <w:t>1999</w:t>
            </w:r>
          </w:p>
        </w:tc>
        <w:tc>
          <w:tcPr>
            <w:tcW w:w="2025" w:type="dxa"/>
            <w:noWrap/>
            <w:tcMar>
              <w:left w:w="115" w:type="dxa"/>
              <w:right w:w="720" w:type="dxa"/>
            </w:tcMar>
            <w:vAlign w:val="center"/>
            <w:hideMark/>
          </w:tcPr>
          <w:p w14:paraId="797BA064" w14:textId="77777777" w:rsidR="00185BEC" w:rsidRPr="00416121" w:rsidRDefault="00185BEC" w:rsidP="003059BB">
            <w:pPr>
              <w:pStyle w:val="ExhibitText"/>
              <w:jc w:val="right"/>
            </w:pPr>
            <w:r w:rsidRPr="00416121">
              <w:t>0.5</w:t>
            </w:r>
          </w:p>
        </w:tc>
        <w:tc>
          <w:tcPr>
            <w:tcW w:w="2025" w:type="dxa"/>
            <w:noWrap/>
            <w:tcMar>
              <w:left w:w="115" w:type="dxa"/>
              <w:right w:w="720" w:type="dxa"/>
            </w:tcMar>
            <w:vAlign w:val="center"/>
            <w:hideMark/>
          </w:tcPr>
          <w:p w14:paraId="16C50AA0" w14:textId="3A35B0AF" w:rsidR="00185BEC" w:rsidRPr="00416121" w:rsidRDefault="00E21B3E" w:rsidP="003059BB">
            <w:pPr>
              <w:pStyle w:val="ExhibitText"/>
              <w:jc w:val="right"/>
            </w:pPr>
            <w:r w:rsidRPr="00416121">
              <w:t>−</w:t>
            </w:r>
            <w:r w:rsidR="00185BEC" w:rsidRPr="00416121">
              <w:t>19.9</w:t>
            </w:r>
          </w:p>
        </w:tc>
        <w:tc>
          <w:tcPr>
            <w:tcW w:w="2605" w:type="dxa"/>
            <w:noWrap/>
            <w:tcMar>
              <w:left w:w="115" w:type="dxa"/>
              <w:right w:w="1080" w:type="dxa"/>
            </w:tcMar>
            <w:vAlign w:val="center"/>
            <w:hideMark/>
          </w:tcPr>
          <w:p w14:paraId="20355DFD" w14:textId="42B2AC72" w:rsidR="00185BEC" w:rsidRPr="00416121" w:rsidRDefault="00185BEC" w:rsidP="006333DB">
            <w:pPr>
              <w:pStyle w:val="ExhibitText"/>
              <w:tabs>
                <w:tab w:val="decimal" w:pos="1234"/>
              </w:tabs>
              <w:ind w:right="-178"/>
            </w:pPr>
            <w:r w:rsidRPr="00416121">
              <w:t>21</w:t>
            </w:r>
            <w:r w:rsidR="00E21B3E" w:rsidRPr="00416121">
              <w:t>.0</w:t>
            </w:r>
          </w:p>
        </w:tc>
      </w:tr>
      <w:tr w:rsidR="003059BB" w:rsidRPr="00416121" w14:paraId="04470BF2" w14:textId="77777777" w:rsidTr="00427D4B">
        <w:trPr>
          <w:trHeight w:val="259"/>
          <w:jc w:val="center"/>
        </w:trPr>
        <w:tc>
          <w:tcPr>
            <w:tcW w:w="1170" w:type="dxa"/>
            <w:noWrap/>
            <w:vAlign w:val="center"/>
            <w:hideMark/>
          </w:tcPr>
          <w:p w14:paraId="162A29CC" w14:textId="77777777" w:rsidR="00185BEC" w:rsidRPr="00416121" w:rsidRDefault="00185BEC" w:rsidP="006568CC">
            <w:pPr>
              <w:pStyle w:val="ExhibitText"/>
              <w:jc w:val="center"/>
            </w:pPr>
            <w:r w:rsidRPr="00416121">
              <w:t>2000</w:t>
            </w:r>
          </w:p>
        </w:tc>
        <w:tc>
          <w:tcPr>
            <w:tcW w:w="2025" w:type="dxa"/>
            <w:noWrap/>
            <w:tcMar>
              <w:left w:w="115" w:type="dxa"/>
              <w:right w:w="720" w:type="dxa"/>
            </w:tcMar>
            <w:vAlign w:val="center"/>
            <w:hideMark/>
          </w:tcPr>
          <w:p w14:paraId="6A924089" w14:textId="77777777" w:rsidR="00185BEC" w:rsidRPr="00416121" w:rsidRDefault="00185BEC" w:rsidP="003059BB">
            <w:pPr>
              <w:pStyle w:val="ExhibitText"/>
              <w:jc w:val="right"/>
            </w:pPr>
            <w:r w:rsidRPr="00416121">
              <w:t>6.5</w:t>
            </w:r>
          </w:p>
        </w:tc>
        <w:tc>
          <w:tcPr>
            <w:tcW w:w="2025" w:type="dxa"/>
            <w:noWrap/>
            <w:tcMar>
              <w:left w:w="115" w:type="dxa"/>
              <w:right w:w="720" w:type="dxa"/>
            </w:tcMar>
            <w:vAlign w:val="center"/>
            <w:hideMark/>
          </w:tcPr>
          <w:p w14:paraId="07C2C846" w14:textId="77777777" w:rsidR="00185BEC" w:rsidRPr="00416121" w:rsidRDefault="00185BEC" w:rsidP="003059BB">
            <w:pPr>
              <w:pStyle w:val="ExhibitText"/>
              <w:jc w:val="right"/>
            </w:pPr>
            <w:r w:rsidRPr="00416121">
              <w:t>26.6</w:t>
            </w:r>
          </w:p>
        </w:tc>
        <w:tc>
          <w:tcPr>
            <w:tcW w:w="2605" w:type="dxa"/>
            <w:noWrap/>
            <w:tcMar>
              <w:left w:w="115" w:type="dxa"/>
              <w:right w:w="1080" w:type="dxa"/>
            </w:tcMar>
            <w:vAlign w:val="center"/>
            <w:hideMark/>
          </w:tcPr>
          <w:p w14:paraId="5689EC9C" w14:textId="38C7F9C0" w:rsidR="00185BEC" w:rsidRPr="00416121" w:rsidRDefault="00E21B3E" w:rsidP="006333DB">
            <w:pPr>
              <w:pStyle w:val="ExhibitText"/>
              <w:tabs>
                <w:tab w:val="decimal" w:pos="1234"/>
              </w:tabs>
              <w:ind w:right="-178"/>
            </w:pPr>
            <w:r w:rsidRPr="00416121">
              <w:t>−</w:t>
            </w:r>
            <w:r w:rsidR="00185BEC" w:rsidRPr="00416121">
              <w:t>9.1</w:t>
            </w:r>
          </w:p>
        </w:tc>
      </w:tr>
      <w:tr w:rsidR="003059BB" w:rsidRPr="00416121" w14:paraId="225F1F87" w14:textId="77777777" w:rsidTr="00427D4B">
        <w:trPr>
          <w:trHeight w:val="259"/>
          <w:jc w:val="center"/>
        </w:trPr>
        <w:tc>
          <w:tcPr>
            <w:tcW w:w="1170" w:type="dxa"/>
            <w:noWrap/>
            <w:vAlign w:val="center"/>
            <w:hideMark/>
          </w:tcPr>
          <w:p w14:paraId="34A1EC47" w14:textId="77777777" w:rsidR="00185BEC" w:rsidRPr="00416121" w:rsidRDefault="00185BEC" w:rsidP="006568CC">
            <w:pPr>
              <w:pStyle w:val="ExhibitText"/>
              <w:jc w:val="center"/>
            </w:pPr>
            <w:r w:rsidRPr="00416121">
              <w:t>2001</w:t>
            </w:r>
          </w:p>
        </w:tc>
        <w:tc>
          <w:tcPr>
            <w:tcW w:w="2025" w:type="dxa"/>
            <w:noWrap/>
            <w:tcMar>
              <w:left w:w="115" w:type="dxa"/>
              <w:right w:w="720" w:type="dxa"/>
            </w:tcMar>
            <w:vAlign w:val="center"/>
            <w:hideMark/>
          </w:tcPr>
          <w:p w14:paraId="42F21D76" w14:textId="6AC4FBDC" w:rsidR="00185BEC" w:rsidRPr="00416121" w:rsidRDefault="00E21B3E" w:rsidP="003059BB">
            <w:pPr>
              <w:pStyle w:val="ExhibitText"/>
              <w:jc w:val="right"/>
            </w:pPr>
            <w:r w:rsidRPr="00416121">
              <w:t>−</w:t>
            </w:r>
            <w:r w:rsidR="00185BEC" w:rsidRPr="00416121">
              <w:t>6.2</w:t>
            </w:r>
          </w:p>
        </w:tc>
        <w:tc>
          <w:tcPr>
            <w:tcW w:w="2025" w:type="dxa"/>
            <w:noWrap/>
            <w:tcMar>
              <w:left w:w="115" w:type="dxa"/>
              <w:right w:w="720" w:type="dxa"/>
            </w:tcMar>
            <w:vAlign w:val="center"/>
            <w:hideMark/>
          </w:tcPr>
          <w:p w14:paraId="5D60FE26" w14:textId="77777777" w:rsidR="00185BEC" w:rsidRPr="00416121" w:rsidRDefault="00185BEC" w:rsidP="003059BB">
            <w:pPr>
              <w:pStyle w:val="ExhibitText"/>
              <w:jc w:val="right"/>
            </w:pPr>
            <w:r w:rsidRPr="00416121">
              <w:t>6.5</w:t>
            </w:r>
          </w:p>
        </w:tc>
        <w:tc>
          <w:tcPr>
            <w:tcW w:w="2605" w:type="dxa"/>
            <w:noWrap/>
            <w:tcMar>
              <w:left w:w="115" w:type="dxa"/>
              <w:right w:w="1080" w:type="dxa"/>
            </w:tcMar>
            <w:vAlign w:val="center"/>
            <w:hideMark/>
          </w:tcPr>
          <w:p w14:paraId="6D02E02D" w14:textId="21FF2135" w:rsidR="00185BEC" w:rsidRPr="00416121" w:rsidRDefault="00E21B3E" w:rsidP="006333DB">
            <w:pPr>
              <w:pStyle w:val="ExhibitText"/>
              <w:tabs>
                <w:tab w:val="decimal" w:pos="1234"/>
              </w:tabs>
              <w:ind w:right="-178"/>
            </w:pPr>
            <w:r w:rsidRPr="00416121">
              <w:t>−</w:t>
            </w:r>
            <w:r w:rsidR="00185BEC" w:rsidRPr="00416121">
              <w:t>11.9</w:t>
            </w:r>
          </w:p>
        </w:tc>
      </w:tr>
      <w:tr w:rsidR="003059BB" w:rsidRPr="00416121" w14:paraId="47E22F53" w14:textId="77777777" w:rsidTr="00427D4B">
        <w:trPr>
          <w:trHeight w:val="259"/>
          <w:jc w:val="center"/>
        </w:trPr>
        <w:tc>
          <w:tcPr>
            <w:tcW w:w="1170" w:type="dxa"/>
            <w:noWrap/>
            <w:vAlign w:val="center"/>
            <w:hideMark/>
          </w:tcPr>
          <w:p w14:paraId="36493737" w14:textId="77777777" w:rsidR="00185BEC" w:rsidRPr="00416121" w:rsidRDefault="00185BEC" w:rsidP="006568CC">
            <w:pPr>
              <w:pStyle w:val="ExhibitText"/>
              <w:jc w:val="center"/>
            </w:pPr>
            <w:r w:rsidRPr="00416121">
              <w:t>2002</w:t>
            </w:r>
          </w:p>
        </w:tc>
        <w:tc>
          <w:tcPr>
            <w:tcW w:w="2025" w:type="dxa"/>
            <w:noWrap/>
            <w:tcMar>
              <w:left w:w="115" w:type="dxa"/>
              <w:right w:w="720" w:type="dxa"/>
            </w:tcMar>
            <w:vAlign w:val="center"/>
            <w:hideMark/>
          </w:tcPr>
          <w:p w14:paraId="31D80329" w14:textId="4AD7FB25" w:rsidR="00185BEC" w:rsidRPr="00416121" w:rsidRDefault="00185BEC" w:rsidP="003059BB">
            <w:pPr>
              <w:pStyle w:val="ExhibitText"/>
              <w:jc w:val="right"/>
            </w:pPr>
            <w:r w:rsidRPr="00416121">
              <w:t>10</w:t>
            </w:r>
            <w:r w:rsidR="00E21B3E" w:rsidRPr="00416121">
              <w:t>.0</w:t>
            </w:r>
          </w:p>
        </w:tc>
        <w:tc>
          <w:tcPr>
            <w:tcW w:w="2025" w:type="dxa"/>
            <w:noWrap/>
            <w:tcMar>
              <w:left w:w="115" w:type="dxa"/>
              <w:right w:w="720" w:type="dxa"/>
            </w:tcMar>
            <w:vAlign w:val="center"/>
            <w:hideMark/>
          </w:tcPr>
          <w:p w14:paraId="46FE0EFD" w14:textId="53A9B283" w:rsidR="00185BEC" w:rsidRPr="00416121" w:rsidRDefault="00E21B3E" w:rsidP="003059BB">
            <w:pPr>
              <w:pStyle w:val="ExhibitText"/>
              <w:jc w:val="right"/>
            </w:pPr>
            <w:r w:rsidRPr="00416121">
              <w:t>−</w:t>
            </w:r>
            <w:r w:rsidR="00185BEC" w:rsidRPr="00416121">
              <w:t>3.8</w:t>
            </w:r>
          </w:p>
        </w:tc>
        <w:tc>
          <w:tcPr>
            <w:tcW w:w="2605" w:type="dxa"/>
            <w:noWrap/>
            <w:tcMar>
              <w:left w:w="115" w:type="dxa"/>
              <w:right w:w="1080" w:type="dxa"/>
            </w:tcMar>
            <w:vAlign w:val="center"/>
            <w:hideMark/>
          </w:tcPr>
          <w:p w14:paraId="1B91EA9C" w14:textId="303237A3" w:rsidR="00185BEC" w:rsidRPr="00416121" w:rsidRDefault="00E21B3E" w:rsidP="006333DB">
            <w:pPr>
              <w:pStyle w:val="ExhibitText"/>
              <w:tabs>
                <w:tab w:val="decimal" w:pos="1234"/>
              </w:tabs>
              <w:ind w:right="-178"/>
            </w:pPr>
            <w:r w:rsidRPr="00416121">
              <w:t>−</w:t>
            </w:r>
            <w:r w:rsidR="00185BEC" w:rsidRPr="00416121">
              <w:t>22.1</w:t>
            </w:r>
          </w:p>
        </w:tc>
      </w:tr>
      <w:tr w:rsidR="003059BB" w:rsidRPr="00416121" w14:paraId="2BFA2EC0" w14:textId="77777777" w:rsidTr="00427D4B">
        <w:trPr>
          <w:trHeight w:val="259"/>
          <w:jc w:val="center"/>
        </w:trPr>
        <w:tc>
          <w:tcPr>
            <w:tcW w:w="1170" w:type="dxa"/>
            <w:noWrap/>
            <w:vAlign w:val="center"/>
            <w:hideMark/>
          </w:tcPr>
          <w:p w14:paraId="4B3E5606" w14:textId="77777777" w:rsidR="00185BEC" w:rsidRPr="00416121" w:rsidRDefault="00185BEC" w:rsidP="006568CC">
            <w:pPr>
              <w:pStyle w:val="ExhibitText"/>
              <w:jc w:val="center"/>
            </w:pPr>
            <w:r w:rsidRPr="00416121">
              <w:t>2003</w:t>
            </w:r>
          </w:p>
        </w:tc>
        <w:tc>
          <w:tcPr>
            <w:tcW w:w="2025" w:type="dxa"/>
            <w:noWrap/>
            <w:tcMar>
              <w:left w:w="115" w:type="dxa"/>
              <w:right w:w="720" w:type="dxa"/>
            </w:tcMar>
            <w:vAlign w:val="center"/>
            <w:hideMark/>
          </w:tcPr>
          <w:p w14:paraId="3176F9F9" w14:textId="5F4EF2F5" w:rsidR="00185BEC" w:rsidRPr="00416121" w:rsidRDefault="00185BEC" w:rsidP="003059BB">
            <w:pPr>
              <w:pStyle w:val="ExhibitText"/>
              <w:jc w:val="right"/>
            </w:pPr>
            <w:r w:rsidRPr="00416121">
              <w:t>21</w:t>
            </w:r>
            <w:r w:rsidR="00E21B3E" w:rsidRPr="00416121">
              <w:t>.0</w:t>
            </w:r>
          </w:p>
        </w:tc>
        <w:tc>
          <w:tcPr>
            <w:tcW w:w="2025" w:type="dxa"/>
            <w:noWrap/>
            <w:tcMar>
              <w:left w:w="115" w:type="dxa"/>
              <w:right w:w="720" w:type="dxa"/>
            </w:tcMar>
            <w:vAlign w:val="center"/>
            <w:hideMark/>
          </w:tcPr>
          <w:p w14:paraId="3C609E79" w14:textId="77777777" w:rsidR="00185BEC" w:rsidRPr="00416121" w:rsidRDefault="00185BEC" w:rsidP="003059BB">
            <w:pPr>
              <w:pStyle w:val="ExhibitText"/>
              <w:jc w:val="right"/>
            </w:pPr>
            <w:r w:rsidRPr="00416121">
              <w:t>15.8</w:t>
            </w:r>
          </w:p>
        </w:tc>
        <w:tc>
          <w:tcPr>
            <w:tcW w:w="2605" w:type="dxa"/>
            <w:noWrap/>
            <w:tcMar>
              <w:left w:w="115" w:type="dxa"/>
              <w:right w:w="1080" w:type="dxa"/>
            </w:tcMar>
            <w:vAlign w:val="center"/>
            <w:hideMark/>
          </w:tcPr>
          <w:p w14:paraId="61AC59B4" w14:textId="77777777" w:rsidR="00185BEC" w:rsidRPr="00416121" w:rsidRDefault="00185BEC" w:rsidP="006333DB">
            <w:pPr>
              <w:pStyle w:val="ExhibitText"/>
              <w:tabs>
                <w:tab w:val="decimal" w:pos="1234"/>
              </w:tabs>
              <w:ind w:right="-178"/>
            </w:pPr>
            <w:r w:rsidRPr="00416121">
              <w:t>28.7</w:t>
            </w:r>
          </w:p>
        </w:tc>
      </w:tr>
      <w:tr w:rsidR="003059BB" w:rsidRPr="00416121" w14:paraId="3759447D" w14:textId="77777777" w:rsidTr="00427D4B">
        <w:trPr>
          <w:trHeight w:val="259"/>
          <w:jc w:val="center"/>
        </w:trPr>
        <w:tc>
          <w:tcPr>
            <w:tcW w:w="1170" w:type="dxa"/>
            <w:noWrap/>
            <w:vAlign w:val="center"/>
            <w:hideMark/>
          </w:tcPr>
          <w:p w14:paraId="37E045DB" w14:textId="77777777" w:rsidR="00185BEC" w:rsidRPr="00416121" w:rsidRDefault="00185BEC" w:rsidP="006568CC">
            <w:pPr>
              <w:pStyle w:val="ExhibitText"/>
              <w:jc w:val="center"/>
            </w:pPr>
            <w:r w:rsidRPr="00416121">
              <w:t>2004</w:t>
            </w:r>
          </w:p>
        </w:tc>
        <w:tc>
          <w:tcPr>
            <w:tcW w:w="2025" w:type="dxa"/>
            <w:noWrap/>
            <w:tcMar>
              <w:left w:w="115" w:type="dxa"/>
              <w:right w:w="720" w:type="dxa"/>
            </w:tcMar>
            <w:vAlign w:val="center"/>
            <w:hideMark/>
          </w:tcPr>
          <w:p w14:paraId="31E4AEB0" w14:textId="77777777" w:rsidR="00185BEC" w:rsidRPr="00416121" w:rsidRDefault="00185BEC" w:rsidP="003059BB">
            <w:pPr>
              <w:pStyle w:val="ExhibitText"/>
              <w:jc w:val="right"/>
            </w:pPr>
            <w:r w:rsidRPr="00416121">
              <w:t>10.5</w:t>
            </w:r>
          </w:p>
        </w:tc>
        <w:tc>
          <w:tcPr>
            <w:tcW w:w="2025" w:type="dxa"/>
            <w:noWrap/>
            <w:tcMar>
              <w:left w:w="115" w:type="dxa"/>
              <w:right w:w="720" w:type="dxa"/>
            </w:tcMar>
            <w:vAlign w:val="center"/>
            <w:hideMark/>
          </w:tcPr>
          <w:p w14:paraId="2D0E5E65" w14:textId="77777777" w:rsidR="00185BEC" w:rsidRPr="00416121" w:rsidRDefault="00185BEC" w:rsidP="003059BB">
            <w:pPr>
              <w:pStyle w:val="ExhibitText"/>
              <w:jc w:val="right"/>
            </w:pPr>
            <w:r w:rsidRPr="00416121">
              <w:t>4.3</w:t>
            </w:r>
          </w:p>
        </w:tc>
        <w:tc>
          <w:tcPr>
            <w:tcW w:w="2605" w:type="dxa"/>
            <w:noWrap/>
            <w:tcMar>
              <w:left w:w="115" w:type="dxa"/>
              <w:right w:w="1080" w:type="dxa"/>
            </w:tcMar>
            <w:vAlign w:val="center"/>
            <w:hideMark/>
          </w:tcPr>
          <w:p w14:paraId="1B4814F9" w14:textId="77777777" w:rsidR="00185BEC" w:rsidRPr="00416121" w:rsidRDefault="00185BEC" w:rsidP="006333DB">
            <w:pPr>
              <w:pStyle w:val="ExhibitText"/>
              <w:tabs>
                <w:tab w:val="decimal" w:pos="1234"/>
              </w:tabs>
              <w:ind w:right="-178"/>
            </w:pPr>
            <w:r w:rsidRPr="00416121">
              <w:t>10.9</w:t>
            </w:r>
          </w:p>
        </w:tc>
      </w:tr>
      <w:tr w:rsidR="003059BB" w:rsidRPr="00416121" w14:paraId="2B2F7576" w14:textId="77777777" w:rsidTr="00427D4B">
        <w:trPr>
          <w:trHeight w:val="259"/>
          <w:jc w:val="center"/>
        </w:trPr>
        <w:tc>
          <w:tcPr>
            <w:tcW w:w="1170" w:type="dxa"/>
            <w:noWrap/>
            <w:vAlign w:val="center"/>
            <w:hideMark/>
          </w:tcPr>
          <w:p w14:paraId="76A53371" w14:textId="77777777" w:rsidR="00185BEC" w:rsidRPr="00416121" w:rsidRDefault="00185BEC" w:rsidP="006568CC">
            <w:pPr>
              <w:pStyle w:val="ExhibitText"/>
              <w:jc w:val="center"/>
            </w:pPr>
            <w:r w:rsidRPr="00416121">
              <w:t>2005</w:t>
            </w:r>
          </w:p>
        </w:tc>
        <w:tc>
          <w:tcPr>
            <w:tcW w:w="2025" w:type="dxa"/>
            <w:noWrap/>
            <w:tcMar>
              <w:left w:w="115" w:type="dxa"/>
              <w:right w:w="720" w:type="dxa"/>
            </w:tcMar>
            <w:vAlign w:val="center"/>
            <w:hideMark/>
          </w:tcPr>
          <w:p w14:paraId="3AB3738E" w14:textId="77777777" w:rsidR="00185BEC" w:rsidRPr="00416121" w:rsidRDefault="00185BEC" w:rsidP="003059BB">
            <w:pPr>
              <w:pStyle w:val="ExhibitText"/>
              <w:jc w:val="right"/>
            </w:pPr>
            <w:r w:rsidRPr="00416121">
              <w:t>6.4</w:t>
            </w:r>
          </w:p>
        </w:tc>
        <w:tc>
          <w:tcPr>
            <w:tcW w:w="2025" w:type="dxa"/>
            <w:noWrap/>
            <w:tcMar>
              <w:left w:w="115" w:type="dxa"/>
              <w:right w:w="720" w:type="dxa"/>
            </w:tcMar>
            <w:vAlign w:val="center"/>
            <w:hideMark/>
          </w:tcPr>
          <w:p w14:paraId="1164F205" w14:textId="77777777" w:rsidR="00185BEC" w:rsidRPr="00416121" w:rsidRDefault="00185BEC" w:rsidP="003059BB">
            <w:pPr>
              <w:pStyle w:val="ExhibitText"/>
              <w:jc w:val="right"/>
            </w:pPr>
            <w:r w:rsidRPr="00416121">
              <w:t>0.8</w:t>
            </w:r>
          </w:p>
        </w:tc>
        <w:tc>
          <w:tcPr>
            <w:tcW w:w="2605" w:type="dxa"/>
            <w:noWrap/>
            <w:tcMar>
              <w:left w:w="115" w:type="dxa"/>
              <w:right w:w="1080" w:type="dxa"/>
            </w:tcMar>
            <w:vAlign w:val="center"/>
            <w:hideMark/>
          </w:tcPr>
          <w:p w14:paraId="68A55EB7" w14:textId="77777777" w:rsidR="00185BEC" w:rsidRPr="00416121" w:rsidRDefault="00185BEC" w:rsidP="006333DB">
            <w:pPr>
              <w:pStyle w:val="ExhibitText"/>
              <w:tabs>
                <w:tab w:val="decimal" w:pos="1234"/>
              </w:tabs>
              <w:ind w:right="-178"/>
            </w:pPr>
            <w:r w:rsidRPr="00416121">
              <w:t>4.9</w:t>
            </w:r>
          </w:p>
        </w:tc>
      </w:tr>
    </w:tbl>
    <w:p w14:paraId="74D7E9F6" w14:textId="77777777" w:rsidR="00DC09B3" w:rsidRPr="00416121" w:rsidRDefault="00DC09B3">
      <w:pPr>
        <w:spacing w:after="200" w:line="276" w:lineRule="auto"/>
      </w:pPr>
      <w:r w:rsidRPr="00416121">
        <w:br w:type="page"/>
      </w:r>
    </w:p>
    <w:p w14:paraId="6FDE6553" w14:textId="2778878F" w:rsidR="00DC09B3" w:rsidRPr="00416121" w:rsidRDefault="00DC09B3" w:rsidP="00DC09B3">
      <w:pPr>
        <w:pStyle w:val="ExhibitHeading"/>
        <w:rPr>
          <w:rFonts w:eastAsia="Calibri"/>
        </w:rPr>
      </w:pPr>
      <w:r w:rsidRPr="00416121">
        <w:rPr>
          <w:rFonts w:eastAsia="Calibri"/>
        </w:rPr>
        <w:t>EXHIBIT 1: Continued</w:t>
      </w:r>
    </w:p>
    <w:p w14:paraId="41E21F42" w14:textId="77777777" w:rsidR="00DC09B3" w:rsidRPr="00416121" w:rsidRDefault="00DC09B3" w:rsidP="00F06F63">
      <w:pPr>
        <w:pStyle w:val="ExhibitText"/>
        <w:rPr>
          <w:rFonts w:eastAsia="Calibri"/>
        </w:rPr>
      </w:pPr>
    </w:p>
    <w:tbl>
      <w:tblPr>
        <w:tblStyle w:val="TableGrid"/>
        <w:tblW w:w="4139" w:type="pct"/>
        <w:jc w:val="center"/>
        <w:tblLayout w:type="fixed"/>
        <w:tblLook w:val="04A0" w:firstRow="1" w:lastRow="0" w:firstColumn="1" w:lastColumn="0" w:noHBand="0" w:noVBand="1"/>
      </w:tblPr>
      <w:tblGrid>
        <w:gridCol w:w="1170"/>
        <w:gridCol w:w="1940"/>
        <w:gridCol w:w="2025"/>
        <w:gridCol w:w="2605"/>
      </w:tblGrid>
      <w:tr w:rsidR="00DC09B3" w:rsidRPr="00416121" w14:paraId="7B8D2D09" w14:textId="77777777" w:rsidTr="00427D4B">
        <w:trPr>
          <w:trHeight w:val="404"/>
          <w:tblHeader/>
          <w:jc w:val="center"/>
        </w:trPr>
        <w:tc>
          <w:tcPr>
            <w:tcW w:w="1170" w:type="dxa"/>
            <w:vMerge w:val="restart"/>
            <w:noWrap/>
            <w:vAlign w:val="center"/>
          </w:tcPr>
          <w:p w14:paraId="28A57996" w14:textId="77777777" w:rsidR="00DC09B3" w:rsidRPr="00416121" w:rsidRDefault="00DC09B3" w:rsidP="008C7CFF">
            <w:pPr>
              <w:pStyle w:val="ExhibitText"/>
              <w:jc w:val="center"/>
            </w:pPr>
            <w:r w:rsidRPr="00416121">
              <w:t>Year</w:t>
            </w:r>
          </w:p>
        </w:tc>
        <w:tc>
          <w:tcPr>
            <w:tcW w:w="3965" w:type="dxa"/>
            <w:gridSpan w:val="2"/>
            <w:tcBorders>
              <w:bottom w:val="nil"/>
            </w:tcBorders>
            <w:tcMar>
              <w:left w:w="115" w:type="dxa"/>
            </w:tcMar>
            <w:vAlign w:val="center"/>
          </w:tcPr>
          <w:p w14:paraId="6F363D91" w14:textId="14328952" w:rsidR="00DC09B3" w:rsidRPr="00416121" w:rsidRDefault="00DC09B3" w:rsidP="008C7CFF">
            <w:pPr>
              <w:pStyle w:val="ExhibitText"/>
              <w:jc w:val="center"/>
            </w:pPr>
            <w:r w:rsidRPr="00416121">
              <w:t xml:space="preserve">Change in Berkshire’s </w:t>
            </w:r>
            <w:r w:rsidR="00A04845">
              <w:t>P</w:t>
            </w:r>
            <w:r w:rsidRPr="00416121">
              <w:t xml:space="preserve">er </w:t>
            </w:r>
            <w:r w:rsidR="00A04845">
              <w:t>S</w:t>
            </w:r>
            <w:r w:rsidRPr="00416121">
              <w:t xml:space="preserve">hare </w:t>
            </w:r>
            <w:r w:rsidR="00A04845">
              <w:t>V</w:t>
            </w:r>
            <w:r w:rsidRPr="00416121">
              <w:t>alue (%)</w:t>
            </w:r>
          </w:p>
        </w:tc>
        <w:tc>
          <w:tcPr>
            <w:tcW w:w="2605" w:type="dxa"/>
            <w:vMerge w:val="restart"/>
            <w:tcBorders>
              <w:bottom w:val="single" w:sz="12" w:space="0" w:color="auto"/>
            </w:tcBorders>
            <w:vAlign w:val="center"/>
          </w:tcPr>
          <w:p w14:paraId="0EE4D35C" w14:textId="168ACA5B" w:rsidR="00DC09B3" w:rsidRPr="00416121" w:rsidRDefault="00DC09B3" w:rsidP="006333DB">
            <w:pPr>
              <w:pStyle w:val="ExhibitText"/>
              <w:jc w:val="center"/>
            </w:pPr>
            <w:r w:rsidRPr="00416121">
              <w:t>Change in S&amp;P 500</w:t>
            </w:r>
            <w:r w:rsidR="006333DB">
              <w:t xml:space="preserve"> </w:t>
            </w:r>
            <w:r w:rsidR="00A04845">
              <w:t>I</w:t>
            </w:r>
            <w:r w:rsidRPr="00416121">
              <w:t xml:space="preserve">ncluding </w:t>
            </w:r>
            <w:r w:rsidR="00A04845">
              <w:t>D</w:t>
            </w:r>
            <w:r w:rsidRPr="00416121">
              <w:t>ividends (%)</w:t>
            </w:r>
          </w:p>
        </w:tc>
      </w:tr>
      <w:tr w:rsidR="00DC09B3" w:rsidRPr="00416121" w14:paraId="20B96590" w14:textId="77777777" w:rsidTr="00427D4B">
        <w:trPr>
          <w:trHeight w:val="259"/>
          <w:tblHeader/>
          <w:jc w:val="center"/>
        </w:trPr>
        <w:tc>
          <w:tcPr>
            <w:tcW w:w="1170" w:type="dxa"/>
            <w:vMerge/>
            <w:tcBorders>
              <w:bottom w:val="single" w:sz="12" w:space="0" w:color="auto"/>
            </w:tcBorders>
            <w:noWrap/>
            <w:tcMar>
              <w:left w:w="115" w:type="dxa"/>
            </w:tcMar>
            <w:vAlign w:val="center"/>
            <w:hideMark/>
          </w:tcPr>
          <w:p w14:paraId="7205B072" w14:textId="77777777" w:rsidR="00DC09B3" w:rsidRPr="00416121" w:rsidRDefault="00DC09B3" w:rsidP="008C7CFF">
            <w:pPr>
              <w:pStyle w:val="ExhibitText"/>
              <w:jc w:val="center"/>
            </w:pPr>
          </w:p>
        </w:tc>
        <w:tc>
          <w:tcPr>
            <w:tcW w:w="1940" w:type="dxa"/>
            <w:tcBorders>
              <w:top w:val="nil"/>
              <w:bottom w:val="single" w:sz="12" w:space="0" w:color="auto"/>
            </w:tcBorders>
            <w:tcMar>
              <w:left w:w="115" w:type="dxa"/>
            </w:tcMar>
            <w:vAlign w:val="center"/>
            <w:hideMark/>
          </w:tcPr>
          <w:p w14:paraId="5F4F011E" w14:textId="77777777" w:rsidR="00DC09B3" w:rsidRPr="00416121" w:rsidRDefault="00DC09B3" w:rsidP="008C7CFF">
            <w:pPr>
              <w:pStyle w:val="ExhibitText"/>
              <w:jc w:val="center"/>
            </w:pPr>
            <w:r w:rsidRPr="00416121">
              <w:t>Book Value</w:t>
            </w:r>
          </w:p>
        </w:tc>
        <w:tc>
          <w:tcPr>
            <w:tcW w:w="2025" w:type="dxa"/>
            <w:tcBorders>
              <w:top w:val="nil"/>
              <w:bottom w:val="single" w:sz="12" w:space="0" w:color="auto"/>
            </w:tcBorders>
            <w:tcMar>
              <w:left w:w="115" w:type="dxa"/>
            </w:tcMar>
            <w:vAlign w:val="center"/>
            <w:hideMark/>
          </w:tcPr>
          <w:p w14:paraId="74EAD7E7" w14:textId="77777777" w:rsidR="00DC09B3" w:rsidRPr="00416121" w:rsidRDefault="00DC09B3" w:rsidP="008C7CFF">
            <w:pPr>
              <w:pStyle w:val="ExhibitText"/>
              <w:jc w:val="center"/>
            </w:pPr>
            <w:r w:rsidRPr="00416121">
              <w:t>Market Value</w:t>
            </w:r>
          </w:p>
        </w:tc>
        <w:tc>
          <w:tcPr>
            <w:tcW w:w="2605" w:type="dxa"/>
            <w:vMerge/>
            <w:tcBorders>
              <w:bottom w:val="single" w:sz="12" w:space="0" w:color="auto"/>
            </w:tcBorders>
            <w:tcMar>
              <w:left w:w="115" w:type="dxa"/>
              <w:right w:w="720" w:type="dxa"/>
            </w:tcMar>
            <w:vAlign w:val="center"/>
            <w:hideMark/>
          </w:tcPr>
          <w:p w14:paraId="7069AA5B" w14:textId="77777777" w:rsidR="00DC09B3" w:rsidRPr="00416121" w:rsidRDefault="00DC09B3" w:rsidP="008C7CFF">
            <w:pPr>
              <w:pStyle w:val="ExhibitText"/>
              <w:jc w:val="right"/>
            </w:pPr>
          </w:p>
        </w:tc>
      </w:tr>
      <w:tr w:rsidR="003059BB" w:rsidRPr="00416121" w14:paraId="1E475795" w14:textId="77777777" w:rsidTr="00427D4B">
        <w:trPr>
          <w:trHeight w:val="259"/>
          <w:jc w:val="center"/>
        </w:trPr>
        <w:tc>
          <w:tcPr>
            <w:tcW w:w="1170" w:type="dxa"/>
            <w:noWrap/>
            <w:vAlign w:val="center"/>
            <w:hideMark/>
          </w:tcPr>
          <w:p w14:paraId="56BA07AF" w14:textId="77777777" w:rsidR="00185BEC" w:rsidRPr="00416121" w:rsidRDefault="00185BEC" w:rsidP="00DC09B3">
            <w:pPr>
              <w:pStyle w:val="ExhibitText"/>
              <w:jc w:val="center"/>
            </w:pPr>
            <w:r w:rsidRPr="00416121">
              <w:t>2006</w:t>
            </w:r>
          </w:p>
        </w:tc>
        <w:tc>
          <w:tcPr>
            <w:tcW w:w="1940" w:type="dxa"/>
            <w:noWrap/>
            <w:tcMar>
              <w:left w:w="115" w:type="dxa"/>
              <w:right w:w="720" w:type="dxa"/>
            </w:tcMar>
            <w:vAlign w:val="center"/>
            <w:hideMark/>
          </w:tcPr>
          <w:p w14:paraId="39C599EB" w14:textId="77777777" w:rsidR="00185BEC" w:rsidRPr="00416121" w:rsidRDefault="00185BEC" w:rsidP="003059BB">
            <w:pPr>
              <w:pStyle w:val="ExhibitText"/>
              <w:jc w:val="right"/>
            </w:pPr>
            <w:r w:rsidRPr="00416121">
              <w:t>18.4</w:t>
            </w:r>
          </w:p>
        </w:tc>
        <w:tc>
          <w:tcPr>
            <w:tcW w:w="2025" w:type="dxa"/>
            <w:noWrap/>
            <w:tcMar>
              <w:left w:w="115" w:type="dxa"/>
              <w:right w:w="720" w:type="dxa"/>
            </w:tcMar>
            <w:vAlign w:val="center"/>
            <w:hideMark/>
          </w:tcPr>
          <w:p w14:paraId="6CAEA1F0" w14:textId="77777777" w:rsidR="00185BEC" w:rsidRPr="00416121" w:rsidRDefault="00185BEC" w:rsidP="003059BB">
            <w:pPr>
              <w:pStyle w:val="ExhibitText"/>
              <w:jc w:val="right"/>
            </w:pPr>
            <w:r w:rsidRPr="00416121">
              <w:t>24.1</w:t>
            </w:r>
          </w:p>
        </w:tc>
        <w:tc>
          <w:tcPr>
            <w:tcW w:w="2605" w:type="dxa"/>
            <w:noWrap/>
            <w:tcMar>
              <w:left w:w="115" w:type="dxa"/>
              <w:right w:w="1080" w:type="dxa"/>
            </w:tcMar>
            <w:vAlign w:val="center"/>
            <w:hideMark/>
          </w:tcPr>
          <w:p w14:paraId="02875EAA" w14:textId="77777777" w:rsidR="00185BEC" w:rsidRPr="00416121" w:rsidRDefault="00185BEC" w:rsidP="003059BB">
            <w:pPr>
              <w:pStyle w:val="ExhibitText"/>
              <w:jc w:val="right"/>
            </w:pPr>
            <w:r w:rsidRPr="00416121">
              <w:t>15.8</w:t>
            </w:r>
          </w:p>
        </w:tc>
      </w:tr>
      <w:tr w:rsidR="003059BB" w:rsidRPr="00416121" w14:paraId="70FB6A5F" w14:textId="77777777" w:rsidTr="00427D4B">
        <w:trPr>
          <w:trHeight w:val="259"/>
          <w:jc w:val="center"/>
        </w:trPr>
        <w:tc>
          <w:tcPr>
            <w:tcW w:w="1170" w:type="dxa"/>
            <w:noWrap/>
            <w:vAlign w:val="center"/>
            <w:hideMark/>
          </w:tcPr>
          <w:p w14:paraId="31F7AEF9" w14:textId="77777777" w:rsidR="00185BEC" w:rsidRPr="00416121" w:rsidRDefault="00185BEC" w:rsidP="006568CC">
            <w:pPr>
              <w:pStyle w:val="ExhibitText"/>
              <w:jc w:val="center"/>
            </w:pPr>
            <w:r w:rsidRPr="00416121">
              <w:t>2007</w:t>
            </w:r>
          </w:p>
        </w:tc>
        <w:tc>
          <w:tcPr>
            <w:tcW w:w="1940" w:type="dxa"/>
            <w:noWrap/>
            <w:tcMar>
              <w:left w:w="115" w:type="dxa"/>
              <w:right w:w="720" w:type="dxa"/>
            </w:tcMar>
            <w:vAlign w:val="center"/>
            <w:hideMark/>
          </w:tcPr>
          <w:p w14:paraId="060047A6" w14:textId="456DCF02" w:rsidR="00185BEC" w:rsidRPr="00416121" w:rsidRDefault="00185BEC" w:rsidP="003059BB">
            <w:pPr>
              <w:pStyle w:val="ExhibitText"/>
              <w:jc w:val="right"/>
            </w:pPr>
            <w:r w:rsidRPr="00416121">
              <w:t>11</w:t>
            </w:r>
            <w:r w:rsidR="00E21B3E" w:rsidRPr="00416121">
              <w:t>.0</w:t>
            </w:r>
          </w:p>
        </w:tc>
        <w:tc>
          <w:tcPr>
            <w:tcW w:w="2025" w:type="dxa"/>
            <w:noWrap/>
            <w:tcMar>
              <w:left w:w="115" w:type="dxa"/>
              <w:right w:w="720" w:type="dxa"/>
            </w:tcMar>
            <w:vAlign w:val="center"/>
            <w:hideMark/>
          </w:tcPr>
          <w:p w14:paraId="53C95FD4" w14:textId="77777777" w:rsidR="00185BEC" w:rsidRPr="00416121" w:rsidRDefault="00185BEC" w:rsidP="003059BB">
            <w:pPr>
              <w:pStyle w:val="ExhibitText"/>
              <w:jc w:val="right"/>
            </w:pPr>
            <w:r w:rsidRPr="00416121">
              <w:t>28.7</w:t>
            </w:r>
          </w:p>
        </w:tc>
        <w:tc>
          <w:tcPr>
            <w:tcW w:w="2605" w:type="dxa"/>
            <w:noWrap/>
            <w:tcMar>
              <w:left w:w="115" w:type="dxa"/>
              <w:right w:w="1080" w:type="dxa"/>
            </w:tcMar>
            <w:vAlign w:val="center"/>
            <w:hideMark/>
          </w:tcPr>
          <w:p w14:paraId="6F6E2E84" w14:textId="77777777" w:rsidR="00185BEC" w:rsidRPr="00416121" w:rsidRDefault="00185BEC" w:rsidP="003059BB">
            <w:pPr>
              <w:pStyle w:val="ExhibitText"/>
              <w:jc w:val="right"/>
            </w:pPr>
            <w:r w:rsidRPr="00416121">
              <w:t>5.5</w:t>
            </w:r>
          </w:p>
        </w:tc>
      </w:tr>
      <w:tr w:rsidR="003059BB" w:rsidRPr="00416121" w14:paraId="5CC3B232" w14:textId="77777777" w:rsidTr="00427D4B">
        <w:trPr>
          <w:trHeight w:val="259"/>
          <w:jc w:val="center"/>
        </w:trPr>
        <w:tc>
          <w:tcPr>
            <w:tcW w:w="1170" w:type="dxa"/>
            <w:noWrap/>
            <w:vAlign w:val="center"/>
            <w:hideMark/>
          </w:tcPr>
          <w:p w14:paraId="782CB86B" w14:textId="77777777" w:rsidR="00185BEC" w:rsidRPr="00416121" w:rsidRDefault="00185BEC" w:rsidP="006568CC">
            <w:pPr>
              <w:pStyle w:val="ExhibitText"/>
              <w:jc w:val="center"/>
            </w:pPr>
            <w:r w:rsidRPr="00416121">
              <w:t>2008</w:t>
            </w:r>
          </w:p>
        </w:tc>
        <w:tc>
          <w:tcPr>
            <w:tcW w:w="1940" w:type="dxa"/>
            <w:noWrap/>
            <w:tcMar>
              <w:left w:w="115" w:type="dxa"/>
              <w:right w:w="720" w:type="dxa"/>
            </w:tcMar>
            <w:vAlign w:val="center"/>
            <w:hideMark/>
          </w:tcPr>
          <w:p w14:paraId="66ABCF17" w14:textId="118D3F36" w:rsidR="00185BEC" w:rsidRPr="00416121" w:rsidRDefault="00E21B3E" w:rsidP="003059BB">
            <w:pPr>
              <w:pStyle w:val="ExhibitText"/>
              <w:jc w:val="right"/>
            </w:pPr>
            <w:r w:rsidRPr="00416121">
              <w:t>−</w:t>
            </w:r>
            <w:r w:rsidR="00185BEC" w:rsidRPr="00416121">
              <w:t>9.6</w:t>
            </w:r>
          </w:p>
        </w:tc>
        <w:tc>
          <w:tcPr>
            <w:tcW w:w="2025" w:type="dxa"/>
            <w:noWrap/>
            <w:tcMar>
              <w:left w:w="115" w:type="dxa"/>
              <w:right w:w="720" w:type="dxa"/>
            </w:tcMar>
            <w:vAlign w:val="center"/>
            <w:hideMark/>
          </w:tcPr>
          <w:p w14:paraId="683486AF" w14:textId="72BEA9AB" w:rsidR="00185BEC" w:rsidRPr="00416121" w:rsidRDefault="00E21B3E" w:rsidP="003059BB">
            <w:pPr>
              <w:pStyle w:val="ExhibitText"/>
              <w:jc w:val="right"/>
            </w:pPr>
            <w:r w:rsidRPr="00416121">
              <w:t>−</w:t>
            </w:r>
            <w:r w:rsidR="00185BEC" w:rsidRPr="00416121">
              <w:t>31.8</w:t>
            </w:r>
          </w:p>
        </w:tc>
        <w:tc>
          <w:tcPr>
            <w:tcW w:w="2605" w:type="dxa"/>
            <w:noWrap/>
            <w:tcMar>
              <w:left w:w="115" w:type="dxa"/>
              <w:right w:w="1080" w:type="dxa"/>
            </w:tcMar>
            <w:vAlign w:val="center"/>
            <w:hideMark/>
          </w:tcPr>
          <w:p w14:paraId="421FE5E7" w14:textId="17800806" w:rsidR="00185BEC" w:rsidRPr="00416121" w:rsidRDefault="00E21B3E" w:rsidP="003059BB">
            <w:pPr>
              <w:pStyle w:val="ExhibitText"/>
              <w:jc w:val="right"/>
            </w:pPr>
            <w:r w:rsidRPr="00416121">
              <w:t>−</w:t>
            </w:r>
            <w:r w:rsidR="00185BEC" w:rsidRPr="00416121">
              <w:t>37</w:t>
            </w:r>
            <w:r w:rsidRPr="00416121">
              <w:t>.0</w:t>
            </w:r>
          </w:p>
        </w:tc>
      </w:tr>
      <w:tr w:rsidR="003059BB" w:rsidRPr="00416121" w14:paraId="069E96D2" w14:textId="77777777" w:rsidTr="00427D4B">
        <w:trPr>
          <w:trHeight w:val="259"/>
          <w:jc w:val="center"/>
        </w:trPr>
        <w:tc>
          <w:tcPr>
            <w:tcW w:w="1170" w:type="dxa"/>
            <w:noWrap/>
            <w:vAlign w:val="center"/>
            <w:hideMark/>
          </w:tcPr>
          <w:p w14:paraId="5A981BDA" w14:textId="77777777" w:rsidR="00185BEC" w:rsidRPr="00416121" w:rsidRDefault="00185BEC" w:rsidP="006568CC">
            <w:pPr>
              <w:pStyle w:val="ExhibitText"/>
              <w:jc w:val="center"/>
            </w:pPr>
            <w:r w:rsidRPr="00416121">
              <w:t>2009</w:t>
            </w:r>
          </w:p>
        </w:tc>
        <w:tc>
          <w:tcPr>
            <w:tcW w:w="1940" w:type="dxa"/>
            <w:noWrap/>
            <w:tcMar>
              <w:left w:w="115" w:type="dxa"/>
              <w:right w:w="720" w:type="dxa"/>
            </w:tcMar>
            <w:vAlign w:val="center"/>
            <w:hideMark/>
          </w:tcPr>
          <w:p w14:paraId="1871656C" w14:textId="77777777" w:rsidR="00185BEC" w:rsidRPr="00416121" w:rsidRDefault="00185BEC" w:rsidP="003059BB">
            <w:pPr>
              <w:pStyle w:val="ExhibitText"/>
              <w:jc w:val="right"/>
            </w:pPr>
            <w:r w:rsidRPr="00416121">
              <w:t>19.8</w:t>
            </w:r>
          </w:p>
        </w:tc>
        <w:tc>
          <w:tcPr>
            <w:tcW w:w="2025" w:type="dxa"/>
            <w:noWrap/>
            <w:tcMar>
              <w:left w:w="115" w:type="dxa"/>
              <w:right w:w="720" w:type="dxa"/>
            </w:tcMar>
            <w:vAlign w:val="center"/>
            <w:hideMark/>
          </w:tcPr>
          <w:p w14:paraId="514C90F0" w14:textId="77777777" w:rsidR="00185BEC" w:rsidRPr="00416121" w:rsidRDefault="00185BEC" w:rsidP="003059BB">
            <w:pPr>
              <w:pStyle w:val="ExhibitText"/>
              <w:jc w:val="right"/>
            </w:pPr>
            <w:r w:rsidRPr="00416121">
              <w:t>2.7</w:t>
            </w:r>
          </w:p>
        </w:tc>
        <w:tc>
          <w:tcPr>
            <w:tcW w:w="2605" w:type="dxa"/>
            <w:noWrap/>
            <w:tcMar>
              <w:left w:w="115" w:type="dxa"/>
              <w:right w:w="1080" w:type="dxa"/>
            </w:tcMar>
            <w:vAlign w:val="center"/>
            <w:hideMark/>
          </w:tcPr>
          <w:p w14:paraId="01612394" w14:textId="77777777" w:rsidR="00185BEC" w:rsidRPr="00416121" w:rsidRDefault="00185BEC" w:rsidP="003059BB">
            <w:pPr>
              <w:pStyle w:val="ExhibitText"/>
              <w:jc w:val="right"/>
            </w:pPr>
            <w:r w:rsidRPr="00416121">
              <w:t>26.5</w:t>
            </w:r>
          </w:p>
        </w:tc>
      </w:tr>
      <w:tr w:rsidR="003059BB" w:rsidRPr="00416121" w14:paraId="277BE7E1" w14:textId="77777777" w:rsidTr="00427D4B">
        <w:trPr>
          <w:trHeight w:val="259"/>
          <w:jc w:val="center"/>
        </w:trPr>
        <w:tc>
          <w:tcPr>
            <w:tcW w:w="1170" w:type="dxa"/>
            <w:noWrap/>
            <w:vAlign w:val="center"/>
            <w:hideMark/>
          </w:tcPr>
          <w:p w14:paraId="0D0CB6A8" w14:textId="77777777" w:rsidR="00185BEC" w:rsidRPr="00416121" w:rsidRDefault="00185BEC" w:rsidP="006568CC">
            <w:pPr>
              <w:pStyle w:val="ExhibitText"/>
              <w:jc w:val="center"/>
            </w:pPr>
            <w:r w:rsidRPr="00416121">
              <w:t>2010</w:t>
            </w:r>
          </w:p>
        </w:tc>
        <w:tc>
          <w:tcPr>
            <w:tcW w:w="1940" w:type="dxa"/>
            <w:noWrap/>
            <w:tcMar>
              <w:left w:w="115" w:type="dxa"/>
              <w:right w:w="720" w:type="dxa"/>
            </w:tcMar>
            <w:vAlign w:val="center"/>
            <w:hideMark/>
          </w:tcPr>
          <w:p w14:paraId="3BC80B21" w14:textId="7E63174B" w:rsidR="00185BEC" w:rsidRPr="00416121" w:rsidRDefault="00185BEC" w:rsidP="003059BB">
            <w:pPr>
              <w:pStyle w:val="ExhibitText"/>
              <w:jc w:val="right"/>
            </w:pPr>
            <w:r w:rsidRPr="00416121">
              <w:t>13</w:t>
            </w:r>
            <w:r w:rsidR="00E21B3E" w:rsidRPr="00416121">
              <w:t>.0</w:t>
            </w:r>
          </w:p>
        </w:tc>
        <w:tc>
          <w:tcPr>
            <w:tcW w:w="2025" w:type="dxa"/>
            <w:noWrap/>
            <w:tcMar>
              <w:left w:w="115" w:type="dxa"/>
              <w:right w:w="720" w:type="dxa"/>
            </w:tcMar>
            <w:vAlign w:val="center"/>
            <w:hideMark/>
          </w:tcPr>
          <w:p w14:paraId="045FBF20" w14:textId="77777777" w:rsidR="00185BEC" w:rsidRPr="00416121" w:rsidRDefault="00185BEC" w:rsidP="003059BB">
            <w:pPr>
              <w:pStyle w:val="ExhibitText"/>
              <w:jc w:val="right"/>
            </w:pPr>
            <w:r w:rsidRPr="00416121">
              <w:t>21.4</w:t>
            </w:r>
          </w:p>
        </w:tc>
        <w:tc>
          <w:tcPr>
            <w:tcW w:w="2605" w:type="dxa"/>
            <w:noWrap/>
            <w:tcMar>
              <w:left w:w="115" w:type="dxa"/>
              <w:right w:w="1080" w:type="dxa"/>
            </w:tcMar>
            <w:vAlign w:val="center"/>
            <w:hideMark/>
          </w:tcPr>
          <w:p w14:paraId="6833D4E9" w14:textId="77777777" w:rsidR="00185BEC" w:rsidRPr="00416121" w:rsidRDefault="00185BEC" w:rsidP="003059BB">
            <w:pPr>
              <w:pStyle w:val="ExhibitText"/>
              <w:jc w:val="right"/>
            </w:pPr>
            <w:r w:rsidRPr="00416121">
              <w:t>15.1</w:t>
            </w:r>
          </w:p>
        </w:tc>
      </w:tr>
      <w:tr w:rsidR="003059BB" w:rsidRPr="00416121" w14:paraId="11D7219A" w14:textId="77777777" w:rsidTr="00427D4B">
        <w:trPr>
          <w:trHeight w:val="259"/>
          <w:jc w:val="center"/>
        </w:trPr>
        <w:tc>
          <w:tcPr>
            <w:tcW w:w="1170" w:type="dxa"/>
            <w:noWrap/>
            <w:vAlign w:val="center"/>
            <w:hideMark/>
          </w:tcPr>
          <w:p w14:paraId="577B7888" w14:textId="77777777" w:rsidR="00185BEC" w:rsidRPr="00416121" w:rsidRDefault="00185BEC" w:rsidP="006568CC">
            <w:pPr>
              <w:pStyle w:val="ExhibitText"/>
              <w:jc w:val="center"/>
            </w:pPr>
            <w:r w:rsidRPr="00416121">
              <w:t>2011</w:t>
            </w:r>
          </w:p>
        </w:tc>
        <w:tc>
          <w:tcPr>
            <w:tcW w:w="1940" w:type="dxa"/>
            <w:noWrap/>
            <w:tcMar>
              <w:left w:w="115" w:type="dxa"/>
              <w:right w:w="720" w:type="dxa"/>
            </w:tcMar>
            <w:vAlign w:val="center"/>
            <w:hideMark/>
          </w:tcPr>
          <w:p w14:paraId="36CBD26C" w14:textId="77777777" w:rsidR="00185BEC" w:rsidRPr="00416121" w:rsidRDefault="00185BEC" w:rsidP="003059BB">
            <w:pPr>
              <w:pStyle w:val="ExhibitText"/>
              <w:jc w:val="right"/>
            </w:pPr>
            <w:r w:rsidRPr="00416121">
              <w:t>4.6</w:t>
            </w:r>
          </w:p>
        </w:tc>
        <w:tc>
          <w:tcPr>
            <w:tcW w:w="2025" w:type="dxa"/>
            <w:noWrap/>
            <w:tcMar>
              <w:left w:w="115" w:type="dxa"/>
              <w:right w:w="720" w:type="dxa"/>
            </w:tcMar>
            <w:vAlign w:val="center"/>
            <w:hideMark/>
          </w:tcPr>
          <w:p w14:paraId="44544AFB" w14:textId="25C08E3F" w:rsidR="00185BEC" w:rsidRPr="00416121" w:rsidRDefault="00E21B3E" w:rsidP="003059BB">
            <w:pPr>
              <w:pStyle w:val="ExhibitText"/>
              <w:jc w:val="right"/>
            </w:pPr>
            <w:r w:rsidRPr="00416121">
              <w:t>−</w:t>
            </w:r>
            <w:r w:rsidR="00185BEC" w:rsidRPr="00416121">
              <w:t>4.7</w:t>
            </w:r>
          </w:p>
        </w:tc>
        <w:tc>
          <w:tcPr>
            <w:tcW w:w="2605" w:type="dxa"/>
            <w:noWrap/>
            <w:tcMar>
              <w:left w:w="115" w:type="dxa"/>
              <w:right w:w="1080" w:type="dxa"/>
            </w:tcMar>
            <w:vAlign w:val="center"/>
            <w:hideMark/>
          </w:tcPr>
          <w:p w14:paraId="70CD5F8A" w14:textId="77777777" w:rsidR="00185BEC" w:rsidRPr="00416121" w:rsidRDefault="00185BEC" w:rsidP="003059BB">
            <w:pPr>
              <w:pStyle w:val="ExhibitText"/>
              <w:jc w:val="right"/>
            </w:pPr>
            <w:r w:rsidRPr="00416121">
              <w:t>2.1</w:t>
            </w:r>
          </w:p>
        </w:tc>
      </w:tr>
      <w:tr w:rsidR="003059BB" w:rsidRPr="00416121" w14:paraId="6B01BEA3" w14:textId="77777777" w:rsidTr="00427D4B">
        <w:trPr>
          <w:trHeight w:val="259"/>
          <w:jc w:val="center"/>
        </w:trPr>
        <w:tc>
          <w:tcPr>
            <w:tcW w:w="1170" w:type="dxa"/>
            <w:noWrap/>
            <w:vAlign w:val="center"/>
            <w:hideMark/>
          </w:tcPr>
          <w:p w14:paraId="0530DD27" w14:textId="77777777" w:rsidR="00185BEC" w:rsidRPr="00416121" w:rsidRDefault="00185BEC" w:rsidP="006568CC">
            <w:pPr>
              <w:pStyle w:val="ExhibitText"/>
              <w:jc w:val="center"/>
            </w:pPr>
            <w:r w:rsidRPr="00416121">
              <w:t>2012</w:t>
            </w:r>
          </w:p>
        </w:tc>
        <w:tc>
          <w:tcPr>
            <w:tcW w:w="1940" w:type="dxa"/>
            <w:noWrap/>
            <w:tcMar>
              <w:left w:w="115" w:type="dxa"/>
              <w:right w:w="720" w:type="dxa"/>
            </w:tcMar>
            <w:vAlign w:val="center"/>
            <w:hideMark/>
          </w:tcPr>
          <w:p w14:paraId="3EA0CA3B" w14:textId="77777777" w:rsidR="00185BEC" w:rsidRPr="00416121" w:rsidRDefault="00185BEC" w:rsidP="003059BB">
            <w:pPr>
              <w:pStyle w:val="ExhibitText"/>
              <w:jc w:val="right"/>
            </w:pPr>
            <w:r w:rsidRPr="00416121">
              <w:t>14.4</w:t>
            </w:r>
          </w:p>
        </w:tc>
        <w:tc>
          <w:tcPr>
            <w:tcW w:w="2025" w:type="dxa"/>
            <w:noWrap/>
            <w:tcMar>
              <w:left w:w="115" w:type="dxa"/>
              <w:right w:w="720" w:type="dxa"/>
            </w:tcMar>
            <w:vAlign w:val="center"/>
            <w:hideMark/>
          </w:tcPr>
          <w:p w14:paraId="397B0197" w14:textId="77777777" w:rsidR="00185BEC" w:rsidRPr="00416121" w:rsidRDefault="00185BEC" w:rsidP="003059BB">
            <w:pPr>
              <w:pStyle w:val="ExhibitText"/>
              <w:jc w:val="right"/>
            </w:pPr>
            <w:r w:rsidRPr="00416121">
              <w:t>16.8</w:t>
            </w:r>
          </w:p>
        </w:tc>
        <w:tc>
          <w:tcPr>
            <w:tcW w:w="2605" w:type="dxa"/>
            <w:noWrap/>
            <w:tcMar>
              <w:left w:w="115" w:type="dxa"/>
              <w:right w:w="1080" w:type="dxa"/>
            </w:tcMar>
            <w:vAlign w:val="center"/>
            <w:hideMark/>
          </w:tcPr>
          <w:p w14:paraId="3EF8D49F" w14:textId="2640482F" w:rsidR="00185BEC" w:rsidRPr="00416121" w:rsidRDefault="00185BEC" w:rsidP="003059BB">
            <w:pPr>
              <w:pStyle w:val="ExhibitText"/>
              <w:jc w:val="right"/>
            </w:pPr>
            <w:r w:rsidRPr="00416121">
              <w:t>16</w:t>
            </w:r>
            <w:r w:rsidR="00E21B3E" w:rsidRPr="00416121">
              <w:t>.0</w:t>
            </w:r>
          </w:p>
        </w:tc>
      </w:tr>
      <w:tr w:rsidR="003059BB" w:rsidRPr="00416121" w14:paraId="3287F24C" w14:textId="77777777" w:rsidTr="00427D4B">
        <w:trPr>
          <w:trHeight w:val="259"/>
          <w:jc w:val="center"/>
        </w:trPr>
        <w:tc>
          <w:tcPr>
            <w:tcW w:w="1170" w:type="dxa"/>
            <w:noWrap/>
            <w:vAlign w:val="center"/>
            <w:hideMark/>
          </w:tcPr>
          <w:p w14:paraId="3CFB5C1D" w14:textId="77777777" w:rsidR="00185BEC" w:rsidRPr="00416121" w:rsidRDefault="00185BEC" w:rsidP="006568CC">
            <w:pPr>
              <w:pStyle w:val="ExhibitText"/>
              <w:jc w:val="center"/>
            </w:pPr>
            <w:r w:rsidRPr="00416121">
              <w:t>2013</w:t>
            </w:r>
          </w:p>
        </w:tc>
        <w:tc>
          <w:tcPr>
            <w:tcW w:w="1940" w:type="dxa"/>
            <w:noWrap/>
            <w:tcMar>
              <w:left w:w="115" w:type="dxa"/>
              <w:right w:w="720" w:type="dxa"/>
            </w:tcMar>
            <w:vAlign w:val="center"/>
            <w:hideMark/>
          </w:tcPr>
          <w:p w14:paraId="1209A9C4" w14:textId="77777777" w:rsidR="00185BEC" w:rsidRPr="00416121" w:rsidRDefault="00185BEC" w:rsidP="003059BB">
            <w:pPr>
              <w:pStyle w:val="ExhibitText"/>
              <w:jc w:val="right"/>
            </w:pPr>
            <w:r w:rsidRPr="00416121">
              <w:t>18.2</w:t>
            </w:r>
          </w:p>
        </w:tc>
        <w:tc>
          <w:tcPr>
            <w:tcW w:w="2025" w:type="dxa"/>
            <w:noWrap/>
            <w:tcMar>
              <w:left w:w="115" w:type="dxa"/>
              <w:right w:w="720" w:type="dxa"/>
            </w:tcMar>
            <w:vAlign w:val="center"/>
            <w:hideMark/>
          </w:tcPr>
          <w:p w14:paraId="17C286E4" w14:textId="77777777" w:rsidR="00185BEC" w:rsidRPr="00416121" w:rsidRDefault="00185BEC" w:rsidP="003059BB">
            <w:pPr>
              <w:pStyle w:val="ExhibitText"/>
              <w:jc w:val="right"/>
            </w:pPr>
            <w:r w:rsidRPr="00416121">
              <w:t>32.7</w:t>
            </w:r>
          </w:p>
        </w:tc>
        <w:tc>
          <w:tcPr>
            <w:tcW w:w="2605" w:type="dxa"/>
            <w:noWrap/>
            <w:tcMar>
              <w:left w:w="115" w:type="dxa"/>
              <w:right w:w="1080" w:type="dxa"/>
            </w:tcMar>
            <w:vAlign w:val="center"/>
            <w:hideMark/>
          </w:tcPr>
          <w:p w14:paraId="1CBDA5A2" w14:textId="77777777" w:rsidR="00185BEC" w:rsidRPr="00416121" w:rsidRDefault="00185BEC" w:rsidP="003059BB">
            <w:pPr>
              <w:pStyle w:val="ExhibitText"/>
              <w:jc w:val="right"/>
            </w:pPr>
            <w:r w:rsidRPr="00416121">
              <w:t>32.4</w:t>
            </w:r>
          </w:p>
        </w:tc>
      </w:tr>
      <w:tr w:rsidR="003059BB" w:rsidRPr="00416121" w14:paraId="0A40D013" w14:textId="77777777" w:rsidTr="00427D4B">
        <w:trPr>
          <w:trHeight w:val="259"/>
          <w:jc w:val="center"/>
        </w:trPr>
        <w:tc>
          <w:tcPr>
            <w:tcW w:w="1170" w:type="dxa"/>
            <w:noWrap/>
            <w:vAlign w:val="center"/>
            <w:hideMark/>
          </w:tcPr>
          <w:p w14:paraId="24671B2A" w14:textId="77777777" w:rsidR="00185BEC" w:rsidRPr="00416121" w:rsidRDefault="00185BEC" w:rsidP="006568CC">
            <w:pPr>
              <w:pStyle w:val="ExhibitText"/>
              <w:jc w:val="center"/>
            </w:pPr>
            <w:r w:rsidRPr="00416121">
              <w:t>2014</w:t>
            </w:r>
          </w:p>
        </w:tc>
        <w:tc>
          <w:tcPr>
            <w:tcW w:w="1940" w:type="dxa"/>
            <w:noWrap/>
            <w:tcMar>
              <w:left w:w="115" w:type="dxa"/>
              <w:right w:w="720" w:type="dxa"/>
            </w:tcMar>
            <w:vAlign w:val="center"/>
            <w:hideMark/>
          </w:tcPr>
          <w:p w14:paraId="2289CDA9" w14:textId="77777777" w:rsidR="00185BEC" w:rsidRPr="00416121" w:rsidRDefault="00185BEC" w:rsidP="003059BB">
            <w:pPr>
              <w:pStyle w:val="ExhibitText"/>
              <w:jc w:val="right"/>
            </w:pPr>
            <w:r w:rsidRPr="00416121">
              <w:t>8.3</w:t>
            </w:r>
          </w:p>
        </w:tc>
        <w:tc>
          <w:tcPr>
            <w:tcW w:w="2025" w:type="dxa"/>
            <w:noWrap/>
            <w:tcMar>
              <w:left w:w="115" w:type="dxa"/>
              <w:right w:w="720" w:type="dxa"/>
            </w:tcMar>
            <w:vAlign w:val="center"/>
            <w:hideMark/>
          </w:tcPr>
          <w:p w14:paraId="1BA3971A" w14:textId="76CC827D" w:rsidR="00185BEC" w:rsidRPr="00416121" w:rsidRDefault="00185BEC" w:rsidP="003059BB">
            <w:pPr>
              <w:pStyle w:val="ExhibitText"/>
              <w:jc w:val="right"/>
            </w:pPr>
            <w:r w:rsidRPr="00416121">
              <w:t>27</w:t>
            </w:r>
            <w:r w:rsidR="00E21B3E" w:rsidRPr="00416121">
              <w:t>.0</w:t>
            </w:r>
          </w:p>
        </w:tc>
        <w:tc>
          <w:tcPr>
            <w:tcW w:w="2605" w:type="dxa"/>
            <w:noWrap/>
            <w:tcMar>
              <w:left w:w="115" w:type="dxa"/>
              <w:right w:w="1080" w:type="dxa"/>
            </w:tcMar>
            <w:vAlign w:val="center"/>
            <w:hideMark/>
          </w:tcPr>
          <w:p w14:paraId="6DE87797" w14:textId="77777777" w:rsidR="00185BEC" w:rsidRPr="00416121" w:rsidRDefault="00185BEC" w:rsidP="003059BB">
            <w:pPr>
              <w:pStyle w:val="ExhibitText"/>
              <w:jc w:val="right"/>
            </w:pPr>
            <w:r w:rsidRPr="00416121">
              <w:t>13.7</w:t>
            </w:r>
          </w:p>
        </w:tc>
      </w:tr>
      <w:tr w:rsidR="003059BB" w:rsidRPr="00416121" w14:paraId="01788D04" w14:textId="77777777" w:rsidTr="00427D4B">
        <w:trPr>
          <w:trHeight w:val="259"/>
          <w:jc w:val="center"/>
        </w:trPr>
        <w:tc>
          <w:tcPr>
            <w:tcW w:w="1170" w:type="dxa"/>
            <w:noWrap/>
            <w:vAlign w:val="center"/>
            <w:hideMark/>
          </w:tcPr>
          <w:p w14:paraId="737B11E3" w14:textId="77777777" w:rsidR="00185BEC" w:rsidRPr="00416121" w:rsidRDefault="00185BEC" w:rsidP="006568CC">
            <w:pPr>
              <w:pStyle w:val="ExhibitText"/>
              <w:jc w:val="center"/>
            </w:pPr>
            <w:r w:rsidRPr="00416121">
              <w:t>2015</w:t>
            </w:r>
          </w:p>
        </w:tc>
        <w:tc>
          <w:tcPr>
            <w:tcW w:w="1940" w:type="dxa"/>
            <w:noWrap/>
            <w:tcMar>
              <w:left w:w="115" w:type="dxa"/>
              <w:right w:w="720" w:type="dxa"/>
            </w:tcMar>
            <w:vAlign w:val="center"/>
            <w:hideMark/>
          </w:tcPr>
          <w:p w14:paraId="536A1904" w14:textId="77777777" w:rsidR="00185BEC" w:rsidRPr="00416121" w:rsidRDefault="00185BEC" w:rsidP="003059BB">
            <w:pPr>
              <w:pStyle w:val="ExhibitText"/>
              <w:jc w:val="right"/>
            </w:pPr>
            <w:r w:rsidRPr="00416121">
              <w:t>6.4</w:t>
            </w:r>
          </w:p>
        </w:tc>
        <w:tc>
          <w:tcPr>
            <w:tcW w:w="2025" w:type="dxa"/>
            <w:noWrap/>
            <w:tcMar>
              <w:left w:w="115" w:type="dxa"/>
              <w:right w:w="720" w:type="dxa"/>
            </w:tcMar>
            <w:vAlign w:val="center"/>
            <w:hideMark/>
          </w:tcPr>
          <w:p w14:paraId="284E897E" w14:textId="671DC5F9" w:rsidR="00185BEC" w:rsidRPr="00416121" w:rsidRDefault="00E21B3E" w:rsidP="003059BB">
            <w:pPr>
              <w:pStyle w:val="ExhibitText"/>
              <w:jc w:val="right"/>
            </w:pPr>
            <w:r w:rsidRPr="00416121">
              <w:t>−</w:t>
            </w:r>
            <w:r w:rsidR="00185BEC" w:rsidRPr="00416121">
              <w:t>12.5</w:t>
            </w:r>
          </w:p>
        </w:tc>
        <w:tc>
          <w:tcPr>
            <w:tcW w:w="2605" w:type="dxa"/>
            <w:noWrap/>
            <w:tcMar>
              <w:left w:w="115" w:type="dxa"/>
              <w:right w:w="1080" w:type="dxa"/>
            </w:tcMar>
            <w:vAlign w:val="center"/>
            <w:hideMark/>
          </w:tcPr>
          <w:p w14:paraId="67FD74D9" w14:textId="77777777" w:rsidR="00185BEC" w:rsidRPr="00416121" w:rsidRDefault="00185BEC" w:rsidP="003059BB">
            <w:pPr>
              <w:pStyle w:val="ExhibitText"/>
              <w:jc w:val="right"/>
            </w:pPr>
            <w:r w:rsidRPr="00416121">
              <w:t>1.4</w:t>
            </w:r>
          </w:p>
        </w:tc>
      </w:tr>
      <w:tr w:rsidR="003059BB" w:rsidRPr="00416121" w14:paraId="5D225D9C" w14:textId="77777777" w:rsidTr="00427D4B">
        <w:trPr>
          <w:trHeight w:val="259"/>
          <w:jc w:val="center"/>
        </w:trPr>
        <w:tc>
          <w:tcPr>
            <w:tcW w:w="1170" w:type="dxa"/>
            <w:noWrap/>
            <w:vAlign w:val="center"/>
            <w:hideMark/>
          </w:tcPr>
          <w:p w14:paraId="08C68050" w14:textId="77777777" w:rsidR="00185BEC" w:rsidRPr="00416121" w:rsidRDefault="00185BEC" w:rsidP="006568CC">
            <w:pPr>
              <w:pStyle w:val="ExhibitText"/>
              <w:jc w:val="center"/>
            </w:pPr>
            <w:r w:rsidRPr="00416121">
              <w:t>2016</w:t>
            </w:r>
          </w:p>
        </w:tc>
        <w:tc>
          <w:tcPr>
            <w:tcW w:w="1940" w:type="dxa"/>
            <w:noWrap/>
            <w:tcMar>
              <w:left w:w="115" w:type="dxa"/>
              <w:right w:w="720" w:type="dxa"/>
            </w:tcMar>
            <w:vAlign w:val="center"/>
            <w:hideMark/>
          </w:tcPr>
          <w:p w14:paraId="423536D5" w14:textId="77777777" w:rsidR="00185BEC" w:rsidRPr="00416121" w:rsidRDefault="00185BEC" w:rsidP="003059BB">
            <w:pPr>
              <w:pStyle w:val="ExhibitText"/>
              <w:jc w:val="right"/>
            </w:pPr>
            <w:r w:rsidRPr="00416121">
              <w:t>10.7</w:t>
            </w:r>
          </w:p>
        </w:tc>
        <w:tc>
          <w:tcPr>
            <w:tcW w:w="2025" w:type="dxa"/>
            <w:noWrap/>
            <w:tcMar>
              <w:left w:w="115" w:type="dxa"/>
              <w:right w:w="720" w:type="dxa"/>
            </w:tcMar>
            <w:vAlign w:val="center"/>
            <w:hideMark/>
          </w:tcPr>
          <w:p w14:paraId="0E857072" w14:textId="77777777" w:rsidR="00185BEC" w:rsidRPr="00416121" w:rsidRDefault="00185BEC" w:rsidP="003059BB">
            <w:pPr>
              <w:pStyle w:val="ExhibitText"/>
              <w:jc w:val="right"/>
            </w:pPr>
            <w:r w:rsidRPr="00416121">
              <w:t>23.4</w:t>
            </w:r>
          </w:p>
        </w:tc>
        <w:tc>
          <w:tcPr>
            <w:tcW w:w="2605" w:type="dxa"/>
            <w:noWrap/>
            <w:tcMar>
              <w:left w:w="115" w:type="dxa"/>
              <w:right w:w="1080" w:type="dxa"/>
            </w:tcMar>
            <w:vAlign w:val="center"/>
            <w:hideMark/>
          </w:tcPr>
          <w:p w14:paraId="30378627" w14:textId="500BF3AE" w:rsidR="00185BEC" w:rsidRPr="00416121" w:rsidRDefault="00185BEC" w:rsidP="003059BB">
            <w:pPr>
              <w:pStyle w:val="ExhibitText"/>
              <w:jc w:val="right"/>
            </w:pPr>
            <w:r w:rsidRPr="00416121">
              <w:t>12</w:t>
            </w:r>
            <w:r w:rsidR="00E21B3E" w:rsidRPr="00416121">
              <w:t>.0</w:t>
            </w:r>
          </w:p>
        </w:tc>
      </w:tr>
      <w:tr w:rsidR="003059BB" w:rsidRPr="00416121" w14:paraId="0B43F1DB" w14:textId="77777777" w:rsidTr="00427D4B">
        <w:trPr>
          <w:trHeight w:val="259"/>
          <w:jc w:val="center"/>
        </w:trPr>
        <w:tc>
          <w:tcPr>
            <w:tcW w:w="1170" w:type="dxa"/>
            <w:noWrap/>
            <w:vAlign w:val="center"/>
            <w:hideMark/>
          </w:tcPr>
          <w:p w14:paraId="0A6E028A" w14:textId="77777777" w:rsidR="00185BEC" w:rsidRPr="00416121" w:rsidRDefault="00185BEC" w:rsidP="006568CC">
            <w:pPr>
              <w:pStyle w:val="ExhibitText"/>
              <w:jc w:val="center"/>
            </w:pPr>
            <w:r w:rsidRPr="00416121">
              <w:t>2017</w:t>
            </w:r>
          </w:p>
        </w:tc>
        <w:tc>
          <w:tcPr>
            <w:tcW w:w="1940" w:type="dxa"/>
            <w:noWrap/>
            <w:tcMar>
              <w:left w:w="115" w:type="dxa"/>
              <w:right w:w="720" w:type="dxa"/>
            </w:tcMar>
            <w:vAlign w:val="center"/>
            <w:hideMark/>
          </w:tcPr>
          <w:p w14:paraId="39642BF2" w14:textId="25599D89" w:rsidR="00185BEC" w:rsidRPr="00416121" w:rsidRDefault="00185BEC" w:rsidP="003059BB">
            <w:pPr>
              <w:pStyle w:val="ExhibitText"/>
              <w:jc w:val="right"/>
            </w:pPr>
            <w:r w:rsidRPr="00416121">
              <w:t>23</w:t>
            </w:r>
            <w:r w:rsidR="00E21B3E" w:rsidRPr="00416121">
              <w:t>.0</w:t>
            </w:r>
          </w:p>
        </w:tc>
        <w:tc>
          <w:tcPr>
            <w:tcW w:w="2025" w:type="dxa"/>
            <w:noWrap/>
            <w:tcMar>
              <w:left w:w="115" w:type="dxa"/>
              <w:right w:w="720" w:type="dxa"/>
            </w:tcMar>
            <w:vAlign w:val="center"/>
            <w:hideMark/>
          </w:tcPr>
          <w:p w14:paraId="52F6A526" w14:textId="77777777" w:rsidR="00185BEC" w:rsidRPr="00416121" w:rsidRDefault="00185BEC" w:rsidP="003059BB">
            <w:pPr>
              <w:pStyle w:val="ExhibitText"/>
              <w:jc w:val="right"/>
            </w:pPr>
            <w:r w:rsidRPr="00416121">
              <w:t>21.9</w:t>
            </w:r>
          </w:p>
        </w:tc>
        <w:tc>
          <w:tcPr>
            <w:tcW w:w="2605" w:type="dxa"/>
            <w:noWrap/>
            <w:tcMar>
              <w:left w:w="115" w:type="dxa"/>
              <w:right w:w="1080" w:type="dxa"/>
            </w:tcMar>
            <w:vAlign w:val="center"/>
            <w:hideMark/>
          </w:tcPr>
          <w:p w14:paraId="5B2A9285" w14:textId="77777777" w:rsidR="00185BEC" w:rsidRPr="00416121" w:rsidRDefault="00185BEC" w:rsidP="003059BB">
            <w:pPr>
              <w:pStyle w:val="ExhibitText"/>
              <w:jc w:val="right"/>
            </w:pPr>
            <w:r w:rsidRPr="00416121">
              <w:t>21.8</w:t>
            </w:r>
          </w:p>
        </w:tc>
      </w:tr>
      <w:tr w:rsidR="003059BB" w:rsidRPr="00416121" w14:paraId="39A37176" w14:textId="77777777" w:rsidTr="00427D4B">
        <w:trPr>
          <w:trHeight w:val="432"/>
          <w:jc w:val="center"/>
        </w:trPr>
        <w:tc>
          <w:tcPr>
            <w:tcW w:w="1170" w:type="dxa"/>
            <w:vAlign w:val="center"/>
            <w:hideMark/>
          </w:tcPr>
          <w:p w14:paraId="142A2E68" w14:textId="77777777" w:rsidR="00B467BE" w:rsidRPr="00416121" w:rsidRDefault="00185BEC" w:rsidP="009A466E">
            <w:pPr>
              <w:pStyle w:val="ExhibitText"/>
              <w:jc w:val="left"/>
              <w:rPr>
                <w:b/>
                <w:sz w:val="18"/>
                <w:szCs w:val="18"/>
              </w:rPr>
            </w:pPr>
            <w:r w:rsidRPr="00416121">
              <w:rPr>
                <w:b/>
                <w:sz w:val="18"/>
                <w:szCs w:val="18"/>
              </w:rPr>
              <w:t>Compounded Annual Gain</w:t>
            </w:r>
            <w:r w:rsidR="00B467BE" w:rsidRPr="00416121">
              <w:rPr>
                <w:b/>
                <w:sz w:val="18"/>
                <w:szCs w:val="18"/>
              </w:rPr>
              <w:t>,</w:t>
            </w:r>
          </w:p>
          <w:p w14:paraId="48A2037F" w14:textId="5FC7A5F2" w:rsidR="00185BEC" w:rsidRPr="00416121" w:rsidRDefault="00185BEC" w:rsidP="00B467BE">
            <w:pPr>
              <w:pStyle w:val="ExhibitText"/>
              <w:jc w:val="right"/>
              <w:rPr>
                <w:b/>
                <w:sz w:val="18"/>
                <w:szCs w:val="18"/>
              </w:rPr>
            </w:pPr>
            <w:r w:rsidRPr="00416121">
              <w:rPr>
                <w:b/>
                <w:sz w:val="18"/>
                <w:szCs w:val="18"/>
              </w:rPr>
              <w:t>1965</w:t>
            </w:r>
            <w:r w:rsidR="00B467BE" w:rsidRPr="00416121">
              <w:rPr>
                <w:b/>
                <w:sz w:val="18"/>
                <w:szCs w:val="18"/>
              </w:rPr>
              <w:t>–</w:t>
            </w:r>
            <w:r w:rsidRPr="00416121">
              <w:rPr>
                <w:b/>
                <w:sz w:val="18"/>
                <w:szCs w:val="18"/>
              </w:rPr>
              <w:t>2017</w:t>
            </w:r>
          </w:p>
        </w:tc>
        <w:tc>
          <w:tcPr>
            <w:tcW w:w="1940" w:type="dxa"/>
            <w:noWrap/>
            <w:tcMar>
              <w:left w:w="115" w:type="dxa"/>
              <w:right w:w="720" w:type="dxa"/>
            </w:tcMar>
            <w:vAlign w:val="center"/>
            <w:hideMark/>
          </w:tcPr>
          <w:p w14:paraId="0A6D0E09" w14:textId="77777777" w:rsidR="00185BEC" w:rsidRPr="00416121" w:rsidRDefault="00185BEC" w:rsidP="003059BB">
            <w:pPr>
              <w:pStyle w:val="ExhibitText"/>
              <w:jc w:val="right"/>
              <w:rPr>
                <w:b/>
              </w:rPr>
            </w:pPr>
            <w:r w:rsidRPr="00416121">
              <w:rPr>
                <w:b/>
              </w:rPr>
              <w:t>19.1</w:t>
            </w:r>
          </w:p>
        </w:tc>
        <w:tc>
          <w:tcPr>
            <w:tcW w:w="2025" w:type="dxa"/>
            <w:noWrap/>
            <w:tcMar>
              <w:left w:w="115" w:type="dxa"/>
              <w:right w:w="720" w:type="dxa"/>
            </w:tcMar>
            <w:vAlign w:val="center"/>
            <w:hideMark/>
          </w:tcPr>
          <w:p w14:paraId="14C01C28" w14:textId="77777777" w:rsidR="00185BEC" w:rsidRPr="00416121" w:rsidRDefault="00185BEC" w:rsidP="003059BB">
            <w:pPr>
              <w:pStyle w:val="ExhibitText"/>
              <w:jc w:val="right"/>
              <w:rPr>
                <w:b/>
              </w:rPr>
            </w:pPr>
            <w:r w:rsidRPr="00416121">
              <w:rPr>
                <w:b/>
              </w:rPr>
              <w:t>20.9</w:t>
            </w:r>
          </w:p>
        </w:tc>
        <w:tc>
          <w:tcPr>
            <w:tcW w:w="2605" w:type="dxa"/>
            <w:noWrap/>
            <w:tcMar>
              <w:left w:w="115" w:type="dxa"/>
              <w:right w:w="1080" w:type="dxa"/>
            </w:tcMar>
            <w:vAlign w:val="center"/>
            <w:hideMark/>
          </w:tcPr>
          <w:p w14:paraId="2904D671" w14:textId="77777777" w:rsidR="00185BEC" w:rsidRPr="00416121" w:rsidRDefault="00185BEC" w:rsidP="003059BB">
            <w:pPr>
              <w:pStyle w:val="ExhibitText"/>
              <w:jc w:val="right"/>
              <w:rPr>
                <w:b/>
              </w:rPr>
            </w:pPr>
            <w:r w:rsidRPr="00416121">
              <w:rPr>
                <w:b/>
              </w:rPr>
              <w:t>9.9</w:t>
            </w:r>
          </w:p>
        </w:tc>
      </w:tr>
      <w:tr w:rsidR="003059BB" w:rsidRPr="00416121" w14:paraId="018886D8" w14:textId="77777777" w:rsidTr="00427D4B">
        <w:trPr>
          <w:trHeight w:val="432"/>
          <w:jc w:val="center"/>
        </w:trPr>
        <w:tc>
          <w:tcPr>
            <w:tcW w:w="1170" w:type="dxa"/>
            <w:vAlign w:val="center"/>
            <w:hideMark/>
          </w:tcPr>
          <w:p w14:paraId="4E448F7D" w14:textId="7B1745D1" w:rsidR="00185BEC" w:rsidRPr="00416121" w:rsidRDefault="00185BEC" w:rsidP="006568CC">
            <w:pPr>
              <w:pStyle w:val="ExhibitText"/>
              <w:jc w:val="left"/>
              <w:rPr>
                <w:b/>
                <w:sz w:val="18"/>
                <w:szCs w:val="18"/>
              </w:rPr>
            </w:pPr>
            <w:r w:rsidRPr="00416121">
              <w:rPr>
                <w:b/>
                <w:sz w:val="18"/>
                <w:szCs w:val="18"/>
              </w:rPr>
              <w:t>Overall Gain</w:t>
            </w:r>
            <w:r w:rsidR="00B467BE" w:rsidRPr="00416121">
              <w:rPr>
                <w:b/>
                <w:sz w:val="18"/>
                <w:szCs w:val="18"/>
              </w:rPr>
              <w:t xml:space="preserve">, </w:t>
            </w:r>
            <w:r w:rsidRPr="00416121">
              <w:rPr>
                <w:b/>
                <w:sz w:val="18"/>
                <w:szCs w:val="18"/>
              </w:rPr>
              <w:t>1964</w:t>
            </w:r>
            <w:r w:rsidR="00B467BE" w:rsidRPr="00416121">
              <w:rPr>
                <w:b/>
                <w:sz w:val="18"/>
                <w:szCs w:val="18"/>
              </w:rPr>
              <w:t>–</w:t>
            </w:r>
            <w:r w:rsidRPr="00416121">
              <w:rPr>
                <w:b/>
                <w:sz w:val="18"/>
                <w:szCs w:val="18"/>
              </w:rPr>
              <w:t>2017</w:t>
            </w:r>
          </w:p>
        </w:tc>
        <w:tc>
          <w:tcPr>
            <w:tcW w:w="1940" w:type="dxa"/>
            <w:noWrap/>
            <w:tcMar>
              <w:left w:w="115" w:type="dxa"/>
              <w:right w:w="720" w:type="dxa"/>
            </w:tcMar>
            <w:vAlign w:val="center"/>
            <w:hideMark/>
          </w:tcPr>
          <w:p w14:paraId="37417D29" w14:textId="46DE4B9A" w:rsidR="00185BEC" w:rsidRPr="00416121" w:rsidRDefault="00185BEC" w:rsidP="003059BB">
            <w:pPr>
              <w:pStyle w:val="ExhibitText"/>
              <w:jc w:val="right"/>
              <w:rPr>
                <w:b/>
              </w:rPr>
            </w:pPr>
            <w:r w:rsidRPr="00416121">
              <w:rPr>
                <w:b/>
              </w:rPr>
              <w:t>1</w:t>
            </w:r>
            <w:r w:rsidR="00E21B3E" w:rsidRPr="00416121">
              <w:rPr>
                <w:b/>
              </w:rPr>
              <w:t>,</w:t>
            </w:r>
            <w:r w:rsidRPr="00416121">
              <w:rPr>
                <w:b/>
              </w:rPr>
              <w:t>088,029</w:t>
            </w:r>
          </w:p>
        </w:tc>
        <w:tc>
          <w:tcPr>
            <w:tcW w:w="2025" w:type="dxa"/>
            <w:noWrap/>
            <w:tcMar>
              <w:left w:w="115" w:type="dxa"/>
              <w:right w:w="720" w:type="dxa"/>
            </w:tcMar>
            <w:vAlign w:val="center"/>
            <w:hideMark/>
          </w:tcPr>
          <w:p w14:paraId="666B640F" w14:textId="59072358" w:rsidR="00185BEC" w:rsidRPr="00416121" w:rsidRDefault="00185BEC" w:rsidP="003059BB">
            <w:pPr>
              <w:pStyle w:val="ExhibitText"/>
              <w:jc w:val="right"/>
              <w:rPr>
                <w:b/>
              </w:rPr>
            </w:pPr>
            <w:r w:rsidRPr="00416121">
              <w:rPr>
                <w:b/>
              </w:rPr>
              <w:t>2</w:t>
            </w:r>
            <w:r w:rsidR="00E21B3E" w:rsidRPr="00416121">
              <w:rPr>
                <w:b/>
              </w:rPr>
              <w:t>,</w:t>
            </w:r>
            <w:r w:rsidRPr="00416121">
              <w:rPr>
                <w:b/>
              </w:rPr>
              <w:t>404,748</w:t>
            </w:r>
          </w:p>
        </w:tc>
        <w:tc>
          <w:tcPr>
            <w:tcW w:w="2605" w:type="dxa"/>
            <w:noWrap/>
            <w:tcMar>
              <w:left w:w="115" w:type="dxa"/>
              <w:right w:w="1080" w:type="dxa"/>
            </w:tcMar>
            <w:vAlign w:val="center"/>
            <w:hideMark/>
          </w:tcPr>
          <w:p w14:paraId="40EA8F4E" w14:textId="77777777" w:rsidR="00185BEC" w:rsidRPr="00416121" w:rsidRDefault="00185BEC" w:rsidP="003059BB">
            <w:pPr>
              <w:pStyle w:val="ExhibitText"/>
              <w:jc w:val="right"/>
              <w:rPr>
                <w:b/>
              </w:rPr>
            </w:pPr>
            <w:r w:rsidRPr="00416121">
              <w:rPr>
                <w:b/>
              </w:rPr>
              <w:t>15,508</w:t>
            </w:r>
          </w:p>
        </w:tc>
      </w:tr>
    </w:tbl>
    <w:p w14:paraId="3F89C9C5" w14:textId="77777777" w:rsidR="00F964E4" w:rsidRPr="00416121" w:rsidRDefault="00F964E4" w:rsidP="00F06F63">
      <w:pPr>
        <w:pStyle w:val="ExhibitText"/>
        <w:rPr>
          <w:rFonts w:eastAsia="Calibri"/>
        </w:rPr>
      </w:pPr>
    </w:p>
    <w:p w14:paraId="586050E0" w14:textId="55E6BD9C" w:rsidR="00184715" w:rsidRPr="00416121" w:rsidRDefault="00184715" w:rsidP="00F06F63">
      <w:pPr>
        <w:pStyle w:val="Footnote"/>
        <w:rPr>
          <w:rFonts w:eastAsia="Calibri"/>
          <w:b/>
          <w:caps/>
        </w:rPr>
      </w:pPr>
      <w:r w:rsidRPr="00416121">
        <w:rPr>
          <w:rFonts w:eastAsia="Calibri"/>
        </w:rPr>
        <w:t>Note: Berkshire = Berkshire Hathaway Inc.; S&amp;P = Standard &amp; Poor</w:t>
      </w:r>
      <w:r w:rsidR="00F47E98" w:rsidRPr="00416121">
        <w:rPr>
          <w:rFonts w:eastAsia="Calibri"/>
        </w:rPr>
        <w:t>.</w:t>
      </w:r>
    </w:p>
    <w:p w14:paraId="759FA3E1" w14:textId="5C742E46" w:rsidR="00185BEC" w:rsidRPr="00416121" w:rsidRDefault="00185BEC" w:rsidP="00F06F63">
      <w:pPr>
        <w:pStyle w:val="Footnote"/>
        <w:rPr>
          <w:rFonts w:eastAsia="Calibri"/>
          <w:b/>
          <w:caps/>
        </w:rPr>
      </w:pPr>
      <w:r w:rsidRPr="00416121">
        <w:rPr>
          <w:rFonts w:eastAsia="Calibri"/>
        </w:rPr>
        <w:t>Source: Berkshire Hathaway</w:t>
      </w:r>
      <w:r w:rsidR="00303341" w:rsidRPr="00416121">
        <w:rPr>
          <w:rFonts w:eastAsia="Calibri"/>
        </w:rPr>
        <w:t xml:space="preserve"> Inc.</w:t>
      </w:r>
      <w:r w:rsidRPr="00416121">
        <w:rPr>
          <w:rFonts w:eastAsia="Calibri"/>
        </w:rPr>
        <w:t xml:space="preserve">, </w:t>
      </w:r>
      <w:r w:rsidR="00F47E98" w:rsidRPr="00416121">
        <w:rPr>
          <w:rFonts w:eastAsia="Calibri"/>
        </w:rPr>
        <w:t>“Letter to Shareholders,”</w:t>
      </w:r>
      <w:r w:rsidRPr="00416121">
        <w:rPr>
          <w:rFonts w:eastAsia="Calibri"/>
        </w:rPr>
        <w:t xml:space="preserve"> February 24, 2018, accessed September 15, 2018, www.berkshirehathaway.com/letters/2017ltr.pdf.</w:t>
      </w:r>
    </w:p>
    <w:p w14:paraId="475FEEC5" w14:textId="42D7B0EF" w:rsidR="00DC09B3" w:rsidRPr="00416121" w:rsidRDefault="00DC09B3">
      <w:pPr>
        <w:spacing w:after="200" w:line="276" w:lineRule="auto"/>
        <w:rPr>
          <w:rFonts w:ascii="Arial" w:eastAsia="Calibri" w:hAnsi="Arial" w:cs="Arial"/>
        </w:rPr>
      </w:pPr>
      <w:r w:rsidRPr="00416121">
        <w:rPr>
          <w:rFonts w:eastAsia="Calibri"/>
        </w:rPr>
        <w:br w:type="page"/>
      </w:r>
    </w:p>
    <w:p w14:paraId="7ECFBA8F" w14:textId="7478F7FC" w:rsidR="0081057D" w:rsidRPr="00416121" w:rsidRDefault="0081057D" w:rsidP="00A332DE">
      <w:pPr>
        <w:pStyle w:val="ExhibitHeading"/>
        <w:rPr>
          <w:rFonts w:eastAsia="Calibri"/>
        </w:rPr>
      </w:pPr>
      <w:r w:rsidRPr="00416121">
        <w:rPr>
          <w:rFonts w:eastAsia="Calibri"/>
        </w:rPr>
        <w:t xml:space="preserve">EXHIBIT </w:t>
      </w:r>
      <w:r w:rsidR="00185BEC" w:rsidRPr="00416121">
        <w:rPr>
          <w:rFonts w:eastAsia="Calibri"/>
        </w:rPr>
        <w:t>2</w:t>
      </w:r>
      <w:r w:rsidRPr="00416121">
        <w:rPr>
          <w:rFonts w:eastAsia="Calibri"/>
        </w:rPr>
        <w:t xml:space="preserve">: </w:t>
      </w:r>
      <w:r w:rsidR="007F41C3" w:rsidRPr="00416121">
        <w:rPr>
          <w:rFonts w:eastAsia="Calibri"/>
        </w:rPr>
        <w:t xml:space="preserve">Berkshire Hathaway </w:t>
      </w:r>
      <w:r w:rsidRPr="00416121">
        <w:rPr>
          <w:rFonts w:eastAsia="Calibri"/>
        </w:rPr>
        <w:t>BALANCE SHEET</w:t>
      </w:r>
      <w:r w:rsidR="00A04845">
        <w:rPr>
          <w:rFonts w:eastAsia="Calibri"/>
        </w:rPr>
        <w:t>, 2013–2017</w:t>
      </w:r>
      <w:r w:rsidRPr="00416121">
        <w:rPr>
          <w:rFonts w:eastAsia="Calibri"/>
        </w:rPr>
        <w:t xml:space="preserve"> </w:t>
      </w:r>
      <w:r w:rsidR="000977B4" w:rsidRPr="00416121">
        <w:rPr>
          <w:rFonts w:eastAsia="Calibri"/>
        </w:rPr>
        <w:t>(in US$ Millions)</w:t>
      </w:r>
    </w:p>
    <w:p w14:paraId="7B8C24F1" w14:textId="77777777" w:rsidR="00184715" w:rsidRPr="00416121" w:rsidRDefault="00184715" w:rsidP="00184715">
      <w:pPr>
        <w:pStyle w:val="ExhibitText"/>
        <w:rPr>
          <w:rFonts w:eastAsia="Calibri"/>
        </w:rPr>
      </w:pPr>
    </w:p>
    <w:tbl>
      <w:tblPr>
        <w:tblW w:w="5000" w:type="pct"/>
        <w:jc w:val="center"/>
        <w:tblBorders>
          <w:top w:val="single" w:sz="4" w:space="0" w:color="auto"/>
          <w:bottom w:val="single" w:sz="4" w:space="0" w:color="auto"/>
        </w:tblBorders>
        <w:tblLayout w:type="fixed"/>
        <w:tblLook w:val="04A0" w:firstRow="1" w:lastRow="0" w:firstColumn="1" w:lastColumn="0" w:noHBand="0" w:noVBand="1"/>
      </w:tblPr>
      <w:tblGrid>
        <w:gridCol w:w="3295"/>
        <w:gridCol w:w="1213"/>
        <w:gridCol w:w="1213"/>
        <w:gridCol w:w="1213"/>
        <w:gridCol w:w="1213"/>
        <w:gridCol w:w="1213"/>
      </w:tblGrid>
      <w:tr w:rsidR="00184715" w:rsidRPr="00416121" w14:paraId="1159C84E" w14:textId="77777777" w:rsidTr="00867082">
        <w:trPr>
          <w:trHeight w:val="360"/>
          <w:jc w:val="center"/>
        </w:trPr>
        <w:tc>
          <w:tcPr>
            <w:tcW w:w="3295" w:type="dxa"/>
            <w:tcBorders>
              <w:top w:val="single" w:sz="4" w:space="0" w:color="auto"/>
              <w:bottom w:val="single" w:sz="12" w:space="0" w:color="auto"/>
            </w:tcBorders>
            <w:shd w:val="clear" w:color="auto" w:fill="auto"/>
            <w:vAlign w:val="center"/>
          </w:tcPr>
          <w:p w14:paraId="184263F4" w14:textId="77777777" w:rsidR="00184715" w:rsidRPr="00416121" w:rsidRDefault="00184715" w:rsidP="008D3176">
            <w:pPr>
              <w:pStyle w:val="ExhibitText"/>
              <w:jc w:val="left"/>
              <w:rPr>
                <w:sz w:val="18"/>
                <w:szCs w:val="18"/>
                <w:lang w:eastAsia="en-IN"/>
              </w:rPr>
            </w:pPr>
          </w:p>
        </w:tc>
        <w:tc>
          <w:tcPr>
            <w:tcW w:w="1213" w:type="dxa"/>
            <w:tcBorders>
              <w:top w:val="single" w:sz="4" w:space="0" w:color="auto"/>
              <w:bottom w:val="single" w:sz="12" w:space="0" w:color="auto"/>
            </w:tcBorders>
            <w:vAlign w:val="center"/>
          </w:tcPr>
          <w:p w14:paraId="23BA985D" w14:textId="1F6EE5D3" w:rsidR="00184715" w:rsidRPr="00416121" w:rsidRDefault="00184715" w:rsidP="00867082">
            <w:pPr>
              <w:pStyle w:val="ExhibitText"/>
              <w:jc w:val="right"/>
              <w:rPr>
                <w:b/>
                <w:color w:val="333333"/>
                <w:sz w:val="18"/>
                <w:szCs w:val="18"/>
                <w:lang w:eastAsia="en-IN"/>
              </w:rPr>
            </w:pPr>
            <w:r w:rsidRPr="00416121">
              <w:rPr>
                <w:b/>
                <w:color w:val="333333"/>
                <w:sz w:val="18"/>
                <w:szCs w:val="18"/>
                <w:lang w:eastAsia="en-IN"/>
              </w:rPr>
              <w:t>2013</w:t>
            </w:r>
          </w:p>
        </w:tc>
        <w:tc>
          <w:tcPr>
            <w:tcW w:w="1213" w:type="dxa"/>
            <w:tcBorders>
              <w:top w:val="single" w:sz="4" w:space="0" w:color="auto"/>
              <w:bottom w:val="single" w:sz="12" w:space="0" w:color="auto"/>
            </w:tcBorders>
            <w:vAlign w:val="center"/>
          </w:tcPr>
          <w:p w14:paraId="44CA6C01" w14:textId="15613F0A" w:rsidR="00184715" w:rsidRPr="00416121" w:rsidRDefault="00184715" w:rsidP="00867082">
            <w:pPr>
              <w:pStyle w:val="ExhibitText"/>
              <w:jc w:val="right"/>
              <w:rPr>
                <w:b/>
                <w:color w:val="333333"/>
                <w:sz w:val="18"/>
                <w:szCs w:val="18"/>
                <w:lang w:eastAsia="en-IN"/>
              </w:rPr>
            </w:pPr>
            <w:r w:rsidRPr="00416121">
              <w:rPr>
                <w:b/>
                <w:color w:val="333333"/>
                <w:sz w:val="18"/>
                <w:szCs w:val="18"/>
                <w:lang w:eastAsia="en-IN"/>
              </w:rPr>
              <w:t>2014</w:t>
            </w:r>
          </w:p>
        </w:tc>
        <w:tc>
          <w:tcPr>
            <w:tcW w:w="1213" w:type="dxa"/>
            <w:tcBorders>
              <w:top w:val="single" w:sz="4" w:space="0" w:color="auto"/>
              <w:bottom w:val="single" w:sz="12" w:space="0" w:color="auto"/>
            </w:tcBorders>
            <w:vAlign w:val="center"/>
          </w:tcPr>
          <w:p w14:paraId="436D0D4A" w14:textId="2F3B6E95" w:rsidR="00184715" w:rsidRPr="00416121" w:rsidRDefault="00184715" w:rsidP="00867082">
            <w:pPr>
              <w:pStyle w:val="ExhibitText"/>
              <w:jc w:val="right"/>
              <w:rPr>
                <w:b/>
                <w:color w:val="333333"/>
                <w:sz w:val="18"/>
                <w:szCs w:val="18"/>
                <w:lang w:eastAsia="en-IN"/>
              </w:rPr>
            </w:pPr>
            <w:r w:rsidRPr="00416121">
              <w:rPr>
                <w:b/>
                <w:color w:val="333333"/>
                <w:sz w:val="18"/>
                <w:szCs w:val="18"/>
                <w:lang w:eastAsia="en-IN"/>
              </w:rPr>
              <w:t>2015</w:t>
            </w:r>
          </w:p>
        </w:tc>
        <w:tc>
          <w:tcPr>
            <w:tcW w:w="1213" w:type="dxa"/>
            <w:tcBorders>
              <w:top w:val="single" w:sz="4" w:space="0" w:color="auto"/>
              <w:bottom w:val="single" w:sz="12" w:space="0" w:color="auto"/>
            </w:tcBorders>
            <w:vAlign w:val="center"/>
          </w:tcPr>
          <w:p w14:paraId="4F919263" w14:textId="224681C2" w:rsidR="00184715" w:rsidRPr="00416121" w:rsidRDefault="00184715" w:rsidP="00867082">
            <w:pPr>
              <w:pStyle w:val="ExhibitText"/>
              <w:jc w:val="right"/>
              <w:rPr>
                <w:b/>
                <w:color w:val="333333"/>
                <w:sz w:val="18"/>
                <w:szCs w:val="18"/>
                <w:lang w:eastAsia="en-IN"/>
              </w:rPr>
            </w:pPr>
            <w:r w:rsidRPr="00416121">
              <w:rPr>
                <w:b/>
                <w:color w:val="333333"/>
                <w:sz w:val="18"/>
                <w:szCs w:val="18"/>
                <w:lang w:eastAsia="en-IN"/>
              </w:rPr>
              <w:t>2016</w:t>
            </w:r>
          </w:p>
        </w:tc>
        <w:tc>
          <w:tcPr>
            <w:tcW w:w="1213" w:type="dxa"/>
            <w:tcBorders>
              <w:top w:val="single" w:sz="4" w:space="0" w:color="auto"/>
              <w:bottom w:val="single" w:sz="12" w:space="0" w:color="auto"/>
            </w:tcBorders>
            <w:shd w:val="clear" w:color="auto" w:fill="auto"/>
            <w:vAlign w:val="center"/>
          </w:tcPr>
          <w:p w14:paraId="460151D2" w14:textId="4F8C2C70" w:rsidR="00184715" w:rsidRPr="00416121" w:rsidRDefault="00184715" w:rsidP="00867082">
            <w:pPr>
              <w:pStyle w:val="ExhibitText"/>
              <w:jc w:val="right"/>
              <w:rPr>
                <w:b/>
                <w:color w:val="333333"/>
                <w:sz w:val="18"/>
                <w:szCs w:val="18"/>
                <w:lang w:eastAsia="en-IN"/>
              </w:rPr>
            </w:pPr>
            <w:r w:rsidRPr="00416121">
              <w:rPr>
                <w:b/>
                <w:color w:val="333333"/>
                <w:sz w:val="18"/>
                <w:szCs w:val="18"/>
                <w:lang w:eastAsia="en-IN"/>
              </w:rPr>
              <w:t>2017</w:t>
            </w:r>
          </w:p>
        </w:tc>
      </w:tr>
      <w:tr w:rsidR="00184715" w:rsidRPr="00416121" w14:paraId="35408A43" w14:textId="77777777" w:rsidTr="008D3176">
        <w:trPr>
          <w:trHeight w:val="360"/>
          <w:jc w:val="center"/>
        </w:trPr>
        <w:tc>
          <w:tcPr>
            <w:tcW w:w="3295" w:type="dxa"/>
            <w:tcBorders>
              <w:top w:val="single" w:sz="12" w:space="0" w:color="auto"/>
            </w:tcBorders>
            <w:shd w:val="clear" w:color="auto" w:fill="auto"/>
            <w:vAlign w:val="center"/>
            <w:hideMark/>
          </w:tcPr>
          <w:p w14:paraId="1C874224" w14:textId="77777777" w:rsidR="00184715" w:rsidRPr="00416121" w:rsidRDefault="00184715" w:rsidP="008D3176">
            <w:pPr>
              <w:pStyle w:val="ExhibitText"/>
              <w:jc w:val="left"/>
              <w:rPr>
                <w:b/>
                <w:sz w:val="18"/>
                <w:szCs w:val="18"/>
                <w:lang w:eastAsia="en-IN"/>
              </w:rPr>
            </w:pPr>
            <w:r w:rsidRPr="00416121">
              <w:rPr>
                <w:b/>
                <w:sz w:val="18"/>
                <w:szCs w:val="18"/>
                <w:lang w:eastAsia="en-IN"/>
              </w:rPr>
              <w:t>Assets</w:t>
            </w:r>
          </w:p>
        </w:tc>
        <w:tc>
          <w:tcPr>
            <w:tcW w:w="1213" w:type="dxa"/>
            <w:tcBorders>
              <w:top w:val="single" w:sz="12" w:space="0" w:color="auto"/>
            </w:tcBorders>
            <w:vAlign w:val="center"/>
          </w:tcPr>
          <w:p w14:paraId="2113DAFA" w14:textId="77777777" w:rsidR="00184715" w:rsidRPr="00416121" w:rsidRDefault="00184715" w:rsidP="00184715">
            <w:pPr>
              <w:pStyle w:val="ExhibitText"/>
              <w:jc w:val="right"/>
              <w:rPr>
                <w:b/>
                <w:color w:val="333333"/>
                <w:sz w:val="18"/>
                <w:szCs w:val="18"/>
                <w:lang w:eastAsia="en-IN"/>
              </w:rPr>
            </w:pPr>
          </w:p>
        </w:tc>
        <w:tc>
          <w:tcPr>
            <w:tcW w:w="1213" w:type="dxa"/>
            <w:tcBorders>
              <w:top w:val="single" w:sz="12" w:space="0" w:color="auto"/>
            </w:tcBorders>
            <w:vAlign w:val="center"/>
          </w:tcPr>
          <w:p w14:paraId="67C2CE2E" w14:textId="77777777" w:rsidR="00184715" w:rsidRPr="00416121" w:rsidRDefault="00184715" w:rsidP="00184715">
            <w:pPr>
              <w:pStyle w:val="ExhibitText"/>
              <w:jc w:val="right"/>
              <w:rPr>
                <w:b/>
                <w:color w:val="333333"/>
                <w:sz w:val="18"/>
                <w:szCs w:val="18"/>
                <w:lang w:eastAsia="en-IN"/>
              </w:rPr>
            </w:pPr>
          </w:p>
        </w:tc>
        <w:tc>
          <w:tcPr>
            <w:tcW w:w="1213" w:type="dxa"/>
            <w:tcBorders>
              <w:top w:val="single" w:sz="12" w:space="0" w:color="auto"/>
            </w:tcBorders>
            <w:vAlign w:val="center"/>
          </w:tcPr>
          <w:p w14:paraId="262BD5F6" w14:textId="77777777" w:rsidR="00184715" w:rsidRPr="00416121" w:rsidRDefault="00184715" w:rsidP="00184715">
            <w:pPr>
              <w:pStyle w:val="ExhibitText"/>
              <w:jc w:val="right"/>
              <w:rPr>
                <w:b/>
                <w:color w:val="333333"/>
                <w:sz w:val="18"/>
                <w:szCs w:val="18"/>
                <w:lang w:eastAsia="en-IN"/>
              </w:rPr>
            </w:pPr>
          </w:p>
        </w:tc>
        <w:tc>
          <w:tcPr>
            <w:tcW w:w="1213" w:type="dxa"/>
            <w:tcBorders>
              <w:top w:val="single" w:sz="12" w:space="0" w:color="auto"/>
            </w:tcBorders>
            <w:vAlign w:val="center"/>
          </w:tcPr>
          <w:p w14:paraId="725DAD94" w14:textId="77777777" w:rsidR="00184715" w:rsidRPr="00416121" w:rsidRDefault="00184715" w:rsidP="00184715">
            <w:pPr>
              <w:pStyle w:val="ExhibitText"/>
              <w:jc w:val="right"/>
              <w:rPr>
                <w:b/>
                <w:color w:val="333333"/>
                <w:sz w:val="18"/>
                <w:szCs w:val="18"/>
                <w:lang w:eastAsia="en-IN"/>
              </w:rPr>
            </w:pPr>
          </w:p>
        </w:tc>
        <w:tc>
          <w:tcPr>
            <w:tcW w:w="1213" w:type="dxa"/>
            <w:tcBorders>
              <w:top w:val="single" w:sz="12" w:space="0" w:color="auto"/>
            </w:tcBorders>
            <w:shd w:val="clear" w:color="auto" w:fill="auto"/>
            <w:vAlign w:val="center"/>
          </w:tcPr>
          <w:p w14:paraId="0C011854" w14:textId="1EA9C7AB" w:rsidR="00184715" w:rsidRPr="00416121" w:rsidRDefault="00184715" w:rsidP="00184715">
            <w:pPr>
              <w:pStyle w:val="ExhibitText"/>
              <w:jc w:val="right"/>
              <w:rPr>
                <w:b/>
                <w:color w:val="333333"/>
                <w:sz w:val="18"/>
                <w:szCs w:val="18"/>
                <w:lang w:eastAsia="en-IN"/>
              </w:rPr>
            </w:pPr>
          </w:p>
        </w:tc>
      </w:tr>
      <w:tr w:rsidR="00184715" w:rsidRPr="00416121" w14:paraId="75E23E41" w14:textId="77777777" w:rsidTr="008D3176">
        <w:trPr>
          <w:trHeight w:val="360"/>
          <w:jc w:val="center"/>
        </w:trPr>
        <w:tc>
          <w:tcPr>
            <w:tcW w:w="3295" w:type="dxa"/>
            <w:shd w:val="clear" w:color="auto" w:fill="auto"/>
            <w:vAlign w:val="center"/>
            <w:hideMark/>
          </w:tcPr>
          <w:p w14:paraId="08050402" w14:textId="77777777" w:rsidR="00184715" w:rsidRPr="00416121" w:rsidRDefault="00184715" w:rsidP="008D3176">
            <w:pPr>
              <w:pStyle w:val="ExhibitText"/>
              <w:ind w:left="144"/>
              <w:jc w:val="left"/>
              <w:rPr>
                <w:sz w:val="18"/>
                <w:szCs w:val="18"/>
                <w:lang w:eastAsia="en-IN"/>
              </w:rPr>
            </w:pPr>
            <w:r w:rsidRPr="00416121">
              <w:rPr>
                <w:sz w:val="18"/>
                <w:szCs w:val="18"/>
                <w:lang w:eastAsia="en-IN"/>
              </w:rPr>
              <w:t>Cash &amp; Short-Term Investments</w:t>
            </w:r>
          </w:p>
        </w:tc>
        <w:tc>
          <w:tcPr>
            <w:tcW w:w="1213" w:type="dxa"/>
            <w:vAlign w:val="center"/>
          </w:tcPr>
          <w:p w14:paraId="38ECB50D" w14:textId="7C7382E6" w:rsidR="00184715" w:rsidRPr="00416121" w:rsidRDefault="00184715" w:rsidP="00184715">
            <w:pPr>
              <w:pStyle w:val="ExhibitText"/>
              <w:jc w:val="right"/>
              <w:rPr>
                <w:sz w:val="18"/>
                <w:szCs w:val="18"/>
                <w:lang w:eastAsia="en-IN"/>
              </w:rPr>
            </w:pPr>
            <w:r w:rsidRPr="00416121">
              <w:rPr>
                <w:sz w:val="18"/>
                <w:szCs w:val="18"/>
                <w:lang w:eastAsia="en-IN"/>
              </w:rPr>
              <w:t>48,186</w:t>
            </w:r>
          </w:p>
        </w:tc>
        <w:tc>
          <w:tcPr>
            <w:tcW w:w="1213" w:type="dxa"/>
            <w:vAlign w:val="center"/>
          </w:tcPr>
          <w:p w14:paraId="5BF8F1FB" w14:textId="4EBC3175" w:rsidR="00184715" w:rsidRPr="00416121" w:rsidRDefault="00184715" w:rsidP="00184715">
            <w:pPr>
              <w:pStyle w:val="ExhibitText"/>
              <w:jc w:val="right"/>
              <w:rPr>
                <w:sz w:val="18"/>
                <w:szCs w:val="18"/>
                <w:lang w:eastAsia="en-IN"/>
              </w:rPr>
            </w:pPr>
            <w:r w:rsidRPr="00416121">
              <w:rPr>
                <w:sz w:val="18"/>
                <w:szCs w:val="18"/>
                <w:lang w:eastAsia="en-IN"/>
              </w:rPr>
              <w:t>63,269</w:t>
            </w:r>
          </w:p>
        </w:tc>
        <w:tc>
          <w:tcPr>
            <w:tcW w:w="1213" w:type="dxa"/>
            <w:vAlign w:val="center"/>
          </w:tcPr>
          <w:p w14:paraId="17705AB0" w14:textId="160E20F9" w:rsidR="00184715" w:rsidRPr="00416121" w:rsidRDefault="00184715" w:rsidP="00184715">
            <w:pPr>
              <w:pStyle w:val="ExhibitText"/>
              <w:jc w:val="right"/>
              <w:rPr>
                <w:sz w:val="18"/>
                <w:szCs w:val="18"/>
                <w:lang w:eastAsia="en-IN"/>
              </w:rPr>
            </w:pPr>
            <w:r w:rsidRPr="00416121">
              <w:rPr>
                <w:sz w:val="18"/>
                <w:szCs w:val="18"/>
                <w:lang w:eastAsia="en-IN"/>
              </w:rPr>
              <w:t>71,730</w:t>
            </w:r>
          </w:p>
        </w:tc>
        <w:tc>
          <w:tcPr>
            <w:tcW w:w="1213" w:type="dxa"/>
            <w:vAlign w:val="center"/>
          </w:tcPr>
          <w:p w14:paraId="3796C249" w14:textId="05ECB53D" w:rsidR="00184715" w:rsidRPr="00416121" w:rsidRDefault="00184715" w:rsidP="00184715">
            <w:pPr>
              <w:pStyle w:val="ExhibitText"/>
              <w:jc w:val="right"/>
              <w:rPr>
                <w:sz w:val="18"/>
                <w:szCs w:val="18"/>
                <w:lang w:eastAsia="en-IN"/>
              </w:rPr>
            </w:pPr>
            <w:r w:rsidRPr="00416121">
              <w:rPr>
                <w:sz w:val="18"/>
                <w:szCs w:val="18"/>
                <w:lang w:eastAsia="en-IN"/>
              </w:rPr>
              <w:t>86,370</w:t>
            </w:r>
          </w:p>
        </w:tc>
        <w:tc>
          <w:tcPr>
            <w:tcW w:w="1213" w:type="dxa"/>
            <w:shd w:val="clear" w:color="auto" w:fill="auto"/>
            <w:vAlign w:val="center"/>
            <w:hideMark/>
          </w:tcPr>
          <w:p w14:paraId="43778822" w14:textId="0ED90B64" w:rsidR="00184715" w:rsidRPr="00416121" w:rsidRDefault="00184715" w:rsidP="00184715">
            <w:pPr>
              <w:pStyle w:val="ExhibitText"/>
              <w:jc w:val="right"/>
              <w:rPr>
                <w:sz w:val="18"/>
                <w:szCs w:val="18"/>
                <w:lang w:eastAsia="en-IN"/>
              </w:rPr>
            </w:pPr>
            <w:r w:rsidRPr="00416121">
              <w:rPr>
                <w:sz w:val="18"/>
                <w:szCs w:val="18"/>
                <w:lang w:eastAsia="en-IN"/>
              </w:rPr>
              <w:t>115,954</w:t>
            </w:r>
          </w:p>
        </w:tc>
      </w:tr>
      <w:tr w:rsidR="00184715" w:rsidRPr="00416121" w14:paraId="0913C828" w14:textId="77777777" w:rsidTr="008D3176">
        <w:trPr>
          <w:trHeight w:val="360"/>
          <w:jc w:val="center"/>
        </w:trPr>
        <w:tc>
          <w:tcPr>
            <w:tcW w:w="3295" w:type="dxa"/>
            <w:shd w:val="clear" w:color="auto" w:fill="auto"/>
            <w:vAlign w:val="center"/>
            <w:hideMark/>
          </w:tcPr>
          <w:p w14:paraId="037B4A6A" w14:textId="77777777" w:rsidR="00184715" w:rsidRPr="00416121" w:rsidRDefault="00184715" w:rsidP="008D3176">
            <w:pPr>
              <w:pStyle w:val="ExhibitText"/>
              <w:ind w:left="144"/>
              <w:jc w:val="left"/>
              <w:rPr>
                <w:sz w:val="18"/>
                <w:szCs w:val="18"/>
                <w:lang w:eastAsia="en-IN"/>
              </w:rPr>
            </w:pPr>
            <w:r w:rsidRPr="00416121">
              <w:rPr>
                <w:sz w:val="18"/>
                <w:szCs w:val="18"/>
                <w:lang w:eastAsia="en-IN"/>
              </w:rPr>
              <w:t>Total Accounts Receivable</w:t>
            </w:r>
          </w:p>
        </w:tc>
        <w:tc>
          <w:tcPr>
            <w:tcW w:w="1213" w:type="dxa"/>
            <w:vAlign w:val="center"/>
          </w:tcPr>
          <w:p w14:paraId="21B58E6F" w14:textId="7671BB0C" w:rsidR="00184715" w:rsidRPr="00416121" w:rsidRDefault="00184715" w:rsidP="00184715">
            <w:pPr>
              <w:pStyle w:val="ExhibitText"/>
              <w:jc w:val="right"/>
              <w:rPr>
                <w:sz w:val="18"/>
                <w:szCs w:val="18"/>
                <w:lang w:eastAsia="en-IN"/>
              </w:rPr>
            </w:pPr>
            <w:r w:rsidRPr="00416121">
              <w:rPr>
                <w:sz w:val="18"/>
                <w:szCs w:val="18"/>
                <w:lang w:eastAsia="en-IN"/>
              </w:rPr>
              <w:t>33,323</w:t>
            </w:r>
          </w:p>
        </w:tc>
        <w:tc>
          <w:tcPr>
            <w:tcW w:w="1213" w:type="dxa"/>
            <w:vAlign w:val="center"/>
          </w:tcPr>
          <w:p w14:paraId="48E5320F" w14:textId="24C232A4" w:rsidR="00184715" w:rsidRPr="00416121" w:rsidRDefault="00184715" w:rsidP="00184715">
            <w:pPr>
              <w:pStyle w:val="ExhibitText"/>
              <w:jc w:val="right"/>
              <w:rPr>
                <w:sz w:val="18"/>
                <w:szCs w:val="18"/>
                <w:lang w:eastAsia="en-IN"/>
              </w:rPr>
            </w:pPr>
            <w:r w:rsidRPr="00416121">
              <w:rPr>
                <w:sz w:val="18"/>
                <w:szCs w:val="18"/>
                <w:lang w:eastAsia="en-IN"/>
              </w:rPr>
              <w:t>34,418</w:t>
            </w:r>
          </w:p>
        </w:tc>
        <w:tc>
          <w:tcPr>
            <w:tcW w:w="1213" w:type="dxa"/>
            <w:vAlign w:val="center"/>
          </w:tcPr>
          <w:p w14:paraId="447E888B" w14:textId="3713B7F1" w:rsidR="00184715" w:rsidRPr="00416121" w:rsidRDefault="00184715" w:rsidP="00184715">
            <w:pPr>
              <w:pStyle w:val="ExhibitText"/>
              <w:jc w:val="right"/>
              <w:rPr>
                <w:sz w:val="18"/>
                <w:szCs w:val="18"/>
                <w:lang w:eastAsia="en-IN"/>
              </w:rPr>
            </w:pPr>
            <w:r w:rsidRPr="00416121">
              <w:rPr>
                <w:sz w:val="18"/>
                <w:szCs w:val="18"/>
                <w:lang w:eastAsia="en-IN"/>
              </w:rPr>
              <w:t>36,075</w:t>
            </w:r>
          </w:p>
        </w:tc>
        <w:tc>
          <w:tcPr>
            <w:tcW w:w="1213" w:type="dxa"/>
            <w:vAlign w:val="center"/>
          </w:tcPr>
          <w:p w14:paraId="2B676E31" w14:textId="64F19CC1" w:rsidR="00184715" w:rsidRPr="00416121" w:rsidRDefault="00184715" w:rsidP="00184715">
            <w:pPr>
              <w:pStyle w:val="ExhibitText"/>
              <w:jc w:val="right"/>
              <w:rPr>
                <w:sz w:val="18"/>
                <w:szCs w:val="18"/>
                <w:lang w:eastAsia="en-IN"/>
              </w:rPr>
            </w:pPr>
            <w:r w:rsidRPr="00416121">
              <w:rPr>
                <w:sz w:val="18"/>
                <w:szCs w:val="18"/>
                <w:lang w:eastAsia="en-IN"/>
              </w:rPr>
              <w:t>40,397</w:t>
            </w:r>
          </w:p>
        </w:tc>
        <w:tc>
          <w:tcPr>
            <w:tcW w:w="1213" w:type="dxa"/>
            <w:shd w:val="clear" w:color="auto" w:fill="auto"/>
            <w:vAlign w:val="center"/>
            <w:hideMark/>
          </w:tcPr>
          <w:p w14:paraId="2BE26F4B" w14:textId="2DA844E2" w:rsidR="00184715" w:rsidRPr="00416121" w:rsidRDefault="00184715" w:rsidP="00184715">
            <w:pPr>
              <w:pStyle w:val="ExhibitText"/>
              <w:jc w:val="right"/>
              <w:rPr>
                <w:sz w:val="18"/>
                <w:szCs w:val="18"/>
                <w:lang w:eastAsia="en-IN"/>
              </w:rPr>
            </w:pPr>
            <w:r w:rsidRPr="00416121">
              <w:rPr>
                <w:sz w:val="18"/>
                <w:szCs w:val="18"/>
                <w:lang w:eastAsia="en-IN"/>
              </w:rPr>
              <w:t>42,326</w:t>
            </w:r>
          </w:p>
        </w:tc>
      </w:tr>
      <w:tr w:rsidR="00184715" w:rsidRPr="00416121" w14:paraId="51391B87" w14:textId="77777777" w:rsidTr="008D3176">
        <w:trPr>
          <w:trHeight w:val="360"/>
          <w:jc w:val="center"/>
        </w:trPr>
        <w:tc>
          <w:tcPr>
            <w:tcW w:w="3295" w:type="dxa"/>
            <w:tcBorders>
              <w:bottom w:val="nil"/>
            </w:tcBorders>
            <w:shd w:val="clear" w:color="auto" w:fill="auto"/>
            <w:vAlign w:val="center"/>
            <w:hideMark/>
          </w:tcPr>
          <w:p w14:paraId="56F26DF0" w14:textId="77777777" w:rsidR="00184715" w:rsidRPr="00416121" w:rsidRDefault="00184715" w:rsidP="008D3176">
            <w:pPr>
              <w:pStyle w:val="ExhibitText"/>
              <w:ind w:left="144"/>
              <w:jc w:val="left"/>
              <w:rPr>
                <w:sz w:val="18"/>
                <w:szCs w:val="18"/>
                <w:lang w:eastAsia="en-IN"/>
              </w:rPr>
            </w:pPr>
            <w:r w:rsidRPr="00416121">
              <w:rPr>
                <w:sz w:val="18"/>
                <w:szCs w:val="18"/>
                <w:lang w:eastAsia="en-IN"/>
              </w:rPr>
              <w:t>Inventories</w:t>
            </w:r>
          </w:p>
        </w:tc>
        <w:tc>
          <w:tcPr>
            <w:tcW w:w="1213" w:type="dxa"/>
            <w:tcBorders>
              <w:bottom w:val="nil"/>
            </w:tcBorders>
            <w:vAlign w:val="center"/>
          </w:tcPr>
          <w:p w14:paraId="4438591C" w14:textId="0421A131" w:rsidR="00184715" w:rsidRPr="00416121" w:rsidRDefault="00184715" w:rsidP="00184715">
            <w:pPr>
              <w:pStyle w:val="ExhibitText"/>
              <w:jc w:val="right"/>
              <w:rPr>
                <w:sz w:val="18"/>
                <w:szCs w:val="18"/>
                <w:lang w:eastAsia="en-IN"/>
              </w:rPr>
            </w:pPr>
            <w:r w:rsidRPr="00416121">
              <w:rPr>
                <w:sz w:val="18"/>
                <w:szCs w:val="18"/>
                <w:lang w:eastAsia="en-IN"/>
              </w:rPr>
              <w:t>9,945</w:t>
            </w:r>
          </w:p>
        </w:tc>
        <w:tc>
          <w:tcPr>
            <w:tcW w:w="1213" w:type="dxa"/>
            <w:tcBorders>
              <w:bottom w:val="nil"/>
            </w:tcBorders>
            <w:vAlign w:val="center"/>
          </w:tcPr>
          <w:p w14:paraId="6E02B5B9" w14:textId="491D8EF3" w:rsidR="00184715" w:rsidRPr="00416121" w:rsidRDefault="00184715" w:rsidP="00184715">
            <w:pPr>
              <w:pStyle w:val="ExhibitText"/>
              <w:jc w:val="right"/>
              <w:rPr>
                <w:sz w:val="18"/>
                <w:szCs w:val="18"/>
                <w:lang w:eastAsia="en-IN"/>
              </w:rPr>
            </w:pPr>
            <w:r w:rsidRPr="00416121">
              <w:rPr>
                <w:sz w:val="18"/>
                <w:szCs w:val="18"/>
                <w:lang w:eastAsia="en-IN"/>
              </w:rPr>
              <w:t>10,236</w:t>
            </w:r>
          </w:p>
        </w:tc>
        <w:tc>
          <w:tcPr>
            <w:tcW w:w="1213" w:type="dxa"/>
            <w:tcBorders>
              <w:bottom w:val="nil"/>
            </w:tcBorders>
            <w:vAlign w:val="center"/>
          </w:tcPr>
          <w:p w14:paraId="1EA8C167" w14:textId="0A8456F8" w:rsidR="00184715" w:rsidRPr="00416121" w:rsidRDefault="00184715" w:rsidP="00184715">
            <w:pPr>
              <w:pStyle w:val="ExhibitText"/>
              <w:jc w:val="right"/>
              <w:rPr>
                <w:sz w:val="18"/>
                <w:szCs w:val="18"/>
                <w:lang w:eastAsia="en-IN"/>
              </w:rPr>
            </w:pPr>
            <w:r w:rsidRPr="00416121">
              <w:rPr>
                <w:sz w:val="18"/>
                <w:szCs w:val="18"/>
                <w:lang w:eastAsia="en-IN"/>
              </w:rPr>
              <w:t>11,916</w:t>
            </w:r>
          </w:p>
        </w:tc>
        <w:tc>
          <w:tcPr>
            <w:tcW w:w="1213" w:type="dxa"/>
            <w:tcBorders>
              <w:bottom w:val="nil"/>
            </w:tcBorders>
            <w:vAlign w:val="center"/>
          </w:tcPr>
          <w:p w14:paraId="6EC8A2D0" w14:textId="24178FC7" w:rsidR="00184715" w:rsidRPr="00416121" w:rsidRDefault="00184715" w:rsidP="00184715">
            <w:pPr>
              <w:pStyle w:val="ExhibitText"/>
              <w:jc w:val="right"/>
              <w:rPr>
                <w:sz w:val="18"/>
                <w:szCs w:val="18"/>
                <w:lang w:eastAsia="en-IN"/>
              </w:rPr>
            </w:pPr>
            <w:r w:rsidRPr="00416121">
              <w:rPr>
                <w:sz w:val="18"/>
                <w:szCs w:val="18"/>
                <w:lang w:eastAsia="en-IN"/>
              </w:rPr>
              <w:t>15,727</w:t>
            </w:r>
          </w:p>
        </w:tc>
        <w:tc>
          <w:tcPr>
            <w:tcW w:w="1213" w:type="dxa"/>
            <w:tcBorders>
              <w:bottom w:val="nil"/>
            </w:tcBorders>
            <w:shd w:val="clear" w:color="auto" w:fill="auto"/>
            <w:vAlign w:val="center"/>
            <w:hideMark/>
          </w:tcPr>
          <w:p w14:paraId="2D706E00" w14:textId="39FB0A58" w:rsidR="00184715" w:rsidRPr="00416121" w:rsidRDefault="00184715" w:rsidP="00184715">
            <w:pPr>
              <w:pStyle w:val="ExhibitText"/>
              <w:jc w:val="right"/>
              <w:rPr>
                <w:sz w:val="18"/>
                <w:szCs w:val="18"/>
                <w:lang w:eastAsia="en-IN"/>
              </w:rPr>
            </w:pPr>
            <w:r w:rsidRPr="00416121">
              <w:rPr>
                <w:sz w:val="18"/>
                <w:szCs w:val="18"/>
                <w:lang w:eastAsia="en-IN"/>
              </w:rPr>
              <w:t>16,187</w:t>
            </w:r>
          </w:p>
        </w:tc>
      </w:tr>
      <w:tr w:rsidR="00184715" w:rsidRPr="00416121" w14:paraId="2CF8173F" w14:textId="77777777" w:rsidTr="008D3176">
        <w:trPr>
          <w:trHeight w:val="360"/>
          <w:jc w:val="center"/>
        </w:trPr>
        <w:tc>
          <w:tcPr>
            <w:tcW w:w="3295" w:type="dxa"/>
            <w:tcBorders>
              <w:top w:val="nil"/>
              <w:bottom w:val="single" w:sz="4" w:space="0" w:color="auto"/>
            </w:tcBorders>
            <w:shd w:val="clear" w:color="auto" w:fill="auto"/>
            <w:vAlign w:val="center"/>
            <w:hideMark/>
          </w:tcPr>
          <w:p w14:paraId="16E1DB1E" w14:textId="77777777" w:rsidR="00184715" w:rsidRPr="00416121" w:rsidRDefault="00184715" w:rsidP="008D3176">
            <w:pPr>
              <w:pStyle w:val="ExhibitText"/>
              <w:ind w:left="144"/>
              <w:jc w:val="left"/>
              <w:rPr>
                <w:b/>
                <w:bCs/>
                <w:sz w:val="18"/>
                <w:szCs w:val="18"/>
                <w:lang w:eastAsia="en-IN"/>
              </w:rPr>
            </w:pPr>
            <w:r w:rsidRPr="00416121">
              <w:rPr>
                <w:b/>
                <w:bCs/>
                <w:sz w:val="18"/>
                <w:szCs w:val="18"/>
                <w:lang w:eastAsia="en-IN"/>
              </w:rPr>
              <w:t>Total Current Assets</w:t>
            </w:r>
          </w:p>
        </w:tc>
        <w:tc>
          <w:tcPr>
            <w:tcW w:w="1213" w:type="dxa"/>
            <w:tcBorders>
              <w:top w:val="nil"/>
              <w:bottom w:val="single" w:sz="4" w:space="0" w:color="auto"/>
            </w:tcBorders>
            <w:vAlign w:val="center"/>
          </w:tcPr>
          <w:p w14:paraId="0710D7C0" w14:textId="19318296" w:rsidR="00184715" w:rsidRPr="00416121" w:rsidRDefault="00184715" w:rsidP="00184715">
            <w:pPr>
              <w:pStyle w:val="ExhibitText"/>
              <w:jc w:val="right"/>
              <w:rPr>
                <w:b/>
                <w:bCs/>
                <w:sz w:val="18"/>
                <w:szCs w:val="18"/>
                <w:lang w:eastAsia="en-IN"/>
              </w:rPr>
            </w:pPr>
            <w:r w:rsidRPr="00416121">
              <w:rPr>
                <w:b/>
                <w:bCs/>
                <w:sz w:val="18"/>
                <w:szCs w:val="18"/>
                <w:lang w:eastAsia="en-IN"/>
              </w:rPr>
              <w:t>91,454</w:t>
            </w:r>
          </w:p>
        </w:tc>
        <w:tc>
          <w:tcPr>
            <w:tcW w:w="1213" w:type="dxa"/>
            <w:tcBorders>
              <w:top w:val="nil"/>
              <w:bottom w:val="single" w:sz="4" w:space="0" w:color="auto"/>
            </w:tcBorders>
            <w:vAlign w:val="center"/>
          </w:tcPr>
          <w:p w14:paraId="6E1C2B87" w14:textId="0E01E429" w:rsidR="00184715" w:rsidRPr="00416121" w:rsidRDefault="00184715" w:rsidP="00184715">
            <w:pPr>
              <w:pStyle w:val="ExhibitText"/>
              <w:jc w:val="right"/>
              <w:rPr>
                <w:b/>
                <w:bCs/>
                <w:sz w:val="18"/>
                <w:szCs w:val="18"/>
                <w:lang w:eastAsia="en-IN"/>
              </w:rPr>
            </w:pPr>
            <w:r w:rsidRPr="00416121">
              <w:rPr>
                <w:b/>
                <w:bCs/>
                <w:sz w:val="18"/>
                <w:szCs w:val="18"/>
                <w:lang w:eastAsia="en-IN"/>
              </w:rPr>
              <w:t>107,923</w:t>
            </w:r>
          </w:p>
        </w:tc>
        <w:tc>
          <w:tcPr>
            <w:tcW w:w="1213" w:type="dxa"/>
            <w:tcBorders>
              <w:top w:val="nil"/>
              <w:bottom w:val="single" w:sz="4" w:space="0" w:color="auto"/>
            </w:tcBorders>
            <w:vAlign w:val="center"/>
          </w:tcPr>
          <w:p w14:paraId="498CC492" w14:textId="12092756" w:rsidR="00184715" w:rsidRPr="00416121" w:rsidRDefault="00184715" w:rsidP="00184715">
            <w:pPr>
              <w:pStyle w:val="ExhibitText"/>
              <w:jc w:val="right"/>
              <w:rPr>
                <w:b/>
                <w:bCs/>
                <w:sz w:val="18"/>
                <w:szCs w:val="18"/>
                <w:lang w:eastAsia="en-IN"/>
              </w:rPr>
            </w:pPr>
            <w:r w:rsidRPr="00416121">
              <w:rPr>
                <w:b/>
                <w:bCs/>
                <w:sz w:val="18"/>
                <w:szCs w:val="18"/>
                <w:lang w:eastAsia="en-IN"/>
              </w:rPr>
              <w:t>119,721</w:t>
            </w:r>
          </w:p>
        </w:tc>
        <w:tc>
          <w:tcPr>
            <w:tcW w:w="1213" w:type="dxa"/>
            <w:tcBorders>
              <w:top w:val="nil"/>
              <w:bottom w:val="single" w:sz="4" w:space="0" w:color="auto"/>
            </w:tcBorders>
            <w:vAlign w:val="center"/>
          </w:tcPr>
          <w:p w14:paraId="01AAA2AD" w14:textId="36F37BD7" w:rsidR="00184715" w:rsidRPr="00416121" w:rsidRDefault="00184715" w:rsidP="00184715">
            <w:pPr>
              <w:pStyle w:val="ExhibitText"/>
              <w:jc w:val="right"/>
              <w:rPr>
                <w:b/>
                <w:bCs/>
                <w:sz w:val="18"/>
                <w:szCs w:val="18"/>
                <w:lang w:eastAsia="en-IN"/>
              </w:rPr>
            </w:pPr>
            <w:r w:rsidRPr="00416121">
              <w:rPr>
                <w:b/>
                <w:bCs/>
                <w:sz w:val="18"/>
                <w:szCs w:val="18"/>
                <w:lang w:eastAsia="en-IN"/>
              </w:rPr>
              <w:t>142,494</w:t>
            </w:r>
          </w:p>
        </w:tc>
        <w:tc>
          <w:tcPr>
            <w:tcW w:w="1213" w:type="dxa"/>
            <w:tcBorders>
              <w:top w:val="nil"/>
              <w:bottom w:val="single" w:sz="4" w:space="0" w:color="auto"/>
            </w:tcBorders>
            <w:shd w:val="clear" w:color="auto" w:fill="auto"/>
            <w:vAlign w:val="center"/>
            <w:hideMark/>
          </w:tcPr>
          <w:p w14:paraId="719FD5E7" w14:textId="221B0564" w:rsidR="00184715" w:rsidRPr="00416121" w:rsidRDefault="00184715" w:rsidP="00184715">
            <w:pPr>
              <w:pStyle w:val="ExhibitText"/>
              <w:jc w:val="right"/>
              <w:rPr>
                <w:b/>
                <w:bCs/>
                <w:sz w:val="18"/>
                <w:szCs w:val="18"/>
                <w:lang w:eastAsia="en-IN"/>
              </w:rPr>
            </w:pPr>
            <w:r w:rsidRPr="00416121">
              <w:rPr>
                <w:b/>
                <w:bCs/>
                <w:sz w:val="18"/>
                <w:szCs w:val="18"/>
                <w:lang w:eastAsia="en-IN"/>
              </w:rPr>
              <w:t>174,467</w:t>
            </w:r>
          </w:p>
        </w:tc>
      </w:tr>
      <w:tr w:rsidR="00184715" w:rsidRPr="00416121" w14:paraId="6F2FE921" w14:textId="77777777" w:rsidTr="008D3176">
        <w:trPr>
          <w:trHeight w:val="360"/>
          <w:jc w:val="center"/>
        </w:trPr>
        <w:tc>
          <w:tcPr>
            <w:tcW w:w="3295" w:type="dxa"/>
            <w:tcBorders>
              <w:top w:val="single" w:sz="4" w:space="0" w:color="auto"/>
            </w:tcBorders>
            <w:shd w:val="clear" w:color="auto" w:fill="auto"/>
            <w:vAlign w:val="center"/>
            <w:hideMark/>
          </w:tcPr>
          <w:p w14:paraId="078AF3E5" w14:textId="77777777" w:rsidR="00184715" w:rsidRPr="00416121" w:rsidRDefault="00184715" w:rsidP="008D3176">
            <w:pPr>
              <w:pStyle w:val="ExhibitText"/>
              <w:ind w:left="144"/>
              <w:jc w:val="left"/>
              <w:rPr>
                <w:sz w:val="18"/>
                <w:szCs w:val="18"/>
                <w:lang w:eastAsia="en-IN"/>
              </w:rPr>
            </w:pPr>
            <w:r w:rsidRPr="00416121">
              <w:rPr>
                <w:sz w:val="18"/>
                <w:szCs w:val="18"/>
                <w:lang w:eastAsia="en-IN"/>
              </w:rPr>
              <w:t>Property, Plant &amp; Equipment Gross</w:t>
            </w:r>
          </w:p>
        </w:tc>
        <w:tc>
          <w:tcPr>
            <w:tcW w:w="1213" w:type="dxa"/>
            <w:tcBorders>
              <w:top w:val="single" w:sz="4" w:space="0" w:color="auto"/>
            </w:tcBorders>
            <w:vAlign w:val="center"/>
          </w:tcPr>
          <w:p w14:paraId="78E88AAF" w14:textId="026687EF" w:rsidR="00184715" w:rsidRPr="00416121" w:rsidRDefault="00184715" w:rsidP="00184715">
            <w:pPr>
              <w:pStyle w:val="ExhibitText"/>
              <w:jc w:val="right"/>
              <w:rPr>
                <w:sz w:val="18"/>
                <w:szCs w:val="18"/>
                <w:lang w:eastAsia="en-IN"/>
              </w:rPr>
            </w:pPr>
            <w:r w:rsidRPr="00416121">
              <w:rPr>
                <w:sz w:val="18"/>
                <w:szCs w:val="18"/>
                <w:lang w:eastAsia="en-IN"/>
              </w:rPr>
              <w:t>159,261</w:t>
            </w:r>
          </w:p>
        </w:tc>
        <w:tc>
          <w:tcPr>
            <w:tcW w:w="1213" w:type="dxa"/>
            <w:tcBorders>
              <w:top w:val="single" w:sz="4" w:space="0" w:color="auto"/>
            </w:tcBorders>
            <w:vAlign w:val="center"/>
          </w:tcPr>
          <w:p w14:paraId="172A7019" w14:textId="3E8E61C7" w:rsidR="00184715" w:rsidRPr="00416121" w:rsidRDefault="00184715" w:rsidP="00184715">
            <w:pPr>
              <w:pStyle w:val="ExhibitText"/>
              <w:jc w:val="right"/>
              <w:rPr>
                <w:sz w:val="18"/>
                <w:szCs w:val="18"/>
                <w:lang w:eastAsia="en-IN"/>
              </w:rPr>
            </w:pPr>
            <w:r w:rsidRPr="00416121">
              <w:rPr>
                <w:sz w:val="18"/>
                <w:szCs w:val="18"/>
                <w:lang w:eastAsia="en-IN"/>
              </w:rPr>
              <w:t>179,426</w:t>
            </w:r>
          </w:p>
        </w:tc>
        <w:tc>
          <w:tcPr>
            <w:tcW w:w="1213" w:type="dxa"/>
            <w:tcBorders>
              <w:top w:val="single" w:sz="4" w:space="0" w:color="auto"/>
            </w:tcBorders>
            <w:vAlign w:val="center"/>
          </w:tcPr>
          <w:p w14:paraId="30F7E513" w14:textId="4572ED57" w:rsidR="00184715" w:rsidRPr="00416121" w:rsidRDefault="00184715" w:rsidP="00184715">
            <w:pPr>
              <w:pStyle w:val="ExhibitText"/>
              <w:jc w:val="right"/>
              <w:rPr>
                <w:sz w:val="18"/>
                <w:szCs w:val="18"/>
                <w:lang w:eastAsia="en-IN"/>
              </w:rPr>
            </w:pPr>
            <w:r w:rsidRPr="00416121">
              <w:rPr>
                <w:sz w:val="18"/>
                <w:szCs w:val="18"/>
                <w:lang w:eastAsia="en-IN"/>
              </w:rPr>
              <w:t>190,972</w:t>
            </w:r>
          </w:p>
        </w:tc>
        <w:tc>
          <w:tcPr>
            <w:tcW w:w="1213" w:type="dxa"/>
            <w:tcBorders>
              <w:top w:val="single" w:sz="4" w:space="0" w:color="auto"/>
            </w:tcBorders>
            <w:vAlign w:val="center"/>
          </w:tcPr>
          <w:p w14:paraId="1E88B7F3" w14:textId="5869C611" w:rsidR="00184715" w:rsidRPr="00416121" w:rsidRDefault="00184715" w:rsidP="00184715">
            <w:pPr>
              <w:pStyle w:val="ExhibitText"/>
              <w:jc w:val="right"/>
              <w:rPr>
                <w:sz w:val="18"/>
                <w:szCs w:val="18"/>
                <w:lang w:eastAsia="en-IN"/>
              </w:rPr>
            </w:pPr>
            <w:r w:rsidRPr="00416121">
              <w:rPr>
                <w:sz w:val="18"/>
                <w:szCs w:val="18"/>
                <w:lang w:eastAsia="en-IN"/>
              </w:rPr>
              <w:t>202,991</w:t>
            </w:r>
          </w:p>
        </w:tc>
        <w:tc>
          <w:tcPr>
            <w:tcW w:w="1213" w:type="dxa"/>
            <w:tcBorders>
              <w:top w:val="single" w:sz="4" w:space="0" w:color="auto"/>
            </w:tcBorders>
            <w:shd w:val="clear" w:color="auto" w:fill="auto"/>
            <w:vAlign w:val="center"/>
            <w:hideMark/>
          </w:tcPr>
          <w:p w14:paraId="78BB53FB" w14:textId="37AA6245" w:rsidR="00184715" w:rsidRPr="00416121" w:rsidRDefault="00184715" w:rsidP="00184715">
            <w:pPr>
              <w:pStyle w:val="ExhibitText"/>
              <w:jc w:val="right"/>
              <w:rPr>
                <w:sz w:val="18"/>
                <w:szCs w:val="18"/>
                <w:lang w:eastAsia="en-IN"/>
              </w:rPr>
            </w:pPr>
            <w:r w:rsidRPr="00416121">
              <w:rPr>
                <w:sz w:val="18"/>
                <w:szCs w:val="18"/>
                <w:lang w:eastAsia="en-IN"/>
              </w:rPr>
              <w:t>214,248</w:t>
            </w:r>
          </w:p>
        </w:tc>
      </w:tr>
      <w:tr w:rsidR="00184715" w:rsidRPr="00416121" w14:paraId="310EA25D" w14:textId="77777777" w:rsidTr="008D3176">
        <w:trPr>
          <w:trHeight w:val="360"/>
          <w:jc w:val="center"/>
        </w:trPr>
        <w:tc>
          <w:tcPr>
            <w:tcW w:w="3295" w:type="dxa"/>
            <w:tcBorders>
              <w:bottom w:val="nil"/>
            </w:tcBorders>
            <w:shd w:val="clear" w:color="auto" w:fill="auto"/>
            <w:vAlign w:val="center"/>
            <w:hideMark/>
          </w:tcPr>
          <w:p w14:paraId="1C0F8476" w14:textId="77777777" w:rsidR="00184715" w:rsidRPr="00416121" w:rsidRDefault="00184715" w:rsidP="008D3176">
            <w:pPr>
              <w:pStyle w:val="ExhibitText"/>
              <w:ind w:left="144"/>
              <w:jc w:val="left"/>
              <w:rPr>
                <w:sz w:val="18"/>
                <w:szCs w:val="18"/>
                <w:lang w:eastAsia="en-IN"/>
              </w:rPr>
            </w:pPr>
            <w:r w:rsidRPr="00416121">
              <w:rPr>
                <w:sz w:val="18"/>
                <w:szCs w:val="18"/>
                <w:lang w:eastAsia="en-IN"/>
              </w:rPr>
              <w:t>Accumulated Depreciation</w:t>
            </w:r>
          </w:p>
        </w:tc>
        <w:tc>
          <w:tcPr>
            <w:tcW w:w="1213" w:type="dxa"/>
            <w:tcBorders>
              <w:bottom w:val="nil"/>
            </w:tcBorders>
            <w:vAlign w:val="center"/>
          </w:tcPr>
          <w:p w14:paraId="5CAA3ACC" w14:textId="32798D94" w:rsidR="00184715" w:rsidRPr="00416121" w:rsidRDefault="00184715" w:rsidP="00184715">
            <w:pPr>
              <w:pStyle w:val="ExhibitText"/>
              <w:jc w:val="right"/>
              <w:rPr>
                <w:sz w:val="18"/>
                <w:szCs w:val="18"/>
                <w:lang w:eastAsia="en-IN"/>
              </w:rPr>
            </w:pPr>
            <w:r w:rsidRPr="00416121">
              <w:rPr>
                <w:sz w:val="18"/>
                <w:szCs w:val="18"/>
                <w:lang w:eastAsia="en-IN"/>
              </w:rPr>
              <w:t>37,047</w:t>
            </w:r>
          </w:p>
        </w:tc>
        <w:tc>
          <w:tcPr>
            <w:tcW w:w="1213" w:type="dxa"/>
            <w:tcBorders>
              <w:bottom w:val="nil"/>
            </w:tcBorders>
            <w:vAlign w:val="center"/>
          </w:tcPr>
          <w:p w14:paraId="7703AE5E" w14:textId="7749E96E" w:rsidR="00184715" w:rsidRPr="00416121" w:rsidRDefault="00184715" w:rsidP="00184715">
            <w:pPr>
              <w:pStyle w:val="ExhibitText"/>
              <w:jc w:val="right"/>
              <w:rPr>
                <w:sz w:val="18"/>
                <w:szCs w:val="18"/>
                <w:lang w:eastAsia="en-IN"/>
              </w:rPr>
            </w:pPr>
            <w:r w:rsidRPr="00416121">
              <w:rPr>
                <w:sz w:val="18"/>
                <w:szCs w:val="18"/>
                <w:lang w:eastAsia="en-IN"/>
              </w:rPr>
              <w:t>42,182</w:t>
            </w:r>
          </w:p>
        </w:tc>
        <w:tc>
          <w:tcPr>
            <w:tcW w:w="1213" w:type="dxa"/>
            <w:tcBorders>
              <w:bottom w:val="nil"/>
            </w:tcBorders>
            <w:vAlign w:val="center"/>
          </w:tcPr>
          <w:p w14:paraId="1419D76D" w14:textId="65080549" w:rsidR="00184715" w:rsidRPr="00416121" w:rsidRDefault="00184715" w:rsidP="00184715">
            <w:pPr>
              <w:pStyle w:val="ExhibitText"/>
              <w:jc w:val="right"/>
              <w:rPr>
                <w:sz w:val="18"/>
                <w:szCs w:val="18"/>
                <w:lang w:eastAsia="en-IN"/>
              </w:rPr>
            </w:pPr>
            <w:r w:rsidRPr="00416121">
              <w:rPr>
                <w:sz w:val="18"/>
                <w:szCs w:val="18"/>
                <w:lang w:eastAsia="en-IN"/>
              </w:rPr>
              <w:t>45,806</w:t>
            </w:r>
          </w:p>
        </w:tc>
        <w:tc>
          <w:tcPr>
            <w:tcW w:w="1213" w:type="dxa"/>
            <w:tcBorders>
              <w:bottom w:val="nil"/>
            </w:tcBorders>
            <w:vAlign w:val="center"/>
          </w:tcPr>
          <w:p w14:paraId="3C8A7EB1" w14:textId="6CE057C2" w:rsidR="00184715" w:rsidRPr="00416121" w:rsidRDefault="00184715" w:rsidP="00184715">
            <w:pPr>
              <w:pStyle w:val="ExhibitText"/>
              <w:jc w:val="right"/>
              <w:rPr>
                <w:sz w:val="18"/>
                <w:szCs w:val="18"/>
                <w:lang w:eastAsia="en-IN"/>
              </w:rPr>
            </w:pPr>
            <w:r w:rsidRPr="00416121">
              <w:rPr>
                <w:sz w:val="18"/>
                <w:szCs w:val="18"/>
                <w:lang w:eastAsia="en-IN"/>
              </w:rPr>
              <w:t>50,218</w:t>
            </w:r>
          </w:p>
        </w:tc>
        <w:tc>
          <w:tcPr>
            <w:tcW w:w="1213" w:type="dxa"/>
            <w:tcBorders>
              <w:bottom w:val="nil"/>
            </w:tcBorders>
            <w:shd w:val="clear" w:color="auto" w:fill="auto"/>
            <w:vAlign w:val="center"/>
            <w:hideMark/>
          </w:tcPr>
          <w:p w14:paraId="1A5964E2" w14:textId="7E05B8AB" w:rsidR="00184715" w:rsidRPr="00416121" w:rsidRDefault="00184715" w:rsidP="00184715">
            <w:pPr>
              <w:pStyle w:val="ExhibitText"/>
              <w:jc w:val="right"/>
              <w:rPr>
                <w:sz w:val="18"/>
                <w:szCs w:val="18"/>
                <w:lang w:eastAsia="en-IN"/>
              </w:rPr>
            </w:pPr>
            <w:r w:rsidRPr="00416121">
              <w:rPr>
                <w:sz w:val="18"/>
                <w:szCs w:val="18"/>
                <w:lang w:eastAsia="en-IN"/>
              </w:rPr>
              <w:t>56,029</w:t>
            </w:r>
          </w:p>
        </w:tc>
      </w:tr>
      <w:tr w:rsidR="008D3176" w:rsidRPr="00416121" w14:paraId="75A47065" w14:textId="77777777" w:rsidTr="008D3176">
        <w:trPr>
          <w:trHeight w:val="360"/>
          <w:jc w:val="center"/>
        </w:trPr>
        <w:tc>
          <w:tcPr>
            <w:tcW w:w="3295" w:type="dxa"/>
            <w:tcBorders>
              <w:top w:val="nil"/>
              <w:bottom w:val="single" w:sz="4" w:space="0" w:color="auto"/>
            </w:tcBorders>
            <w:shd w:val="clear" w:color="auto" w:fill="auto"/>
            <w:vAlign w:val="center"/>
            <w:hideMark/>
          </w:tcPr>
          <w:p w14:paraId="2925A552" w14:textId="77777777" w:rsidR="008D3176" w:rsidRPr="00416121" w:rsidRDefault="008D3176" w:rsidP="008D3176">
            <w:pPr>
              <w:pStyle w:val="ExhibitText"/>
              <w:ind w:left="144"/>
              <w:jc w:val="left"/>
              <w:rPr>
                <w:b/>
                <w:bCs/>
                <w:sz w:val="18"/>
                <w:szCs w:val="18"/>
                <w:lang w:eastAsia="en-IN"/>
              </w:rPr>
            </w:pPr>
            <w:r w:rsidRPr="00416121">
              <w:rPr>
                <w:b/>
                <w:bCs/>
                <w:sz w:val="18"/>
                <w:szCs w:val="18"/>
                <w:lang w:eastAsia="en-IN"/>
              </w:rPr>
              <w:t>Net Property, Plant &amp; Equipment</w:t>
            </w:r>
          </w:p>
        </w:tc>
        <w:tc>
          <w:tcPr>
            <w:tcW w:w="1213" w:type="dxa"/>
            <w:tcBorders>
              <w:top w:val="nil"/>
              <w:bottom w:val="single" w:sz="4" w:space="0" w:color="auto"/>
            </w:tcBorders>
            <w:vAlign w:val="center"/>
          </w:tcPr>
          <w:p w14:paraId="24440A11" w14:textId="77777777" w:rsidR="008D3176" w:rsidRPr="00416121" w:rsidRDefault="008D3176" w:rsidP="008C7CFF">
            <w:pPr>
              <w:pStyle w:val="ExhibitText"/>
              <w:jc w:val="right"/>
              <w:rPr>
                <w:b/>
                <w:bCs/>
                <w:sz w:val="18"/>
                <w:szCs w:val="18"/>
                <w:lang w:eastAsia="en-IN"/>
              </w:rPr>
            </w:pPr>
            <w:r w:rsidRPr="00416121">
              <w:rPr>
                <w:b/>
                <w:bCs/>
                <w:sz w:val="18"/>
                <w:szCs w:val="18"/>
                <w:lang w:eastAsia="en-IN"/>
              </w:rPr>
              <w:t>122,214</w:t>
            </w:r>
          </w:p>
        </w:tc>
        <w:tc>
          <w:tcPr>
            <w:tcW w:w="1213" w:type="dxa"/>
            <w:tcBorders>
              <w:top w:val="nil"/>
              <w:bottom w:val="single" w:sz="4" w:space="0" w:color="auto"/>
            </w:tcBorders>
            <w:vAlign w:val="center"/>
          </w:tcPr>
          <w:p w14:paraId="6142E865" w14:textId="77777777" w:rsidR="008D3176" w:rsidRPr="00416121" w:rsidRDefault="008D3176" w:rsidP="008C7CFF">
            <w:pPr>
              <w:pStyle w:val="ExhibitText"/>
              <w:jc w:val="right"/>
              <w:rPr>
                <w:b/>
                <w:bCs/>
                <w:sz w:val="18"/>
                <w:szCs w:val="18"/>
                <w:lang w:eastAsia="en-IN"/>
              </w:rPr>
            </w:pPr>
            <w:r w:rsidRPr="00416121">
              <w:rPr>
                <w:b/>
                <w:bCs/>
                <w:sz w:val="18"/>
                <w:szCs w:val="18"/>
                <w:lang w:eastAsia="en-IN"/>
              </w:rPr>
              <w:t>137,244</w:t>
            </w:r>
          </w:p>
        </w:tc>
        <w:tc>
          <w:tcPr>
            <w:tcW w:w="1213" w:type="dxa"/>
            <w:tcBorders>
              <w:top w:val="nil"/>
              <w:bottom w:val="single" w:sz="4" w:space="0" w:color="auto"/>
            </w:tcBorders>
            <w:vAlign w:val="center"/>
          </w:tcPr>
          <w:p w14:paraId="5EDA49B3" w14:textId="77777777" w:rsidR="008D3176" w:rsidRPr="00416121" w:rsidRDefault="008D3176" w:rsidP="008C7CFF">
            <w:pPr>
              <w:pStyle w:val="ExhibitText"/>
              <w:jc w:val="right"/>
              <w:rPr>
                <w:b/>
                <w:bCs/>
                <w:sz w:val="18"/>
                <w:szCs w:val="18"/>
                <w:lang w:eastAsia="en-IN"/>
              </w:rPr>
            </w:pPr>
            <w:r w:rsidRPr="00416121">
              <w:rPr>
                <w:b/>
                <w:bCs/>
                <w:sz w:val="18"/>
                <w:szCs w:val="18"/>
                <w:lang w:eastAsia="en-IN"/>
              </w:rPr>
              <w:t>145,166</w:t>
            </w:r>
          </w:p>
        </w:tc>
        <w:tc>
          <w:tcPr>
            <w:tcW w:w="1213" w:type="dxa"/>
            <w:tcBorders>
              <w:top w:val="nil"/>
              <w:bottom w:val="single" w:sz="4" w:space="0" w:color="auto"/>
            </w:tcBorders>
            <w:vAlign w:val="center"/>
          </w:tcPr>
          <w:p w14:paraId="774A3E27" w14:textId="77777777" w:rsidR="008D3176" w:rsidRPr="00416121" w:rsidRDefault="008D3176" w:rsidP="008C7CFF">
            <w:pPr>
              <w:pStyle w:val="ExhibitText"/>
              <w:jc w:val="right"/>
              <w:rPr>
                <w:b/>
                <w:bCs/>
                <w:sz w:val="18"/>
                <w:szCs w:val="18"/>
                <w:lang w:eastAsia="en-IN"/>
              </w:rPr>
            </w:pPr>
            <w:r w:rsidRPr="00416121">
              <w:rPr>
                <w:b/>
                <w:bCs/>
                <w:sz w:val="18"/>
                <w:szCs w:val="18"/>
                <w:lang w:eastAsia="en-IN"/>
              </w:rPr>
              <w:t>152,773</w:t>
            </w:r>
          </w:p>
        </w:tc>
        <w:tc>
          <w:tcPr>
            <w:tcW w:w="1213" w:type="dxa"/>
            <w:tcBorders>
              <w:top w:val="nil"/>
              <w:bottom w:val="single" w:sz="4" w:space="0" w:color="auto"/>
            </w:tcBorders>
            <w:shd w:val="clear" w:color="auto" w:fill="auto"/>
            <w:vAlign w:val="center"/>
            <w:hideMark/>
          </w:tcPr>
          <w:p w14:paraId="763F4E1C" w14:textId="77777777" w:rsidR="008D3176" w:rsidRPr="00416121" w:rsidRDefault="008D3176" w:rsidP="008C7CFF">
            <w:pPr>
              <w:pStyle w:val="ExhibitText"/>
              <w:jc w:val="right"/>
              <w:rPr>
                <w:b/>
                <w:bCs/>
                <w:sz w:val="18"/>
                <w:szCs w:val="18"/>
                <w:lang w:eastAsia="en-IN"/>
              </w:rPr>
            </w:pPr>
            <w:r w:rsidRPr="00416121">
              <w:rPr>
                <w:b/>
                <w:bCs/>
                <w:sz w:val="18"/>
                <w:szCs w:val="18"/>
                <w:lang w:eastAsia="en-IN"/>
              </w:rPr>
              <w:t>158,219</w:t>
            </w:r>
          </w:p>
        </w:tc>
      </w:tr>
      <w:tr w:rsidR="00184715" w:rsidRPr="00416121" w14:paraId="15CB4531" w14:textId="77777777" w:rsidTr="008D3176">
        <w:trPr>
          <w:trHeight w:val="360"/>
          <w:jc w:val="center"/>
        </w:trPr>
        <w:tc>
          <w:tcPr>
            <w:tcW w:w="3295" w:type="dxa"/>
            <w:tcBorders>
              <w:top w:val="single" w:sz="4" w:space="0" w:color="auto"/>
            </w:tcBorders>
            <w:shd w:val="clear" w:color="auto" w:fill="auto"/>
            <w:vAlign w:val="center"/>
            <w:hideMark/>
          </w:tcPr>
          <w:p w14:paraId="1977A4C0" w14:textId="77777777" w:rsidR="00184715" w:rsidRPr="00416121" w:rsidRDefault="00184715" w:rsidP="008D3176">
            <w:pPr>
              <w:pStyle w:val="ExhibitText"/>
              <w:ind w:left="144"/>
              <w:jc w:val="left"/>
              <w:rPr>
                <w:sz w:val="18"/>
                <w:szCs w:val="18"/>
                <w:lang w:eastAsia="en-IN"/>
              </w:rPr>
            </w:pPr>
            <w:r w:rsidRPr="00416121">
              <w:rPr>
                <w:sz w:val="18"/>
                <w:szCs w:val="18"/>
                <w:lang w:eastAsia="en-IN"/>
              </w:rPr>
              <w:t>Total Investments and Advances</w:t>
            </w:r>
          </w:p>
        </w:tc>
        <w:tc>
          <w:tcPr>
            <w:tcW w:w="1213" w:type="dxa"/>
            <w:tcBorders>
              <w:top w:val="single" w:sz="4" w:space="0" w:color="auto"/>
            </w:tcBorders>
            <w:vAlign w:val="center"/>
          </w:tcPr>
          <w:p w14:paraId="23DC1C37" w14:textId="7C39319E" w:rsidR="00184715" w:rsidRPr="00416121" w:rsidRDefault="00184715" w:rsidP="00184715">
            <w:pPr>
              <w:pStyle w:val="ExhibitText"/>
              <w:jc w:val="right"/>
              <w:rPr>
                <w:sz w:val="18"/>
                <w:szCs w:val="18"/>
                <w:lang w:eastAsia="en-IN"/>
              </w:rPr>
            </w:pPr>
            <w:r w:rsidRPr="00416121">
              <w:rPr>
                <w:sz w:val="18"/>
                <w:szCs w:val="18"/>
                <w:lang w:eastAsia="en-IN"/>
              </w:rPr>
              <w:t>177,858</w:t>
            </w:r>
          </w:p>
        </w:tc>
        <w:tc>
          <w:tcPr>
            <w:tcW w:w="1213" w:type="dxa"/>
            <w:tcBorders>
              <w:top w:val="single" w:sz="4" w:space="0" w:color="auto"/>
            </w:tcBorders>
            <w:vAlign w:val="center"/>
          </w:tcPr>
          <w:p w14:paraId="7280E208" w14:textId="698D0E81" w:rsidR="00184715" w:rsidRPr="00416121" w:rsidRDefault="00184715" w:rsidP="00184715">
            <w:pPr>
              <w:pStyle w:val="ExhibitText"/>
              <w:jc w:val="right"/>
              <w:rPr>
                <w:sz w:val="18"/>
                <w:szCs w:val="18"/>
                <w:lang w:eastAsia="en-IN"/>
              </w:rPr>
            </w:pPr>
            <w:r w:rsidRPr="00416121">
              <w:rPr>
                <w:sz w:val="18"/>
                <w:szCs w:val="18"/>
                <w:lang w:eastAsia="en-IN"/>
              </w:rPr>
              <w:t>180,150</w:t>
            </w:r>
          </w:p>
        </w:tc>
        <w:tc>
          <w:tcPr>
            <w:tcW w:w="1213" w:type="dxa"/>
            <w:tcBorders>
              <w:top w:val="single" w:sz="4" w:space="0" w:color="auto"/>
            </w:tcBorders>
            <w:vAlign w:val="center"/>
          </w:tcPr>
          <w:p w14:paraId="092A7C40" w14:textId="7FBFA3D2" w:rsidR="00184715" w:rsidRPr="00416121" w:rsidRDefault="00184715" w:rsidP="00184715">
            <w:pPr>
              <w:pStyle w:val="ExhibitText"/>
              <w:jc w:val="right"/>
              <w:rPr>
                <w:sz w:val="18"/>
                <w:szCs w:val="18"/>
                <w:lang w:eastAsia="en-IN"/>
              </w:rPr>
            </w:pPr>
            <w:r w:rsidRPr="00416121">
              <w:rPr>
                <w:sz w:val="18"/>
                <w:szCs w:val="18"/>
                <w:lang w:eastAsia="en-IN"/>
              </w:rPr>
              <w:t>182,990</w:t>
            </w:r>
          </w:p>
        </w:tc>
        <w:tc>
          <w:tcPr>
            <w:tcW w:w="1213" w:type="dxa"/>
            <w:tcBorders>
              <w:top w:val="single" w:sz="4" w:space="0" w:color="auto"/>
            </w:tcBorders>
            <w:vAlign w:val="center"/>
          </w:tcPr>
          <w:p w14:paraId="1BB075C0" w14:textId="7593A8A8" w:rsidR="00184715" w:rsidRPr="00416121" w:rsidRDefault="00184715" w:rsidP="00184715">
            <w:pPr>
              <w:pStyle w:val="ExhibitText"/>
              <w:jc w:val="right"/>
              <w:rPr>
                <w:sz w:val="18"/>
                <w:szCs w:val="18"/>
                <w:lang w:eastAsia="en-IN"/>
              </w:rPr>
            </w:pPr>
            <w:r w:rsidRPr="00416121">
              <w:rPr>
                <w:sz w:val="18"/>
                <w:szCs w:val="18"/>
                <w:lang w:eastAsia="en-IN"/>
              </w:rPr>
              <w:t>178,098</w:t>
            </w:r>
          </w:p>
        </w:tc>
        <w:tc>
          <w:tcPr>
            <w:tcW w:w="1213" w:type="dxa"/>
            <w:tcBorders>
              <w:top w:val="single" w:sz="4" w:space="0" w:color="auto"/>
            </w:tcBorders>
            <w:shd w:val="clear" w:color="auto" w:fill="auto"/>
            <w:vAlign w:val="center"/>
            <w:hideMark/>
          </w:tcPr>
          <w:p w14:paraId="1DF820DC" w14:textId="282B2ED5" w:rsidR="00184715" w:rsidRPr="00416121" w:rsidRDefault="00184715" w:rsidP="00184715">
            <w:pPr>
              <w:pStyle w:val="ExhibitText"/>
              <w:jc w:val="right"/>
              <w:rPr>
                <w:sz w:val="18"/>
                <w:szCs w:val="18"/>
                <w:lang w:eastAsia="en-IN"/>
              </w:rPr>
            </w:pPr>
            <w:r w:rsidRPr="00416121">
              <w:rPr>
                <w:sz w:val="18"/>
                <w:szCs w:val="18"/>
                <w:lang w:eastAsia="en-IN"/>
              </w:rPr>
              <w:t>204,975</w:t>
            </w:r>
          </w:p>
        </w:tc>
      </w:tr>
      <w:tr w:rsidR="00184715" w:rsidRPr="00416121" w14:paraId="48D37953" w14:textId="77777777" w:rsidTr="008D3176">
        <w:trPr>
          <w:trHeight w:val="360"/>
          <w:jc w:val="center"/>
        </w:trPr>
        <w:tc>
          <w:tcPr>
            <w:tcW w:w="3295" w:type="dxa"/>
            <w:shd w:val="clear" w:color="auto" w:fill="auto"/>
            <w:vAlign w:val="center"/>
            <w:hideMark/>
          </w:tcPr>
          <w:p w14:paraId="322A1B61" w14:textId="77777777" w:rsidR="00184715" w:rsidRPr="00416121" w:rsidRDefault="00184715" w:rsidP="008D3176">
            <w:pPr>
              <w:pStyle w:val="ExhibitText"/>
              <w:ind w:left="144"/>
              <w:jc w:val="left"/>
              <w:rPr>
                <w:sz w:val="18"/>
                <w:szCs w:val="18"/>
                <w:lang w:eastAsia="en-IN"/>
              </w:rPr>
            </w:pPr>
            <w:r w:rsidRPr="00416121">
              <w:rPr>
                <w:sz w:val="18"/>
                <w:szCs w:val="18"/>
                <w:lang w:eastAsia="en-IN"/>
              </w:rPr>
              <w:t>Intangible Assets</w:t>
            </w:r>
          </w:p>
        </w:tc>
        <w:tc>
          <w:tcPr>
            <w:tcW w:w="1213" w:type="dxa"/>
            <w:vAlign w:val="center"/>
          </w:tcPr>
          <w:p w14:paraId="1ADB3938" w14:textId="39317CD9" w:rsidR="00184715" w:rsidRPr="00416121" w:rsidRDefault="00184715" w:rsidP="00184715">
            <w:pPr>
              <w:pStyle w:val="ExhibitText"/>
              <w:jc w:val="right"/>
              <w:rPr>
                <w:sz w:val="18"/>
                <w:szCs w:val="18"/>
                <w:lang w:eastAsia="en-IN"/>
              </w:rPr>
            </w:pPr>
            <w:r w:rsidRPr="00416121">
              <w:rPr>
                <w:sz w:val="18"/>
                <w:szCs w:val="18"/>
                <w:lang w:eastAsia="en-IN"/>
              </w:rPr>
              <w:t>66,194</w:t>
            </w:r>
          </w:p>
        </w:tc>
        <w:tc>
          <w:tcPr>
            <w:tcW w:w="1213" w:type="dxa"/>
            <w:vAlign w:val="center"/>
          </w:tcPr>
          <w:p w14:paraId="34CEB467" w14:textId="63725A48" w:rsidR="00184715" w:rsidRPr="00416121" w:rsidRDefault="00184715" w:rsidP="00184715">
            <w:pPr>
              <w:pStyle w:val="ExhibitText"/>
              <w:jc w:val="right"/>
              <w:rPr>
                <w:sz w:val="18"/>
                <w:szCs w:val="18"/>
                <w:lang w:eastAsia="en-IN"/>
              </w:rPr>
            </w:pPr>
            <w:r w:rsidRPr="00416121">
              <w:rPr>
                <w:sz w:val="18"/>
                <w:szCs w:val="18"/>
                <w:lang w:eastAsia="en-IN"/>
              </w:rPr>
              <w:t>70,655</w:t>
            </w:r>
          </w:p>
        </w:tc>
        <w:tc>
          <w:tcPr>
            <w:tcW w:w="1213" w:type="dxa"/>
            <w:vAlign w:val="center"/>
          </w:tcPr>
          <w:p w14:paraId="55756B9F" w14:textId="75FCBB7A" w:rsidR="00184715" w:rsidRPr="00416121" w:rsidRDefault="00184715" w:rsidP="00184715">
            <w:pPr>
              <w:pStyle w:val="ExhibitText"/>
              <w:jc w:val="right"/>
              <w:rPr>
                <w:sz w:val="18"/>
                <w:szCs w:val="18"/>
                <w:lang w:eastAsia="en-IN"/>
              </w:rPr>
            </w:pPr>
            <w:r w:rsidRPr="00416121">
              <w:rPr>
                <w:sz w:val="18"/>
                <w:szCs w:val="18"/>
                <w:lang w:eastAsia="en-IN"/>
              </w:rPr>
              <w:t>72,505</w:t>
            </w:r>
          </w:p>
        </w:tc>
        <w:tc>
          <w:tcPr>
            <w:tcW w:w="1213" w:type="dxa"/>
            <w:vAlign w:val="center"/>
          </w:tcPr>
          <w:p w14:paraId="731171D2" w14:textId="3CBA268C" w:rsidR="00184715" w:rsidRPr="00416121" w:rsidRDefault="00184715" w:rsidP="00184715">
            <w:pPr>
              <w:pStyle w:val="ExhibitText"/>
              <w:jc w:val="right"/>
              <w:rPr>
                <w:sz w:val="18"/>
                <w:szCs w:val="18"/>
                <w:lang w:eastAsia="en-IN"/>
              </w:rPr>
            </w:pPr>
            <w:r w:rsidRPr="00416121">
              <w:rPr>
                <w:sz w:val="18"/>
                <w:szCs w:val="18"/>
                <w:lang w:eastAsia="en-IN"/>
              </w:rPr>
              <w:t>113,572</w:t>
            </w:r>
          </w:p>
        </w:tc>
        <w:tc>
          <w:tcPr>
            <w:tcW w:w="1213" w:type="dxa"/>
            <w:shd w:val="clear" w:color="auto" w:fill="auto"/>
            <w:vAlign w:val="center"/>
            <w:hideMark/>
          </w:tcPr>
          <w:p w14:paraId="14692305" w14:textId="5BA20E74" w:rsidR="00184715" w:rsidRPr="00416121" w:rsidRDefault="00184715" w:rsidP="00184715">
            <w:pPr>
              <w:pStyle w:val="ExhibitText"/>
              <w:jc w:val="right"/>
              <w:rPr>
                <w:sz w:val="18"/>
                <w:szCs w:val="18"/>
                <w:lang w:eastAsia="en-IN"/>
              </w:rPr>
            </w:pPr>
            <w:r w:rsidRPr="00416121">
              <w:rPr>
                <w:sz w:val="18"/>
                <w:szCs w:val="18"/>
                <w:lang w:eastAsia="en-IN"/>
              </w:rPr>
              <w:t>114,440</w:t>
            </w:r>
          </w:p>
        </w:tc>
      </w:tr>
      <w:tr w:rsidR="00184715" w:rsidRPr="00416121" w14:paraId="5702439C" w14:textId="77777777" w:rsidTr="008D3176">
        <w:trPr>
          <w:trHeight w:val="360"/>
          <w:jc w:val="center"/>
        </w:trPr>
        <w:tc>
          <w:tcPr>
            <w:tcW w:w="3295" w:type="dxa"/>
            <w:tcBorders>
              <w:bottom w:val="nil"/>
            </w:tcBorders>
            <w:shd w:val="clear" w:color="auto" w:fill="auto"/>
            <w:vAlign w:val="center"/>
            <w:hideMark/>
          </w:tcPr>
          <w:p w14:paraId="73E24D26" w14:textId="77777777" w:rsidR="00184715" w:rsidRPr="00416121" w:rsidRDefault="00184715" w:rsidP="008D3176">
            <w:pPr>
              <w:pStyle w:val="ExhibitText"/>
              <w:ind w:left="144"/>
              <w:jc w:val="left"/>
              <w:rPr>
                <w:sz w:val="18"/>
                <w:szCs w:val="18"/>
                <w:lang w:eastAsia="en-IN"/>
              </w:rPr>
            </w:pPr>
            <w:r w:rsidRPr="00416121">
              <w:rPr>
                <w:sz w:val="18"/>
                <w:szCs w:val="18"/>
                <w:lang w:eastAsia="en-IN"/>
              </w:rPr>
              <w:t>Other Assets</w:t>
            </w:r>
          </w:p>
        </w:tc>
        <w:tc>
          <w:tcPr>
            <w:tcW w:w="1213" w:type="dxa"/>
            <w:tcBorders>
              <w:bottom w:val="nil"/>
            </w:tcBorders>
            <w:vAlign w:val="center"/>
          </w:tcPr>
          <w:p w14:paraId="0D935680" w14:textId="3A8F73D0" w:rsidR="00184715" w:rsidRPr="00416121" w:rsidRDefault="00184715" w:rsidP="00184715">
            <w:pPr>
              <w:pStyle w:val="ExhibitText"/>
              <w:jc w:val="right"/>
              <w:rPr>
                <w:sz w:val="18"/>
                <w:szCs w:val="18"/>
                <w:lang w:eastAsia="en-IN"/>
              </w:rPr>
            </w:pPr>
            <w:r w:rsidRPr="00416121">
              <w:rPr>
                <w:sz w:val="18"/>
                <w:szCs w:val="18"/>
                <w:lang w:eastAsia="en-IN"/>
              </w:rPr>
              <w:t>27,211</w:t>
            </w:r>
          </w:p>
        </w:tc>
        <w:tc>
          <w:tcPr>
            <w:tcW w:w="1213" w:type="dxa"/>
            <w:tcBorders>
              <w:bottom w:val="nil"/>
            </w:tcBorders>
            <w:vAlign w:val="center"/>
          </w:tcPr>
          <w:p w14:paraId="0334BC3B" w14:textId="34FE59D1" w:rsidR="00184715" w:rsidRPr="00416121" w:rsidRDefault="00184715" w:rsidP="00184715">
            <w:pPr>
              <w:pStyle w:val="ExhibitText"/>
              <w:jc w:val="right"/>
              <w:rPr>
                <w:sz w:val="18"/>
                <w:szCs w:val="18"/>
                <w:lang w:eastAsia="en-IN"/>
              </w:rPr>
            </w:pPr>
            <w:r w:rsidRPr="00416121">
              <w:rPr>
                <w:sz w:val="18"/>
                <w:szCs w:val="18"/>
                <w:lang w:eastAsia="en-IN"/>
              </w:rPr>
              <w:t>30,214</w:t>
            </w:r>
          </w:p>
        </w:tc>
        <w:tc>
          <w:tcPr>
            <w:tcW w:w="1213" w:type="dxa"/>
            <w:tcBorders>
              <w:bottom w:val="nil"/>
            </w:tcBorders>
            <w:vAlign w:val="center"/>
          </w:tcPr>
          <w:p w14:paraId="073802EA" w14:textId="7BB131D3" w:rsidR="00184715" w:rsidRPr="00416121" w:rsidRDefault="00184715" w:rsidP="00184715">
            <w:pPr>
              <w:pStyle w:val="ExhibitText"/>
              <w:jc w:val="right"/>
              <w:rPr>
                <w:sz w:val="18"/>
                <w:szCs w:val="18"/>
                <w:lang w:eastAsia="en-IN"/>
              </w:rPr>
            </w:pPr>
            <w:r w:rsidRPr="00416121">
              <w:rPr>
                <w:sz w:val="18"/>
                <w:szCs w:val="18"/>
                <w:lang w:eastAsia="en-IN"/>
              </w:rPr>
              <w:t>31,875</w:t>
            </w:r>
          </w:p>
        </w:tc>
        <w:tc>
          <w:tcPr>
            <w:tcW w:w="1213" w:type="dxa"/>
            <w:tcBorders>
              <w:bottom w:val="nil"/>
            </w:tcBorders>
            <w:vAlign w:val="center"/>
          </w:tcPr>
          <w:p w14:paraId="1C1F058F" w14:textId="4C65A9E4" w:rsidR="00184715" w:rsidRPr="00416121" w:rsidRDefault="00184715" w:rsidP="00184715">
            <w:pPr>
              <w:pStyle w:val="ExhibitText"/>
              <w:jc w:val="right"/>
              <w:rPr>
                <w:sz w:val="18"/>
                <w:szCs w:val="18"/>
                <w:lang w:eastAsia="en-IN"/>
              </w:rPr>
            </w:pPr>
            <w:r w:rsidRPr="00416121">
              <w:rPr>
                <w:sz w:val="18"/>
                <w:szCs w:val="18"/>
                <w:lang w:eastAsia="en-IN"/>
              </w:rPr>
              <w:t>33,917</w:t>
            </w:r>
          </w:p>
        </w:tc>
        <w:tc>
          <w:tcPr>
            <w:tcW w:w="1213" w:type="dxa"/>
            <w:tcBorders>
              <w:bottom w:val="nil"/>
            </w:tcBorders>
            <w:shd w:val="clear" w:color="auto" w:fill="auto"/>
            <w:vAlign w:val="center"/>
            <w:hideMark/>
          </w:tcPr>
          <w:p w14:paraId="4BB6AF81" w14:textId="7F4884E3" w:rsidR="00184715" w:rsidRPr="00416121" w:rsidRDefault="00184715" w:rsidP="00184715">
            <w:pPr>
              <w:pStyle w:val="ExhibitText"/>
              <w:jc w:val="right"/>
              <w:rPr>
                <w:sz w:val="18"/>
                <w:szCs w:val="18"/>
                <w:lang w:eastAsia="en-IN"/>
              </w:rPr>
            </w:pPr>
            <w:r w:rsidRPr="00416121">
              <w:rPr>
                <w:sz w:val="18"/>
                <w:szCs w:val="18"/>
                <w:lang w:eastAsia="en-IN"/>
              </w:rPr>
              <w:t>49,994</w:t>
            </w:r>
          </w:p>
        </w:tc>
      </w:tr>
      <w:tr w:rsidR="00184715" w:rsidRPr="00416121" w14:paraId="36BC1B9B" w14:textId="77777777" w:rsidTr="008D3176">
        <w:trPr>
          <w:trHeight w:val="360"/>
          <w:jc w:val="center"/>
        </w:trPr>
        <w:tc>
          <w:tcPr>
            <w:tcW w:w="3295" w:type="dxa"/>
            <w:tcBorders>
              <w:top w:val="nil"/>
              <w:bottom w:val="double" w:sz="4" w:space="0" w:color="auto"/>
            </w:tcBorders>
            <w:shd w:val="clear" w:color="auto" w:fill="auto"/>
            <w:vAlign w:val="center"/>
            <w:hideMark/>
          </w:tcPr>
          <w:p w14:paraId="0CE8A79E" w14:textId="77777777" w:rsidR="00184715" w:rsidRPr="00416121" w:rsidRDefault="00184715" w:rsidP="008D3176">
            <w:pPr>
              <w:pStyle w:val="ExhibitText"/>
              <w:jc w:val="left"/>
              <w:rPr>
                <w:b/>
                <w:bCs/>
                <w:sz w:val="18"/>
                <w:szCs w:val="18"/>
                <w:lang w:eastAsia="en-IN"/>
              </w:rPr>
            </w:pPr>
            <w:r w:rsidRPr="00416121">
              <w:rPr>
                <w:b/>
                <w:bCs/>
                <w:sz w:val="18"/>
                <w:szCs w:val="18"/>
                <w:lang w:eastAsia="en-IN"/>
              </w:rPr>
              <w:t>Total Assets</w:t>
            </w:r>
          </w:p>
        </w:tc>
        <w:tc>
          <w:tcPr>
            <w:tcW w:w="1213" w:type="dxa"/>
            <w:tcBorders>
              <w:top w:val="nil"/>
              <w:bottom w:val="double" w:sz="4" w:space="0" w:color="auto"/>
            </w:tcBorders>
            <w:vAlign w:val="center"/>
          </w:tcPr>
          <w:p w14:paraId="4D98461E" w14:textId="2C5ACA61" w:rsidR="00184715" w:rsidRPr="00416121" w:rsidRDefault="00184715" w:rsidP="00184715">
            <w:pPr>
              <w:pStyle w:val="ExhibitText"/>
              <w:jc w:val="right"/>
              <w:rPr>
                <w:b/>
                <w:bCs/>
                <w:sz w:val="18"/>
                <w:szCs w:val="18"/>
                <w:lang w:eastAsia="en-IN"/>
              </w:rPr>
            </w:pPr>
            <w:r w:rsidRPr="00416121">
              <w:rPr>
                <w:b/>
                <w:bCs/>
                <w:sz w:val="18"/>
                <w:szCs w:val="18"/>
                <w:lang w:eastAsia="en-IN"/>
              </w:rPr>
              <w:t>484,931</w:t>
            </w:r>
          </w:p>
        </w:tc>
        <w:tc>
          <w:tcPr>
            <w:tcW w:w="1213" w:type="dxa"/>
            <w:tcBorders>
              <w:top w:val="nil"/>
              <w:bottom w:val="double" w:sz="4" w:space="0" w:color="auto"/>
            </w:tcBorders>
            <w:vAlign w:val="center"/>
          </w:tcPr>
          <w:p w14:paraId="5D3F2878" w14:textId="1CC882B7" w:rsidR="00184715" w:rsidRPr="00416121" w:rsidRDefault="00184715" w:rsidP="00184715">
            <w:pPr>
              <w:pStyle w:val="ExhibitText"/>
              <w:jc w:val="right"/>
              <w:rPr>
                <w:b/>
                <w:bCs/>
                <w:sz w:val="18"/>
                <w:szCs w:val="18"/>
                <w:lang w:eastAsia="en-IN"/>
              </w:rPr>
            </w:pPr>
            <w:r w:rsidRPr="00416121">
              <w:rPr>
                <w:b/>
                <w:bCs/>
                <w:sz w:val="18"/>
                <w:szCs w:val="18"/>
                <w:lang w:eastAsia="en-IN"/>
              </w:rPr>
              <w:t>526,186</w:t>
            </w:r>
          </w:p>
        </w:tc>
        <w:tc>
          <w:tcPr>
            <w:tcW w:w="1213" w:type="dxa"/>
            <w:tcBorders>
              <w:top w:val="nil"/>
              <w:bottom w:val="double" w:sz="4" w:space="0" w:color="auto"/>
            </w:tcBorders>
            <w:vAlign w:val="center"/>
          </w:tcPr>
          <w:p w14:paraId="15612895" w14:textId="57D16B41" w:rsidR="00184715" w:rsidRPr="00416121" w:rsidRDefault="00184715" w:rsidP="00184715">
            <w:pPr>
              <w:pStyle w:val="ExhibitText"/>
              <w:jc w:val="right"/>
              <w:rPr>
                <w:b/>
                <w:bCs/>
                <w:sz w:val="18"/>
                <w:szCs w:val="18"/>
                <w:lang w:eastAsia="en-IN"/>
              </w:rPr>
            </w:pPr>
            <w:r w:rsidRPr="00416121">
              <w:rPr>
                <w:b/>
                <w:bCs/>
                <w:sz w:val="18"/>
                <w:szCs w:val="18"/>
                <w:lang w:eastAsia="en-IN"/>
              </w:rPr>
              <w:t>552,257</w:t>
            </w:r>
          </w:p>
        </w:tc>
        <w:tc>
          <w:tcPr>
            <w:tcW w:w="1213" w:type="dxa"/>
            <w:tcBorders>
              <w:top w:val="nil"/>
              <w:bottom w:val="double" w:sz="4" w:space="0" w:color="auto"/>
            </w:tcBorders>
            <w:vAlign w:val="center"/>
          </w:tcPr>
          <w:p w14:paraId="3DA30F33" w14:textId="73337248" w:rsidR="00184715" w:rsidRPr="00416121" w:rsidRDefault="00184715" w:rsidP="00184715">
            <w:pPr>
              <w:pStyle w:val="ExhibitText"/>
              <w:jc w:val="right"/>
              <w:rPr>
                <w:b/>
                <w:bCs/>
                <w:sz w:val="18"/>
                <w:szCs w:val="18"/>
                <w:lang w:eastAsia="en-IN"/>
              </w:rPr>
            </w:pPr>
            <w:r w:rsidRPr="00416121">
              <w:rPr>
                <w:b/>
                <w:bCs/>
                <w:sz w:val="18"/>
                <w:szCs w:val="18"/>
                <w:lang w:eastAsia="en-IN"/>
              </w:rPr>
              <w:t>620,854</w:t>
            </w:r>
          </w:p>
        </w:tc>
        <w:tc>
          <w:tcPr>
            <w:tcW w:w="1213" w:type="dxa"/>
            <w:tcBorders>
              <w:top w:val="nil"/>
              <w:bottom w:val="double" w:sz="4" w:space="0" w:color="auto"/>
            </w:tcBorders>
            <w:shd w:val="clear" w:color="auto" w:fill="auto"/>
            <w:vAlign w:val="center"/>
            <w:hideMark/>
          </w:tcPr>
          <w:p w14:paraId="54731A1C" w14:textId="6D24F39F" w:rsidR="00184715" w:rsidRPr="00416121" w:rsidRDefault="00184715" w:rsidP="00184715">
            <w:pPr>
              <w:pStyle w:val="ExhibitText"/>
              <w:jc w:val="right"/>
              <w:rPr>
                <w:b/>
                <w:bCs/>
                <w:sz w:val="18"/>
                <w:szCs w:val="18"/>
                <w:lang w:eastAsia="en-IN"/>
              </w:rPr>
            </w:pPr>
            <w:r w:rsidRPr="00416121">
              <w:rPr>
                <w:b/>
                <w:bCs/>
                <w:sz w:val="18"/>
                <w:szCs w:val="18"/>
                <w:lang w:eastAsia="en-IN"/>
              </w:rPr>
              <w:t>702,095</w:t>
            </w:r>
          </w:p>
        </w:tc>
      </w:tr>
      <w:tr w:rsidR="00184715" w:rsidRPr="00416121" w14:paraId="39D9EC7A" w14:textId="77777777" w:rsidTr="008D3176">
        <w:trPr>
          <w:trHeight w:val="360"/>
          <w:jc w:val="center"/>
        </w:trPr>
        <w:tc>
          <w:tcPr>
            <w:tcW w:w="3295" w:type="dxa"/>
            <w:tcBorders>
              <w:top w:val="double" w:sz="4" w:space="0" w:color="auto"/>
            </w:tcBorders>
            <w:shd w:val="clear" w:color="auto" w:fill="auto"/>
            <w:vAlign w:val="center"/>
            <w:hideMark/>
          </w:tcPr>
          <w:p w14:paraId="697BCE77" w14:textId="61A49A9D" w:rsidR="00184715" w:rsidRPr="00416121" w:rsidRDefault="00184715" w:rsidP="008D3176">
            <w:pPr>
              <w:pStyle w:val="ExhibitText"/>
              <w:jc w:val="left"/>
              <w:rPr>
                <w:b/>
                <w:sz w:val="18"/>
                <w:szCs w:val="18"/>
                <w:lang w:eastAsia="en-IN"/>
              </w:rPr>
            </w:pPr>
            <w:r w:rsidRPr="00416121">
              <w:rPr>
                <w:b/>
                <w:sz w:val="18"/>
                <w:szCs w:val="18"/>
                <w:lang w:eastAsia="en-IN"/>
              </w:rPr>
              <w:t>Liabilities &amp; Shareholders</w:t>
            </w:r>
            <w:r w:rsidR="007F41C3" w:rsidRPr="00416121">
              <w:rPr>
                <w:b/>
                <w:sz w:val="18"/>
                <w:szCs w:val="18"/>
                <w:lang w:eastAsia="en-IN"/>
              </w:rPr>
              <w:t>’</w:t>
            </w:r>
            <w:r w:rsidRPr="00416121">
              <w:rPr>
                <w:b/>
                <w:sz w:val="18"/>
                <w:szCs w:val="18"/>
                <w:lang w:eastAsia="en-IN"/>
              </w:rPr>
              <w:t xml:space="preserve"> Equity</w:t>
            </w:r>
          </w:p>
        </w:tc>
        <w:tc>
          <w:tcPr>
            <w:tcW w:w="1213" w:type="dxa"/>
            <w:tcBorders>
              <w:top w:val="double" w:sz="4" w:space="0" w:color="auto"/>
            </w:tcBorders>
            <w:vAlign w:val="center"/>
          </w:tcPr>
          <w:p w14:paraId="156FB616" w14:textId="01FBEB7A" w:rsidR="00184715" w:rsidRPr="00416121" w:rsidRDefault="00184715" w:rsidP="00184715">
            <w:pPr>
              <w:pStyle w:val="ExhibitText"/>
              <w:jc w:val="right"/>
              <w:rPr>
                <w:b/>
                <w:color w:val="333333"/>
                <w:sz w:val="18"/>
                <w:szCs w:val="18"/>
                <w:lang w:eastAsia="en-IN"/>
              </w:rPr>
            </w:pPr>
          </w:p>
        </w:tc>
        <w:tc>
          <w:tcPr>
            <w:tcW w:w="1213" w:type="dxa"/>
            <w:tcBorders>
              <w:top w:val="double" w:sz="4" w:space="0" w:color="auto"/>
            </w:tcBorders>
            <w:vAlign w:val="center"/>
          </w:tcPr>
          <w:p w14:paraId="3C712A6E" w14:textId="70CCB26D" w:rsidR="00184715" w:rsidRPr="00416121" w:rsidRDefault="00184715" w:rsidP="00184715">
            <w:pPr>
              <w:pStyle w:val="ExhibitText"/>
              <w:jc w:val="right"/>
              <w:rPr>
                <w:b/>
                <w:color w:val="333333"/>
                <w:sz w:val="18"/>
                <w:szCs w:val="18"/>
                <w:lang w:eastAsia="en-IN"/>
              </w:rPr>
            </w:pPr>
          </w:p>
        </w:tc>
        <w:tc>
          <w:tcPr>
            <w:tcW w:w="1213" w:type="dxa"/>
            <w:tcBorders>
              <w:top w:val="double" w:sz="4" w:space="0" w:color="auto"/>
            </w:tcBorders>
            <w:vAlign w:val="center"/>
          </w:tcPr>
          <w:p w14:paraId="08E29A84" w14:textId="1A08839F" w:rsidR="00184715" w:rsidRPr="00416121" w:rsidRDefault="00184715" w:rsidP="00184715">
            <w:pPr>
              <w:pStyle w:val="ExhibitText"/>
              <w:jc w:val="right"/>
              <w:rPr>
                <w:b/>
                <w:color w:val="333333"/>
                <w:sz w:val="18"/>
                <w:szCs w:val="18"/>
                <w:lang w:eastAsia="en-IN"/>
              </w:rPr>
            </w:pPr>
          </w:p>
        </w:tc>
        <w:tc>
          <w:tcPr>
            <w:tcW w:w="1213" w:type="dxa"/>
            <w:tcBorders>
              <w:top w:val="double" w:sz="4" w:space="0" w:color="auto"/>
            </w:tcBorders>
            <w:vAlign w:val="center"/>
          </w:tcPr>
          <w:p w14:paraId="75ECE2B6" w14:textId="225C5288" w:rsidR="00184715" w:rsidRPr="00416121" w:rsidRDefault="00184715" w:rsidP="00184715">
            <w:pPr>
              <w:pStyle w:val="ExhibitText"/>
              <w:jc w:val="right"/>
              <w:rPr>
                <w:b/>
                <w:color w:val="333333"/>
                <w:sz w:val="18"/>
                <w:szCs w:val="18"/>
                <w:lang w:eastAsia="en-IN"/>
              </w:rPr>
            </w:pPr>
          </w:p>
        </w:tc>
        <w:tc>
          <w:tcPr>
            <w:tcW w:w="1213" w:type="dxa"/>
            <w:tcBorders>
              <w:top w:val="double" w:sz="4" w:space="0" w:color="auto"/>
            </w:tcBorders>
            <w:shd w:val="clear" w:color="auto" w:fill="auto"/>
            <w:vAlign w:val="center"/>
            <w:hideMark/>
          </w:tcPr>
          <w:p w14:paraId="4DAC9E2C" w14:textId="317344BA" w:rsidR="00184715" w:rsidRPr="00416121" w:rsidRDefault="00184715" w:rsidP="00184715">
            <w:pPr>
              <w:pStyle w:val="ExhibitText"/>
              <w:jc w:val="right"/>
              <w:rPr>
                <w:b/>
                <w:color w:val="333333"/>
                <w:sz w:val="18"/>
                <w:szCs w:val="18"/>
                <w:lang w:eastAsia="en-IN"/>
              </w:rPr>
            </w:pPr>
          </w:p>
        </w:tc>
      </w:tr>
      <w:tr w:rsidR="00184715" w:rsidRPr="00416121" w14:paraId="044A01C8" w14:textId="77777777" w:rsidTr="008D3176">
        <w:trPr>
          <w:trHeight w:val="360"/>
          <w:jc w:val="center"/>
        </w:trPr>
        <w:tc>
          <w:tcPr>
            <w:tcW w:w="3295" w:type="dxa"/>
            <w:shd w:val="clear" w:color="auto" w:fill="auto"/>
            <w:vAlign w:val="center"/>
            <w:hideMark/>
          </w:tcPr>
          <w:p w14:paraId="7851DA8F" w14:textId="18D5FD78" w:rsidR="00184715" w:rsidRPr="00416121" w:rsidRDefault="006435D0" w:rsidP="008D3176">
            <w:pPr>
              <w:pStyle w:val="ExhibitText"/>
              <w:ind w:left="144"/>
              <w:jc w:val="left"/>
              <w:rPr>
                <w:sz w:val="18"/>
                <w:szCs w:val="18"/>
                <w:lang w:eastAsia="en-IN"/>
              </w:rPr>
            </w:pPr>
            <w:r w:rsidRPr="00416121">
              <w:rPr>
                <w:sz w:val="18"/>
                <w:szCs w:val="18"/>
                <w:lang w:eastAsia="en-IN"/>
              </w:rPr>
              <w:t xml:space="preserve">Short-Term </w:t>
            </w:r>
            <w:r w:rsidR="00184715" w:rsidRPr="00416121">
              <w:rPr>
                <w:sz w:val="18"/>
                <w:szCs w:val="18"/>
                <w:lang w:eastAsia="en-IN"/>
              </w:rPr>
              <w:t xml:space="preserve">Debt &amp; Current Portion </w:t>
            </w:r>
            <w:r w:rsidRPr="00416121">
              <w:rPr>
                <w:sz w:val="18"/>
                <w:szCs w:val="18"/>
                <w:lang w:eastAsia="en-IN"/>
              </w:rPr>
              <w:t xml:space="preserve">Long-Term </w:t>
            </w:r>
            <w:r w:rsidR="00184715" w:rsidRPr="00416121">
              <w:rPr>
                <w:sz w:val="18"/>
                <w:szCs w:val="18"/>
                <w:lang w:eastAsia="en-IN"/>
              </w:rPr>
              <w:t>Debt</w:t>
            </w:r>
          </w:p>
        </w:tc>
        <w:tc>
          <w:tcPr>
            <w:tcW w:w="1213" w:type="dxa"/>
            <w:vAlign w:val="center"/>
          </w:tcPr>
          <w:p w14:paraId="6874AF69" w14:textId="1472E9B3" w:rsidR="00184715" w:rsidRPr="00416121" w:rsidRDefault="00184715" w:rsidP="00184715">
            <w:pPr>
              <w:pStyle w:val="ExhibitText"/>
              <w:jc w:val="right"/>
              <w:rPr>
                <w:sz w:val="18"/>
                <w:szCs w:val="18"/>
                <w:lang w:eastAsia="en-IN"/>
              </w:rPr>
            </w:pPr>
            <w:r w:rsidRPr="00416121">
              <w:rPr>
                <w:sz w:val="18"/>
                <w:szCs w:val="18"/>
                <w:lang w:eastAsia="en-IN"/>
              </w:rPr>
              <w:t>6,634</w:t>
            </w:r>
          </w:p>
        </w:tc>
        <w:tc>
          <w:tcPr>
            <w:tcW w:w="1213" w:type="dxa"/>
            <w:vAlign w:val="center"/>
          </w:tcPr>
          <w:p w14:paraId="2639460D" w14:textId="0FB51BED" w:rsidR="00184715" w:rsidRPr="00416121" w:rsidRDefault="00184715" w:rsidP="00184715">
            <w:pPr>
              <w:pStyle w:val="ExhibitText"/>
              <w:jc w:val="right"/>
              <w:rPr>
                <w:sz w:val="18"/>
                <w:szCs w:val="18"/>
                <w:lang w:eastAsia="en-IN"/>
              </w:rPr>
            </w:pPr>
            <w:r w:rsidRPr="00416121">
              <w:rPr>
                <w:sz w:val="18"/>
                <w:szCs w:val="18"/>
                <w:lang w:eastAsia="en-IN"/>
              </w:rPr>
              <w:t>8,283</w:t>
            </w:r>
          </w:p>
        </w:tc>
        <w:tc>
          <w:tcPr>
            <w:tcW w:w="1213" w:type="dxa"/>
            <w:vAlign w:val="center"/>
          </w:tcPr>
          <w:p w14:paraId="72087ACE" w14:textId="33177B92" w:rsidR="00184715" w:rsidRPr="00416121" w:rsidRDefault="00184715" w:rsidP="00184715">
            <w:pPr>
              <w:pStyle w:val="ExhibitText"/>
              <w:jc w:val="right"/>
              <w:rPr>
                <w:sz w:val="18"/>
                <w:szCs w:val="18"/>
                <w:lang w:eastAsia="en-IN"/>
              </w:rPr>
            </w:pPr>
            <w:r w:rsidRPr="00416121">
              <w:rPr>
                <w:sz w:val="18"/>
                <w:szCs w:val="18"/>
                <w:lang w:eastAsia="en-IN"/>
              </w:rPr>
              <w:t>1,989</w:t>
            </w:r>
          </w:p>
        </w:tc>
        <w:tc>
          <w:tcPr>
            <w:tcW w:w="1213" w:type="dxa"/>
            <w:vAlign w:val="center"/>
          </w:tcPr>
          <w:p w14:paraId="0AAB3EE7" w14:textId="756C54A2" w:rsidR="00184715" w:rsidRPr="00416121" w:rsidRDefault="00184715" w:rsidP="00184715">
            <w:pPr>
              <w:pStyle w:val="ExhibitText"/>
              <w:jc w:val="right"/>
              <w:rPr>
                <w:sz w:val="18"/>
                <w:szCs w:val="18"/>
                <w:lang w:eastAsia="en-IN"/>
              </w:rPr>
            </w:pPr>
            <w:r w:rsidRPr="00416121">
              <w:rPr>
                <w:sz w:val="18"/>
                <w:szCs w:val="18"/>
                <w:lang w:eastAsia="en-IN"/>
              </w:rPr>
              <w:t>12,350</w:t>
            </w:r>
          </w:p>
        </w:tc>
        <w:tc>
          <w:tcPr>
            <w:tcW w:w="1213" w:type="dxa"/>
            <w:shd w:val="clear" w:color="auto" w:fill="auto"/>
            <w:vAlign w:val="center"/>
            <w:hideMark/>
          </w:tcPr>
          <w:p w14:paraId="773AA2C5" w14:textId="1BC25E60" w:rsidR="00184715" w:rsidRPr="00416121" w:rsidRDefault="00184715" w:rsidP="00184715">
            <w:pPr>
              <w:pStyle w:val="ExhibitText"/>
              <w:jc w:val="right"/>
              <w:rPr>
                <w:sz w:val="18"/>
                <w:szCs w:val="18"/>
                <w:lang w:eastAsia="en-IN"/>
              </w:rPr>
            </w:pPr>
            <w:r w:rsidRPr="00416121">
              <w:rPr>
                <w:sz w:val="18"/>
                <w:szCs w:val="18"/>
                <w:lang w:eastAsia="en-IN"/>
              </w:rPr>
              <w:t>19,893</w:t>
            </w:r>
          </w:p>
        </w:tc>
      </w:tr>
      <w:tr w:rsidR="00184715" w:rsidRPr="00416121" w14:paraId="658B76F1" w14:textId="77777777" w:rsidTr="008D3176">
        <w:trPr>
          <w:trHeight w:val="360"/>
          <w:jc w:val="center"/>
        </w:trPr>
        <w:tc>
          <w:tcPr>
            <w:tcW w:w="3295" w:type="dxa"/>
            <w:tcBorders>
              <w:bottom w:val="nil"/>
            </w:tcBorders>
            <w:shd w:val="clear" w:color="auto" w:fill="auto"/>
            <w:vAlign w:val="center"/>
            <w:hideMark/>
          </w:tcPr>
          <w:p w14:paraId="2632FEA5" w14:textId="77777777" w:rsidR="00184715" w:rsidRPr="00416121" w:rsidRDefault="00184715" w:rsidP="008D3176">
            <w:pPr>
              <w:pStyle w:val="ExhibitText"/>
              <w:ind w:left="144"/>
              <w:jc w:val="left"/>
              <w:rPr>
                <w:sz w:val="18"/>
                <w:szCs w:val="18"/>
                <w:lang w:eastAsia="en-IN"/>
              </w:rPr>
            </w:pPr>
            <w:r w:rsidRPr="00416121">
              <w:rPr>
                <w:sz w:val="18"/>
                <w:szCs w:val="18"/>
                <w:lang w:eastAsia="en-IN"/>
              </w:rPr>
              <w:t>Accounts Payable</w:t>
            </w:r>
          </w:p>
        </w:tc>
        <w:tc>
          <w:tcPr>
            <w:tcW w:w="1213" w:type="dxa"/>
            <w:tcBorders>
              <w:bottom w:val="nil"/>
            </w:tcBorders>
            <w:vAlign w:val="center"/>
          </w:tcPr>
          <w:p w14:paraId="6E38098F" w14:textId="177C3C24" w:rsidR="00184715" w:rsidRPr="00416121" w:rsidRDefault="00184715" w:rsidP="00184715">
            <w:pPr>
              <w:pStyle w:val="ExhibitText"/>
              <w:jc w:val="right"/>
              <w:rPr>
                <w:sz w:val="18"/>
                <w:szCs w:val="18"/>
                <w:lang w:eastAsia="en-IN"/>
              </w:rPr>
            </w:pPr>
            <w:r w:rsidRPr="00416121">
              <w:rPr>
                <w:sz w:val="18"/>
                <w:szCs w:val="18"/>
                <w:lang w:eastAsia="en-IN"/>
              </w:rPr>
              <w:t>37,835</w:t>
            </w:r>
          </w:p>
        </w:tc>
        <w:tc>
          <w:tcPr>
            <w:tcW w:w="1213" w:type="dxa"/>
            <w:tcBorders>
              <w:bottom w:val="nil"/>
            </w:tcBorders>
            <w:vAlign w:val="center"/>
          </w:tcPr>
          <w:p w14:paraId="25F22930" w14:textId="31FD04B4" w:rsidR="00184715" w:rsidRPr="00416121" w:rsidRDefault="00184715" w:rsidP="00184715">
            <w:pPr>
              <w:pStyle w:val="ExhibitText"/>
              <w:jc w:val="right"/>
              <w:rPr>
                <w:sz w:val="18"/>
                <w:szCs w:val="18"/>
                <w:lang w:eastAsia="en-IN"/>
              </w:rPr>
            </w:pPr>
            <w:r w:rsidRPr="00416121">
              <w:rPr>
                <w:sz w:val="18"/>
                <w:szCs w:val="18"/>
                <w:lang w:eastAsia="en-IN"/>
              </w:rPr>
              <w:t>40,223</w:t>
            </w:r>
          </w:p>
        </w:tc>
        <w:tc>
          <w:tcPr>
            <w:tcW w:w="1213" w:type="dxa"/>
            <w:tcBorders>
              <w:bottom w:val="nil"/>
            </w:tcBorders>
            <w:vAlign w:val="center"/>
          </w:tcPr>
          <w:p w14:paraId="4C622EEF" w14:textId="26EC5726" w:rsidR="00184715" w:rsidRPr="00416121" w:rsidRDefault="00184715" w:rsidP="00184715">
            <w:pPr>
              <w:pStyle w:val="ExhibitText"/>
              <w:jc w:val="right"/>
              <w:rPr>
                <w:sz w:val="18"/>
                <w:szCs w:val="18"/>
                <w:lang w:eastAsia="en-IN"/>
              </w:rPr>
            </w:pPr>
            <w:r w:rsidRPr="00416121">
              <w:rPr>
                <w:sz w:val="18"/>
                <w:szCs w:val="18"/>
                <w:lang w:eastAsia="en-IN"/>
              </w:rPr>
              <w:t>31,271</w:t>
            </w:r>
          </w:p>
        </w:tc>
        <w:tc>
          <w:tcPr>
            <w:tcW w:w="1213" w:type="dxa"/>
            <w:tcBorders>
              <w:bottom w:val="nil"/>
            </w:tcBorders>
            <w:vAlign w:val="center"/>
          </w:tcPr>
          <w:p w14:paraId="105571D3" w14:textId="57F7CB21" w:rsidR="00184715" w:rsidRPr="00416121" w:rsidRDefault="00184715" w:rsidP="00184715">
            <w:pPr>
              <w:pStyle w:val="ExhibitText"/>
              <w:jc w:val="right"/>
              <w:rPr>
                <w:sz w:val="18"/>
                <w:szCs w:val="18"/>
                <w:lang w:eastAsia="en-IN"/>
              </w:rPr>
            </w:pPr>
            <w:r w:rsidRPr="00416121">
              <w:rPr>
                <w:sz w:val="18"/>
                <w:szCs w:val="18"/>
                <w:lang w:eastAsia="en-IN"/>
              </w:rPr>
              <w:t>35,042</w:t>
            </w:r>
          </w:p>
        </w:tc>
        <w:tc>
          <w:tcPr>
            <w:tcW w:w="1213" w:type="dxa"/>
            <w:tcBorders>
              <w:bottom w:val="nil"/>
            </w:tcBorders>
            <w:shd w:val="clear" w:color="auto" w:fill="auto"/>
            <w:vAlign w:val="center"/>
            <w:hideMark/>
          </w:tcPr>
          <w:p w14:paraId="0D5FC122" w14:textId="6698D5F8" w:rsidR="00184715" w:rsidRPr="00416121" w:rsidRDefault="00184715" w:rsidP="00184715">
            <w:pPr>
              <w:pStyle w:val="ExhibitText"/>
              <w:jc w:val="right"/>
              <w:rPr>
                <w:sz w:val="18"/>
                <w:szCs w:val="18"/>
                <w:lang w:eastAsia="en-IN"/>
              </w:rPr>
            </w:pPr>
            <w:r w:rsidRPr="00416121">
              <w:rPr>
                <w:sz w:val="18"/>
                <w:szCs w:val="18"/>
                <w:lang w:eastAsia="en-IN"/>
              </w:rPr>
              <w:t>35,903</w:t>
            </w:r>
          </w:p>
        </w:tc>
      </w:tr>
      <w:tr w:rsidR="00184715" w:rsidRPr="00416121" w14:paraId="03BDF8CB" w14:textId="77777777" w:rsidTr="008D3176">
        <w:trPr>
          <w:trHeight w:val="360"/>
          <w:jc w:val="center"/>
        </w:trPr>
        <w:tc>
          <w:tcPr>
            <w:tcW w:w="3295" w:type="dxa"/>
            <w:tcBorders>
              <w:top w:val="nil"/>
              <w:bottom w:val="single" w:sz="4" w:space="0" w:color="auto"/>
            </w:tcBorders>
            <w:shd w:val="clear" w:color="auto" w:fill="auto"/>
            <w:vAlign w:val="center"/>
            <w:hideMark/>
          </w:tcPr>
          <w:p w14:paraId="325EDA09" w14:textId="77777777" w:rsidR="00184715" w:rsidRPr="00416121" w:rsidRDefault="00184715" w:rsidP="008D3176">
            <w:pPr>
              <w:pStyle w:val="ExhibitText"/>
              <w:ind w:left="144"/>
              <w:jc w:val="left"/>
              <w:rPr>
                <w:b/>
                <w:bCs/>
                <w:sz w:val="18"/>
                <w:szCs w:val="18"/>
                <w:lang w:eastAsia="en-IN"/>
              </w:rPr>
            </w:pPr>
            <w:r w:rsidRPr="00416121">
              <w:rPr>
                <w:b/>
                <w:bCs/>
                <w:sz w:val="18"/>
                <w:szCs w:val="18"/>
                <w:lang w:eastAsia="en-IN"/>
              </w:rPr>
              <w:t>Total Current Liabilities</w:t>
            </w:r>
          </w:p>
        </w:tc>
        <w:tc>
          <w:tcPr>
            <w:tcW w:w="1213" w:type="dxa"/>
            <w:tcBorders>
              <w:top w:val="nil"/>
              <w:bottom w:val="single" w:sz="4" w:space="0" w:color="auto"/>
            </w:tcBorders>
            <w:vAlign w:val="center"/>
          </w:tcPr>
          <w:p w14:paraId="3098876B" w14:textId="141BE8D4" w:rsidR="00184715" w:rsidRPr="00416121" w:rsidRDefault="00184715" w:rsidP="00184715">
            <w:pPr>
              <w:pStyle w:val="ExhibitText"/>
              <w:jc w:val="right"/>
              <w:rPr>
                <w:b/>
                <w:bCs/>
                <w:sz w:val="18"/>
                <w:szCs w:val="18"/>
                <w:lang w:eastAsia="en-IN"/>
              </w:rPr>
            </w:pPr>
            <w:r w:rsidRPr="00416121">
              <w:rPr>
                <w:b/>
                <w:bCs/>
                <w:sz w:val="18"/>
                <w:szCs w:val="18"/>
                <w:lang w:eastAsia="en-IN"/>
              </w:rPr>
              <w:t>44,469</w:t>
            </w:r>
          </w:p>
        </w:tc>
        <w:tc>
          <w:tcPr>
            <w:tcW w:w="1213" w:type="dxa"/>
            <w:tcBorders>
              <w:top w:val="nil"/>
              <w:bottom w:val="single" w:sz="4" w:space="0" w:color="auto"/>
            </w:tcBorders>
            <w:vAlign w:val="center"/>
          </w:tcPr>
          <w:p w14:paraId="11411552" w14:textId="52AA2A4E" w:rsidR="00184715" w:rsidRPr="00416121" w:rsidRDefault="00184715" w:rsidP="00184715">
            <w:pPr>
              <w:pStyle w:val="ExhibitText"/>
              <w:jc w:val="right"/>
              <w:rPr>
                <w:b/>
                <w:bCs/>
                <w:sz w:val="18"/>
                <w:szCs w:val="18"/>
                <w:lang w:eastAsia="en-IN"/>
              </w:rPr>
            </w:pPr>
            <w:r w:rsidRPr="00416121">
              <w:rPr>
                <w:b/>
                <w:bCs/>
                <w:sz w:val="18"/>
                <w:szCs w:val="18"/>
                <w:lang w:eastAsia="en-IN"/>
              </w:rPr>
              <w:t>48,506</w:t>
            </w:r>
          </w:p>
        </w:tc>
        <w:tc>
          <w:tcPr>
            <w:tcW w:w="1213" w:type="dxa"/>
            <w:tcBorders>
              <w:top w:val="nil"/>
              <w:bottom w:val="single" w:sz="4" w:space="0" w:color="auto"/>
            </w:tcBorders>
            <w:vAlign w:val="center"/>
          </w:tcPr>
          <w:p w14:paraId="7BA650BB" w14:textId="53D80EBE" w:rsidR="00184715" w:rsidRPr="00416121" w:rsidRDefault="00184715" w:rsidP="00184715">
            <w:pPr>
              <w:pStyle w:val="ExhibitText"/>
              <w:jc w:val="right"/>
              <w:rPr>
                <w:b/>
                <w:bCs/>
                <w:sz w:val="18"/>
                <w:szCs w:val="18"/>
                <w:lang w:eastAsia="en-IN"/>
              </w:rPr>
            </w:pPr>
            <w:r w:rsidRPr="00416121">
              <w:rPr>
                <w:b/>
                <w:bCs/>
                <w:sz w:val="18"/>
                <w:szCs w:val="18"/>
                <w:lang w:eastAsia="en-IN"/>
              </w:rPr>
              <w:t>33,260</w:t>
            </w:r>
          </w:p>
        </w:tc>
        <w:tc>
          <w:tcPr>
            <w:tcW w:w="1213" w:type="dxa"/>
            <w:tcBorders>
              <w:top w:val="nil"/>
              <w:bottom w:val="single" w:sz="4" w:space="0" w:color="auto"/>
            </w:tcBorders>
            <w:vAlign w:val="center"/>
          </w:tcPr>
          <w:p w14:paraId="450564B8" w14:textId="583889A1" w:rsidR="00184715" w:rsidRPr="00416121" w:rsidRDefault="00184715" w:rsidP="00184715">
            <w:pPr>
              <w:pStyle w:val="ExhibitText"/>
              <w:jc w:val="right"/>
              <w:rPr>
                <w:b/>
                <w:bCs/>
                <w:sz w:val="18"/>
                <w:szCs w:val="18"/>
                <w:lang w:eastAsia="en-IN"/>
              </w:rPr>
            </w:pPr>
            <w:r w:rsidRPr="00416121">
              <w:rPr>
                <w:b/>
                <w:bCs/>
                <w:sz w:val="18"/>
                <w:szCs w:val="18"/>
                <w:lang w:eastAsia="en-IN"/>
              </w:rPr>
              <w:t>47,392</w:t>
            </w:r>
          </w:p>
        </w:tc>
        <w:tc>
          <w:tcPr>
            <w:tcW w:w="1213" w:type="dxa"/>
            <w:tcBorders>
              <w:top w:val="nil"/>
              <w:bottom w:val="single" w:sz="4" w:space="0" w:color="auto"/>
            </w:tcBorders>
            <w:shd w:val="clear" w:color="auto" w:fill="auto"/>
            <w:vAlign w:val="center"/>
            <w:hideMark/>
          </w:tcPr>
          <w:p w14:paraId="7BDF66FA" w14:textId="38FC6041" w:rsidR="00184715" w:rsidRPr="00416121" w:rsidRDefault="00184715" w:rsidP="00184715">
            <w:pPr>
              <w:pStyle w:val="ExhibitText"/>
              <w:jc w:val="right"/>
              <w:rPr>
                <w:b/>
                <w:bCs/>
                <w:sz w:val="18"/>
                <w:szCs w:val="18"/>
                <w:lang w:eastAsia="en-IN"/>
              </w:rPr>
            </w:pPr>
            <w:r w:rsidRPr="00416121">
              <w:rPr>
                <w:b/>
                <w:bCs/>
                <w:sz w:val="18"/>
                <w:szCs w:val="18"/>
                <w:lang w:eastAsia="en-IN"/>
              </w:rPr>
              <w:t>55,796</w:t>
            </w:r>
          </w:p>
        </w:tc>
      </w:tr>
      <w:tr w:rsidR="00184715" w:rsidRPr="00416121" w14:paraId="5C19EC87" w14:textId="77777777" w:rsidTr="008D3176">
        <w:trPr>
          <w:trHeight w:val="360"/>
          <w:jc w:val="center"/>
        </w:trPr>
        <w:tc>
          <w:tcPr>
            <w:tcW w:w="3295" w:type="dxa"/>
            <w:tcBorders>
              <w:top w:val="single" w:sz="4" w:space="0" w:color="auto"/>
            </w:tcBorders>
            <w:shd w:val="clear" w:color="auto" w:fill="auto"/>
            <w:vAlign w:val="center"/>
            <w:hideMark/>
          </w:tcPr>
          <w:p w14:paraId="29FE4336" w14:textId="77777777" w:rsidR="00184715" w:rsidRPr="00416121" w:rsidRDefault="00184715" w:rsidP="007F41C3">
            <w:pPr>
              <w:pStyle w:val="ExhibitText"/>
              <w:ind w:left="144"/>
              <w:jc w:val="left"/>
              <w:rPr>
                <w:sz w:val="18"/>
                <w:szCs w:val="18"/>
                <w:lang w:eastAsia="en-IN"/>
              </w:rPr>
            </w:pPr>
            <w:r w:rsidRPr="00416121">
              <w:rPr>
                <w:sz w:val="18"/>
                <w:szCs w:val="18"/>
                <w:lang w:eastAsia="en-IN"/>
              </w:rPr>
              <w:t>Long-Term Debt</w:t>
            </w:r>
          </w:p>
        </w:tc>
        <w:tc>
          <w:tcPr>
            <w:tcW w:w="1213" w:type="dxa"/>
            <w:tcBorders>
              <w:top w:val="single" w:sz="4" w:space="0" w:color="auto"/>
            </w:tcBorders>
            <w:vAlign w:val="center"/>
          </w:tcPr>
          <w:p w14:paraId="39D5F9D8" w14:textId="0DBFC5E4" w:rsidR="00184715" w:rsidRPr="00416121" w:rsidRDefault="00184715" w:rsidP="00184715">
            <w:pPr>
              <w:pStyle w:val="ExhibitText"/>
              <w:jc w:val="right"/>
              <w:rPr>
                <w:sz w:val="18"/>
                <w:szCs w:val="18"/>
                <w:lang w:eastAsia="en-IN"/>
              </w:rPr>
            </w:pPr>
            <w:r w:rsidRPr="00416121">
              <w:rPr>
                <w:sz w:val="18"/>
                <w:szCs w:val="18"/>
                <w:lang w:eastAsia="en-IN"/>
              </w:rPr>
              <w:t>65,590</w:t>
            </w:r>
          </w:p>
        </w:tc>
        <w:tc>
          <w:tcPr>
            <w:tcW w:w="1213" w:type="dxa"/>
            <w:tcBorders>
              <w:top w:val="single" w:sz="4" w:space="0" w:color="auto"/>
            </w:tcBorders>
            <w:vAlign w:val="center"/>
          </w:tcPr>
          <w:p w14:paraId="6ACC79F6" w14:textId="6525E606" w:rsidR="00184715" w:rsidRPr="00416121" w:rsidRDefault="00184715" w:rsidP="00184715">
            <w:pPr>
              <w:pStyle w:val="ExhibitText"/>
              <w:jc w:val="right"/>
              <w:rPr>
                <w:sz w:val="18"/>
                <w:szCs w:val="18"/>
                <w:lang w:eastAsia="en-IN"/>
              </w:rPr>
            </w:pPr>
            <w:r w:rsidRPr="00416121">
              <w:rPr>
                <w:sz w:val="18"/>
                <w:szCs w:val="18"/>
                <w:lang w:eastAsia="en-IN"/>
              </w:rPr>
              <w:t>71,926</w:t>
            </w:r>
          </w:p>
        </w:tc>
        <w:tc>
          <w:tcPr>
            <w:tcW w:w="1213" w:type="dxa"/>
            <w:tcBorders>
              <w:top w:val="single" w:sz="4" w:space="0" w:color="auto"/>
            </w:tcBorders>
            <w:vAlign w:val="center"/>
          </w:tcPr>
          <w:p w14:paraId="1B06F68E" w14:textId="22BA62DF" w:rsidR="00184715" w:rsidRPr="00416121" w:rsidRDefault="00184715" w:rsidP="00184715">
            <w:pPr>
              <w:pStyle w:val="ExhibitText"/>
              <w:jc w:val="right"/>
              <w:rPr>
                <w:sz w:val="18"/>
                <w:szCs w:val="18"/>
                <w:lang w:eastAsia="en-IN"/>
              </w:rPr>
            </w:pPr>
            <w:r w:rsidRPr="00416121">
              <w:rPr>
                <w:sz w:val="18"/>
                <w:szCs w:val="18"/>
                <w:lang w:eastAsia="en-IN"/>
              </w:rPr>
              <w:t>82,300</w:t>
            </w:r>
          </w:p>
        </w:tc>
        <w:tc>
          <w:tcPr>
            <w:tcW w:w="1213" w:type="dxa"/>
            <w:tcBorders>
              <w:top w:val="single" w:sz="4" w:space="0" w:color="auto"/>
            </w:tcBorders>
            <w:vAlign w:val="center"/>
          </w:tcPr>
          <w:p w14:paraId="43189249" w14:textId="0C04BAC3" w:rsidR="00184715" w:rsidRPr="00416121" w:rsidRDefault="00184715" w:rsidP="00184715">
            <w:pPr>
              <w:pStyle w:val="ExhibitText"/>
              <w:jc w:val="right"/>
              <w:rPr>
                <w:sz w:val="18"/>
                <w:szCs w:val="18"/>
                <w:lang w:eastAsia="en-IN"/>
              </w:rPr>
            </w:pPr>
            <w:r w:rsidRPr="00416121">
              <w:rPr>
                <w:sz w:val="18"/>
                <w:szCs w:val="18"/>
                <w:lang w:eastAsia="en-IN"/>
              </w:rPr>
              <w:t>89,294</w:t>
            </w:r>
          </w:p>
        </w:tc>
        <w:tc>
          <w:tcPr>
            <w:tcW w:w="1213" w:type="dxa"/>
            <w:tcBorders>
              <w:top w:val="single" w:sz="4" w:space="0" w:color="auto"/>
            </w:tcBorders>
            <w:shd w:val="clear" w:color="auto" w:fill="auto"/>
            <w:vAlign w:val="center"/>
            <w:hideMark/>
          </w:tcPr>
          <w:p w14:paraId="1A6542B0" w14:textId="7AF5CF24" w:rsidR="00184715" w:rsidRPr="00416121" w:rsidRDefault="00184715" w:rsidP="00184715">
            <w:pPr>
              <w:pStyle w:val="ExhibitText"/>
              <w:jc w:val="right"/>
              <w:rPr>
                <w:sz w:val="18"/>
                <w:szCs w:val="18"/>
                <w:lang w:eastAsia="en-IN"/>
              </w:rPr>
            </w:pPr>
            <w:r w:rsidRPr="00416121">
              <w:rPr>
                <w:sz w:val="18"/>
                <w:szCs w:val="18"/>
                <w:lang w:eastAsia="en-IN"/>
              </w:rPr>
              <w:t>82,694</w:t>
            </w:r>
          </w:p>
        </w:tc>
      </w:tr>
      <w:tr w:rsidR="00184715" w:rsidRPr="00416121" w14:paraId="5A2C1D24" w14:textId="77777777" w:rsidTr="008D3176">
        <w:trPr>
          <w:trHeight w:val="360"/>
          <w:jc w:val="center"/>
        </w:trPr>
        <w:tc>
          <w:tcPr>
            <w:tcW w:w="3295" w:type="dxa"/>
            <w:shd w:val="clear" w:color="auto" w:fill="auto"/>
            <w:vAlign w:val="center"/>
            <w:hideMark/>
          </w:tcPr>
          <w:p w14:paraId="6993D813" w14:textId="77777777" w:rsidR="00184715" w:rsidRPr="00416121" w:rsidRDefault="00184715" w:rsidP="007F41C3">
            <w:pPr>
              <w:pStyle w:val="ExhibitText"/>
              <w:ind w:left="144"/>
              <w:jc w:val="left"/>
              <w:rPr>
                <w:sz w:val="18"/>
                <w:szCs w:val="18"/>
                <w:lang w:eastAsia="en-IN"/>
              </w:rPr>
            </w:pPr>
            <w:r w:rsidRPr="00416121">
              <w:rPr>
                <w:sz w:val="18"/>
                <w:szCs w:val="18"/>
                <w:lang w:eastAsia="en-IN"/>
              </w:rPr>
              <w:t>Deferred Taxes</w:t>
            </w:r>
          </w:p>
        </w:tc>
        <w:tc>
          <w:tcPr>
            <w:tcW w:w="1213" w:type="dxa"/>
            <w:vAlign w:val="center"/>
          </w:tcPr>
          <w:p w14:paraId="56D721F6" w14:textId="11176A23" w:rsidR="00184715" w:rsidRPr="00416121" w:rsidRDefault="00184715" w:rsidP="00184715">
            <w:pPr>
              <w:pStyle w:val="ExhibitText"/>
              <w:jc w:val="right"/>
              <w:rPr>
                <w:sz w:val="18"/>
                <w:szCs w:val="18"/>
                <w:lang w:eastAsia="en-IN"/>
              </w:rPr>
            </w:pPr>
            <w:r w:rsidRPr="00416121">
              <w:rPr>
                <w:sz w:val="18"/>
                <w:szCs w:val="18"/>
                <w:lang w:eastAsia="en-IN"/>
              </w:rPr>
              <w:t>57,739</w:t>
            </w:r>
          </w:p>
        </w:tc>
        <w:tc>
          <w:tcPr>
            <w:tcW w:w="1213" w:type="dxa"/>
            <w:vAlign w:val="center"/>
          </w:tcPr>
          <w:p w14:paraId="779DD76D" w14:textId="79F65F66" w:rsidR="00184715" w:rsidRPr="00416121" w:rsidRDefault="00184715" w:rsidP="00184715">
            <w:pPr>
              <w:pStyle w:val="ExhibitText"/>
              <w:jc w:val="right"/>
              <w:rPr>
                <w:sz w:val="18"/>
                <w:szCs w:val="18"/>
                <w:lang w:eastAsia="en-IN"/>
              </w:rPr>
            </w:pPr>
            <w:r w:rsidRPr="00416121">
              <w:rPr>
                <w:sz w:val="18"/>
                <w:szCs w:val="18"/>
                <w:lang w:eastAsia="en-IN"/>
              </w:rPr>
              <w:t>61,235</w:t>
            </w:r>
          </w:p>
        </w:tc>
        <w:tc>
          <w:tcPr>
            <w:tcW w:w="1213" w:type="dxa"/>
            <w:vAlign w:val="center"/>
          </w:tcPr>
          <w:p w14:paraId="6A734D51" w14:textId="636FC24D" w:rsidR="00184715" w:rsidRPr="00416121" w:rsidRDefault="00184715" w:rsidP="00184715">
            <w:pPr>
              <w:pStyle w:val="ExhibitText"/>
              <w:jc w:val="right"/>
              <w:rPr>
                <w:sz w:val="18"/>
                <w:szCs w:val="18"/>
                <w:lang w:eastAsia="en-IN"/>
              </w:rPr>
            </w:pPr>
            <w:r w:rsidRPr="00416121">
              <w:rPr>
                <w:sz w:val="18"/>
                <w:szCs w:val="18"/>
                <w:lang w:eastAsia="en-IN"/>
              </w:rPr>
              <w:t>63,126</w:t>
            </w:r>
          </w:p>
        </w:tc>
        <w:tc>
          <w:tcPr>
            <w:tcW w:w="1213" w:type="dxa"/>
            <w:vAlign w:val="center"/>
          </w:tcPr>
          <w:p w14:paraId="3C4B0E06" w14:textId="2C7D7314" w:rsidR="00184715" w:rsidRPr="00416121" w:rsidRDefault="00184715" w:rsidP="00184715">
            <w:pPr>
              <w:pStyle w:val="ExhibitText"/>
              <w:jc w:val="right"/>
              <w:rPr>
                <w:sz w:val="18"/>
                <w:szCs w:val="18"/>
                <w:lang w:eastAsia="en-IN"/>
              </w:rPr>
            </w:pPr>
            <w:r w:rsidRPr="00416121">
              <w:rPr>
                <w:sz w:val="18"/>
                <w:szCs w:val="18"/>
                <w:lang w:eastAsia="en-IN"/>
              </w:rPr>
              <w:t>77,944</w:t>
            </w:r>
          </w:p>
        </w:tc>
        <w:tc>
          <w:tcPr>
            <w:tcW w:w="1213" w:type="dxa"/>
            <w:shd w:val="clear" w:color="auto" w:fill="auto"/>
            <w:vAlign w:val="center"/>
            <w:hideMark/>
          </w:tcPr>
          <w:p w14:paraId="67D5335B" w14:textId="20B0DE40" w:rsidR="00184715" w:rsidRPr="00416121" w:rsidRDefault="00184715" w:rsidP="00184715">
            <w:pPr>
              <w:pStyle w:val="ExhibitText"/>
              <w:jc w:val="right"/>
              <w:rPr>
                <w:sz w:val="18"/>
                <w:szCs w:val="18"/>
                <w:lang w:eastAsia="en-IN"/>
              </w:rPr>
            </w:pPr>
            <w:r w:rsidRPr="00416121">
              <w:rPr>
                <w:sz w:val="18"/>
                <w:szCs w:val="18"/>
                <w:lang w:eastAsia="en-IN"/>
              </w:rPr>
              <w:t>56,607</w:t>
            </w:r>
          </w:p>
        </w:tc>
      </w:tr>
      <w:tr w:rsidR="00184715" w:rsidRPr="00416121" w14:paraId="3E897D5E" w14:textId="77777777" w:rsidTr="007F41C3">
        <w:trPr>
          <w:trHeight w:val="360"/>
          <w:jc w:val="center"/>
        </w:trPr>
        <w:tc>
          <w:tcPr>
            <w:tcW w:w="3295" w:type="dxa"/>
            <w:tcBorders>
              <w:bottom w:val="nil"/>
            </w:tcBorders>
            <w:shd w:val="clear" w:color="auto" w:fill="auto"/>
            <w:vAlign w:val="center"/>
            <w:hideMark/>
          </w:tcPr>
          <w:p w14:paraId="6966E690" w14:textId="77777777" w:rsidR="00184715" w:rsidRPr="00416121" w:rsidRDefault="00184715" w:rsidP="007F41C3">
            <w:pPr>
              <w:pStyle w:val="ExhibitText"/>
              <w:ind w:left="144"/>
              <w:jc w:val="left"/>
              <w:rPr>
                <w:sz w:val="18"/>
                <w:szCs w:val="18"/>
                <w:lang w:eastAsia="en-IN"/>
              </w:rPr>
            </w:pPr>
            <w:r w:rsidRPr="00416121">
              <w:rPr>
                <w:sz w:val="18"/>
                <w:szCs w:val="18"/>
                <w:lang w:eastAsia="en-IN"/>
              </w:rPr>
              <w:t>Other Liabilities</w:t>
            </w:r>
          </w:p>
        </w:tc>
        <w:tc>
          <w:tcPr>
            <w:tcW w:w="1213" w:type="dxa"/>
            <w:tcBorders>
              <w:bottom w:val="nil"/>
            </w:tcBorders>
            <w:vAlign w:val="center"/>
          </w:tcPr>
          <w:p w14:paraId="7EEA630B" w14:textId="4A4F7DEE" w:rsidR="00184715" w:rsidRPr="00416121" w:rsidRDefault="00184715" w:rsidP="00184715">
            <w:pPr>
              <w:pStyle w:val="ExhibitText"/>
              <w:jc w:val="right"/>
              <w:rPr>
                <w:sz w:val="18"/>
                <w:szCs w:val="18"/>
                <w:lang w:eastAsia="en-IN"/>
              </w:rPr>
            </w:pPr>
            <w:r w:rsidRPr="00416121">
              <w:rPr>
                <w:sz w:val="18"/>
                <w:szCs w:val="18"/>
                <w:lang w:eastAsia="en-IN"/>
              </w:rPr>
              <w:t>92,648</w:t>
            </w:r>
          </w:p>
        </w:tc>
        <w:tc>
          <w:tcPr>
            <w:tcW w:w="1213" w:type="dxa"/>
            <w:tcBorders>
              <w:bottom w:val="nil"/>
            </w:tcBorders>
            <w:vAlign w:val="center"/>
          </w:tcPr>
          <w:p w14:paraId="27124893" w14:textId="7BB6C97B" w:rsidR="00184715" w:rsidRPr="00416121" w:rsidRDefault="00184715" w:rsidP="00184715">
            <w:pPr>
              <w:pStyle w:val="ExhibitText"/>
              <w:jc w:val="right"/>
              <w:rPr>
                <w:sz w:val="18"/>
                <w:szCs w:val="18"/>
                <w:lang w:eastAsia="en-IN"/>
              </w:rPr>
            </w:pPr>
            <w:r w:rsidRPr="00416121">
              <w:rPr>
                <w:sz w:val="18"/>
                <w:szCs w:val="18"/>
                <w:lang w:eastAsia="en-IN"/>
              </w:rPr>
              <w:t>101,492</w:t>
            </w:r>
          </w:p>
        </w:tc>
        <w:tc>
          <w:tcPr>
            <w:tcW w:w="1213" w:type="dxa"/>
            <w:tcBorders>
              <w:bottom w:val="nil"/>
            </w:tcBorders>
            <w:vAlign w:val="center"/>
          </w:tcPr>
          <w:p w14:paraId="50AED9A6" w14:textId="517DF424" w:rsidR="00184715" w:rsidRPr="00416121" w:rsidRDefault="00184715" w:rsidP="00184715">
            <w:pPr>
              <w:pStyle w:val="ExhibitText"/>
              <w:jc w:val="right"/>
              <w:rPr>
                <w:sz w:val="18"/>
                <w:szCs w:val="18"/>
                <w:lang w:eastAsia="en-IN"/>
              </w:rPr>
            </w:pPr>
            <w:r w:rsidRPr="00416121">
              <w:rPr>
                <w:sz w:val="18"/>
                <w:szCs w:val="18"/>
                <w:lang w:eastAsia="en-IN"/>
              </w:rPr>
              <w:t>114,944</w:t>
            </w:r>
          </w:p>
        </w:tc>
        <w:tc>
          <w:tcPr>
            <w:tcW w:w="1213" w:type="dxa"/>
            <w:tcBorders>
              <w:bottom w:val="nil"/>
            </w:tcBorders>
            <w:vAlign w:val="center"/>
          </w:tcPr>
          <w:p w14:paraId="2AB69C2A" w14:textId="63B48E7F" w:rsidR="00184715" w:rsidRPr="00416121" w:rsidRDefault="00184715" w:rsidP="00184715">
            <w:pPr>
              <w:pStyle w:val="ExhibitText"/>
              <w:jc w:val="right"/>
              <w:rPr>
                <w:sz w:val="18"/>
                <w:szCs w:val="18"/>
                <w:lang w:eastAsia="en-IN"/>
              </w:rPr>
            </w:pPr>
            <w:r w:rsidRPr="00416121">
              <w:rPr>
                <w:sz w:val="18"/>
                <w:szCs w:val="18"/>
                <w:lang w:eastAsia="en-IN"/>
              </w:rPr>
              <w:t>119,865</w:t>
            </w:r>
          </w:p>
        </w:tc>
        <w:tc>
          <w:tcPr>
            <w:tcW w:w="1213" w:type="dxa"/>
            <w:tcBorders>
              <w:bottom w:val="nil"/>
            </w:tcBorders>
            <w:shd w:val="clear" w:color="auto" w:fill="auto"/>
            <w:vAlign w:val="center"/>
            <w:hideMark/>
          </w:tcPr>
          <w:p w14:paraId="2BA7FF26" w14:textId="2665CEAD" w:rsidR="00184715" w:rsidRPr="00416121" w:rsidRDefault="00184715" w:rsidP="00184715">
            <w:pPr>
              <w:pStyle w:val="ExhibitText"/>
              <w:jc w:val="right"/>
              <w:rPr>
                <w:sz w:val="18"/>
                <w:szCs w:val="18"/>
                <w:lang w:eastAsia="en-IN"/>
              </w:rPr>
            </w:pPr>
            <w:r w:rsidRPr="00416121">
              <w:rPr>
                <w:sz w:val="18"/>
                <w:szCs w:val="18"/>
                <w:lang w:eastAsia="en-IN"/>
              </w:rPr>
              <w:t>155,044</w:t>
            </w:r>
          </w:p>
        </w:tc>
      </w:tr>
      <w:tr w:rsidR="00184715" w:rsidRPr="00416121" w14:paraId="356CB3B6" w14:textId="77777777" w:rsidTr="007F41C3">
        <w:trPr>
          <w:trHeight w:val="360"/>
          <w:jc w:val="center"/>
        </w:trPr>
        <w:tc>
          <w:tcPr>
            <w:tcW w:w="3295" w:type="dxa"/>
            <w:tcBorders>
              <w:top w:val="nil"/>
              <w:bottom w:val="double" w:sz="4" w:space="0" w:color="auto"/>
            </w:tcBorders>
            <w:shd w:val="clear" w:color="auto" w:fill="auto"/>
            <w:vAlign w:val="center"/>
            <w:hideMark/>
          </w:tcPr>
          <w:p w14:paraId="3B9B5E3C" w14:textId="77777777" w:rsidR="00184715" w:rsidRPr="00416121" w:rsidRDefault="00184715" w:rsidP="008D3176">
            <w:pPr>
              <w:pStyle w:val="ExhibitText"/>
              <w:jc w:val="left"/>
              <w:rPr>
                <w:b/>
                <w:bCs/>
                <w:sz w:val="18"/>
                <w:szCs w:val="18"/>
                <w:lang w:eastAsia="en-IN"/>
              </w:rPr>
            </w:pPr>
            <w:r w:rsidRPr="00416121">
              <w:rPr>
                <w:b/>
                <w:bCs/>
                <w:sz w:val="18"/>
                <w:szCs w:val="18"/>
                <w:lang w:eastAsia="en-IN"/>
              </w:rPr>
              <w:t>Total Liabilities</w:t>
            </w:r>
          </w:p>
        </w:tc>
        <w:tc>
          <w:tcPr>
            <w:tcW w:w="1213" w:type="dxa"/>
            <w:tcBorders>
              <w:top w:val="nil"/>
              <w:bottom w:val="double" w:sz="4" w:space="0" w:color="auto"/>
            </w:tcBorders>
            <w:vAlign w:val="center"/>
          </w:tcPr>
          <w:p w14:paraId="28D08ECC" w14:textId="669EFCA9" w:rsidR="00184715" w:rsidRPr="00416121" w:rsidRDefault="00184715" w:rsidP="00184715">
            <w:pPr>
              <w:pStyle w:val="ExhibitText"/>
              <w:jc w:val="right"/>
              <w:rPr>
                <w:b/>
                <w:bCs/>
                <w:sz w:val="18"/>
                <w:szCs w:val="18"/>
                <w:lang w:eastAsia="en-IN"/>
              </w:rPr>
            </w:pPr>
            <w:r w:rsidRPr="00416121">
              <w:rPr>
                <w:b/>
                <w:bCs/>
                <w:sz w:val="18"/>
                <w:szCs w:val="18"/>
                <w:lang w:eastAsia="en-IN"/>
              </w:rPr>
              <w:t>260,446</w:t>
            </w:r>
          </w:p>
        </w:tc>
        <w:tc>
          <w:tcPr>
            <w:tcW w:w="1213" w:type="dxa"/>
            <w:tcBorders>
              <w:top w:val="nil"/>
              <w:bottom w:val="double" w:sz="4" w:space="0" w:color="auto"/>
            </w:tcBorders>
            <w:vAlign w:val="center"/>
          </w:tcPr>
          <w:p w14:paraId="061AFEAF" w14:textId="2E5C7696" w:rsidR="00184715" w:rsidRPr="00416121" w:rsidRDefault="00184715" w:rsidP="00184715">
            <w:pPr>
              <w:pStyle w:val="ExhibitText"/>
              <w:jc w:val="right"/>
              <w:rPr>
                <w:b/>
                <w:bCs/>
                <w:sz w:val="18"/>
                <w:szCs w:val="18"/>
                <w:lang w:eastAsia="en-IN"/>
              </w:rPr>
            </w:pPr>
            <w:r w:rsidRPr="00416121">
              <w:rPr>
                <w:b/>
                <w:bCs/>
                <w:sz w:val="18"/>
                <w:szCs w:val="18"/>
                <w:lang w:eastAsia="en-IN"/>
              </w:rPr>
              <w:t>283,159</w:t>
            </w:r>
          </w:p>
        </w:tc>
        <w:tc>
          <w:tcPr>
            <w:tcW w:w="1213" w:type="dxa"/>
            <w:tcBorders>
              <w:top w:val="nil"/>
              <w:bottom w:val="double" w:sz="4" w:space="0" w:color="auto"/>
            </w:tcBorders>
            <w:vAlign w:val="center"/>
          </w:tcPr>
          <w:p w14:paraId="6A307578" w14:textId="680BDFB1" w:rsidR="00184715" w:rsidRPr="00416121" w:rsidRDefault="00184715" w:rsidP="00184715">
            <w:pPr>
              <w:pStyle w:val="ExhibitText"/>
              <w:jc w:val="right"/>
              <w:rPr>
                <w:b/>
                <w:bCs/>
                <w:sz w:val="18"/>
                <w:szCs w:val="18"/>
                <w:lang w:eastAsia="en-IN"/>
              </w:rPr>
            </w:pPr>
            <w:r w:rsidRPr="00416121">
              <w:rPr>
                <w:b/>
                <w:bCs/>
                <w:sz w:val="18"/>
                <w:szCs w:val="18"/>
                <w:lang w:eastAsia="en-IN"/>
              </w:rPr>
              <w:t>293,630</w:t>
            </w:r>
          </w:p>
        </w:tc>
        <w:tc>
          <w:tcPr>
            <w:tcW w:w="1213" w:type="dxa"/>
            <w:tcBorders>
              <w:top w:val="nil"/>
              <w:bottom w:val="double" w:sz="4" w:space="0" w:color="auto"/>
            </w:tcBorders>
            <w:vAlign w:val="center"/>
          </w:tcPr>
          <w:p w14:paraId="04469DD5" w14:textId="20CB7BE0" w:rsidR="00184715" w:rsidRPr="00416121" w:rsidRDefault="00184715" w:rsidP="00184715">
            <w:pPr>
              <w:pStyle w:val="ExhibitText"/>
              <w:jc w:val="right"/>
              <w:rPr>
                <w:b/>
                <w:bCs/>
                <w:sz w:val="18"/>
                <w:szCs w:val="18"/>
                <w:lang w:eastAsia="en-IN"/>
              </w:rPr>
            </w:pPr>
            <w:r w:rsidRPr="00416121">
              <w:rPr>
                <w:b/>
                <w:bCs/>
                <w:sz w:val="18"/>
                <w:szCs w:val="18"/>
                <w:lang w:eastAsia="en-IN"/>
              </w:rPr>
              <w:t>334,495</w:t>
            </w:r>
          </w:p>
        </w:tc>
        <w:tc>
          <w:tcPr>
            <w:tcW w:w="1213" w:type="dxa"/>
            <w:tcBorders>
              <w:top w:val="nil"/>
              <w:bottom w:val="double" w:sz="4" w:space="0" w:color="auto"/>
            </w:tcBorders>
            <w:shd w:val="clear" w:color="auto" w:fill="auto"/>
            <w:vAlign w:val="center"/>
            <w:hideMark/>
          </w:tcPr>
          <w:p w14:paraId="527AEA87" w14:textId="3A91BE84" w:rsidR="00184715" w:rsidRPr="00416121" w:rsidRDefault="00184715" w:rsidP="00184715">
            <w:pPr>
              <w:pStyle w:val="ExhibitText"/>
              <w:jc w:val="right"/>
              <w:rPr>
                <w:b/>
                <w:bCs/>
                <w:sz w:val="18"/>
                <w:szCs w:val="18"/>
                <w:lang w:eastAsia="en-IN"/>
              </w:rPr>
            </w:pPr>
            <w:r w:rsidRPr="00416121">
              <w:rPr>
                <w:b/>
                <w:bCs/>
                <w:sz w:val="18"/>
                <w:szCs w:val="18"/>
                <w:lang w:eastAsia="en-IN"/>
              </w:rPr>
              <w:t>350,141</w:t>
            </w:r>
          </w:p>
        </w:tc>
      </w:tr>
      <w:tr w:rsidR="00184715" w:rsidRPr="00416121" w14:paraId="171F96E2" w14:textId="77777777" w:rsidTr="007F41C3">
        <w:trPr>
          <w:trHeight w:val="360"/>
          <w:jc w:val="center"/>
        </w:trPr>
        <w:tc>
          <w:tcPr>
            <w:tcW w:w="3295" w:type="dxa"/>
            <w:tcBorders>
              <w:top w:val="double" w:sz="4" w:space="0" w:color="auto"/>
            </w:tcBorders>
            <w:shd w:val="clear" w:color="auto" w:fill="auto"/>
            <w:vAlign w:val="center"/>
            <w:hideMark/>
          </w:tcPr>
          <w:p w14:paraId="26371F8A" w14:textId="4F31F4A1" w:rsidR="00184715" w:rsidRPr="00416121" w:rsidRDefault="00184715" w:rsidP="007F41C3">
            <w:pPr>
              <w:pStyle w:val="ExhibitText"/>
              <w:ind w:left="144"/>
              <w:jc w:val="left"/>
              <w:rPr>
                <w:sz w:val="18"/>
                <w:szCs w:val="18"/>
                <w:lang w:eastAsia="en-IN"/>
              </w:rPr>
            </w:pPr>
            <w:r w:rsidRPr="00416121">
              <w:rPr>
                <w:sz w:val="18"/>
                <w:szCs w:val="18"/>
                <w:lang w:eastAsia="en-IN"/>
              </w:rPr>
              <w:t>Shareholders</w:t>
            </w:r>
            <w:r w:rsidR="007F41C3" w:rsidRPr="00416121">
              <w:rPr>
                <w:sz w:val="18"/>
                <w:szCs w:val="18"/>
                <w:lang w:eastAsia="en-IN"/>
              </w:rPr>
              <w:t>’</w:t>
            </w:r>
            <w:r w:rsidRPr="00416121">
              <w:rPr>
                <w:sz w:val="18"/>
                <w:szCs w:val="18"/>
                <w:lang w:eastAsia="en-IN"/>
              </w:rPr>
              <w:t xml:space="preserve"> Capital</w:t>
            </w:r>
          </w:p>
        </w:tc>
        <w:tc>
          <w:tcPr>
            <w:tcW w:w="1213" w:type="dxa"/>
            <w:tcBorders>
              <w:top w:val="double" w:sz="4" w:space="0" w:color="auto"/>
            </w:tcBorders>
            <w:vAlign w:val="center"/>
          </w:tcPr>
          <w:p w14:paraId="5D0802A8" w14:textId="7C4FBA21" w:rsidR="00184715" w:rsidRPr="00416121" w:rsidRDefault="00184715" w:rsidP="00184715">
            <w:pPr>
              <w:pStyle w:val="ExhibitText"/>
              <w:jc w:val="right"/>
              <w:rPr>
                <w:sz w:val="18"/>
                <w:szCs w:val="18"/>
                <w:lang w:eastAsia="en-IN"/>
              </w:rPr>
            </w:pPr>
            <w:r w:rsidRPr="00416121">
              <w:rPr>
                <w:sz w:val="18"/>
                <w:szCs w:val="18"/>
                <w:lang w:eastAsia="en-IN"/>
              </w:rPr>
              <w:t>35,480</w:t>
            </w:r>
          </w:p>
        </w:tc>
        <w:tc>
          <w:tcPr>
            <w:tcW w:w="1213" w:type="dxa"/>
            <w:tcBorders>
              <w:top w:val="double" w:sz="4" w:space="0" w:color="auto"/>
            </w:tcBorders>
            <w:vAlign w:val="center"/>
          </w:tcPr>
          <w:p w14:paraId="7CDB6B94" w14:textId="2C3E188F" w:rsidR="00184715" w:rsidRPr="00416121" w:rsidRDefault="00184715" w:rsidP="00184715">
            <w:pPr>
              <w:pStyle w:val="ExhibitText"/>
              <w:jc w:val="right"/>
              <w:rPr>
                <w:sz w:val="18"/>
                <w:szCs w:val="18"/>
                <w:lang w:eastAsia="en-IN"/>
              </w:rPr>
            </w:pPr>
            <w:r w:rsidRPr="00416121">
              <w:rPr>
                <w:sz w:val="18"/>
                <w:szCs w:val="18"/>
                <w:lang w:eastAsia="en-IN"/>
              </w:rPr>
              <w:t>35,581</w:t>
            </w:r>
          </w:p>
        </w:tc>
        <w:tc>
          <w:tcPr>
            <w:tcW w:w="1213" w:type="dxa"/>
            <w:tcBorders>
              <w:top w:val="double" w:sz="4" w:space="0" w:color="auto"/>
            </w:tcBorders>
            <w:vAlign w:val="center"/>
          </w:tcPr>
          <w:p w14:paraId="7F4C7917" w14:textId="2A91889B" w:rsidR="00184715" w:rsidRPr="00416121" w:rsidRDefault="00184715" w:rsidP="00184715">
            <w:pPr>
              <w:pStyle w:val="ExhibitText"/>
              <w:jc w:val="right"/>
              <w:rPr>
                <w:sz w:val="18"/>
                <w:szCs w:val="18"/>
                <w:lang w:eastAsia="en-IN"/>
              </w:rPr>
            </w:pPr>
            <w:r w:rsidRPr="00416121">
              <w:rPr>
                <w:sz w:val="18"/>
                <w:szCs w:val="18"/>
                <w:lang w:eastAsia="en-IN"/>
              </w:rPr>
              <w:t>35,628</w:t>
            </w:r>
          </w:p>
        </w:tc>
        <w:tc>
          <w:tcPr>
            <w:tcW w:w="1213" w:type="dxa"/>
            <w:tcBorders>
              <w:top w:val="double" w:sz="4" w:space="0" w:color="auto"/>
            </w:tcBorders>
            <w:vAlign w:val="center"/>
          </w:tcPr>
          <w:p w14:paraId="380F26CE" w14:textId="395BFCC5" w:rsidR="00184715" w:rsidRPr="00416121" w:rsidRDefault="00184715" w:rsidP="00184715">
            <w:pPr>
              <w:pStyle w:val="ExhibitText"/>
              <w:jc w:val="right"/>
              <w:rPr>
                <w:sz w:val="18"/>
                <w:szCs w:val="18"/>
                <w:lang w:eastAsia="en-IN"/>
              </w:rPr>
            </w:pPr>
            <w:r w:rsidRPr="00416121">
              <w:rPr>
                <w:sz w:val="18"/>
                <w:szCs w:val="18"/>
                <w:lang w:eastAsia="en-IN"/>
              </w:rPr>
              <w:t>35,689</w:t>
            </w:r>
          </w:p>
        </w:tc>
        <w:tc>
          <w:tcPr>
            <w:tcW w:w="1213" w:type="dxa"/>
            <w:tcBorders>
              <w:top w:val="double" w:sz="4" w:space="0" w:color="auto"/>
            </w:tcBorders>
            <w:shd w:val="clear" w:color="auto" w:fill="auto"/>
            <w:vAlign w:val="center"/>
            <w:hideMark/>
          </w:tcPr>
          <w:p w14:paraId="2BC1C37B" w14:textId="2421999F" w:rsidR="00184715" w:rsidRPr="00416121" w:rsidRDefault="00184715" w:rsidP="00184715">
            <w:pPr>
              <w:pStyle w:val="ExhibitText"/>
              <w:jc w:val="right"/>
              <w:rPr>
                <w:sz w:val="18"/>
                <w:szCs w:val="18"/>
                <w:lang w:eastAsia="en-IN"/>
              </w:rPr>
            </w:pPr>
            <w:r w:rsidRPr="00416121">
              <w:rPr>
                <w:sz w:val="18"/>
                <w:szCs w:val="18"/>
                <w:lang w:eastAsia="en-IN"/>
              </w:rPr>
              <w:t>35,702</w:t>
            </w:r>
          </w:p>
        </w:tc>
      </w:tr>
      <w:tr w:rsidR="00184715" w:rsidRPr="00416121" w14:paraId="51929BFD" w14:textId="77777777" w:rsidTr="008D3176">
        <w:trPr>
          <w:trHeight w:val="360"/>
          <w:jc w:val="center"/>
        </w:trPr>
        <w:tc>
          <w:tcPr>
            <w:tcW w:w="3295" w:type="dxa"/>
            <w:shd w:val="clear" w:color="auto" w:fill="auto"/>
            <w:vAlign w:val="center"/>
          </w:tcPr>
          <w:p w14:paraId="68161EA7" w14:textId="4CD6B139" w:rsidR="00184715" w:rsidRPr="00416121" w:rsidRDefault="00184715" w:rsidP="007F41C3">
            <w:pPr>
              <w:pStyle w:val="ExhibitText"/>
              <w:ind w:left="144"/>
              <w:jc w:val="left"/>
              <w:rPr>
                <w:sz w:val="18"/>
                <w:szCs w:val="18"/>
                <w:lang w:eastAsia="en-IN"/>
              </w:rPr>
            </w:pPr>
            <w:r w:rsidRPr="00416121">
              <w:rPr>
                <w:sz w:val="18"/>
                <w:szCs w:val="18"/>
                <w:lang w:eastAsia="en-IN"/>
              </w:rPr>
              <w:t>Retained Earnings</w:t>
            </w:r>
          </w:p>
        </w:tc>
        <w:tc>
          <w:tcPr>
            <w:tcW w:w="1213" w:type="dxa"/>
            <w:vAlign w:val="center"/>
          </w:tcPr>
          <w:p w14:paraId="0FE259F9" w14:textId="67E0109E" w:rsidR="00184715" w:rsidRPr="00416121" w:rsidRDefault="00184715" w:rsidP="00184715">
            <w:pPr>
              <w:pStyle w:val="ExhibitText"/>
              <w:jc w:val="right"/>
              <w:rPr>
                <w:sz w:val="18"/>
                <w:szCs w:val="18"/>
                <w:lang w:eastAsia="en-IN"/>
              </w:rPr>
            </w:pPr>
            <w:r w:rsidRPr="00416121">
              <w:rPr>
                <w:sz w:val="18"/>
                <w:szCs w:val="18"/>
                <w:lang w:eastAsia="en-IN"/>
              </w:rPr>
              <w:t>186,410</w:t>
            </w:r>
          </w:p>
        </w:tc>
        <w:tc>
          <w:tcPr>
            <w:tcW w:w="1213" w:type="dxa"/>
            <w:vAlign w:val="center"/>
          </w:tcPr>
          <w:p w14:paraId="086974D0" w14:textId="6469A9FA" w:rsidR="00184715" w:rsidRPr="00416121" w:rsidRDefault="00184715" w:rsidP="00184715">
            <w:pPr>
              <w:pStyle w:val="ExhibitText"/>
              <w:jc w:val="right"/>
              <w:rPr>
                <w:sz w:val="18"/>
                <w:szCs w:val="18"/>
                <w:lang w:eastAsia="en-IN"/>
              </w:rPr>
            </w:pPr>
            <w:r w:rsidRPr="00416121">
              <w:rPr>
                <w:sz w:val="18"/>
                <w:szCs w:val="18"/>
                <w:lang w:eastAsia="en-IN"/>
              </w:rPr>
              <w:t>204,589</w:t>
            </w:r>
          </w:p>
        </w:tc>
        <w:tc>
          <w:tcPr>
            <w:tcW w:w="1213" w:type="dxa"/>
            <w:vAlign w:val="center"/>
          </w:tcPr>
          <w:p w14:paraId="0ECF7D10" w14:textId="44AAD44E" w:rsidR="00184715" w:rsidRPr="00416121" w:rsidRDefault="00184715" w:rsidP="00184715">
            <w:pPr>
              <w:pStyle w:val="ExhibitText"/>
              <w:jc w:val="right"/>
              <w:rPr>
                <w:sz w:val="18"/>
                <w:szCs w:val="18"/>
                <w:lang w:eastAsia="en-IN"/>
              </w:rPr>
            </w:pPr>
            <w:r w:rsidRPr="00416121">
              <w:rPr>
                <w:sz w:val="18"/>
                <w:szCs w:val="18"/>
                <w:lang w:eastAsia="en-IN"/>
              </w:rPr>
              <w:t>219,922</w:t>
            </w:r>
          </w:p>
        </w:tc>
        <w:tc>
          <w:tcPr>
            <w:tcW w:w="1213" w:type="dxa"/>
            <w:vAlign w:val="center"/>
          </w:tcPr>
          <w:p w14:paraId="00D6145B" w14:textId="689F912C" w:rsidR="00184715" w:rsidRPr="00416121" w:rsidRDefault="00184715" w:rsidP="00184715">
            <w:pPr>
              <w:pStyle w:val="ExhibitText"/>
              <w:jc w:val="right"/>
              <w:rPr>
                <w:sz w:val="18"/>
                <w:szCs w:val="18"/>
                <w:lang w:eastAsia="en-IN"/>
              </w:rPr>
            </w:pPr>
            <w:r w:rsidRPr="00416121">
              <w:rPr>
                <w:sz w:val="18"/>
                <w:szCs w:val="18"/>
                <w:lang w:eastAsia="en-IN"/>
              </w:rPr>
              <w:t>247,312</w:t>
            </w:r>
          </w:p>
        </w:tc>
        <w:tc>
          <w:tcPr>
            <w:tcW w:w="1213" w:type="dxa"/>
            <w:shd w:val="clear" w:color="auto" w:fill="auto"/>
            <w:vAlign w:val="center"/>
          </w:tcPr>
          <w:p w14:paraId="33A2C935" w14:textId="4C9120D9" w:rsidR="00184715" w:rsidRPr="00416121" w:rsidRDefault="00184715" w:rsidP="00184715">
            <w:pPr>
              <w:pStyle w:val="ExhibitText"/>
              <w:jc w:val="right"/>
              <w:rPr>
                <w:sz w:val="18"/>
                <w:szCs w:val="18"/>
                <w:lang w:eastAsia="en-IN"/>
              </w:rPr>
            </w:pPr>
            <w:r w:rsidRPr="00416121">
              <w:rPr>
                <w:sz w:val="18"/>
                <w:szCs w:val="18"/>
                <w:lang w:eastAsia="en-IN"/>
              </w:rPr>
              <w:t>312,594</w:t>
            </w:r>
          </w:p>
        </w:tc>
      </w:tr>
      <w:tr w:rsidR="00184715" w:rsidRPr="00416121" w14:paraId="6111E5CB" w14:textId="77777777" w:rsidTr="007F41C3">
        <w:trPr>
          <w:trHeight w:val="360"/>
          <w:jc w:val="center"/>
        </w:trPr>
        <w:tc>
          <w:tcPr>
            <w:tcW w:w="3295" w:type="dxa"/>
            <w:tcBorders>
              <w:bottom w:val="nil"/>
            </w:tcBorders>
            <w:shd w:val="clear" w:color="auto" w:fill="auto"/>
            <w:vAlign w:val="center"/>
            <w:hideMark/>
          </w:tcPr>
          <w:p w14:paraId="31EC1B44" w14:textId="77777777" w:rsidR="00184715" w:rsidRPr="00416121" w:rsidRDefault="00184715" w:rsidP="007F41C3">
            <w:pPr>
              <w:pStyle w:val="ExhibitText"/>
              <w:ind w:left="144"/>
              <w:jc w:val="left"/>
              <w:rPr>
                <w:sz w:val="18"/>
                <w:szCs w:val="18"/>
                <w:lang w:eastAsia="en-IN"/>
              </w:rPr>
            </w:pPr>
            <w:r w:rsidRPr="00416121">
              <w:rPr>
                <w:sz w:val="18"/>
                <w:szCs w:val="18"/>
                <w:lang w:eastAsia="en-IN"/>
              </w:rPr>
              <w:t>Accumulated Minority Interest</w:t>
            </w:r>
          </w:p>
        </w:tc>
        <w:tc>
          <w:tcPr>
            <w:tcW w:w="1213" w:type="dxa"/>
            <w:tcBorders>
              <w:bottom w:val="nil"/>
            </w:tcBorders>
            <w:vAlign w:val="center"/>
          </w:tcPr>
          <w:p w14:paraId="62B0CC36" w14:textId="573F3FD2" w:rsidR="00184715" w:rsidRPr="00416121" w:rsidRDefault="00184715" w:rsidP="00184715">
            <w:pPr>
              <w:pStyle w:val="ExhibitText"/>
              <w:jc w:val="right"/>
              <w:rPr>
                <w:sz w:val="18"/>
                <w:szCs w:val="18"/>
                <w:lang w:eastAsia="en-IN"/>
              </w:rPr>
            </w:pPr>
            <w:r w:rsidRPr="00416121">
              <w:rPr>
                <w:sz w:val="18"/>
                <w:szCs w:val="18"/>
                <w:lang w:eastAsia="en-IN"/>
              </w:rPr>
              <w:t>2,595</w:t>
            </w:r>
          </w:p>
        </w:tc>
        <w:tc>
          <w:tcPr>
            <w:tcW w:w="1213" w:type="dxa"/>
            <w:tcBorders>
              <w:bottom w:val="nil"/>
            </w:tcBorders>
            <w:vAlign w:val="center"/>
          </w:tcPr>
          <w:p w14:paraId="7FDE78E9" w14:textId="059F883A" w:rsidR="00184715" w:rsidRPr="00416121" w:rsidRDefault="00184715" w:rsidP="00184715">
            <w:pPr>
              <w:pStyle w:val="ExhibitText"/>
              <w:jc w:val="right"/>
              <w:rPr>
                <w:sz w:val="18"/>
                <w:szCs w:val="18"/>
                <w:lang w:eastAsia="en-IN"/>
              </w:rPr>
            </w:pPr>
            <w:r w:rsidRPr="00416121">
              <w:rPr>
                <w:sz w:val="18"/>
                <w:szCs w:val="18"/>
                <w:lang w:eastAsia="en-IN"/>
              </w:rPr>
              <w:t>2,857</w:t>
            </w:r>
          </w:p>
        </w:tc>
        <w:tc>
          <w:tcPr>
            <w:tcW w:w="1213" w:type="dxa"/>
            <w:tcBorders>
              <w:bottom w:val="nil"/>
            </w:tcBorders>
            <w:vAlign w:val="center"/>
          </w:tcPr>
          <w:p w14:paraId="42EBE67E" w14:textId="258FC979" w:rsidR="00184715" w:rsidRPr="00416121" w:rsidRDefault="00184715" w:rsidP="00184715">
            <w:pPr>
              <w:pStyle w:val="ExhibitText"/>
              <w:jc w:val="right"/>
              <w:rPr>
                <w:sz w:val="18"/>
                <w:szCs w:val="18"/>
                <w:lang w:eastAsia="en-IN"/>
              </w:rPr>
            </w:pPr>
            <w:r w:rsidRPr="00416121">
              <w:rPr>
                <w:sz w:val="18"/>
                <w:szCs w:val="18"/>
                <w:lang w:eastAsia="en-IN"/>
              </w:rPr>
              <w:t>3,077</w:t>
            </w:r>
          </w:p>
        </w:tc>
        <w:tc>
          <w:tcPr>
            <w:tcW w:w="1213" w:type="dxa"/>
            <w:tcBorders>
              <w:bottom w:val="nil"/>
            </w:tcBorders>
            <w:vAlign w:val="center"/>
          </w:tcPr>
          <w:p w14:paraId="7DBD8686" w14:textId="36702E07" w:rsidR="00184715" w:rsidRPr="00416121" w:rsidRDefault="00184715" w:rsidP="00184715">
            <w:pPr>
              <w:pStyle w:val="ExhibitText"/>
              <w:jc w:val="right"/>
              <w:rPr>
                <w:sz w:val="18"/>
                <w:szCs w:val="18"/>
                <w:lang w:eastAsia="en-IN"/>
              </w:rPr>
            </w:pPr>
            <w:r w:rsidRPr="00416121">
              <w:rPr>
                <w:sz w:val="18"/>
                <w:szCs w:val="18"/>
                <w:lang w:eastAsia="en-IN"/>
              </w:rPr>
              <w:t>3,358</w:t>
            </w:r>
          </w:p>
        </w:tc>
        <w:tc>
          <w:tcPr>
            <w:tcW w:w="1213" w:type="dxa"/>
            <w:tcBorders>
              <w:bottom w:val="nil"/>
            </w:tcBorders>
            <w:shd w:val="clear" w:color="auto" w:fill="auto"/>
            <w:vAlign w:val="center"/>
            <w:hideMark/>
          </w:tcPr>
          <w:p w14:paraId="49DEDE43" w14:textId="2FD79D62" w:rsidR="00184715" w:rsidRPr="00416121" w:rsidRDefault="00184715" w:rsidP="00184715">
            <w:pPr>
              <w:pStyle w:val="ExhibitText"/>
              <w:jc w:val="right"/>
              <w:rPr>
                <w:sz w:val="18"/>
                <w:szCs w:val="18"/>
                <w:lang w:eastAsia="en-IN"/>
              </w:rPr>
            </w:pPr>
            <w:r w:rsidRPr="00416121">
              <w:rPr>
                <w:sz w:val="18"/>
                <w:szCs w:val="18"/>
                <w:lang w:eastAsia="en-IN"/>
              </w:rPr>
              <w:t>3,658</w:t>
            </w:r>
          </w:p>
        </w:tc>
      </w:tr>
      <w:tr w:rsidR="00184715" w:rsidRPr="00416121" w14:paraId="3251C0DB" w14:textId="77777777" w:rsidTr="007F41C3">
        <w:trPr>
          <w:trHeight w:val="360"/>
          <w:jc w:val="center"/>
        </w:trPr>
        <w:tc>
          <w:tcPr>
            <w:tcW w:w="3295" w:type="dxa"/>
            <w:tcBorders>
              <w:top w:val="nil"/>
              <w:bottom w:val="double" w:sz="4" w:space="0" w:color="auto"/>
            </w:tcBorders>
            <w:shd w:val="clear" w:color="auto" w:fill="auto"/>
            <w:vAlign w:val="center"/>
            <w:hideMark/>
          </w:tcPr>
          <w:p w14:paraId="06A9978F" w14:textId="77777777" w:rsidR="00184715" w:rsidRPr="00416121" w:rsidRDefault="00184715" w:rsidP="008D3176">
            <w:pPr>
              <w:pStyle w:val="ExhibitText"/>
              <w:jc w:val="left"/>
              <w:rPr>
                <w:b/>
                <w:bCs/>
                <w:sz w:val="18"/>
                <w:szCs w:val="18"/>
                <w:lang w:eastAsia="en-IN"/>
              </w:rPr>
            </w:pPr>
            <w:r w:rsidRPr="00416121">
              <w:rPr>
                <w:b/>
                <w:bCs/>
                <w:sz w:val="18"/>
                <w:szCs w:val="18"/>
                <w:lang w:eastAsia="en-IN"/>
              </w:rPr>
              <w:t>Total Equity</w:t>
            </w:r>
          </w:p>
        </w:tc>
        <w:tc>
          <w:tcPr>
            <w:tcW w:w="1213" w:type="dxa"/>
            <w:tcBorders>
              <w:top w:val="nil"/>
              <w:bottom w:val="double" w:sz="4" w:space="0" w:color="auto"/>
            </w:tcBorders>
            <w:vAlign w:val="center"/>
          </w:tcPr>
          <w:p w14:paraId="48FCA45C" w14:textId="30803BF3" w:rsidR="00184715" w:rsidRPr="00416121" w:rsidRDefault="00184715" w:rsidP="00184715">
            <w:pPr>
              <w:pStyle w:val="ExhibitText"/>
              <w:jc w:val="right"/>
              <w:rPr>
                <w:b/>
                <w:bCs/>
                <w:sz w:val="18"/>
                <w:szCs w:val="18"/>
                <w:lang w:eastAsia="en-IN"/>
              </w:rPr>
            </w:pPr>
            <w:r w:rsidRPr="00416121">
              <w:rPr>
                <w:b/>
                <w:bCs/>
                <w:sz w:val="18"/>
                <w:szCs w:val="18"/>
                <w:lang w:eastAsia="en-IN"/>
              </w:rPr>
              <w:t>224,485</w:t>
            </w:r>
          </w:p>
        </w:tc>
        <w:tc>
          <w:tcPr>
            <w:tcW w:w="1213" w:type="dxa"/>
            <w:tcBorders>
              <w:top w:val="nil"/>
              <w:bottom w:val="double" w:sz="4" w:space="0" w:color="auto"/>
            </w:tcBorders>
            <w:vAlign w:val="center"/>
          </w:tcPr>
          <w:p w14:paraId="45C362ED" w14:textId="5439D982" w:rsidR="00184715" w:rsidRPr="00416121" w:rsidRDefault="00184715" w:rsidP="00184715">
            <w:pPr>
              <w:pStyle w:val="ExhibitText"/>
              <w:jc w:val="right"/>
              <w:rPr>
                <w:b/>
                <w:bCs/>
                <w:sz w:val="18"/>
                <w:szCs w:val="18"/>
                <w:lang w:eastAsia="en-IN"/>
              </w:rPr>
            </w:pPr>
            <w:r w:rsidRPr="00416121">
              <w:rPr>
                <w:b/>
                <w:bCs/>
                <w:sz w:val="18"/>
                <w:szCs w:val="18"/>
                <w:lang w:eastAsia="en-IN"/>
              </w:rPr>
              <w:t>243,027</w:t>
            </w:r>
          </w:p>
        </w:tc>
        <w:tc>
          <w:tcPr>
            <w:tcW w:w="1213" w:type="dxa"/>
            <w:tcBorders>
              <w:top w:val="nil"/>
              <w:bottom w:val="double" w:sz="4" w:space="0" w:color="auto"/>
            </w:tcBorders>
            <w:vAlign w:val="center"/>
          </w:tcPr>
          <w:p w14:paraId="7798930B" w14:textId="1830F0B0" w:rsidR="00184715" w:rsidRPr="00416121" w:rsidRDefault="00184715" w:rsidP="00184715">
            <w:pPr>
              <w:pStyle w:val="ExhibitText"/>
              <w:jc w:val="right"/>
              <w:rPr>
                <w:b/>
                <w:bCs/>
                <w:sz w:val="18"/>
                <w:szCs w:val="18"/>
                <w:lang w:eastAsia="en-IN"/>
              </w:rPr>
            </w:pPr>
            <w:r w:rsidRPr="00416121">
              <w:rPr>
                <w:b/>
                <w:bCs/>
                <w:sz w:val="18"/>
                <w:szCs w:val="18"/>
                <w:lang w:eastAsia="en-IN"/>
              </w:rPr>
              <w:t>258,627</w:t>
            </w:r>
          </w:p>
        </w:tc>
        <w:tc>
          <w:tcPr>
            <w:tcW w:w="1213" w:type="dxa"/>
            <w:tcBorders>
              <w:top w:val="nil"/>
              <w:bottom w:val="double" w:sz="4" w:space="0" w:color="auto"/>
            </w:tcBorders>
            <w:vAlign w:val="center"/>
          </w:tcPr>
          <w:p w14:paraId="00166C3F" w14:textId="08A296FE" w:rsidR="00184715" w:rsidRPr="00416121" w:rsidRDefault="00184715" w:rsidP="00184715">
            <w:pPr>
              <w:pStyle w:val="ExhibitText"/>
              <w:jc w:val="right"/>
              <w:rPr>
                <w:b/>
                <w:bCs/>
                <w:sz w:val="18"/>
                <w:szCs w:val="18"/>
                <w:lang w:eastAsia="en-IN"/>
              </w:rPr>
            </w:pPr>
            <w:r w:rsidRPr="00416121">
              <w:rPr>
                <w:b/>
                <w:bCs/>
                <w:sz w:val="18"/>
                <w:szCs w:val="18"/>
                <w:lang w:eastAsia="en-IN"/>
              </w:rPr>
              <w:t>286,359</w:t>
            </w:r>
          </w:p>
        </w:tc>
        <w:tc>
          <w:tcPr>
            <w:tcW w:w="1213" w:type="dxa"/>
            <w:tcBorders>
              <w:top w:val="nil"/>
              <w:bottom w:val="double" w:sz="4" w:space="0" w:color="auto"/>
            </w:tcBorders>
            <w:shd w:val="clear" w:color="auto" w:fill="auto"/>
            <w:vAlign w:val="center"/>
            <w:hideMark/>
          </w:tcPr>
          <w:p w14:paraId="3327F143" w14:textId="6ADECAC9" w:rsidR="00184715" w:rsidRPr="00416121" w:rsidRDefault="00184715" w:rsidP="00184715">
            <w:pPr>
              <w:pStyle w:val="ExhibitText"/>
              <w:jc w:val="right"/>
              <w:rPr>
                <w:b/>
                <w:bCs/>
                <w:sz w:val="18"/>
                <w:szCs w:val="18"/>
                <w:lang w:eastAsia="en-IN"/>
              </w:rPr>
            </w:pPr>
            <w:r w:rsidRPr="00416121">
              <w:rPr>
                <w:b/>
                <w:bCs/>
                <w:sz w:val="18"/>
                <w:szCs w:val="18"/>
                <w:lang w:eastAsia="en-IN"/>
              </w:rPr>
              <w:t>351,954</w:t>
            </w:r>
          </w:p>
        </w:tc>
      </w:tr>
      <w:tr w:rsidR="00184715" w:rsidRPr="00416121" w14:paraId="04AF1DF3" w14:textId="77777777" w:rsidTr="007F41C3">
        <w:trPr>
          <w:trHeight w:val="360"/>
          <w:jc w:val="center"/>
        </w:trPr>
        <w:tc>
          <w:tcPr>
            <w:tcW w:w="3295" w:type="dxa"/>
            <w:tcBorders>
              <w:top w:val="double" w:sz="4" w:space="0" w:color="auto"/>
            </w:tcBorders>
            <w:shd w:val="clear" w:color="auto" w:fill="auto"/>
            <w:vAlign w:val="center"/>
            <w:hideMark/>
          </w:tcPr>
          <w:p w14:paraId="056067E1" w14:textId="1EE124C9" w:rsidR="00184715" w:rsidRPr="00416121" w:rsidRDefault="00184715" w:rsidP="008D3176">
            <w:pPr>
              <w:pStyle w:val="ExhibitText"/>
              <w:jc w:val="left"/>
              <w:rPr>
                <w:b/>
                <w:bCs/>
                <w:sz w:val="18"/>
                <w:szCs w:val="18"/>
                <w:lang w:eastAsia="en-IN"/>
              </w:rPr>
            </w:pPr>
            <w:r w:rsidRPr="00416121">
              <w:rPr>
                <w:b/>
                <w:bCs/>
                <w:sz w:val="18"/>
                <w:szCs w:val="18"/>
                <w:lang w:eastAsia="en-IN"/>
              </w:rPr>
              <w:t>Liabilities &amp; Shareholders</w:t>
            </w:r>
            <w:r w:rsidR="007F41C3" w:rsidRPr="00416121">
              <w:rPr>
                <w:b/>
                <w:bCs/>
                <w:sz w:val="18"/>
                <w:szCs w:val="18"/>
                <w:lang w:eastAsia="en-IN"/>
              </w:rPr>
              <w:t>’</w:t>
            </w:r>
            <w:r w:rsidRPr="00416121">
              <w:rPr>
                <w:b/>
                <w:bCs/>
                <w:sz w:val="18"/>
                <w:szCs w:val="18"/>
                <w:lang w:eastAsia="en-IN"/>
              </w:rPr>
              <w:t xml:space="preserve"> Equity</w:t>
            </w:r>
          </w:p>
        </w:tc>
        <w:tc>
          <w:tcPr>
            <w:tcW w:w="1213" w:type="dxa"/>
            <w:tcBorders>
              <w:top w:val="double" w:sz="4" w:space="0" w:color="auto"/>
            </w:tcBorders>
            <w:vAlign w:val="center"/>
          </w:tcPr>
          <w:p w14:paraId="17FC504A" w14:textId="428898E4" w:rsidR="00184715" w:rsidRPr="00416121" w:rsidRDefault="00184715" w:rsidP="00184715">
            <w:pPr>
              <w:pStyle w:val="ExhibitText"/>
              <w:jc w:val="right"/>
              <w:rPr>
                <w:b/>
                <w:bCs/>
                <w:sz w:val="18"/>
                <w:szCs w:val="18"/>
                <w:lang w:eastAsia="en-IN"/>
              </w:rPr>
            </w:pPr>
            <w:r w:rsidRPr="00416121">
              <w:rPr>
                <w:b/>
                <w:bCs/>
                <w:sz w:val="18"/>
                <w:szCs w:val="18"/>
                <w:lang w:eastAsia="en-IN"/>
              </w:rPr>
              <w:t>484,931</w:t>
            </w:r>
          </w:p>
        </w:tc>
        <w:tc>
          <w:tcPr>
            <w:tcW w:w="1213" w:type="dxa"/>
            <w:tcBorders>
              <w:top w:val="double" w:sz="4" w:space="0" w:color="auto"/>
            </w:tcBorders>
            <w:vAlign w:val="center"/>
          </w:tcPr>
          <w:p w14:paraId="4BA63721" w14:textId="4A5A3228" w:rsidR="00184715" w:rsidRPr="00416121" w:rsidRDefault="00184715" w:rsidP="00184715">
            <w:pPr>
              <w:pStyle w:val="ExhibitText"/>
              <w:jc w:val="right"/>
              <w:rPr>
                <w:b/>
                <w:bCs/>
                <w:sz w:val="18"/>
                <w:szCs w:val="18"/>
                <w:lang w:eastAsia="en-IN"/>
              </w:rPr>
            </w:pPr>
            <w:r w:rsidRPr="00416121">
              <w:rPr>
                <w:b/>
                <w:bCs/>
                <w:sz w:val="18"/>
                <w:szCs w:val="18"/>
                <w:lang w:eastAsia="en-IN"/>
              </w:rPr>
              <w:t>526,186</w:t>
            </w:r>
          </w:p>
        </w:tc>
        <w:tc>
          <w:tcPr>
            <w:tcW w:w="1213" w:type="dxa"/>
            <w:tcBorders>
              <w:top w:val="double" w:sz="4" w:space="0" w:color="auto"/>
            </w:tcBorders>
            <w:vAlign w:val="center"/>
          </w:tcPr>
          <w:p w14:paraId="52B98228" w14:textId="288E5F97" w:rsidR="00184715" w:rsidRPr="00416121" w:rsidRDefault="00184715" w:rsidP="00184715">
            <w:pPr>
              <w:pStyle w:val="ExhibitText"/>
              <w:jc w:val="right"/>
              <w:rPr>
                <w:b/>
                <w:bCs/>
                <w:sz w:val="18"/>
                <w:szCs w:val="18"/>
                <w:lang w:eastAsia="en-IN"/>
              </w:rPr>
            </w:pPr>
            <w:r w:rsidRPr="00416121">
              <w:rPr>
                <w:b/>
                <w:bCs/>
                <w:sz w:val="18"/>
                <w:szCs w:val="18"/>
                <w:lang w:eastAsia="en-IN"/>
              </w:rPr>
              <w:t>552,257</w:t>
            </w:r>
          </w:p>
        </w:tc>
        <w:tc>
          <w:tcPr>
            <w:tcW w:w="1213" w:type="dxa"/>
            <w:tcBorders>
              <w:top w:val="double" w:sz="4" w:space="0" w:color="auto"/>
            </w:tcBorders>
            <w:vAlign w:val="center"/>
          </w:tcPr>
          <w:p w14:paraId="6E6D261D" w14:textId="60873695" w:rsidR="00184715" w:rsidRPr="00416121" w:rsidRDefault="00184715" w:rsidP="00184715">
            <w:pPr>
              <w:pStyle w:val="ExhibitText"/>
              <w:jc w:val="right"/>
              <w:rPr>
                <w:b/>
                <w:bCs/>
                <w:sz w:val="18"/>
                <w:szCs w:val="18"/>
                <w:lang w:eastAsia="en-IN"/>
              </w:rPr>
            </w:pPr>
            <w:r w:rsidRPr="00416121">
              <w:rPr>
                <w:b/>
                <w:bCs/>
                <w:sz w:val="18"/>
                <w:szCs w:val="18"/>
                <w:lang w:eastAsia="en-IN"/>
              </w:rPr>
              <w:t>620,854</w:t>
            </w:r>
          </w:p>
        </w:tc>
        <w:tc>
          <w:tcPr>
            <w:tcW w:w="1213" w:type="dxa"/>
            <w:tcBorders>
              <w:top w:val="double" w:sz="4" w:space="0" w:color="auto"/>
            </w:tcBorders>
            <w:shd w:val="clear" w:color="auto" w:fill="auto"/>
            <w:vAlign w:val="center"/>
            <w:hideMark/>
          </w:tcPr>
          <w:p w14:paraId="5E7DDFCE" w14:textId="77435DA9" w:rsidR="00184715" w:rsidRPr="00416121" w:rsidRDefault="00184715" w:rsidP="00184715">
            <w:pPr>
              <w:pStyle w:val="ExhibitText"/>
              <w:jc w:val="right"/>
              <w:rPr>
                <w:b/>
                <w:bCs/>
                <w:sz w:val="18"/>
                <w:szCs w:val="18"/>
                <w:lang w:eastAsia="en-IN"/>
              </w:rPr>
            </w:pPr>
            <w:r w:rsidRPr="00416121">
              <w:rPr>
                <w:b/>
                <w:bCs/>
                <w:sz w:val="18"/>
                <w:szCs w:val="18"/>
                <w:lang w:eastAsia="en-IN"/>
              </w:rPr>
              <w:t>702,095</w:t>
            </w:r>
          </w:p>
        </w:tc>
      </w:tr>
    </w:tbl>
    <w:p w14:paraId="4728A066" w14:textId="77777777" w:rsidR="00935190" w:rsidRPr="00416121" w:rsidRDefault="00935190" w:rsidP="00935190">
      <w:pPr>
        <w:pStyle w:val="ExhibitText"/>
        <w:rPr>
          <w:rFonts w:eastAsia="Calibri"/>
        </w:rPr>
      </w:pPr>
    </w:p>
    <w:p w14:paraId="4D1D9C74" w14:textId="4F81F1DE" w:rsidR="00F47E98" w:rsidRPr="00416121" w:rsidRDefault="000977B4" w:rsidP="00A332DE">
      <w:pPr>
        <w:pStyle w:val="Footnote"/>
        <w:rPr>
          <w:rFonts w:eastAsia="Calibri"/>
        </w:rPr>
      </w:pPr>
      <w:r w:rsidRPr="00416121">
        <w:rPr>
          <w:rFonts w:eastAsia="Calibri"/>
        </w:rPr>
        <w:t xml:space="preserve">Note: Fiscal year is January to December. </w:t>
      </w:r>
    </w:p>
    <w:p w14:paraId="4D1CB763" w14:textId="5A39112F" w:rsidR="0081057D" w:rsidRPr="00416121" w:rsidRDefault="0081057D" w:rsidP="00A332DE">
      <w:pPr>
        <w:pStyle w:val="Footnote"/>
        <w:rPr>
          <w:rFonts w:eastAsia="Calibri"/>
        </w:rPr>
      </w:pPr>
      <w:r w:rsidRPr="00416121">
        <w:rPr>
          <w:rFonts w:eastAsia="Calibri"/>
        </w:rPr>
        <w:t xml:space="preserve">Source: </w:t>
      </w:r>
      <w:r w:rsidR="00F47E98" w:rsidRPr="00416121">
        <w:rPr>
          <w:rFonts w:eastAsia="Calibri"/>
        </w:rPr>
        <w:t>“</w:t>
      </w:r>
      <w:r w:rsidRPr="00416121">
        <w:rPr>
          <w:rFonts w:eastAsia="Calibri"/>
        </w:rPr>
        <w:t>Berkshire Hathaway Inc.</w:t>
      </w:r>
      <w:r w:rsidR="00935190" w:rsidRPr="00416121">
        <w:rPr>
          <w:rFonts w:eastAsia="Calibri"/>
        </w:rPr>
        <w:t>: Balance Sheet</w:t>
      </w:r>
      <w:r w:rsidRPr="00416121">
        <w:rPr>
          <w:rFonts w:eastAsia="Calibri"/>
        </w:rPr>
        <w:t>,</w:t>
      </w:r>
      <w:r w:rsidR="00F47E98" w:rsidRPr="00416121">
        <w:rPr>
          <w:rFonts w:eastAsia="Calibri"/>
        </w:rPr>
        <w:t>”</w:t>
      </w:r>
      <w:r w:rsidRPr="00416121">
        <w:rPr>
          <w:rFonts w:eastAsia="Calibri"/>
        </w:rPr>
        <w:t xml:space="preserve"> </w:t>
      </w:r>
      <w:r w:rsidRPr="00416121">
        <w:rPr>
          <w:rFonts w:eastAsia="Calibri"/>
          <w:i/>
        </w:rPr>
        <w:t>Wall Street Journal</w:t>
      </w:r>
      <w:r w:rsidRPr="00416121">
        <w:rPr>
          <w:rFonts w:eastAsia="Calibri"/>
        </w:rPr>
        <w:t>, accessed June 15, 2018,</w:t>
      </w:r>
      <w:r w:rsidR="00842182" w:rsidRPr="00416121">
        <w:rPr>
          <w:rFonts w:eastAsia="Calibri"/>
        </w:rPr>
        <w:t xml:space="preserve"> </w:t>
      </w:r>
      <w:r w:rsidR="006F1098" w:rsidRPr="00416121">
        <w:rPr>
          <w:rFonts w:eastAsia="Calibri"/>
        </w:rPr>
        <w:t>https://quotes.wsj.com/BRKB/financials/annual/balance-sheet</w:t>
      </w:r>
      <w:r w:rsidR="00A332DE" w:rsidRPr="00416121">
        <w:rPr>
          <w:rFonts w:eastAsia="Calibri"/>
        </w:rPr>
        <w:t>.</w:t>
      </w:r>
    </w:p>
    <w:p w14:paraId="2BBDC8F7" w14:textId="0E89E083" w:rsidR="007F41C3" w:rsidRPr="00416121" w:rsidRDefault="007F41C3">
      <w:pPr>
        <w:spacing w:after="200" w:line="276" w:lineRule="auto"/>
        <w:rPr>
          <w:rFonts w:ascii="Arial" w:eastAsia="Calibri" w:hAnsi="Arial" w:cs="Arial"/>
          <w:b/>
          <w:sz w:val="17"/>
          <w:szCs w:val="22"/>
        </w:rPr>
      </w:pPr>
      <w:r w:rsidRPr="00416121">
        <w:rPr>
          <w:rFonts w:eastAsia="Calibri"/>
          <w:b/>
          <w:szCs w:val="22"/>
        </w:rPr>
        <w:br w:type="page"/>
      </w:r>
    </w:p>
    <w:p w14:paraId="3A9846DE" w14:textId="6F2B4130" w:rsidR="00273607" w:rsidRDefault="0081057D" w:rsidP="000977B4">
      <w:pPr>
        <w:pStyle w:val="ExhibitHeading"/>
        <w:rPr>
          <w:rFonts w:eastAsia="Calibri"/>
        </w:rPr>
      </w:pPr>
      <w:r w:rsidRPr="00416121">
        <w:rPr>
          <w:rFonts w:eastAsia="Calibri"/>
        </w:rPr>
        <w:t xml:space="preserve">EXHIBIT </w:t>
      </w:r>
      <w:r w:rsidR="005A1899" w:rsidRPr="00416121">
        <w:rPr>
          <w:rFonts w:eastAsia="Calibri"/>
        </w:rPr>
        <w:t>3</w:t>
      </w:r>
      <w:r w:rsidRPr="00416121">
        <w:rPr>
          <w:rFonts w:eastAsia="Calibri"/>
        </w:rPr>
        <w:t xml:space="preserve">: </w:t>
      </w:r>
      <w:r w:rsidR="007F41C3" w:rsidRPr="00416121">
        <w:rPr>
          <w:rFonts w:eastAsia="Calibri"/>
        </w:rPr>
        <w:t xml:space="preserve">Berkshire Hathaway </w:t>
      </w:r>
      <w:r w:rsidRPr="00416121">
        <w:rPr>
          <w:rFonts w:eastAsia="Calibri"/>
        </w:rPr>
        <w:t xml:space="preserve">STATEMENT OF PROFIT </w:t>
      </w:r>
      <w:r w:rsidR="00A04845">
        <w:rPr>
          <w:rFonts w:eastAsia="Calibri"/>
        </w:rPr>
        <w:t>and</w:t>
      </w:r>
      <w:r w:rsidR="00A04845" w:rsidRPr="00416121">
        <w:rPr>
          <w:rFonts w:eastAsia="Calibri"/>
        </w:rPr>
        <w:t xml:space="preserve"> </w:t>
      </w:r>
      <w:r w:rsidRPr="00416121">
        <w:rPr>
          <w:rFonts w:eastAsia="Calibri"/>
        </w:rPr>
        <w:t>LOSS</w:t>
      </w:r>
      <w:r w:rsidR="00A04845">
        <w:rPr>
          <w:rFonts w:eastAsia="Calibri"/>
        </w:rPr>
        <w:t>, 2013–2017</w:t>
      </w:r>
    </w:p>
    <w:p w14:paraId="587ECB23" w14:textId="711231F2" w:rsidR="0081057D" w:rsidRPr="00416121" w:rsidRDefault="000977B4" w:rsidP="000977B4">
      <w:pPr>
        <w:pStyle w:val="ExhibitHeading"/>
        <w:rPr>
          <w:rFonts w:eastAsia="Calibri"/>
        </w:rPr>
      </w:pPr>
      <w:r w:rsidRPr="00416121">
        <w:rPr>
          <w:rFonts w:eastAsia="Calibri"/>
        </w:rPr>
        <w:t>(in US</w:t>
      </w:r>
      <w:r w:rsidR="001624B4" w:rsidRPr="00416121">
        <w:rPr>
          <w:rFonts w:eastAsia="Calibri"/>
        </w:rPr>
        <w:t>$, MILLIONS except E</w:t>
      </w:r>
      <w:r w:rsidR="00273607">
        <w:rPr>
          <w:rFonts w:eastAsia="Calibri"/>
        </w:rPr>
        <w:t xml:space="preserve">arnings </w:t>
      </w:r>
      <w:r w:rsidR="001624B4" w:rsidRPr="00416121">
        <w:rPr>
          <w:rFonts w:eastAsia="Calibri"/>
        </w:rPr>
        <w:t>P</w:t>
      </w:r>
      <w:r w:rsidR="00273607">
        <w:rPr>
          <w:rFonts w:eastAsia="Calibri"/>
        </w:rPr>
        <w:t xml:space="preserve">er </w:t>
      </w:r>
      <w:r w:rsidR="001624B4" w:rsidRPr="00416121">
        <w:rPr>
          <w:rFonts w:eastAsia="Calibri"/>
        </w:rPr>
        <w:t>S</w:t>
      </w:r>
      <w:r w:rsidR="00273607">
        <w:rPr>
          <w:rFonts w:eastAsia="Calibri"/>
        </w:rPr>
        <w:t>hare</w:t>
      </w:r>
      <w:r w:rsidRPr="00416121">
        <w:rPr>
          <w:rFonts w:eastAsia="Calibri"/>
        </w:rPr>
        <w:t>)</w:t>
      </w:r>
    </w:p>
    <w:p w14:paraId="421E65C2" w14:textId="77777777" w:rsidR="00E1185E" w:rsidRPr="00416121" w:rsidRDefault="00E1185E" w:rsidP="00E1185E">
      <w:pPr>
        <w:pStyle w:val="ExhibitText"/>
        <w:rPr>
          <w:rFonts w:eastAsia="Calibri"/>
        </w:rPr>
      </w:pPr>
    </w:p>
    <w:tbl>
      <w:tblPr>
        <w:tblW w:w="5000" w:type="pct"/>
        <w:jc w:val="center"/>
        <w:tblBorders>
          <w:top w:val="single" w:sz="4" w:space="0" w:color="auto"/>
          <w:bottom w:val="single" w:sz="4" w:space="0" w:color="auto"/>
        </w:tblBorders>
        <w:tblLook w:val="04A0" w:firstRow="1" w:lastRow="0" w:firstColumn="1" w:lastColumn="0" w:noHBand="0" w:noVBand="1"/>
      </w:tblPr>
      <w:tblGrid>
        <w:gridCol w:w="3330"/>
        <w:gridCol w:w="1206"/>
        <w:gridCol w:w="1206"/>
        <w:gridCol w:w="1206"/>
        <w:gridCol w:w="1206"/>
        <w:gridCol w:w="1206"/>
      </w:tblGrid>
      <w:tr w:rsidR="00E1185E" w:rsidRPr="00416121" w14:paraId="618A0C0C" w14:textId="77777777" w:rsidTr="00CA56A5">
        <w:trPr>
          <w:trHeight w:val="360"/>
          <w:jc w:val="center"/>
        </w:trPr>
        <w:tc>
          <w:tcPr>
            <w:tcW w:w="3330" w:type="dxa"/>
            <w:tcBorders>
              <w:top w:val="single" w:sz="4" w:space="0" w:color="auto"/>
              <w:bottom w:val="single" w:sz="12" w:space="0" w:color="auto"/>
            </w:tcBorders>
            <w:shd w:val="clear" w:color="auto" w:fill="auto"/>
            <w:vAlign w:val="center"/>
            <w:hideMark/>
          </w:tcPr>
          <w:p w14:paraId="6C3416E8" w14:textId="76A5F2D4" w:rsidR="00E1185E" w:rsidRPr="00416121" w:rsidRDefault="00E1185E" w:rsidP="006B6156">
            <w:pPr>
              <w:pStyle w:val="ExhibitText"/>
              <w:jc w:val="left"/>
              <w:rPr>
                <w:b/>
                <w:sz w:val="18"/>
                <w:szCs w:val="18"/>
                <w:lang w:eastAsia="en-IN"/>
              </w:rPr>
            </w:pPr>
          </w:p>
        </w:tc>
        <w:tc>
          <w:tcPr>
            <w:tcW w:w="1206" w:type="dxa"/>
            <w:tcBorders>
              <w:top w:val="single" w:sz="4" w:space="0" w:color="auto"/>
              <w:bottom w:val="single" w:sz="12" w:space="0" w:color="auto"/>
            </w:tcBorders>
            <w:vAlign w:val="center"/>
          </w:tcPr>
          <w:p w14:paraId="3B7D6894" w14:textId="4557243F" w:rsidR="00E1185E" w:rsidRPr="00416121" w:rsidRDefault="00E1185E" w:rsidP="00CA56A5">
            <w:pPr>
              <w:pStyle w:val="ExhibitText"/>
              <w:jc w:val="right"/>
              <w:rPr>
                <w:b/>
                <w:sz w:val="18"/>
                <w:szCs w:val="18"/>
                <w:lang w:eastAsia="en-IN"/>
              </w:rPr>
            </w:pPr>
            <w:r w:rsidRPr="00416121">
              <w:rPr>
                <w:b/>
                <w:sz w:val="18"/>
                <w:szCs w:val="18"/>
                <w:lang w:eastAsia="en-IN"/>
              </w:rPr>
              <w:t>2013</w:t>
            </w:r>
          </w:p>
        </w:tc>
        <w:tc>
          <w:tcPr>
            <w:tcW w:w="1206" w:type="dxa"/>
            <w:tcBorders>
              <w:top w:val="single" w:sz="4" w:space="0" w:color="auto"/>
              <w:bottom w:val="single" w:sz="12" w:space="0" w:color="auto"/>
            </w:tcBorders>
            <w:vAlign w:val="center"/>
          </w:tcPr>
          <w:p w14:paraId="65767D8E" w14:textId="1FD20B83" w:rsidR="00E1185E" w:rsidRPr="00416121" w:rsidRDefault="00E1185E" w:rsidP="00CA56A5">
            <w:pPr>
              <w:pStyle w:val="ExhibitText"/>
              <w:jc w:val="right"/>
              <w:rPr>
                <w:b/>
                <w:sz w:val="18"/>
                <w:szCs w:val="18"/>
                <w:lang w:eastAsia="en-IN"/>
              </w:rPr>
            </w:pPr>
            <w:r w:rsidRPr="00416121">
              <w:rPr>
                <w:b/>
                <w:sz w:val="18"/>
                <w:szCs w:val="18"/>
                <w:lang w:eastAsia="en-IN"/>
              </w:rPr>
              <w:t>2014</w:t>
            </w:r>
          </w:p>
        </w:tc>
        <w:tc>
          <w:tcPr>
            <w:tcW w:w="1206" w:type="dxa"/>
            <w:tcBorders>
              <w:top w:val="single" w:sz="4" w:space="0" w:color="auto"/>
              <w:bottom w:val="single" w:sz="12" w:space="0" w:color="auto"/>
            </w:tcBorders>
            <w:vAlign w:val="center"/>
          </w:tcPr>
          <w:p w14:paraId="457DA7B2" w14:textId="79F00ED0" w:rsidR="00E1185E" w:rsidRPr="00416121" w:rsidRDefault="00E1185E" w:rsidP="00CA56A5">
            <w:pPr>
              <w:pStyle w:val="ExhibitText"/>
              <w:jc w:val="right"/>
              <w:rPr>
                <w:b/>
                <w:sz w:val="18"/>
                <w:szCs w:val="18"/>
                <w:lang w:eastAsia="en-IN"/>
              </w:rPr>
            </w:pPr>
            <w:r w:rsidRPr="00416121">
              <w:rPr>
                <w:b/>
                <w:sz w:val="18"/>
                <w:szCs w:val="18"/>
                <w:lang w:eastAsia="en-IN"/>
              </w:rPr>
              <w:t>2015</w:t>
            </w:r>
          </w:p>
        </w:tc>
        <w:tc>
          <w:tcPr>
            <w:tcW w:w="1206" w:type="dxa"/>
            <w:tcBorders>
              <w:top w:val="single" w:sz="4" w:space="0" w:color="auto"/>
              <w:bottom w:val="single" w:sz="12" w:space="0" w:color="auto"/>
            </w:tcBorders>
            <w:vAlign w:val="center"/>
          </w:tcPr>
          <w:p w14:paraId="586EE522" w14:textId="7D565E8F" w:rsidR="00E1185E" w:rsidRPr="00416121" w:rsidRDefault="00E1185E" w:rsidP="00CA56A5">
            <w:pPr>
              <w:pStyle w:val="ExhibitText"/>
              <w:jc w:val="right"/>
              <w:rPr>
                <w:b/>
                <w:sz w:val="18"/>
                <w:szCs w:val="18"/>
                <w:lang w:eastAsia="en-IN"/>
              </w:rPr>
            </w:pPr>
            <w:r w:rsidRPr="00416121">
              <w:rPr>
                <w:b/>
                <w:sz w:val="18"/>
                <w:szCs w:val="18"/>
                <w:lang w:eastAsia="en-IN"/>
              </w:rPr>
              <w:t>2016</w:t>
            </w:r>
          </w:p>
        </w:tc>
        <w:tc>
          <w:tcPr>
            <w:tcW w:w="1206" w:type="dxa"/>
            <w:tcBorders>
              <w:top w:val="single" w:sz="4" w:space="0" w:color="auto"/>
              <w:bottom w:val="single" w:sz="12" w:space="0" w:color="auto"/>
            </w:tcBorders>
            <w:shd w:val="clear" w:color="auto" w:fill="auto"/>
            <w:vAlign w:val="center"/>
            <w:hideMark/>
          </w:tcPr>
          <w:p w14:paraId="255FC362" w14:textId="0F80BA11" w:rsidR="00E1185E" w:rsidRPr="00416121" w:rsidRDefault="00E1185E" w:rsidP="00CA56A5">
            <w:pPr>
              <w:pStyle w:val="ExhibitText"/>
              <w:jc w:val="right"/>
              <w:rPr>
                <w:b/>
                <w:sz w:val="18"/>
                <w:szCs w:val="18"/>
                <w:lang w:eastAsia="en-IN"/>
              </w:rPr>
            </w:pPr>
            <w:r w:rsidRPr="00416121">
              <w:rPr>
                <w:b/>
                <w:sz w:val="18"/>
                <w:szCs w:val="18"/>
                <w:lang w:eastAsia="en-IN"/>
              </w:rPr>
              <w:t>2017</w:t>
            </w:r>
          </w:p>
        </w:tc>
      </w:tr>
      <w:tr w:rsidR="00E1185E" w:rsidRPr="00416121" w14:paraId="0476019C" w14:textId="77777777" w:rsidTr="006B6156">
        <w:trPr>
          <w:trHeight w:val="360"/>
          <w:jc w:val="center"/>
        </w:trPr>
        <w:tc>
          <w:tcPr>
            <w:tcW w:w="3330" w:type="dxa"/>
            <w:tcBorders>
              <w:top w:val="single" w:sz="12" w:space="0" w:color="auto"/>
            </w:tcBorders>
            <w:shd w:val="clear" w:color="auto" w:fill="auto"/>
            <w:vAlign w:val="center"/>
            <w:hideMark/>
          </w:tcPr>
          <w:p w14:paraId="07FD0B1E" w14:textId="77777777" w:rsidR="00E1185E" w:rsidRPr="00416121" w:rsidRDefault="00E1185E" w:rsidP="006B6156">
            <w:pPr>
              <w:pStyle w:val="ExhibitText"/>
              <w:jc w:val="left"/>
              <w:rPr>
                <w:color w:val="000000"/>
                <w:sz w:val="18"/>
                <w:szCs w:val="18"/>
                <w:lang w:eastAsia="en-IN"/>
              </w:rPr>
            </w:pPr>
            <w:r w:rsidRPr="00416121">
              <w:rPr>
                <w:color w:val="000000"/>
                <w:sz w:val="18"/>
                <w:szCs w:val="18"/>
                <w:lang w:eastAsia="en-IN"/>
              </w:rPr>
              <w:t>Sales/Revenue</w:t>
            </w:r>
          </w:p>
        </w:tc>
        <w:tc>
          <w:tcPr>
            <w:tcW w:w="1206" w:type="dxa"/>
            <w:tcBorders>
              <w:top w:val="single" w:sz="12" w:space="0" w:color="auto"/>
            </w:tcBorders>
            <w:vAlign w:val="center"/>
          </w:tcPr>
          <w:p w14:paraId="0DC737BE" w14:textId="3B165A9B" w:rsidR="00E1185E" w:rsidRPr="00416121" w:rsidRDefault="00E1185E" w:rsidP="006B6156">
            <w:pPr>
              <w:pStyle w:val="ExhibitText"/>
              <w:jc w:val="right"/>
              <w:rPr>
                <w:color w:val="000000"/>
                <w:sz w:val="18"/>
                <w:szCs w:val="18"/>
                <w:lang w:eastAsia="en-IN"/>
              </w:rPr>
            </w:pPr>
            <w:r w:rsidRPr="00416121">
              <w:rPr>
                <w:color w:val="000000"/>
                <w:sz w:val="18"/>
                <w:szCs w:val="18"/>
                <w:lang w:eastAsia="en-IN"/>
              </w:rPr>
              <w:t>179,770</w:t>
            </w:r>
          </w:p>
        </w:tc>
        <w:tc>
          <w:tcPr>
            <w:tcW w:w="1206" w:type="dxa"/>
            <w:tcBorders>
              <w:top w:val="single" w:sz="12" w:space="0" w:color="auto"/>
            </w:tcBorders>
            <w:vAlign w:val="center"/>
          </w:tcPr>
          <w:p w14:paraId="6FD6DC77" w14:textId="581061DA" w:rsidR="00E1185E" w:rsidRPr="00416121" w:rsidRDefault="00E1185E" w:rsidP="006B6156">
            <w:pPr>
              <w:pStyle w:val="ExhibitText"/>
              <w:jc w:val="right"/>
              <w:rPr>
                <w:color w:val="000000"/>
                <w:sz w:val="18"/>
                <w:szCs w:val="18"/>
                <w:lang w:eastAsia="en-IN"/>
              </w:rPr>
            </w:pPr>
            <w:r w:rsidRPr="00416121">
              <w:rPr>
                <w:color w:val="000000"/>
                <w:sz w:val="18"/>
                <w:szCs w:val="18"/>
                <w:lang w:eastAsia="en-IN"/>
              </w:rPr>
              <w:t>194,864</w:t>
            </w:r>
          </w:p>
        </w:tc>
        <w:tc>
          <w:tcPr>
            <w:tcW w:w="1206" w:type="dxa"/>
            <w:tcBorders>
              <w:top w:val="single" w:sz="12" w:space="0" w:color="auto"/>
            </w:tcBorders>
            <w:vAlign w:val="center"/>
          </w:tcPr>
          <w:p w14:paraId="40A9B230" w14:textId="09753B7A" w:rsidR="00E1185E" w:rsidRPr="00416121" w:rsidRDefault="00E1185E" w:rsidP="006B6156">
            <w:pPr>
              <w:pStyle w:val="ExhibitText"/>
              <w:jc w:val="right"/>
              <w:rPr>
                <w:color w:val="000000"/>
                <w:sz w:val="18"/>
                <w:szCs w:val="18"/>
                <w:lang w:eastAsia="en-IN"/>
              </w:rPr>
            </w:pPr>
            <w:r w:rsidRPr="00416121">
              <w:rPr>
                <w:color w:val="000000"/>
                <w:sz w:val="18"/>
                <w:szCs w:val="18"/>
                <w:lang w:eastAsia="en-IN"/>
              </w:rPr>
              <w:t>209,995</w:t>
            </w:r>
          </w:p>
        </w:tc>
        <w:tc>
          <w:tcPr>
            <w:tcW w:w="1206" w:type="dxa"/>
            <w:tcBorders>
              <w:top w:val="single" w:sz="12" w:space="0" w:color="auto"/>
            </w:tcBorders>
            <w:vAlign w:val="center"/>
          </w:tcPr>
          <w:p w14:paraId="43BBFF91" w14:textId="75769E57" w:rsidR="00E1185E" w:rsidRPr="00416121" w:rsidRDefault="00E1185E" w:rsidP="006B6156">
            <w:pPr>
              <w:pStyle w:val="ExhibitText"/>
              <w:jc w:val="right"/>
              <w:rPr>
                <w:color w:val="000000"/>
                <w:sz w:val="18"/>
                <w:szCs w:val="18"/>
                <w:lang w:eastAsia="en-IN"/>
              </w:rPr>
            </w:pPr>
            <w:r w:rsidRPr="00416121">
              <w:rPr>
                <w:color w:val="000000"/>
                <w:sz w:val="18"/>
                <w:szCs w:val="18"/>
                <w:lang w:eastAsia="en-IN"/>
              </w:rPr>
              <w:t>222,935</w:t>
            </w:r>
          </w:p>
        </w:tc>
        <w:tc>
          <w:tcPr>
            <w:tcW w:w="1206" w:type="dxa"/>
            <w:tcBorders>
              <w:top w:val="single" w:sz="12" w:space="0" w:color="auto"/>
            </w:tcBorders>
            <w:shd w:val="clear" w:color="auto" w:fill="auto"/>
            <w:vAlign w:val="center"/>
            <w:hideMark/>
          </w:tcPr>
          <w:p w14:paraId="11A040D0" w14:textId="315923B7" w:rsidR="00E1185E" w:rsidRPr="00416121" w:rsidRDefault="00E1185E" w:rsidP="006B6156">
            <w:pPr>
              <w:pStyle w:val="ExhibitText"/>
              <w:jc w:val="right"/>
              <w:rPr>
                <w:color w:val="000000"/>
                <w:sz w:val="18"/>
                <w:szCs w:val="18"/>
                <w:lang w:eastAsia="en-IN"/>
              </w:rPr>
            </w:pPr>
            <w:r w:rsidRPr="00416121">
              <w:rPr>
                <w:color w:val="000000"/>
                <w:sz w:val="18"/>
                <w:szCs w:val="18"/>
                <w:lang w:eastAsia="en-IN"/>
              </w:rPr>
              <w:t>241,419</w:t>
            </w:r>
          </w:p>
        </w:tc>
      </w:tr>
      <w:tr w:rsidR="00E1185E" w:rsidRPr="00416121" w14:paraId="4880081C" w14:textId="77777777" w:rsidTr="006B6156">
        <w:trPr>
          <w:trHeight w:val="360"/>
          <w:jc w:val="center"/>
        </w:trPr>
        <w:tc>
          <w:tcPr>
            <w:tcW w:w="3330" w:type="dxa"/>
            <w:shd w:val="clear" w:color="auto" w:fill="auto"/>
            <w:vAlign w:val="center"/>
            <w:hideMark/>
          </w:tcPr>
          <w:p w14:paraId="3E287A70" w14:textId="5761B297" w:rsidR="00E1185E" w:rsidRPr="00416121" w:rsidRDefault="00E1185E" w:rsidP="006B6156">
            <w:pPr>
              <w:pStyle w:val="ExhibitText"/>
              <w:jc w:val="left"/>
              <w:rPr>
                <w:color w:val="000000"/>
                <w:sz w:val="18"/>
                <w:szCs w:val="18"/>
                <w:lang w:eastAsia="en-IN"/>
              </w:rPr>
            </w:pPr>
            <w:r w:rsidRPr="00416121">
              <w:rPr>
                <w:color w:val="000000"/>
                <w:sz w:val="18"/>
                <w:szCs w:val="18"/>
                <w:lang w:eastAsia="en-IN"/>
              </w:rPr>
              <w:t xml:space="preserve">Cost of Goods Sold (COGS) </w:t>
            </w:r>
            <w:r w:rsidRPr="00416121">
              <w:rPr>
                <w:color w:val="000000"/>
                <w:sz w:val="18"/>
                <w:szCs w:val="18"/>
                <w:lang w:eastAsia="en-IN"/>
              </w:rPr>
              <w:br/>
              <w:t>incl</w:t>
            </w:r>
            <w:r w:rsidR="00801E8F" w:rsidRPr="00416121">
              <w:rPr>
                <w:color w:val="000000"/>
                <w:sz w:val="18"/>
                <w:szCs w:val="18"/>
                <w:lang w:eastAsia="en-IN"/>
              </w:rPr>
              <w:t>uding</w:t>
            </w:r>
            <w:r w:rsidRPr="00416121">
              <w:rPr>
                <w:color w:val="000000"/>
                <w:sz w:val="18"/>
                <w:szCs w:val="18"/>
                <w:lang w:eastAsia="en-IN"/>
              </w:rPr>
              <w:t xml:space="preserve"> D</w:t>
            </w:r>
            <w:r w:rsidR="00801E8F" w:rsidRPr="00416121">
              <w:rPr>
                <w:color w:val="000000"/>
                <w:sz w:val="18"/>
                <w:szCs w:val="18"/>
                <w:lang w:eastAsia="en-IN"/>
              </w:rPr>
              <w:t xml:space="preserve">epreciation </w:t>
            </w:r>
            <w:r w:rsidRPr="00416121">
              <w:rPr>
                <w:color w:val="000000"/>
                <w:sz w:val="18"/>
                <w:szCs w:val="18"/>
                <w:lang w:eastAsia="en-IN"/>
              </w:rPr>
              <w:t>&amp;</w:t>
            </w:r>
            <w:r w:rsidR="00801E8F" w:rsidRPr="00416121">
              <w:rPr>
                <w:color w:val="000000"/>
                <w:sz w:val="18"/>
                <w:szCs w:val="18"/>
                <w:lang w:eastAsia="en-IN"/>
              </w:rPr>
              <w:t xml:space="preserve"> </w:t>
            </w:r>
            <w:r w:rsidRPr="00416121">
              <w:rPr>
                <w:color w:val="000000"/>
                <w:sz w:val="18"/>
                <w:szCs w:val="18"/>
                <w:lang w:eastAsia="en-IN"/>
              </w:rPr>
              <w:t>A</w:t>
            </w:r>
            <w:r w:rsidR="00801E8F" w:rsidRPr="00416121">
              <w:rPr>
                <w:color w:val="000000"/>
                <w:sz w:val="18"/>
                <w:szCs w:val="18"/>
                <w:lang w:eastAsia="en-IN"/>
              </w:rPr>
              <w:t>ppreciation</w:t>
            </w:r>
          </w:p>
        </w:tc>
        <w:tc>
          <w:tcPr>
            <w:tcW w:w="1206" w:type="dxa"/>
            <w:vAlign w:val="center"/>
          </w:tcPr>
          <w:p w14:paraId="0379ECFD" w14:textId="639EBE5A" w:rsidR="00E1185E" w:rsidRPr="00416121" w:rsidRDefault="00E1185E" w:rsidP="006B6156">
            <w:pPr>
              <w:pStyle w:val="ExhibitText"/>
              <w:jc w:val="right"/>
              <w:rPr>
                <w:color w:val="000000"/>
                <w:sz w:val="18"/>
                <w:szCs w:val="18"/>
                <w:lang w:eastAsia="en-IN"/>
              </w:rPr>
            </w:pPr>
            <w:r w:rsidRPr="00416121">
              <w:rPr>
                <w:color w:val="000000"/>
                <w:sz w:val="18"/>
                <w:szCs w:val="18"/>
                <w:lang w:eastAsia="en-IN"/>
              </w:rPr>
              <w:t>138,636</w:t>
            </w:r>
          </w:p>
        </w:tc>
        <w:tc>
          <w:tcPr>
            <w:tcW w:w="1206" w:type="dxa"/>
            <w:vAlign w:val="center"/>
          </w:tcPr>
          <w:p w14:paraId="19561BCE" w14:textId="0786CA0E" w:rsidR="00E1185E" w:rsidRPr="00416121" w:rsidRDefault="00E1185E" w:rsidP="006B6156">
            <w:pPr>
              <w:pStyle w:val="ExhibitText"/>
              <w:jc w:val="right"/>
              <w:rPr>
                <w:color w:val="000000"/>
                <w:sz w:val="18"/>
                <w:szCs w:val="18"/>
                <w:lang w:eastAsia="en-IN"/>
              </w:rPr>
            </w:pPr>
            <w:r w:rsidRPr="00416121">
              <w:rPr>
                <w:color w:val="000000"/>
                <w:sz w:val="18"/>
                <w:szCs w:val="18"/>
                <w:lang w:eastAsia="en-IN"/>
              </w:rPr>
              <w:t>149,594</w:t>
            </w:r>
          </w:p>
        </w:tc>
        <w:tc>
          <w:tcPr>
            <w:tcW w:w="1206" w:type="dxa"/>
            <w:vAlign w:val="center"/>
          </w:tcPr>
          <w:p w14:paraId="437AC687" w14:textId="71776459" w:rsidR="00E1185E" w:rsidRPr="00416121" w:rsidRDefault="00E1185E" w:rsidP="006B6156">
            <w:pPr>
              <w:pStyle w:val="ExhibitText"/>
              <w:jc w:val="right"/>
              <w:rPr>
                <w:color w:val="000000"/>
                <w:sz w:val="18"/>
                <w:szCs w:val="18"/>
                <w:lang w:eastAsia="en-IN"/>
              </w:rPr>
            </w:pPr>
            <w:r w:rsidRPr="00416121">
              <w:rPr>
                <w:color w:val="000000"/>
                <w:sz w:val="18"/>
                <w:szCs w:val="18"/>
                <w:lang w:eastAsia="en-IN"/>
              </w:rPr>
              <w:t>157,051</w:t>
            </w:r>
          </w:p>
        </w:tc>
        <w:tc>
          <w:tcPr>
            <w:tcW w:w="1206" w:type="dxa"/>
            <w:vAlign w:val="center"/>
          </w:tcPr>
          <w:p w14:paraId="54E264FA" w14:textId="62A55C53" w:rsidR="00E1185E" w:rsidRPr="00416121" w:rsidRDefault="00E1185E" w:rsidP="006B6156">
            <w:pPr>
              <w:pStyle w:val="ExhibitText"/>
              <w:jc w:val="right"/>
              <w:rPr>
                <w:color w:val="000000"/>
                <w:sz w:val="18"/>
                <w:szCs w:val="18"/>
                <w:lang w:eastAsia="en-IN"/>
              </w:rPr>
            </w:pPr>
            <w:r w:rsidRPr="00416121">
              <w:rPr>
                <w:color w:val="000000"/>
                <w:sz w:val="18"/>
                <w:szCs w:val="18"/>
                <w:lang w:eastAsia="en-IN"/>
              </w:rPr>
              <w:t>169,146</w:t>
            </w:r>
          </w:p>
        </w:tc>
        <w:tc>
          <w:tcPr>
            <w:tcW w:w="1206" w:type="dxa"/>
            <w:shd w:val="clear" w:color="auto" w:fill="auto"/>
            <w:vAlign w:val="center"/>
            <w:hideMark/>
          </w:tcPr>
          <w:p w14:paraId="31EE0071" w14:textId="1E484095" w:rsidR="00E1185E" w:rsidRPr="00416121" w:rsidRDefault="00E1185E" w:rsidP="006B6156">
            <w:pPr>
              <w:pStyle w:val="ExhibitText"/>
              <w:jc w:val="right"/>
              <w:rPr>
                <w:color w:val="000000"/>
                <w:sz w:val="18"/>
                <w:szCs w:val="18"/>
                <w:lang w:eastAsia="en-IN"/>
              </w:rPr>
            </w:pPr>
            <w:r w:rsidRPr="00416121">
              <w:rPr>
                <w:color w:val="000000"/>
                <w:sz w:val="18"/>
                <w:szCs w:val="18"/>
                <w:lang w:eastAsia="en-IN"/>
              </w:rPr>
              <w:t>197,662</w:t>
            </w:r>
          </w:p>
        </w:tc>
      </w:tr>
      <w:tr w:rsidR="00E1185E" w:rsidRPr="00416121" w14:paraId="4C37DFBD" w14:textId="77777777" w:rsidTr="006B6156">
        <w:trPr>
          <w:trHeight w:val="360"/>
          <w:jc w:val="center"/>
        </w:trPr>
        <w:tc>
          <w:tcPr>
            <w:tcW w:w="3330" w:type="dxa"/>
            <w:shd w:val="clear" w:color="auto" w:fill="auto"/>
            <w:vAlign w:val="center"/>
            <w:hideMark/>
          </w:tcPr>
          <w:p w14:paraId="72C3F1FC" w14:textId="7E3026A5" w:rsidR="00E1185E" w:rsidRPr="00416121" w:rsidRDefault="00E1185E" w:rsidP="006B6156">
            <w:pPr>
              <w:pStyle w:val="ExhibitText"/>
              <w:jc w:val="left"/>
              <w:rPr>
                <w:b/>
                <w:color w:val="000000"/>
                <w:sz w:val="18"/>
                <w:szCs w:val="18"/>
                <w:lang w:eastAsia="en-IN"/>
              </w:rPr>
            </w:pPr>
            <w:r w:rsidRPr="00416121">
              <w:rPr>
                <w:b/>
                <w:color w:val="000000"/>
                <w:sz w:val="18"/>
                <w:szCs w:val="18"/>
                <w:lang w:eastAsia="en-IN"/>
              </w:rPr>
              <w:t>Gross Income</w:t>
            </w:r>
          </w:p>
        </w:tc>
        <w:tc>
          <w:tcPr>
            <w:tcW w:w="1206" w:type="dxa"/>
            <w:vAlign w:val="center"/>
          </w:tcPr>
          <w:p w14:paraId="4ED79E43" w14:textId="5BF97EED" w:rsidR="00E1185E" w:rsidRPr="00416121" w:rsidRDefault="00E1185E" w:rsidP="006B6156">
            <w:pPr>
              <w:pStyle w:val="ExhibitText"/>
              <w:jc w:val="right"/>
              <w:rPr>
                <w:b/>
                <w:color w:val="000000"/>
                <w:sz w:val="18"/>
                <w:szCs w:val="18"/>
                <w:lang w:eastAsia="en-IN"/>
              </w:rPr>
            </w:pPr>
            <w:r w:rsidRPr="00416121">
              <w:rPr>
                <w:b/>
                <w:color w:val="000000"/>
                <w:sz w:val="18"/>
                <w:szCs w:val="18"/>
                <w:lang w:eastAsia="en-IN"/>
              </w:rPr>
              <w:t>41,134</w:t>
            </w:r>
          </w:p>
        </w:tc>
        <w:tc>
          <w:tcPr>
            <w:tcW w:w="1206" w:type="dxa"/>
            <w:vAlign w:val="center"/>
          </w:tcPr>
          <w:p w14:paraId="104507A8" w14:textId="5902371A" w:rsidR="00E1185E" w:rsidRPr="00416121" w:rsidRDefault="00E1185E" w:rsidP="006B6156">
            <w:pPr>
              <w:pStyle w:val="ExhibitText"/>
              <w:jc w:val="right"/>
              <w:rPr>
                <w:b/>
                <w:color w:val="000000"/>
                <w:sz w:val="18"/>
                <w:szCs w:val="18"/>
                <w:lang w:eastAsia="en-IN"/>
              </w:rPr>
            </w:pPr>
            <w:r w:rsidRPr="00416121">
              <w:rPr>
                <w:b/>
                <w:color w:val="000000"/>
                <w:sz w:val="18"/>
                <w:szCs w:val="18"/>
                <w:lang w:eastAsia="en-IN"/>
              </w:rPr>
              <w:t>45,270</w:t>
            </w:r>
          </w:p>
        </w:tc>
        <w:tc>
          <w:tcPr>
            <w:tcW w:w="1206" w:type="dxa"/>
            <w:vAlign w:val="center"/>
          </w:tcPr>
          <w:p w14:paraId="39C6DDE0" w14:textId="0C51B0E8" w:rsidR="00E1185E" w:rsidRPr="00416121" w:rsidRDefault="00E1185E" w:rsidP="006B6156">
            <w:pPr>
              <w:pStyle w:val="ExhibitText"/>
              <w:jc w:val="right"/>
              <w:rPr>
                <w:b/>
                <w:color w:val="000000"/>
                <w:sz w:val="18"/>
                <w:szCs w:val="18"/>
                <w:lang w:eastAsia="en-IN"/>
              </w:rPr>
            </w:pPr>
            <w:r w:rsidRPr="00416121">
              <w:rPr>
                <w:b/>
                <w:color w:val="000000"/>
                <w:sz w:val="18"/>
                <w:szCs w:val="18"/>
                <w:lang w:eastAsia="en-IN"/>
              </w:rPr>
              <w:t>52,944</w:t>
            </w:r>
          </w:p>
        </w:tc>
        <w:tc>
          <w:tcPr>
            <w:tcW w:w="1206" w:type="dxa"/>
            <w:vAlign w:val="center"/>
          </w:tcPr>
          <w:p w14:paraId="59D359B6" w14:textId="7CD3CB91" w:rsidR="00E1185E" w:rsidRPr="00416121" w:rsidRDefault="00E1185E" w:rsidP="006B6156">
            <w:pPr>
              <w:pStyle w:val="ExhibitText"/>
              <w:jc w:val="right"/>
              <w:rPr>
                <w:b/>
                <w:color w:val="000000"/>
                <w:sz w:val="18"/>
                <w:szCs w:val="18"/>
                <w:lang w:eastAsia="en-IN"/>
              </w:rPr>
            </w:pPr>
            <w:r w:rsidRPr="00416121">
              <w:rPr>
                <w:b/>
                <w:color w:val="000000"/>
                <w:sz w:val="18"/>
                <w:szCs w:val="18"/>
                <w:lang w:eastAsia="en-IN"/>
              </w:rPr>
              <w:t>53,789</w:t>
            </w:r>
          </w:p>
        </w:tc>
        <w:tc>
          <w:tcPr>
            <w:tcW w:w="1206" w:type="dxa"/>
            <w:shd w:val="clear" w:color="auto" w:fill="auto"/>
            <w:vAlign w:val="center"/>
            <w:hideMark/>
          </w:tcPr>
          <w:p w14:paraId="62274C40" w14:textId="0C48A44A" w:rsidR="00E1185E" w:rsidRPr="00416121" w:rsidRDefault="00E1185E" w:rsidP="006B6156">
            <w:pPr>
              <w:pStyle w:val="ExhibitText"/>
              <w:jc w:val="right"/>
              <w:rPr>
                <w:b/>
                <w:color w:val="000000"/>
                <w:sz w:val="18"/>
                <w:szCs w:val="18"/>
                <w:lang w:eastAsia="en-IN"/>
              </w:rPr>
            </w:pPr>
            <w:r w:rsidRPr="00416121">
              <w:rPr>
                <w:b/>
                <w:color w:val="000000"/>
                <w:sz w:val="18"/>
                <w:szCs w:val="18"/>
                <w:lang w:eastAsia="en-IN"/>
              </w:rPr>
              <w:t>43,757</w:t>
            </w:r>
          </w:p>
        </w:tc>
      </w:tr>
      <w:tr w:rsidR="00E1185E" w:rsidRPr="00416121" w14:paraId="7243D208" w14:textId="77777777" w:rsidTr="006B6156">
        <w:trPr>
          <w:trHeight w:val="360"/>
          <w:jc w:val="center"/>
        </w:trPr>
        <w:tc>
          <w:tcPr>
            <w:tcW w:w="3330" w:type="dxa"/>
            <w:tcBorders>
              <w:bottom w:val="nil"/>
            </w:tcBorders>
            <w:shd w:val="clear" w:color="auto" w:fill="auto"/>
            <w:vAlign w:val="center"/>
            <w:hideMark/>
          </w:tcPr>
          <w:p w14:paraId="168F24A3" w14:textId="5B95AC60" w:rsidR="00E1185E" w:rsidRPr="00416121" w:rsidRDefault="00E1185E" w:rsidP="006B6156">
            <w:pPr>
              <w:pStyle w:val="ExhibitText"/>
              <w:jc w:val="left"/>
              <w:rPr>
                <w:color w:val="000000"/>
                <w:sz w:val="18"/>
                <w:szCs w:val="18"/>
                <w:lang w:eastAsia="en-IN"/>
              </w:rPr>
            </w:pPr>
            <w:r w:rsidRPr="00416121">
              <w:rPr>
                <w:color w:val="000000"/>
                <w:sz w:val="18"/>
                <w:szCs w:val="18"/>
                <w:lang w:eastAsia="en-IN"/>
              </w:rPr>
              <w:t>S</w:t>
            </w:r>
            <w:r w:rsidR="00801E8F" w:rsidRPr="00416121">
              <w:rPr>
                <w:color w:val="000000"/>
                <w:sz w:val="18"/>
                <w:szCs w:val="18"/>
                <w:lang w:eastAsia="en-IN"/>
              </w:rPr>
              <w:t xml:space="preserve">elling, </w:t>
            </w:r>
            <w:r w:rsidRPr="00416121">
              <w:rPr>
                <w:color w:val="000000"/>
                <w:sz w:val="18"/>
                <w:szCs w:val="18"/>
                <w:lang w:eastAsia="en-IN"/>
              </w:rPr>
              <w:t>G</w:t>
            </w:r>
            <w:r w:rsidR="00801E8F" w:rsidRPr="00416121">
              <w:rPr>
                <w:color w:val="000000"/>
                <w:sz w:val="18"/>
                <w:szCs w:val="18"/>
                <w:lang w:eastAsia="en-IN"/>
              </w:rPr>
              <w:t xml:space="preserve">eneral </w:t>
            </w:r>
            <w:r w:rsidRPr="00416121">
              <w:rPr>
                <w:color w:val="000000"/>
                <w:sz w:val="18"/>
                <w:szCs w:val="18"/>
                <w:lang w:eastAsia="en-IN"/>
              </w:rPr>
              <w:t>&amp;</w:t>
            </w:r>
            <w:r w:rsidR="00801E8F" w:rsidRPr="00416121">
              <w:rPr>
                <w:color w:val="000000"/>
                <w:sz w:val="18"/>
                <w:szCs w:val="18"/>
                <w:lang w:eastAsia="en-IN"/>
              </w:rPr>
              <w:t xml:space="preserve"> </w:t>
            </w:r>
            <w:r w:rsidRPr="00416121">
              <w:rPr>
                <w:color w:val="000000"/>
                <w:sz w:val="18"/>
                <w:szCs w:val="18"/>
                <w:lang w:eastAsia="en-IN"/>
              </w:rPr>
              <w:t>A</w:t>
            </w:r>
            <w:r w:rsidR="00801E8F" w:rsidRPr="00416121">
              <w:rPr>
                <w:color w:val="000000"/>
                <w:sz w:val="18"/>
                <w:szCs w:val="18"/>
                <w:lang w:eastAsia="en-IN"/>
              </w:rPr>
              <w:t>dministrative (SGA)</w:t>
            </w:r>
            <w:r w:rsidRPr="00416121">
              <w:rPr>
                <w:color w:val="000000"/>
                <w:sz w:val="18"/>
                <w:szCs w:val="18"/>
                <w:lang w:eastAsia="en-IN"/>
              </w:rPr>
              <w:t xml:space="preserve"> Expense</w:t>
            </w:r>
            <w:r w:rsidR="00801E8F" w:rsidRPr="00416121">
              <w:rPr>
                <w:color w:val="000000"/>
                <w:sz w:val="18"/>
                <w:szCs w:val="18"/>
                <w:lang w:eastAsia="en-IN"/>
              </w:rPr>
              <w:t>s</w:t>
            </w:r>
          </w:p>
        </w:tc>
        <w:tc>
          <w:tcPr>
            <w:tcW w:w="1206" w:type="dxa"/>
            <w:tcBorders>
              <w:bottom w:val="nil"/>
            </w:tcBorders>
            <w:vAlign w:val="center"/>
          </w:tcPr>
          <w:p w14:paraId="50BA9D8E" w14:textId="0D872A16" w:rsidR="00E1185E" w:rsidRPr="00416121" w:rsidRDefault="00E1185E" w:rsidP="006B6156">
            <w:pPr>
              <w:pStyle w:val="ExhibitText"/>
              <w:jc w:val="right"/>
              <w:rPr>
                <w:color w:val="000000"/>
                <w:sz w:val="18"/>
                <w:szCs w:val="18"/>
                <w:lang w:eastAsia="en-IN"/>
              </w:rPr>
            </w:pPr>
            <w:r w:rsidRPr="00416121">
              <w:rPr>
                <w:color w:val="000000"/>
                <w:sz w:val="18"/>
                <w:szCs w:val="18"/>
                <w:lang w:eastAsia="en-IN"/>
              </w:rPr>
              <w:t>11,917</w:t>
            </w:r>
          </w:p>
        </w:tc>
        <w:tc>
          <w:tcPr>
            <w:tcW w:w="1206" w:type="dxa"/>
            <w:tcBorders>
              <w:bottom w:val="nil"/>
            </w:tcBorders>
            <w:vAlign w:val="center"/>
          </w:tcPr>
          <w:p w14:paraId="0C9A0ABD" w14:textId="4508CD3E" w:rsidR="00E1185E" w:rsidRPr="00416121" w:rsidRDefault="00E1185E" w:rsidP="006B6156">
            <w:pPr>
              <w:pStyle w:val="ExhibitText"/>
              <w:jc w:val="right"/>
              <w:rPr>
                <w:color w:val="000000"/>
                <w:sz w:val="18"/>
                <w:szCs w:val="18"/>
                <w:lang w:eastAsia="en-IN"/>
              </w:rPr>
            </w:pPr>
            <w:r w:rsidRPr="00416121">
              <w:rPr>
                <w:color w:val="000000"/>
                <w:sz w:val="18"/>
                <w:szCs w:val="18"/>
                <w:lang w:eastAsia="en-IN"/>
              </w:rPr>
              <w:t>13,721</w:t>
            </w:r>
          </w:p>
        </w:tc>
        <w:tc>
          <w:tcPr>
            <w:tcW w:w="1206" w:type="dxa"/>
            <w:tcBorders>
              <w:bottom w:val="nil"/>
            </w:tcBorders>
            <w:vAlign w:val="center"/>
          </w:tcPr>
          <w:p w14:paraId="70BBACAB" w14:textId="34FC7073" w:rsidR="00E1185E" w:rsidRPr="00416121" w:rsidRDefault="00E1185E" w:rsidP="006B6156">
            <w:pPr>
              <w:pStyle w:val="ExhibitText"/>
              <w:jc w:val="right"/>
              <w:rPr>
                <w:color w:val="000000"/>
                <w:sz w:val="18"/>
                <w:szCs w:val="18"/>
                <w:lang w:eastAsia="en-IN"/>
              </w:rPr>
            </w:pPr>
            <w:r w:rsidRPr="00416121">
              <w:rPr>
                <w:color w:val="000000"/>
                <w:sz w:val="18"/>
                <w:szCs w:val="18"/>
                <w:lang w:eastAsia="en-IN"/>
              </w:rPr>
              <w:t>15,309</w:t>
            </w:r>
          </w:p>
        </w:tc>
        <w:tc>
          <w:tcPr>
            <w:tcW w:w="1206" w:type="dxa"/>
            <w:tcBorders>
              <w:bottom w:val="nil"/>
            </w:tcBorders>
            <w:vAlign w:val="center"/>
          </w:tcPr>
          <w:p w14:paraId="6709E9E3" w14:textId="64357DB3" w:rsidR="00E1185E" w:rsidRPr="00416121" w:rsidRDefault="00E1185E" w:rsidP="006B6156">
            <w:pPr>
              <w:pStyle w:val="ExhibitText"/>
              <w:jc w:val="right"/>
              <w:rPr>
                <w:color w:val="000000"/>
                <w:sz w:val="18"/>
                <w:szCs w:val="18"/>
                <w:lang w:eastAsia="en-IN"/>
              </w:rPr>
            </w:pPr>
            <w:r w:rsidRPr="00416121">
              <w:rPr>
                <w:color w:val="000000"/>
                <w:sz w:val="18"/>
                <w:szCs w:val="18"/>
                <w:lang w:eastAsia="en-IN"/>
              </w:rPr>
              <w:t>18,217</w:t>
            </w:r>
          </w:p>
        </w:tc>
        <w:tc>
          <w:tcPr>
            <w:tcW w:w="1206" w:type="dxa"/>
            <w:tcBorders>
              <w:bottom w:val="nil"/>
            </w:tcBorders>
            <w:shd w:val="clear" w:color="auto" w:fill="auto"/>
            <w:vAlign w:val="center"/>
            <w:hideMark/>
          </w:tcPr>
          <w:p w14:paraId="0C7D5164" w14:textId="1C25891D" w:rsidR="00E1185E" w:rsidRPr="00416121" w:rsidRDefault="00E1185E" w:rsidP="006B6156">
            <w:pPr>
              <w:pStyle w:val="ExhibitText"/>
              <w:jc w:val="right"/>
              <w:rPr>
                <w:color w:val="000000"/>
                <w:sz w:val="18"/>
                <w:szCs w:val="18"/>
                <w:lang w:eastAsia="en-IN"/>
              </w:rPr>
            </w:pPr>
            <w:r w:rsidRPr="00416121">
              <w:rPr>
                <w:color w:val="000000"/>
                <w:sz w:val="18"/>
                <w:szCs w:val="18"/>
                <w:lang w:eastAsia="en-IN"/>
              </w:rPr>
              <w:t>18,181</w:t>
            </w:r>
          </w:p>
        </w:tc>
      </w:tr>
      <w:tr w:rsidR="00E1185E" w:rsidRPr="00416121" w14:paraId="4618A505" w14:textId="77777777" w:rsidTr="006B6156">
        <w:trPr>
          <w:trHeight w:val="360"/>
          <w:jc w:val="center"/>
        </w:trPr>
        <w:tc>
          <w:tcPr>
            <w:tcW w:w="3330" w:type="dxa"/>
            <w:tcBorders>
              <w:top w:val="nil"/>
              <w:bottom w:val="single" w:sz="4" w:space="0" w:color="auto"/>
            </w:tcBorders>
            <w:shd w:val="clear" w:color="auto" w:fill="auto"/>
            <w:vAlign w:val="center"/>
            <w:hideMark/>
          </w:tcPr>
          <w:p w14:paraId="2EDD78B0" w14:textId="6EDC97F1" w:rsidR="00E1185E" w:rsidRPr="00416121" w:rsidRDefault="00E1185E" w:rsidP="006B6156">
            <w:pPr>
              <w:pStyle w:val="ExhibitText"/>
              <w:jc w:val="left"/>
              <w:rPr>
                <w:b/>
                <w:color w:val="000000"/>
                <w:sz w:val="18"/>
                <w:szCs w:val="18"/>
                <w:lang w:eastAsia="en-IN"/>
              </w:rPr>
            </w:pPr>
            <w:r w:rsidRPr="00416121">
              <w:rPr>
                <w:b/>
                <w:color w:val="000000"/>
                <w:sz w:val="18"/>
                <w:szCs w:val="18"/>
                <w:lang w:eastAsia="en-IN"/>
              </w:rPr>
              <w:t>E</w:t>
            </w:r>
            <w:r w:rsidR="007B276A" w:rsidRPr="00416121">
              <w:rPr>
                <w:b/>
                <w:color w:val="000000"/>
                <w:sz w:val="18"/>
                <w:szCs w:val="18"/>
                <w:lang w:eastAsia="en-IN"/>
              </w:rPr>
              <w:t xml:space="preserve">arnings </w:t>
            </w:r>
            <w:r w:rsidRPr="00416121">
              <w:rPr>
                <w:b/>
                <w:color w:val="000000"/>
                <w:sz w:val="18"/>
                <w:szCs w:val="18"/>
                <w:lang w:eastAsia="en-IN"/>
              </w:rPr>
              <w:t>B</w:t>
            </w:r>
            <w:r w:rsidR="007B276A" w:rsidRPr="00416121">
              <w:rPr>
                <w:b/>
                <w:color w:val="000000"/>
                <w:sz w:val="18"/>
                <w:szCs w:val="18"/>
                <w:lang w:eastAsia="en-IN"/>
              </w:rPr>
              <w:t xml:space="preserve">efore </w:t>
            </w:r>
            <w:r w:rsidRPr="00416121">
              <w:rPr>
                <w:b/>
                <w:color w:val="000000"/>
                <w:sz w:val="18"/>
                <w:szCs w:val="18"/>
                <w:lang w:eastAsia="en-IN"/>
              </w:rPr>
              <w:t>I</w:t>
            </w:r>
            <w:r w:rsidR="007B276A" w:rsidRPr="00416121">
              <w:rPr>
                <w:b/>
                <w:color w:val="000000"/>
                <w:sz w:val="18"/>
                <w:szCs w:val="18"/>
                <w:lang w:eastAsia="en-IN"/>
              </w:rPr>
              <w:t xml:space="preserve">nterest &amp; </w:t>
            </w:r>
            <w:r w:rsidRPr="00416121">
              <w:rPr>
                <w:b/>
                <w:color w:val="000000"/>
                <w:sz w:val="18"/>
                <w:szCs w:val="18"/>
                <w:lang w:eastAsia="en-IN"/>
              </w:rPr>
              <w:t>T</w:t>
            </w:r>
            <w:r w:rsidR="007B276A" w:rsidRPr="00416121">
              <w:rPr>
                <w:b/>
                <w:color w:val="000000"/>
                <w:sz w:val="18"/>
                <w:szCs w:val="18"/>
                <w:lang w:eastAsia="en-IN"/>
              </w:rPr>
              <w:t>axes</w:t>
            </w:r>
          </w:p>
        </w:tc>
        <w:tc>
          <w:tcPr>
            <w:tcW w:w="1206" w:type="dxa"/>
            <w:tcBorders>
              <w:top w:val="nil"/>
              <w:bottom w:val="single" w:sz="4" w:space="0" w:color="auto"/>
            </w:tcBorders>
            <w:vAlign w:val="center"/>
          </w:tcPr>
          <w:p w14:paraId="547B1663" w14:textId="15663542" w:rsidR="00E1185E" w:rsidRPr="00416121" w:rsidRDefault="00E1185E" w:rsidP="006B6156">
            <w:pPr>
              <w:pStyle w:val="ExhibitText"/>
              <w:jc w:val="right"/>
              <w:rPr>
                <w:b/>
                <w:color w:val="000000"/>
                <w:sz w:val="18"/>
                <w:szCs w:val="18"/>
                <w:lang w:eastAsia="en-IN"/>
              </w:rPr>
            </w:pPr>
            <w:r w:rsidRPr="00416121">
              <w:rPr>
                <w:b/>
                <w:color w:val="000000"/>
                <w:sz w:val="18"/>
                <w:szCs w:val="18"/>
                <w:lang w:eastAsia="en-IN"/>
              </w:rPr>
              <w:t>29,217</w:t>
            </w:r>
          </w:p>
        </w:tc>
        <w:tc>
          <w:tcPr>
            <w:tcW w:w="1206" w:type="dxa"/>
            <w:tcBorders>
              <w:top w:val="nil"/>
              <w:bottom w:val="single" w:sz="4" w:space="0" w:color="auto"/>
            </w:tcBorders>
            <w:vAlign w:val="center"/>
          </w:tcPr>
          <w:p w14:paraId="2450B6F7" w14:textId="7DB69378" w:rsidR="00E1185E" w:rsidRPr="00416121" w:rsidRDefault="00E1185E" w:rsidP="006B6156">
            <w:pPr>
              <w:pStyle w:val="ExhibitText"/>
              <w:jc w:val="right"/>
              <w:rPr>
                <w:b/>
                <w:color w:val="000000"/>
                <w:sz w:val="18"/>
                <w:szCs w:val="18"/>
                <w:lang w:eastAsia="en-IN"/>
              </w:rPr>
            </w:pPr>
            <w:r w:rsidRPr="00416121">
              <w:rPr>
                <w:b/>
                <w:color w:val="000000"/>
                <w:sz w:val="18"/>
                <w:szCs w:val="18"/>
                <w:lang w:eastAsia="en-IN"/>
              </w:rPr>
              <w:t>31,549</w:t>
            </w:r>
          </w:p>
        </w:tc>
        <w:tc>
          <w:tcPr>
            <w:tcW w:w="1206" w:type="dxa"/>
            <w:tcBorders>
              <w:top w:val="nil"/>
              <w:bottom w:val="single" w:sz="4" w:space="0" w:color="auto"/>
            </w:tcBorders>
            <w:vAlign w:val="center"/>
          </w:tcPr>
          <w:p w14:paraId="148BA3B4" w14:textId="5372C025" w:rsidR="00E1185E" w:rsidRPr="00416121" w:rsidRDefault="00E1185E" w:rsidP="006B6156">
            <w:pPr>
              <w:pStyle w:val="ExhibitText"/>
              <w:jc w:val="right"/>
              <w:rPr>
                <w:b/>
                <w:color w:val="000000"/>
                <w:sz w:val="18"/>
                <w:szCs w:val="18"/>
                <w:lang w:eastAsia="en-IN"/>
              </w:rPr>
            </w:pPr>
            <w:r w:rsidRPr="00416121">
              <w:rPr>
                <w:b/>
                <w:color w:val="000000"/>
                <w:sz w:val="18"/>
                <w:szCs w:val="18"/>
                <w:lang w:eastAsia="en-IN"/>
              </w:rPr>
              <w:t>37635</w:t>
            </w:r>
          </w:p>
        </w:tc>
        <w:tc>
          <w:tcPr>
            <w:tcW w:w="1206" w:type="dxa"/>
            <w:tcBorders>
              <w:top w:val="nil"/>
              <w:bottom w:val="single" w:sz="4" w:space="0" w:color="auto"/>
            </w:tcBorders>
            <w:vAlign w:val="center"/>
          </w:tcPr>
          <w:p w14:paraId="7F6732ED" w14:textId="732417F6" w:rsidR="00E1185E" w:rsidRPr="00416121" w:rsidRDefault="00E1185E" w:rsidP="006B6156">
            <w:pPr>
              <w:pStyle w:val="ExhibitText"/>
              <w:jc w:val="right"/>
              <w:rPr>
                <w:b/>
                <w:color w:val="000000"/>
                <w:sz w:val="18"/>
                <w:szCs w:val="18"/>
                <w:lang w:eastAsia="en-IN"/>
              </w:rPr>
            </w:pPr>
            <w:r w:rsidRPr="00416121">
              <w:rPr>
                <w:b/>
                <w:color w:val="000000"/>
                <w:sz w:val="18"/>
                <w:szCs w:val="18"/>
                <w:lang w:eastAsia="en-IN"/>
              </w:rPr>
              <w:t>35572</w:t>
            </w:r>
          </w:p>
        </w:tc>
        <w:tc>
          <w:tcPr>
            <w:tcW w:w="1206" w:type="dxa"/>
            <w:tcBorders>
              <w:top w:val="nil"/>
              <w:bottom w:val="single" w:sz="4" w:space="0" w:color="auto"/>
            </w:tcBorders>
            <w:shd w:val="clear" w:color="auto" w:fill="auto"/>
            <w:vAlign w:val="center"/>
            <w:hideMark/>
          </w:tcPr>
          <w:p w14:paraId="016BD47A" w14:textId="025E86D4" w:rsidR="00E1185E" w:rsidRPr="00416121" w:rsidRDefault="00E1185E" w:rsidP="006B6156">
            <w:pPr>
              <w:pStyle w:val="ExhibitText"/>
              <w:jc w:val="right"/>
              <w:rPr>
                <w:b/>
                <w:color w:val="000000"/>
                <w:sz w:val="18"/>
                <w:szCs w:val="18"/>
                <w:lang w:eastAsia="en-IN"/>
              </w:rPr>
            </w:pPr>
            <w:r w:rsidRPr="00416121">
              <w:rPr>
                <w:b/>
                <w:color w:val="000000"/>
                <w:sz w:val="18"/>
                <w:szCs w:val="18"/>
                <w:lang w:eastAsia="en-IN"/>
              </w:rPr>
              <w:t>25,576</w:t>
            </w:r>
          </w:p>
        </w:tc>
      </w:tr>
      <w:tr w:rsidR="00E1185E" w:rsidRPr="00416121" w14:paraId="098489B2" w14:textId="77777777" w:rsidTr="006B6156">
        <w:trPr>
          <w:trHeight w:val="360"/>
          <w:jc w:val="center"/>
        </w:trPr>
        <w:tc>
          <w:tcPr>
            <w:tcW w:w="3330" w:type="dxa"/>
            <w:tcBorders>
              <w:top w:val="single" w:sz="4" w:space="0" w:color="auto"/>
            </w:tcBorders>
            <w:shd w:val="clear" w:color="auto" w:fill="auto"/>
            <w:vAlign w:val="center"/>
            <w:hideMark/>
          </w:tcPr>
          <w:p w14:paraId="3A7F864F" w14:textId="77777777" w:rsidR="00E1185E" w:rsidRPr="00416121" w:rsidRDefault="00E1185E" w:rsidP="006B6156">
            <w:pPr>
              <w:pStyle w:val="ExhibitText"/>
              <w:jc w:val="left"/>
              <w:rPr>
                <w:color w:val="000000"/>
                <w:sz w:val="18"/>
                <w:szCs w:val="18"/>
                <w:lang w:eastAsia="en-IN"/>
              </w:rPr>
            </w:pPr>
            <w:r w:rsidRPr="00416121">
              <w:rPr>
                <w:color w:val="000000"/>
                <w:sz w:val="18"/>
                <w:szCs w:val="18"/>
                <w:lang w:eastAsia="en-IN"/>
              </w:rPr>
              <w:t>Unusual Expense</w:t>
            </w:r>
          </w:p>
        </w:tc>
        <w:tc>
          <w:tcPr>
            <w:tcW w:w="1206" w:type="dxa"/>
            <w:tcBorders>
              <w:top w:val="single" w:sz="4" w:space="0" w:color="auto"/>
            </w:tcBorders>
            <w:vAlign w:val="center"/>
          </w:tcPr>
          <w:p w14:paraId="2FD6F556" w14:textId="5A0D2332" w:rsidR="00E1185E" w:rsidRPr="00416121" w:rsidRDefault="007B276A" w:rsidP="006B6156">
            <w:pPr>
              <w:pStyle w:val="ExhibitText"/>
              <w:jc w:val="right"/>
              <w:rPr>
                <w:color w:val="000000"/>
                <w:sz w:val="18"/>
                <w:szCs w:val="18"/>
                <w:lang w:eastAsia="en-IN"/>
              </w:rPr>
            </w:pPr>
            <w:r w:rsidRPr="00416121">
              <w:rPr>
                <w:color w:val="000000"/>
                <w:sz w:val="18"/>
                <w:szCs w:val="18"/>
                <w:lang w:eastAsia="en-IN"/>
              </w:rPr>
              <w:t>−</w:t>
            </w:r>
            <w:r w:rsidR="00E1185E" w:rsidRPr="00416121">
              <w:rPr>
                <w:color w:val="000000"/>
                <w:sz w:val="18"/>
                <w:szCs w:val="18"/>
                <w:lang w:eastAsia="en-IN"/>
              </w:rPr>
              <w:t>2,380</w:t>
            </w:r>
          </w:p>
        </w:tc>
        <w:tc>
          <w:tcPr>
            <w:tcW w:w="1206" w:type="dxa"/>
            <w:tcBorders>
              <w:top w:val="single" w:sz="4" w:space="0" w:color="auto"/>
            </w:tcBorders>
            <w:vAlign w:val="center"/>
          </w:tcPr>
          <w:p w14:paraId="45AE4E84" w14:textId="60445B87" w:rsidR="00E1185E" w:rsidRPr="00416121" w:rsidRDefault="00E1185E" w:rsidP="006B6156">
            <w:pPr>
              <w:pStyle w:val="ExhibitText"/>
              <w:jc w:val="right"/>
              <w:rPr>
                <w:color w:val="000000"/>
                <w:sz w:val="18"/>
                <w:szCs w:val="18"/>
                <w:lang w:eastAsia="en-IN"/>
              </w:rPr>
            </w:pPr>
            <w:r w:rsidRPr="00416121">
              <w:rPr>
                <w:color w:val="000000"/>
                <w:sz w:val="18"/>
                <w:szCs w:val="18"/>
                <w:lang w:eastAsia="en-IN"/>
              </w:rPr>
              <w:t>191</w:t>
            </w:r>
          </w:p>
        </w:tc>
        <w:tc>
          <w:tcPr>
            <w:tcW w:w="1206" w:type="dxa"/>
            <w:tcBorders>
              <w:top w:val="single" w:sz="4" w:space="0" w:color="auto"/>
            </w:tcBorders>
            <w:vAlign w:val="center"/>
          </w:tcPr>
          <w:p w14:paraId="314A96A2" w14:textId="450C14EC" w:rsidR="00E1185E" w:rsidRPr="00416121" w:rsidRDefault="0077375C" w:rsidP="006B6156">
            <w:pPr>
              <w:pStyle w:val="ExhibitText"/>
              <w:jc w:val="right"/>
              <w:rPr>
                <w:color w:val="000000"/>
                <w:sz w:val="18"/>
                <w:szCs w:val="18"/>
                <w:lang w:eastAsia="en-IN"/>
              </w:rPr>
            </w:pPr>
            <w:r w:rsidRPr="00416121">
              <w:rPr>
                <w:color w:val="000000"/>
                <w:sz w:val="18"/>
                <w:szCs w:val="18"/>
                <w:lang w:eastAsia="en-IN"/>
              </w:rPr>
              <w:t>−</w:t>
            </w:r>
            <w:r w:rsidR="00E1185E" w:rsidRPr="00416121">
              <w:rPr>
                <w:color w:val="000000"/>
                <w:sz w:val="18"/>
                <w:szCs w:val="18"/>
                <w:lang w:eastAsia="en-IN"/>
              </w:rPr>
              <w:t>948</w:t>
            </w:r>
          </w:p>
        </w:tc>
        <w:tc>
          <w:tcPr>
            <w:tcW w:w="1206" w:type="dxa"/>
            <w:tcBorders>
              <w:top w:val="single" w:sz="4" w:space="0" w:color="auto"/>
            </w:tcBorders>
            <w:vAlign w:val="center"/>
          </w:tcPr>
          <w:p w14:paraId="34E78CBC" w14:textId="7B8B80D1" w:rsidR="00E1185E" w:rsidRPr="00416121" w:rsidRDefault="0077375C" w:rsidP="006B6156">
            <w:pPr>
              <w:pStyle w:val="ExhibitText"/>
              <w:jc w:val="right"/>
              <w:rPr>
                <w:color w:val="000000"/>
                <w:sz w:val="18"/>
                <w:szCs w:val="18"/>
                <w:lang w:eastAsia="en-IN"/>
              </w:rPr>
            </w:pPr>
            <w:r w:rsidRPr="00416121">
              <w:rPr>
                <w:color w:val="000000"/>
                <w:sz w:val="18"/>
                <w:szCs w:val="18"/>
                <w:lang w:eastAsia="en-IN"/>
              </w:rPr>
              <w:t>−</w:t>
            </w:r>
            <w:r w:rsidR="00E1185E" w:rsidRPr="00416121">
              <w:rPr>
                <w:color w:val="000000"/>
                <w:sz w:val="18"/>
                <w:szCs w:val="18"/>
                <w:lang w:eastAsia="en-IN"/>
              </w:rPr>
              <w:t>669</w:t>
            </w:r>
          </w:p>
        </w:tc>
        <w:tc>
          <w:tcPr>
            <w:tcW w:w="1206" w:type="dxa"/>
            <w:tcBorders>
              <w:top w:val="single" w:sz="4" w:space="0" w:color="auto"/>
            </w:tcBorders>
            <w:shd w:val="clear" w:color="auto" w:fill="auto"/>
            <w:vAlign w:val="center"/>
            <w:hideMark/>
          </w:tcPr>
          <w:p w14:paraId="49506834" w14:textId="31D9BF06" w:rsidR="00E1185E" w:rsidRPr="00416121" w:rsidRDefault="0077375C" w:rsidP="006B6156">
            <w:pPr>
              <w:pStyle w:val="ExhibitText"/>
              <w:jc w:val="right"/>
              <w:rPr>
                <w:color w:val="000000"/>
                <w:sz w:val="18"/>
                <w:szCs w:val="18"/>
                <w:lang w:eastAsia="en-IN"/>
              </w:rPr>
            </w:pPr>
            <w:r w:rsidRPr="00416121">
              <w:rPr>
                <w:color w:val="000000"/>
                <w:sz w:val="18"/>
                <w:szCs w:val="18"/>
                <w:lang w:eastAsia="en-IN"/>
              </w:rPr>
              <w:t>−</w:t>
            </w:r>
            <w:r w:rsidR="00E1185E" w:rsidRPr="00416121">
              <w:rPr>
                <w:color w:val="000000"/>
                <w:sz w:val="18"/>
                <w:szCs w:val="18"/>
                <w:lang w:eastAsia="en-IN"/>
              </w:rPr>
              <w:t>718</w:t>
            </w:r>
          </w:p>
        </w:tc>
      </w:tr>
      <w:tr w:rsidR="00E1185E" w:rsidRPr="00416121" w14:paraId="62AE0EA7" w14:textId="77777777" w:rsidTr="006B6156">
        <w:trPr>
          <w:trHeight w:val="360"/>
          <w:jc w:val="center"/>
        </w:trPr>
        <w:tc>
          <w:tcPr>
            <w:tcW w:w="3330" w:type="dxa"/>
            <w:shd w:val="clear" w:color="auto" w:fill="auto"/>
            <w:vAlign w:val="center"/>
            <w:hideMark/>
          </w:tcPr>
          <w:p w14:paraId="3CA337A6" w14:textId="09820EA4" w:rsidR="00E1185E" w:rsidRPr="00416121" w:rsidRDefault="00E1185E" w:rsidP="006B6156">
            <w:pPr>
              <w:pStyle w:val="ExhibitText"/>
              <w:jc w:val="left"/>
              <w:rPr>
                <w:color w:val="000000"/>
                <w:sz w:val="18"/>
                <w:szCs w:val="18"/>
                <w:lang w:eastAsia="en-IN"/>
              </w:rPr>
            </w:pPr>
            <w:r w:rsidRPr="00416121">
              <w:rPr>
                <w:color w:val="000000"/>
                <w:sz w:val="18"/>
                <w:szCs w:val="18"/>
                <w:lang w:eastAsia="en-IN"/>
              </w:rPr>
              <w:t>Equity in Affiliates (Pre-</w:t>
            </w:r>
            <w:r w:rsidR="007B276A" w:rsidRPr="00416121">
              <w:rPr>
                <w:color w:val="000000"/>
                <w:sz w:val="18"/>
                <w:szCs w:val="18"/>
                <w:lang w:eastAsia="en-IN"/>
              </w:rPr>
              <w:t>T</w:t>
            </w:r>
            <w:r w:rsidRPr="00416121">
              <w:rPr>
                <w:color w:val="000000"/>
                <w:sz w:val="18"/>
                <w:szCs w:val="18"/>
                <w:lang w:eastAsia="en-IN"/>
              </w:rPr>
              <w:t>ax)</w:t>
            </w:r>
          </w:p>
        </w:tc>
        <w:tc>
          <w:tcPr>
            <w:tcW w:w="1206" w:type="dxa"/>
            <w:vAlign w:val="center"/>
          </w:tcPr>
          <w:p w14:paraId="4EB27041" w14:textId="5D786BAA" w:rsidR="00E1185E" w:rsidRPr="00416121" w:rsidRDefault="006A48D0" w:rsidP="006B6156">
            <w:pPr>
              <w:pStyle w:val="ExhibitText"/>
              <w:jc w:val="right"/>
              <w:rPr>
                <w:color w:val="000000"/>
                <w:sz w:val="18"/>
                <w:szCs w:val="18"/>
                <w:lang w:eastAsia="en-IN"/>
              </w:rPr>
            </w:pPr>
            <w:r w:rsidRPr="00416121">
              <w:rPr>
                <w:color w:val="000000"/>
                <w:sz w:val="18"/>
                <w:szCs w:val="18"/>
                <w:lang w:eastAsia="en-IN"/>
              </w:rPr>
              <w:t>—</w:t>
            </w:r>
          </w:p>
        </w:tc>
        <w:tc>
          <w:tcPr>
            <w:tcW w:w="1206" w:type="dxa"/>
            <w:vAlign w:val="center"/>
          </w:tcPr>
          <w:p w14:paraId="63323160" w14:textId="6FC73A89" w:rsidR="00E1185E" w:rsidRPr="00416121" w:rsidRDefault="006A48D0" w:rsidP="006B6156">
            <w:pPr>
              <w:pStyle w:val="ExhibitText"/>
              <w:jc w:val="right"/>
              <w:rPr>
                <w:color w:val="000000"/>
                <w:sz w:val="18"/>
                <w:szCs w:val="18"/>
                <w:lang w:eastAsia="en-IN"/>
              </w:rPr>
            </w:pPr>
            <w:r w:rsidRPr="00416121">
              <w:rPr>
                <w:color w:val="000000"/>
                <w:sz w:val="18"/>
                <w:szCs w:val="18"/>
                <w:lang w:eastAsia="en-IN"/>
              </w:rPr>
              <w:t>—</w:t>
            </w:r>
          </w:p>
        </w:tc>
        <w:tc>
          <w:tcPr>
            <w:tcW w:w="1206" w:type="dxa"/>
            <w:vAlign w:val="center"/>
          </w:tcPr>
          <w:p w14:paraId="27199057" w14:textId="491D9B8C" w:rsidR="00E1185E" w:rsidRPr="00416121" w:rsidRDefault="0077375C" w:rsidP="006B6156">
            <w:pPr>
              <w:pStyle w:val="ExhibitText"/>
              <w:jc w:val="right"/>
              <w:rPr>
                <w:color w:val="000000"/>
                <w:sz w:val="18"/>
                <w:szCs w:val="18"/>
                <w:lang w:eastAsia="en-IN"/>
              </w:rPr>
            </w:pPr>
            <w:r w:rsidRPr="00416121">
              <w:rPr>
                <w:color w:val="000000"/>
                <w:sz w:val="18"/>
                <w:szCs w:val="18"/>
                <w:lang w:eastAsia="en-IN"/>
              </w:rPr>
              <w:t>−</w:t>
            </w:r>
            <w:r w:rsidR="00E1185E" w:rsidRPr="00416121">
              <w:rPr>
                <w:color w:val="000000"/>
                <w:sz w:val="18"/>
                <w:szCs w:val="18"/>
                <w:lang w:eastAsia="en-IN"/>
              </w:rPr>
              <w:t>122</w:t>
            </w:r>
          </w:p>
        </w:tc>
        <w:tc>
          <w:tcPr>
            <w:tcW w:w="1206" w:type="dxa"/>
            <w:vAlign w:val="center"/>
          </w:tcPr>
          <w:p w14:paraId="7BCA7B24" w14:textId="17A43345" w:rsidR="00E1185E" w:rsidRPr="00416121" w:rsidRDefault="00E1185E" w:rsidP="006B6156">
            <w:pPr>
              <w:pStyle w:val="ExhibitText"/>
              <w:jc w:val="right"/>
              <w:rPr>
                <w:color w:val="000000"/>
                <w:sz w:val="18"/>
                <w:szCs w:val="18"/>
                <w:lang w:eastAsia="en-IN"/>
              </w:rPr>
            </w:pPr>
            <w:r w:rsidRPr="00416121">
              <w:rPr>
                <w:color w:val="000000"/>
                <w:sz w:val="18"/>
                <w:szCs w:val="18"/>
                <w:lang w:eastAsia="en-IN"/>
              </w:rPr>
              <w:t>923</w:t>
            </w:r>
          </w:p>
        </w:tc>
        <w:tc>
          <w:tcPr>
            <w:tcW w:w="1206" w:type="dxa"/>
            <w:shd w:val="clear" w:color="auto" w:fill="auto"/>
            <w:vAlign w:val="center"/>
            <w:hideMark/>
          </w:tcPr>
          <w:p w14:paraId="5C9AA7CE" w14:textId="320EC5E4" w:rsidR="00E1185E" w:rsidRPr="00416121" w:rsidRDefault="00E1185E" w:rsidP="006B6156">
            <w:pPr>
              <w:pStyle w:val="ExhibitText"/>
              <w:jc w:val="right"/>
              <w:rPr>
                <w:color w:val="000000"/>
                <w:sz w:val="18"/>
                <w:szCs w:val="18"/>
                <w:lang w:eastAsia="en-IN"/>
              </w:rPr>
            </w:pPr>
            <w:r w:rsidRPr="00416121">
              <w:rPr>
                <w:color w:val="000000"/>
                <w:sz w:val="18"/>
                <w:szCs w:val="18"/>
                <w:lang w:eastAsia="en-IN"/>
              </w:rPr>
              <w:t>2,938</w:t>
            </w:r>
          </w:p>
        </w:tc>
      </w:tr>
      <w:tr w:rsidR="00E1185E" w:rsidRPr="00416121" w14:paraId="689550DF" w14:textId="77777777" w:rsidTr="006B6156">
        <w:trPr>
          <w:trHeight w:val="360"/>
          <w:jc w:val="center"/>
        </w:trPr>
        <w:tc>
          <w:tcPr>
            <w:tcW w:w="3330" w:type="dxa"/>
            <w:tcBorders>
              <w:bottom w:val="nil"/>
            </w:tcBorders>
            <w:shd w:val="clear" w:color="auto" w:fill="auto"/>
            <w:vAlign w:val="center"/>
            <w:hideMark/>
          </w:tcPr>
          <w:p w14:paraId="4A750126" w14:textId="77777777" w:rsidR="00E1185E" w:rsidRPr="00416121" w:rsidRDefault="00E1185E" w:rsidP="006B6156">
            <w:pPr>
              <w:pStyle w:val="ExhibitText"/>
              <w:jc w:val="left"/>
              <w:rPr>
                <w:color w:val="000000"/>
                <w:sz w:val="18"/>
                <w:szCs w:val="18"/>
                <w:lang w:eastAsia="en-IN"/>
              </w:rPr>
            </w:pPr>
            <w:r w:rsidRPr="00416121">
              <w:rPr>
                <w:color w:val="000000"/>
                <w:sz w:val="18"/>
                <w:szCs w:val="18"/>
                <w:lang w:eastAsia="en-IN"/>
              </w:rPr>
              <w:t>Interest Expense</w:t>
            </w:r>
          </w:p>
        </w:tc>
        <w:tc>
          <w:tcPr>
            <w:tcW w:w="1206" w:type="dxa"/>
            <w:tcBorders>
              <w:bottom w:val="nil"/>
            </w:tcBorders>
            <w:vAlign w:val="center"/>
          </w:tcPr>
          <w:p w14:paraId="6552EA1E" w14:textId="20A331E5" w:rsidR="00E1185E" w:rsidRPr="00416121" w:rsidRDefault="00E1185E" w:rsidP="006B6156">
            <w:pPr>
              <w:pStyle w:val="ExhibitText"/>
              <w:jc w:val="right"/>
              <w:rPr>
                <w:color w:val="000000"/>
                <w:sz w:val="18"/>
                <w:szCs w:val="18"/>
                <w:lang w:eastAsia="en-IN"/>
              </w:rPr>
            </w:pPr>
            <w:r w:rsidRPr="00416121">
              <w:rPr>
                <w:color w:val="000000"/>
                <w:sz w:val="18"/>
                <w:szCs w:val="18"/>
                <w:lang w:eastAsia="en-IN"/>
              </w:rPr>
              <w:t>2,801</w:t>
            </w:r>
          </w:p>
        </w:tc>
        <w:tc>
          <w:tcPr>
            <w:tcW w:w="1206" w:type="dxa"/>
            <w:tcBorders>
              <w:bottom w:val="nil"/>
            </w:tcBorders>
            <w:vAlign w:val="center"/>
          </w:tcPr>
          <w:p w14:paraId="02AF336F" w14:textId="52025B64" w:rsidR="00E1185E" w:rsidRPr="00416121" w:rsidRDefault="00E1185E" w:rsidP="006B6156">
            <w:pPr>
              <w:pStyle w:val="ExhibitText"/>
              <w:jc w:val="right"/>
              <w:rPr>
                <w:color w:val="000000"/>
                <w:sz w:val="18"/>
                <w:szCs w:val="18"/>
                <w:lang w:eastAsia="en-IN"/>
              </w:rPr>
            </w:pPr>
            <w:r w:rsidRPr="00416121">
              <w:rPr>
                <w:color w:val="000000"/>
                <w:sz w:val="18"/>
                <w:szCs w:val="18"/>
                <w:lang w:eastAsia="en-IN"/>
              </w:rPr>
              <w:t>3,253</w:t>
            </w:r>
          </w:p>
        </w:tc>
        <w:tc>
          <w:tcPr>
            <w:tcW w:w="1206" w:type="dxa"/>
            <w:tcBorders>
              <w:bottom w:val="nil"/>
            </w:tcBorders>
            <w:vAlign w:val="center"/>
          </w:tcPr>
          <w:p w14:paraId="493E2044" w14:textId="7A45A8E2" w:rsidR="00E1185E" w:rsidRPr="00416121" w:rsidRDefault="00E1185E" w:rsidP="006B6156">
            <w:pPr>
              <w:pStyle w:val="ExhibitText"/>
              <w:jc w:val="right"/>
              <w:rPr>
                <w:color w:val="000000"/>
                <w:sz w:val="18"/>
                <w:szCs w:val="18"/>
                <w:lang w:eastAsia="en-IN"/>
              </w:rPr>
            </w:pPr>
            <w:r w:rsidRPr="00416121">
              <w:rPr>
                <w:color w:val="000000"/>
                <w:sz w:val="18"/>
                <w:szCs w:val="18"/>
                <w:lang w:eastAsia="en-IN"/>
              </w:rPr>
              <w:t>3,515</w:t>
            </w:r>
          </w:p>
        </w:tc>
        <w:tc>
          <w:tcPr>
            <w:tcW w:w="1206" w:type="dxa"/>
            <w:tcBorders>
              <w:bottom w:val="nil"/>
            </w:tcBorders>
            <w:vAlign w:val="center"/>
          </w:tcPr>
          <w:p w14:paraId="1C99E1D8" w14:textId="114F9E5C" w:rsidR="00E1185E" w:rsidRPr="00416121" w:rsidRDefault="00E1185E" w:rsidP="006B6156">
            <w:pPr>
              <w:pStyle w:val="ExhibitText"/>
              <w:jc w:val="right"/>
              <w:rPr>
                <w:color w:val="000000"/>
                <w:sz w:val="18"/>
                <w:szCs w:val="18"/>
                <w:lang w:eastAsia="en-IN"/>
              </w:rPr>
            </w:pPr>
            <w:r w:rsidRPr="00416121">
              <w:rPr>
                <w:color w:val="000000"/>
                <w:sz w:val="18"/>
                <w:szCs w:val="18"/>
                <w:lang w:eastAsia="en-IN"/>
              </w:rPr>
              <w:t>3,497</w:t>
            </w:r>
          </w:p>
        </w:tc>
        <w:tc>
          <w:tcPr>
            <w:tcW w:w="1206" w:type="dxa"/>
            <w:tcBorders>
              <w:bottom w:val="nil"/>
            </w:tcBorders>
            <w:shd w:val="clear" w:color="auto" w:fill="auto"/>
            <w:vAlign w:val="center"/>
            <w:hideMark/>
          </w:tcPr>
          <w:p w14:paraId="05B9D88A" w14:textId="21E30094" w:rsidR="00E1185E" w:rsidRPr="00416121" w:rsidRDefault="00E1185E" w:rsidP="006B6156">
            <w:pPr>
              <w:pStyle w:val="ExhibitText"/>
              <w:jc w:val="right"/>
              <w:rPr>
                <w:color w:val="000000"/>
                <w:sz w:val="18"/>
                <w:szCs w:val="18"/>
                <w:lang w:eastAsia="en-IN"/>
              </w:rPr>
            </w:pPr>
            <w:r w:rsidRPr="00416121">
              <w:rPr>
                <w:color w:val="000000"/>
                <w:sz w:val="18"/>
                <w:szCs w:val="18"/>
                <w:lang w:eastAsia="en-IN"/>
              </w:rPr>
              <w:t>5,394</w:t>
            </w:r>
          </w:p>
        </w:tc>
      </w:tr>
      <w:tr w:rsidR="00E1185E" w:rsidRPr="00416121" w14:paraId="51F3A77D" w14:textId="77777777" w:rsidTr="006B6156">
        <w:trPr>
          <w:trHeight w:val="360"/>
          <w:jc w:val="center"/>
        </w:trPr>
        <w:tc>
          <w:tcPr>
            <w:tcW w:w="3330" w:type="dxa"/>
            <w:tcBorders>
              <w:top w:val="nil"/>
              <w:bottom w:val="single" w:sz="4" w:space="0" w:color="auto"/>
            </w:tcBorders>
            <w:shd w:val="clear" w:color="auto" w:fill="auto"/>
            <w:vAlign w:val="center"/>
            <w:hideMark/>
          </w:tcPr>
          <w:p w14:paraId="434C6F27" w14:textId="0FE5146B" w:rsidR="00E1185E" w:rsidRPr="00416121" w:rsidRDefault="00E1185E" w:rsidP="006B6156">
            <w:pPr>
              <w:pStyle w:val="ExhibitText"/>
              <w:jc w:val="left"/>
              <w:rPr>
                <w:b/>
                <w:color w:val="000000"/>
                <w:sz w:val="18"/>
                <w:szCs w:val="18"/>
                <w:lang w:eastAsia="en-IN"/>
              </w:rPr>
            </w:pPr>
            <w:r w:rsidRPr="00416121">
              <w:rPr>
                <w:b/>
                <w:color w:val="000000"/>
                <w:sz w:val="18"/>
                <w:szCs w:val="18"/>
                <w:lang w:eastAsia="en-IN"/>
              </w:rPr>
              <w:t>Pre-</w:t>
            </w:r>
            <w:r w:rsidR="007B276A" w:rsidRPr="00416121">
              <w:rPr>
                <w:b/>
                <w:color w:val="000000"/>
                <w:sz w:val="18"/>
                <w:szCs w:val="18"/>
                <w:lang w:eastAsia="en-IN"/>
              </w:rPr>
              <w:t>T</w:t>
            </w:r>
            <w:r w:rsidRPr="00416121">
              <w:rPr>
                <w:b/>
                <w:color w:val="000000"/>
                <w:sz w:val="18"/>
                <w:szCs w:val="18"/>
                <w:lang w:eastAsia="en-IN"/>
              </w:rPr>
              <w:t>ax Income</w:t>
            </w:r>
          </w:p>
        </w:tc>
        <w:tc>
          <w:tcPr>
            <w:tcW w:w="1206" w:type="dxa"/>
            <w:tcBorders>
              <w:top w:val="nil"/>
              <w:bottom w:val="single" w:sz="4" w:space="0" w:color="auto"/>
            </w:tcBorders>
            <w:vAlign w:val="center"/>
          </w:tcPr>
          <w:p w14:paraId="62FC614E" w14:textId="2FBDE886" w:rsidR="00E1185E" w:rsidRPr="00416121" w:rsidRDefault="00E1185E" w:rsidP="006B6156">
            <w:pPr>
              <w:pStyle w:val="ExhibitText"/>
              <w:jc w:val="right"/>
              <w:rPr>
                <w:b/>
                <w:color w:val="000000"/>
                <w:sz w:val="18"/>
                <w:szCs w:val="18"/>
                <w:lang w:eastAsia="en-IN"/>
              </w:rPr>
            </w:pPr>
            <w:r w:rsidRPr="00416121">
              <w:rPr>
                <w:b/>
                <w:color w:val="000000"/>
                <w:sz w:val="18"/>
                <w:szCs w:val="18"/>
                <w:lang w:eastAsia="en-IN"/>
              </w:rPr>
              <w:t>28,796</w:t>
            </w:r>
          </w:p>
        </w:tc>
        <w:tc>
          <w:tcPr>
            <w:tcW w:w="1206" w:type="dxa"/>
            <w:tcBorders>
              <w:top w:val="nil"/>
              <w:bottom w:val="single" w:sz="4" w:space="0" w:color="auto"/>
            </w:tcBorders>
            <w:vAlign w:val="center"/>
          </w:tcPr>
          <w:p w14:paraId="52A9FEFF" w14:textId="3F78F9B3" w:rsidR="00E1185E" w:rsidRPr="00416121" w:rsidRDefault="00E1185E" w:rsidP="006B6156">
            <w:pPr>
              <w:pStyle w:val="ExhibitText"/>
              <w:jc w:val="right"/>
              <w:rPr>
                <w:b/>
                <w:color w:val="000000"/>
                <w:sz w:val="18"/>
                <w:szCs w:val="18"/>
                <w:lang w:eastAsia="en-IN"/>
              </w:rPr>
            </w:pPr>
            <w:r w:rsidRPr="00416121">
              <w:rPr>
                <w:b/>
                <w:color w:val="000000"/>
                <w:sz w:val="18"/>
                <w:szCs w:val="18"/>
                <w:lang w:eastAsia="en-IN"/>
              </w:rPr>
              <w:t>28,105</w:t>
            </w:r>
          </w:p>
        </w:tc>
        <w:tc>
          <w:tcPr>
            <w:tcW w:w="1206" w:type="dxa"/>
            <w:tcBorders>
              <w:top w:val="nil"/>
              <w:bottom w:val="single" w:sz="4" w:space="0" w:color="auto"/>
            </w:tcBorders>
            <w:vAlign w:val="center"/>
          </w:tcPr>
          <w:p w14:paraId="1B7ABE28" w14:textId="5D6CCCC0" w:rsidR="00E1185E" w:rsidRPr="00416121" w:rsidRDefault="00E1185E" w:rsidP="006B6156">
            <w:pPr>
              <w:pStyle w:val="ExhibitText"/>
              <w:jc w:val="right"/>
              <w:rPr>
                <w:b/>
                <w:color w:val="000000"/>
                <w:sz w:val="18"/>
                <w:szCs w:val="18"/>
                <w:lang w:eastAsia="en-IN"/>
              </w:rPr>
            </w:pPr>
            <w:r w:rsidRPr="00416121">
              <w:rPr>
                <w:b/>
                <w:color w:val="000000"/>
                <w:sz w:val="18"/>
                <w:szCs w:val="18"/>
                <w:lang w:eastAsia="en-IN"/>
              </w:rPr>
              <w:t>34,946</w:t>
            </w:r>
          </w:p>
        </w:tc>
        <w:tc>
          <w:tcPr>
            <w:tcW w:w="1206" w:type="dxa"/>
            <w:tcBorders>
              <w:top w:val="nil"/>
              <w:bottom w:val="single" w:sz="4" w:space="0" w:color="auto"/>
            </w:tcBorders>
            <w:vAlign w:val="center"/>
          </w:tcPr>
          <w:p w14:paraId="1B667BAE" w14:textId="367ADD0E" w:rsidR="00E1185E" w:rsidRPr="00416121" w:rsidRDefault="00E1185E" w:rsidP="006B6156">
            <w:pPr>
              <w:pStyle w:val="ExhibitText"/>
              <w:jc w:val="right"/>
              <w:rPr>
                <w:b/>
                <w:color w:val="000000"/>
                <w:sz w:val="18"/>
                <w:szCs w:val="18"/>
                <w:lang w:eastAsia="en-IN"/>
              </w:rPr>
            </w:pPr>
            <w:r w:rsidRPr="00416121">
              <w:rPr>
                <w:b/>
                <w:color w:val="000000"/>
                <w:sz w:val="18"/>
                <w:szCs w:val="18"/>
                <w:lang w:eastAsia="en-IN"/>
              </w:rPr>
              <w:t>33,667</w:t>
            </w:r>
          </w:p>
        </w:tc>
        <w:tc>
          <w:tcPr>
            <w:tcW w:w="1206" w:type="dxa"/>
            <w:tcBorders>
              <w:top w:val="nil"/>
              <w:bottom w:val="single" w:sz="4" w:space="0" w:color="auto"/>
            </w:tcBorders>
            <w:shd w:val="clear" w:color="auto" w:fill="auto"/>
            <w:vAlign w:val="center"/>
            <w:hideMark/>
          </w:tcPr>
          <w:p w14:paraId="6650F379" w14:textId="5679D829" w:rsidR="00E1185E" w:rsidRPr="00416121" w:rsidRDefault="00E1185E" w:rsidP="006B6156">
            <w:pPr>
              <w:pStyle w:val="ExhibitText"/>
              <w:jc w:val="right"/>
              <w:rPr>
                <w:b/>
                <w:color w:val="000000"/>
                <w:sz w:val="18"/>
                <w:szCs w:val="18"/>
                <w:lang w:eastAsia="en-IN"/>
              </w:rPr>
            </w:pPr>
            <w:r w:rsidRPr="00416121">
              <w:rPr>
                <w:b/>
                <w:color w:val="000000"/>
                <w:sz w:val="18"/>
                <w:szCs w:val="18"/>
                <w:lang w:eastAsia="en-IN"/>
              </w:rPr>
              <w:t>23,838</w:t>
            </w:r>
          </w:p>
        </w:tc>
      </w:tr>
      <w:tr w:rsidR="00E1185E" w:rsidRPr="00416121" w14:paraId="1ACD0962" w14:textId="77777777" w:rsidTr="006B6156">
        <w:trPr>
          <w:trHeight w:val="360"/>
          <w:jc w:val="center"/>
        </w:trPr>
        <w:tc>
          <w:tcPr>
            <w:tcW w:w="3330" w:type="dxa"/>
            <w:tcBorders>
              <w:top w:val="single" w:sz="4" w:space="0" w:color="auto"/>
            </w:tcBorders>
            <w:shd w:val="clear" w:color="auto" w:fill="auto"/>
            <w:vAlign w:val="center"/>
            <w:hideMark/>
          </w:tcPr>
          <w:p w14:paraId="0B6D5515" w14:textId="77777777" w:rsidR="00E1185E" w:rsidRPr="00416121" w:rsidRDefault="00E1185E" w:rsidP="006B6156">
            <w:pPr>
              <w:pStyle w:val="ExhibitText"/>
              <w:jc w:val="left"/>
              <w:rPr>
                <w:color w:val="000000"/>
                <w:sz w:val="18"/>
                <w:szCs w:val="18"/>
                <w:lang w:eastAsia="en-IN"/>
              </w:rPr>
            </w:pPr>
            <w:r w:rsidRPr="00416121">
              <w:rPr>
                <w:color w:val="000000"/>
                <w:sz w:val="18"/>
                <w:szCs w:val="18"/>
                <w:lang w:eastAsia="en-IN"/>
              </w:rPr>
              <w:t>Income Tax</w:t>
            </w:r>
          </w:p>
        </w:tc>
        <w:tc>
          <w:tcPr>
            <w:tcW w:w="1206" w:type="dxa"/>
            <w:tcBorders>
              <w:top w:val="single" w:sz="4" w:space="0" w:color="auto"/>
            </w:tcBorders>
            <w:vAlign w:val="center"/>
          </w:tcPr>
          <w:p w14:paraId="07AE1C6E" w14:textId="238E175A" w:rsidR="00E1185E" w:rsidRPr="00416121" w:rsidRDefault="00E1185E" w:rsidP="006B6156">
            <w:pPr>
              <w:pStyle w:val="ExhibitText"/>
              <w:jc w:val="right"/>
              <w:rPr>
                <w:color w:val="000000"/>
                <w:sz w:val="18"/>
                <w:szCs w:val="18"/>
                <w:lang w:eastAsia="en-IN"/>
              </w:rPr>
            </w:pPr>
            <w:r w:rsidRPr="00416121">
              <w:rPr>
                <w:color w:val="000000"/>
                <w:sz w:val="18"/>
                <w:szCs w:val="18"/>
                <w:lang w:eastAsia="en-IN"/>
              </w:rPr>
              <w:t>8,951</w:t>
            </w:r>
          </w:p>
        </w:tc>
        <w:tc>
          <w:tcPr>
            <w:tcW w:w="1206" w:type="dxa"/>
            <w:tcBorders>
              <w:top w:val="single" w:sz="4" w:space="0" w:color="auto"/>
            </w:tcBorders>
            <w:vAlign w:val="center"/>
          </w:tcPr>
          <w:p w14:paraId="7D1B4031" w14:textId="1F1010DC" w:rsidR="00E1185E" w:rsidRPr="00416121" w:rsidRDefault="00E1185E" w:rsidP="006B6156">
            <w:pPr>
              <w:pStyle w:val="ExhibitText"/>
              <w:jc w:val="right"/>
              <w:rPr>
                <w:color w:val="000000"/>
                <w:sz w:val="18"/>
                <w:szCs w:val="18"/>
                <w:lang w:eastAsia="en-IN"/>
              </w:rPr>
            </w:pPr>
            <w:r w:rsidRPr="00416121">
              <w:rPr>
                <w:color w:val="000000"/>
                <w:sz w:val="18"/>
                <w:szCs w:val="18"/>
                <w:lang w:eastAsia="en-IN"/>
              </w:rPr>
              <w:t>7,935</w:t>
            </w:r>
          </w:p>
        </w:tc>
        <w:tc>
          <w:tcPr>
            <w:tcW w:w="1206" w:type="dxa"/>
            <w:tcBorders>
              <w:top w:val="single" w:sz="4" w:space="0" w:color="auto"/>
            </w:tcBorders>
            <w:vAlign w:val="center"/>
          </w:tcPr>
          <w:p w14:paraId="2C58E5D9" w14:textId="31F7DC42" w:rsidR="00E1185E" w:rsidRPr="00416121" w:rsidRDefault="00E1185E" w:rsidP="006B6156">
            <w:pPr>
              <w:pStyle w:val="ExhibitText"/>
              <w:jc w:val="right"/>
              <w:rPr>
                <w:color w:val="000000"/>
                <w:sz w:val="18"/>
                <w:szCs w:val="18"/>
                <w:lang w:eastAsia="en-IN"/>
              </w:rPr>
            </w:pPr>
            <w:r w:rsidRPr="00416121">
              <w:rPr>
                <w:color w:val="000000"/>
                <w:sz w:val="18"/>
                <w:szCs w:val="18"/>
                <w:lang w:eastAsia="en-IN"/>
              </w:rPr>
              <w:t>10,532</w:t>
            </w:r>
          </w:p>
        </w:tc>
        <w:tc>
          <w:tcPr>
            <w:tcW w:w="1206" w:type="dxa"/>
            <w:tcBorders>
              <w:top w:val="single" w:sz="4" w:space="0" w:color="auto"/>
            </w:tcBorders>
            <w:vAlign w:val="center"/>
          </w:tcPr>
          <w:p w14:paraId="2F5BDF45" w14:textId="227F2D51" w:rsidR="00E1185E" w:rsidRPr="00416121" w:rsidRDefault="00E1185E" w:rsidP="006B6156">
            <w:pPr>
              <w:pStyle w:val="ExhibitText"/>
              <w:jc w:val="right"/>
              <w:rPr>
                <w:color w:val="000000"/>
                <w:sz w:val="18"/>
                <w:szCs w:val="18"/>
                <w:lang w:eastAsia="en-IN"/>
              </w:rPr>
            </w:pPr>
            <w:r w:rsidRPr="00416121">
              <w:rPr>
                <w:color w:val="000000"/>
                <w:sz w:val="18"/>
                <w:szCs w:val="18"/>
                <w:lang w:eastAsia="en-IN"/>
              </w:rPr>
              <w:t>9,240</w:t>
            </w:r>
          </w:p>
        </w:tc>
        <w:tc>
          <w:tcPr>
            <w:tcW w:w="1206" w:type="dxa"/>
            <w:tcBorders>
              <w:top w:val="single" w:sz="4" w:space="0" w:color="auto"/>
            </w:tcBorders>
            <w:shd w:val="clear" w:color="auto" w:fill="auto"/>
            <w:vAlign w:val="center"/>
            <w:hideMark/>
          </w:tcPr>
          <w:p w14:paraId="7C65C4F7" w14:textId="624CF614" w:rsidR="00E1185E" w:rsidRPr="00416121" w:rsidRDefault="0077375C" w:rsidP="006B6156">
            <w:pPr>
              <w:pStyle w:val="ExhibitText"/>
              <w:jc w:val="right"/>
              <w:rPr>
                <w:color w:val="000000"/>
                <w:sz w:val="18"/>
                <w:szCs w:val="18"/>
                <w:lang w:eastAsia="en-IN"/>
              </w:rPr>
            </w:pPr>
            <w:r w:rsidRPr="00416121">
              <w:rPr>
                <w:color w:val="000000"/>
                <w:sz w:val="18"/>
                <w:szCs w:val="18"/>
                <w:lang w:eastAsia="en-IN"/>
              </w:rPr>
              <w:t>−</w:t>
            </w:r>
            <w:r w:rsidR="00E1185E" w:rsidRPr="00416121">
              <w:rPr>
                <w:color w:val="000000"/>
                <w:sz w:val="18"/>
                <w:szCs w:val="18"/>
                <w:lang w:eastAsia="en-IN"/>
              </w:rPr>
              <w:t>21,515</w:t>
            </w:r>
          </w:p>
        </w:tc>
      </w:tr>
      <w:tr w:rsidR="00E1185E" w:rsidRPr="00416121" w14:paraId="60342ECD" w14:textId="77777777" w:rsidTr="006B6156">
        <w:trPr>
          <w:trHeight w:val="360"/>
          <w:jc w:val="center"/>
        </w:trPr>
        <w:tc>
          <w:tcPr>
            <w:tcW w:w="3330" w:type="dxa"/>
            <w:shd w:val="clear" w:color="auto" w:fill="auto"/>
            <w:vAlign w:val="center"/>
            <w:hideMark/>
          </w:tcPr>
          <w:p w14:paraId="46EDA66E" w14:textId="77777777" w:rsidR="00E1185E" w:rsidRPr="00416121" w:rsidRDefault="00E1185E" w:rsidP="006B6156">
            <w:pPr>
              <w:pStyle w:val="ExhibitText"/>
              <w:jc w:val="left"/>
              <w:rPr>
                <w:color w:val="000000"/>
                <w:sz w:val="18"/>
                <w:szCs w:val="18"/>
                <w:lang w:eastAsia="en-IN"/>
              </w:rPr>
            </w:pPr>
            <w:r w:rsidRPr="00416121">
              <w:rPr>
                <w:color w:val="000000"/>
                <w:sz w:val="18"/>
                <w:szCs w:val="18"/>
                <w:lang w:eastAsia="en-IN"/>
              </w:rPr>
              <w:t>Consolidated Net Income</w:t>
            </w:r>
          </w:p>
        </w:tc>
        <w:tc>
          <w:tcPr>
            <w:tcW w:w="1206" w:type="dxa"/>
            <w:vAlign w:val="center"/>
          </w:tcPr>
          <w:p w14:paraId="400BE99E" w14:textId="1D2293CA" w:rsidR="00E1185E" w:rsidRPr="00416121" w:rsidRDefault="00E1185E" w:rsidP="006B6156">
            <w:pPr>
              <w:pStyle w:val="ExhibitText"/>
              <w:jc w:val="right"/>
              <w:rPr>
                <w:color w:val="000000"/>
                <w:sz w:val="18"/>
                <w:szCs w:val="18"/>
                <w:lang w:eastAsia="en-IN"/>
              </w:rPr>
            </w:pPr>
            <w:r w:rsidRPr="00416121">
              <w:rPr>
                <w:color w:val="000000"/>
                <w:sz w:val="18"/>
                <w:szCs w:val="18"/>
                <w:lang w:eastAsia="en-IN"/>
              </w:rPr>
              <w:t>19,845</w:t>
            </w:r>
          </w:p>
        </w:tc>
        <w:tc>
          <w:tcPr>
            <w:tcW w:w="1206" w:type="dxa"/>
            <w:vAlign w:val="center"/>
          </w:tcPr>
          <w:p w14:paraId="106DE15F" w14:textId="466390AD" w:rsidR="00E1185E" w:rsidRPr="00416121" w:rsidRDefault="00E1185E" w:rsidP="006B6156">
            <w:pPr>
              <w:pStyle w:val="ExhibitText"/>
              <w:jc w:val="right"/>
              <w:rPr>
                <w:color w:val="000000"/>
                <w:sz w:val="18"/>
                <w:szCs w:val="18"/>
                <w:lang w:eastAsia="en-IN"/>
              </w:rPr>
            </w:pPr>
            <w:r w:rsidRPr="00416121">
              <w:rPr>
                <w:color w:val="000000"/>
                <w:sz w:val="18"/>
                <w:szCs w:val="18"/>
                <w:lang w:eastAsia="en-IN"/>
              </w:rPr>
              <w:t>20,170</w:t>
            </w:r>
          </w:p>
        </w:tc>
        <w:tc>
          <w:tcPr>
            <w:tcW w:w="1206" w:type="dxa"/>
            <w:vAlign w:val="center"/>
          </w:tcPr>
          <w:p w14:paraId="00117D99" w14:textId="0CC9A925" w:rsidR="00E1185E" w:rsidRPr="00416121" w:rsidRDefault="00E1185E" w:rsidP="006B6156">
            <w:pPr>
              <w:pStyle w:val="ExhibitText"/>
              <w:jc w:val="right"/>
              <w:rPr>
                <w:color w:val="000000"/>
                <w:sz w:val="18"/>
                <w:szCs w:val="18"/>
                <w:lang w:eastAsia="en-IN"/>
              </w:rPr>
            </w:pPr>
            <w:r w:rsidRPr="00416121">
              <w:rPr>
                <w:color w:val="000000"/>
                <w:sz w:val="18"/>
                <w:szCs w:val="18"/>
                <w:lang w:eastAsia="en-IN"/>
              </w:rPr>
              <w:t>24,414</w:t>
            </w:r>
          </w:p>
        </w:tc>
        <w:tc>
          <w:tcPr>
            <w:tcW w:w="1206" w:type="dxa"/>
            <w:vAlign w:val="center"/>
          </w:tcPr>
          <w:p w14:paraId="43B86889" w14:textId="03FA3DFE" w:rsidR="00E1185E" w:rsidRPr="00416121" w:rsidRDefault="00E1185E" w:rsidP="006B6156">
            <w:pPr>
              <w:pStyle w:val="ExhibitText"/>
              <w:jc w:val="right"/>
              <w:rPr>
                <w:color w:val="000000"/>
                <w:sz w:val="18"/>
                <w:szCs w:val="18"/>
                <w:lang w:eastAsia="en-IN"/>
              </w:rPr>
            </w:pPr>
            <w:r w:rsidRPr="00416121">
              <w:rPr>
                <w:color w:val="000000"/>
                <w:sz w:val="18"/>
                <w:szCs w:val="18"/>
                <w:lang w:eastAsia="en-IN"/>
              </w:rPr>
              <w:t>24,427</w:t>
            </w:r>
          </w:p>
        </w:tc>
        <w:tc>
          <w:tcPr>
            <w:tcW w:w="1206" w:type="dxa"/>
            <w:shd w:val="clear" w:color="auto" w:fill="auto"/>
            <w:vAlign w:val="center"/>
            <w:hideMark/>
          </w:tcPr>
          <w:p w14:paraId="26169BC9" w14:textId="72911AA7" w:rsidR="00E1185E" w:rsidRPr="00416121" w:rsidRDefault="00E1185E" w:rsidP="006B6156">
            <w:pPr>
              <w:pStyle w:val="ExhibitText"/>
              <w:jc w:val="right"/>
              <w:rPr>
                <w:color w:val="000000"/>
                <w:sz w:val="18"/>
                <w:szCs w:val="18"/>
                <w:lang w:eastAsia="en-IN"/>
              </w:rPr>
            </w:pPr>
            <w:r w:rsidRPr="00416121">
              <w:rPr>
                <w:color w:val="000000"/>
                <w:sz w:val="18"/>
                <w:szCs w:val="18"/>
                <w:lang w:eastAsia="en-IN"/>
              </w:rPr>
              <w:t>45,353</w:t>
            </w:r>
          </w:p>
        </w:tc>
      </w:tr>
      <w:tr w:rsidR="00E1185E" w:rsidRPr="00416121" w14:paraId="0C096B13" w14:textId="77777777" w:rsidTr="006B6156">
        <w:trPr>
          <w:trHeight w:val="360"/>
          <w:jc w:val="center"/>
        </w:trPr>
        <w:tc>
          <w:tcPr>
            <w:tcW w:w="3330" w:type="dxa"/>
            <w:shd w:val="clear" w:color="auto" w:fill="auto"/>
            <w:vAlign w:val="center"/>
            <w:hideMark/>
          </w:tcPr>
          <w:p w14:paraId="4CF4523D" w14:textId="77777777" w:rsidR="00E1185E" w:rsidRPr="00416121" w:rsidRDefault="00E1185E" w:rsidP="006B6156">
            <w:pPr>
              <w:pStyle w:val="ExhibitText"/>
              <w:jc w:val="left"/>
              <w:rPr>
                <w:color w:val="000000"/>
                <w:sz w:val="18"/>
                <w:szCs w:val="18"/>
                <w:lang w:eastAsia="en-IN"/>
              </w:rPr>
            </w:pPr>
            <w:r w:rsidRPr="00416121">
              <w:rPr>
                <w:color w:val="000000"/>
                <w:sz w:val="18"/>
                <w:szCs w:val="18"/>
                <w:lang w:eastAsia="en-IN"/>
              </w:rPr>
              <w:t>Minority Interest Expense</w:t>
            </w:r>
          </w:p>
        </w:tc>
        <w:tc>
          <w:tcPr>
            <w:tcW w:w="1206" w:type="dxa"/>
            <w:vAlign w:val="center"/>
          </w:tcPr>
          <w:p w14:paraId="4FEEE462" w14:textId="528C79C8" w:rsidR="00E1185E" w:rsidRPr="00416121" w:rsidRDefault="00E1185E" w:rsidP="006B6156">
            <w:pPr>
              <w:pStyle w:val="ExhibitText"/>
              <w:jc w:val="right"/>
              <w:rPr>
                <w:color w:val="000000"/>
                <w:sz w:val="18"/>
                <w:szCs w:val="18"/>
                <w:lang w:eastAsia="en-IN"/>
              </w:rPr>
            </w:pPr>
            <w:r w:rsidRPr="00416121">
              <w:rPr>
                <w:color w:val="000000"/>
                <w:sz w:val="18"/>
                <w:szCs w:val="18"/>
                <w:lang w:eastAsia="en-IN"/>
              </w:rPr>
              <w:t>369</w:t>
            </w:r>
          </w:p>
        </w:tc>
        <w:tc>
          <w:tcPr>
            <w:tcW w:w="1206" w:type="dxa"/>
            <w:vAlign w:val="center"/>
          </w:tcPr>
          <w:p w14:paraId="57681CA0" w14:textId="74B224FF" w:rsidR="00E1185E" w:rsidRPr="00416121" w:rsidRDefault="00E1185E" w:rsidP="006B6156">
            <w:pPr>
              <w:pStyle w:val="ExhibitText"/>
              <w:jc w:val="right"/>
              <w:rPr>
                <w:color w:val="000000"/>
                <w:sz w:val="18"/>
                <w:szCs w:val="18"/>
                <w:lang w:eastAsia="en-IN"/>
              </w:rPr>
            </w:pPr>
            <w:r w:rsidRPr="00416121">
              <w:rPr>
                <w:color w:val="000000"/>
                <w:sz w:val="18"/>
                <w:szCs w:val="18"/>
                <w:lang w:eastAsia="en-IN"/>
              </w:rPr>
              <w:t>298</w:t>
            </w:r>
          </w:p>
        </w:tc>
        <w:tc>
          <w:tcPr>
            <w:tcW w:w="1206" w:type="dxa"/>
            <w:vAlign w:val="center"/>
          </w:tcPr>
          <w:p w14:paraId="7A3E3AE1" w14:textId="2F6AA9C3" w:rsidR="00E1185E" w:rsidRPr="00416121" w:rsidRDefault="00E1185E" w:rsidP="006B6156">
            <w:pPr>
              <w:pStyle w:val="ExhibitText"/>
              <w:jc w:val="right"/>
              <w:rPr>
                <w:color w:val="000000"/>
                <w:sz w:val="18"/>
                <w:szCs w:val="18"/>
                <w:lang w:eastAsia="en-IN"/>
              </w:rPr>
            </w:pPr>
            <w:r w:rsidRPr="00416121">
              <w:rPr>
                <w:color w:val="000000"/>
                <w:sz w:val="18"/>
                <w:szCs w:val="18"/>
                <w:lang w:eastAsia="en-IN"/>
              </w:rPr>
              <w:t>331</w:t>
            </w:r>
          </w:p>
        </w:tc>
        <w:tc>
          <w:tcPr>
            <w:tcW w:w="1206" w:type="dxa"/>
            <w:vAlign w:val="center"/>
          </w:tcPr>
          <w:p w14:paraId="5455CAAB" w14:textId="3228EA47" w:rsidR="00E1185E" w:rsidRPr="00416121" w:rsidRDefault="00E1185E" w:rsidP="006B6156">
            <w:pPr>
              <w:pStyle w:val="ExhibitText"/>
              <w:jc w:val="right"/>
              <w:rPr>
                <w:color w:val="000000"/>
                <w:sz w:val="18"/>
                <w:szCs w:val="18"/>
                <w:lang w:eastAsia="en-IN"/>
              </w:rPr>
            </w:pPr>
            <w:r w:rsidRPr="00416121">
              <w:rPr>
                <w:color w:val="000000"/>
                <w:sz w:val="18"/>
                <w:szCs w:val="18"/>
                <w:lang w:eastAsia="en-IN"/>
              </w:rPr>
              <w:t>353</w:t>
            </w:r>
          </w:p>
        </w:tc>
        <w:tc>
          <w:tcPr>
            <w:tcW w:w="1206" w:type="dxa"/>
            <w:shd w:val="clear" w:color="auto" w:fill="auto"/>
            <w:vAlign w:val="center"/>
            <w:hideMark/>
          </w:tcPr>
          <w:p w14:paraId="5403D58F" w14:textId="148F30F4" w:rsidR="00E1185E" w:rsidRPr="00416121" w:rsidRDefault="00E1185E" w:rsidP="006B6156">
            <w:pPr>
              <w:pStyle w:val="ExhibitText"/>
              <w:jc w:val="right"/>
              <w:rPr>
                <w:color w:val="000000"/>
                <w:sz w:val="18"/>
                <w:szCs w:val="18"/>
                <w:lang w:eastAsia="en-IN"/>
              </w:rPr>
            </w:pPr>
            <w:r w:rsidRPr="00416121">
              <w:rPr>
                <w:color w:val="000000"/>
                <w:sz w:val="18"/>
                <w:szCs w:val="18"/>
                <w:lang w:eastAsia="en-IN"/>
              </w:rPr>
              <w:t>413</w:t>
            </w:r>
          </w:p>
        </w:tc>
      </w:tr>
      <w:tr w:rsidR="00E1185E" w:rsidRPr="00416121" w14:paraId="59DBA6C6" w14:textId="77777777" w:rsidTr="006B6156">
        <w:trPr>
          <w:trHeight w:val="360"/>
          <w:jc w:val="center"/>
        </w:trPr>
        <w:tc>
          <w:tcPr>
            <w:tcW w:w="3330" w:type="dxa"/>
            <w:shd w:val="clear" w:color="auto" w:fill="auto"/>
            <w:vAlign w:val="center"/>
            <w:hideMark/>
          </w:tcPr>
          <w:p w14:paraId="605D6C47" w14:textId="77777777" w:rsidR="00E1185E" w:rsidRPr="00416121" w:rsidRDefault="00E1185E" w:rsidP="006B6156">
            <w:pPr>
              <w:pStyle w:val="ExhibitText"/>
              <w:jc w:val="left"/>
              <w:rPr>
                <w:color w:val="000000"/>
                <w:sz w:val="18"/>
                <w:szCs w:val="18"/>
                <w:lang w:eastAsia="en-IN"/>
              </w:rPr>
            </w:pPr>
            <w:r w:rsidRPr="00416121">
              <w:rPr>
                <w:color w:val="000000"/>
                <w:sz w:val="18"/>
                <w:szCs w:val="18"/>
                <w:lang w:eastAsia="en-IN"/>
              </w:rPr>
              <w:t>Net Income</w:t>
            </w:r>
          </w:p>
        </w:tc>
        <w:tc>
          <w:tcPr>
            <w:tcW w:w="1206" w:type="dxa"/>
            <w:vAlign w:val="center"/>
          </w:tcPr>
          <w:p w14:paraId="464B55E1" w14:textId="7228DFD8" w:rsidR="00E1185E" w:rsidRPr="00416121" w:rsidRDefault="00E1185E" w:rsidP="006B6156">
            <w:pPr>
              <w:pStyle w:val="ExhibitText"/>
              <w:jc w:val="right"/>
              <w:rPr>
                <w:color w:val="000000"/>
                <w:sz w:val="18"/>
                <w:szCs w:val="18"/>
                <w:lang w:eastAsia="en-IN"/>
              </w:rPr>
            </w:pPr>
            <w:r w:rsidRPr="00416121">
              <w:rPr>
                <w:color w:val="000000"/>
                <w:sz w:val="18"/>
                <w:szCs w:val="18"/>
                <w:lang w:eastAsia="en-IN"/>
              </w:rPr>
              <w:t>19,476</w:t>
            </w:r>
          </w:p>
        </w:tc>
        <w:tc>
          <w:tcPr>
            <w:tcW w:w="1206" w:type="dxa"/>
            <w:vAlign w:val="center"/>
          </w:tcPr>
          <w:p w14:paraId="51540CA2" w14:textId="714236E8" w:rsidR="00E1185E" w:rsidRPr="00416121" w:rsidRDefault="00E1185E" w:rsidP="006B6156">
            <w:pPr>
              <w:pStyle w:val="ExhibitText"/>
              <w:jc w:val="right"/>
              <w:rPr>
                <w:color w:val="000000"/>
                <w:sz w:val="18"/>
                <w:szCs w:val="18"/>
                <w:lang w:eastAsia="en-IN"/>
              </w:rPr>
            </w:pPr>
            <w:r w:rsidRPr="00416121">
              <w:rPr>
                <w:color w:val="000000"/>
                <w:sz w:val="18"/>
                <w:szCs w:val="18"/>
                <w:lang w:eastAsia="en-IN"/>
              </w:rPr>
              <w:t>19,872</w:t>
            </w:r>
          </w:p>
        </w:tc>
        <w:tc>
          <w:tcPr>
            <w:tcW w:w="1206" w:type="dxa"/>
            <w:vAlign w:val="center"/>
          </w:tcPr>
          <w:p w14:paraId="1ACA8244" w14:textId="29FF75F5" w:rsidR="00E1185E" w:rsidRPr="00416121" w:rsidRDefault="00E1185E" w:rsidP="006B6156">
            <w:pPr>
              <w:pStyle w:val="ExhibitText"/>
              <w:jc w:val="right"/>
              <w:rPr>
                <w:color w:val="000000"/>
                <w:sz w:val="18"/>
                <w:szCs w:val="18"/>
                <w:lang w:eastAsia="en-IN"/>
              </w:rPr>
            </w:pPr>
            <w:r w:rsidRPr="00416121">
              <w:rPr>
                <w:color w:val="000000"/>
                <w:sz w:val="18"/>
                <w:szCs w:val="18"/>
                <w:lang w:eastAsia="en-IN"/>
              </w:rPr>
              <w:t>24,083</w:t>
            </w:r>
          </w:p>
        </w:tc>
        <w:tc>
          <w:tcPr>
            <w:tcW w:w="1206" w:type="dxa"/>
            <w:vAlign w:val="center"/>
          </w:tcPr>
          <w:p w14:paraId="74459F84" w14:textId="66B077B0" w:rsidR="00E1185E" w:rsidRPr="00416121" w:rsidRDefault="00E1185E" w:rsidP="006B6156">
            <w:pPr>
              <w:pStyle w:val="ExhibitText"/>
              <w:jc w:val="right"/>
              <w:rPr>
                <w:color w:val="000000"/>
                <w:sz w:val="18"/>
                <w:szCs w:val="18"/>
                <w:lang w:eastAsia="en-IN"/>
              </w:rPr>
            </w:pPr>
            <w:r w:rsidRPr="00416121">
              <w:rPr>
                <w:color w:val="000000"/>
                <w:sz w:val="18"/>
                <w:szCs w:val="18"/>
                <w:lang w:eastAsia="en-IN"/>
              </w:rPr>
              <w:t>24,074</w:t>
            </w:r>
          </w:p>
        </w:tc>
        <w:tc>
          <w:tcPr>
            <w:tcW w:w="1206" w:type="dxa"/>
            <w:shd w:val="clear" w:color="auto" w:fill="auto"/>
            <w:vAlign w:val="center"/>
            <w:hideMark/>
          </w:tcPr>
          <w:p w14:paraId="7B0FB85B" w14:textId="7A4CEDA4" w:rsidR="00E1185E" w:rsidRPr="00416121" w:rsidRDefault="00E1185E" w:rsidP="006B6156">
            <w:pPr>
              <w:pStyle w:val="ExhibitText"/>
              <w:jc w:val="right"/>
              <w:rPr>
                <w:color w:val="000000"/>
                <w:sz w:val="18"/>
                <w:szCs w:val="18"/>
                <w:lang w:eastAsia="en-IN"/>
              </w:rPr>
            </w:pPr>
            <w:r w:rsidRPr="00416121">
              <w:rPr>
                <w:color w:val="000000"/>
                <w:sz w:val="18"/>
                <w:szCs w:val="18"/>
                <w:lang w:eastAsia="en-IN"/>
              </w:rPr>
              <w:t>44,940</w:t>
            </w:r>
          </w:p>
        </w:tc>
      </w:tr>
      <w:tr w:rsidR="00E1185E" w:rsidRPr="00416121" w14:paraId="6F1E5B2E" w14:textId="77777777" w:rsidTr="006B6156">
        <w:trPr>
          <w:trHeight w:val="360"/>
          <w:jc w:val="center"/>
        </w:trPr>
        <w:tc>
          <w:tcPr>
            <w:tcW w:w="3330" w:type="dxa"/>
            <w:shd w:val="clear" w:color="auto" w:fill="auto"/>
            <w:vAlign w:val="center"/>
            <w:hideMark/>
          </w:tcPr>
          <w:p w14:paraId="5A99DDCF" w14:textId="3D8959B9" w:rsidR="00E1185E" w:rsidRPr="00416121" w:rsidRDefault="00E1185E" w:rsidP="006B6156">
            <w:pPr>
              <w:pStyle w:val="ExhibitText"/>
              <w:jc w:val="left"/>
              <w:rPr>
                <w:color w:val="000000"/>
                <w:sz w:val="18"/>
                <w:szCs w:val="18"/>
                <w:lang w:eastAsia="en-IN"/>
              </w:rPr>
            </w:pPr>
            <w:r w:rsidRPr="00416121">
              <w:rPr>
                <w:color w:val="000000"/>
                <w:sz w:val="18"/>
                <w:szCs w:val="18"/>
                <w:lang w:eastAsia="en-IN"/>
              </w:rPr>
              <w:t>Net Income After Extra</w:t>
            </w:r>
            <w:r w:rsidR="0077375C" w:rsidRPr="00416121">
              <w:rPr>
                <w:color w:val="000000"/>
                <w:sz w:val="18"/>
                <w:szCs w:val="18"/>
                <w:lang w:eastAsia="en-IN"/>
              </w:rPr>
              <w:t>-</w:t>
            </w:r>
            <w:r w:rsidRPr="00416121">
              <w:rPr>
                <w:color w:val="000000"/>
                <w:sz w:val="18"/>
                <w:szCs w:val="18"/>
                <w:lang w:eastAsia="en-IN"/>
              </w:rPr>
              <w:t>ordinaries</w:t>
            </w:r>
          </w:p>
        </w:tc>
        <w:tc>
          <w:tcPr>
            <w:tcW w:w="1206" w:type="dxa"/>
            <w:vAlign w:val="center"/>
          </w:tcPr>
          <w:p w14:paraId="1EF8E3C0" w14:textId="25205AC8" w:rsidR="00E1185E" w:rsidRPr="00416121" w:rsidRDefault="00E1185E" w:rsidP="006B6156">
            <w:pPr>
              <w:pStyle w:val="ExhibitText"/>
              <w:jc w:val="right"/>
              <w:rPr>
                <w:color w:val="000000"/>
                <w:sz w:val="18"/>
                <w:szCs w:val="18"/>
                <w:lang w:eastAsia="en-IN"/>
              </w:rPr>
            </w:pPr>
            <w:r w:rsidRPr="00416121">
              <w:rPr>
                <w:color w:val="000000"/>
                <w:sz w:val="18"/>
                <w:szCs w:val="18"/>
                <w:lang w:eastAsia="en-IN"/>
              </w:rPr>
              <w:t>19,476</w:t>
            </w:r>
          </w:p>
        </w:tc>
        <w:tc>
          <w:tcPr>
            <w:tcW w:w="1206" w:type="dxa"/>
            <w:vAlign w:val="center"/>
          </w:tcPr>
          <w:p w14:paraId="5776B5E0" w14:textId="14414E42" w:rsidR="00E1185E" w:rsidRPr="00416121" w:rsidRDefault="00E1185E" w:rsidP="006B6156">
            <w:pPr>
              <w:pStyle w:val="ExhibitText"/>
              <w:jc w:val="right"/>
              <w:rPr>
                <w:color w:val="000000"/>
                <w:sz w:val="18"/>
                <w:szCs w:val="18"/>
                <w:lang w:eastAsia="en-IN"/>
              </w:rPr>
            </w:pPr>
            <w:r w:rsidRPr="00416121">
              <w:rPr>
                <w:color w:val="000000"/>
                <w:sz w:val="18"/>
                <w:szCs w:val="18"/>
                <w:lang w:eastAsia="en-IN"/>
              </w:rPr>
              <w:t>19,872</w:t>
            </w:r>
          </w:p>
        </w:tc>
        <w:tc>
          <w:tcPr>
            <w:tcW w:w="1206" w:type="dxa"/>
            <w:vAlign w:val="center"/>
          </w:tcPr>
          <w:p w14:paraId="65A6094C" w14:textId="485D02DB" w:rsidR="00E1185E" w:rsidRPr="00416121" w:rsidRDefault="00E1185E" w:rsidP="006B6156">
            <w:pPr>
              <w:pStyle w:val="ExhibitText"/>
              <w:jc w:val="right"/>
              <w:rPr>
                <w:color w:val="000000"/>
                <w:sz w:val="18"/>
                <w:szCs w:val="18"/>
                <w:lang w:eastAsia="en-IN"/>
              </w:rPr>
            </w:pPr>
            <w:r w:rsidRPr="00416121">
              <w:rPr>
                <w:color w:val="000000"/>
                <w:sz w:val="18"/>
                <w:szCs w:val="18"/>
                <w:lang w:eastAsia="en-IN"/>
              </w:rPr>
              <w:t>24,083</w:t>
            </w:r>
          </w:p>
        </w:tc>
        <w:tc>
          <w:tcPr>
            <w:tcW w:w="1206" w:type="dxa"/>
            <w:vAlign w:val="center"/>
          </w:tcPr>
          <w:p w14:paraId="23A76713" w14:textId="1AEC893C" w:rsidR="00E1185E" w:rsidRPr="00416121" w:rsidRDefault="00E1185E" w:rsidP="006B6156">
            <w:pPr>
              <w:pStyle w:val="ExhibitText"/>
              <w:jc w:val="right"/>
              <w:rPr>
                <w:color w:val="000000"/>
                <w:sz w:val="18"/>
                <w:szCs w:val="18"/>
                <w:lang w:eastAsia="en-IN"/>
              </w:rPr>
            </w:pPr>
            <w:r w:rsidRPr="00416121">
              <w:rPr>
                <w:color w:val="000000"/>
                <w:sz w:val="18"/>
                <w:szCs w:val="18"/>
                <w:lang w:eastAsia="en-IN"/>
              </w:rPr>
              <w:t>24,074</w:t>
            </w:r>
          </w:p>
        </w:tc>
        <w:tc>
          <w:tcPr>
            <w:tcW w:w="1206" w:type="dxa"/>
            <w:shd w:val="clear" w:color="auto" w:fill="auto"/>
            <w:vAlign w:val="center"/>
            <w:hideMark/>
          </w:tcPr>
          <w:p w14:paraId="5BDF2CE8" w14:textId="2E057D5F" w:rsidR="00E1185E" w:rsidRPr="00416121" w:rsidRDefault="00E1185E" w:rsidP="006B6156">
            <w:pPr>
              <w:pStyle w:val="ExhibitText"/>
              <w:jc w:val="right"/>
              <w:rPr>
                <w:color w:val="000000"/>
                <w:sz w:val="18"/>
                <w:szCs w:val="18"/>
                <w:lang w:eastAsia="en-IN"/>
              </w:rPr>
            </w:pPr>
            <w:r w:rsidRPr="00416121">
              <w:rPr>
                <w:color w:val="000000"/>
                <w:sz w:val="18"/>
                <w:szCs w:val="18"/>
                <w:lang w:eastAsia="en-IN"/>
              </w:rPr>
              <w:t>44,940</w:t>
            </w:r>
          </w:p>
        </w:tc>
      </w:tr>
      <w:tr w:rsidR="00E1185E" w:rsidRPr="00416121" w14:paraId="48FB7468" w14:textId="77777777" w:rsidTr="006B6156">
        <w:trPr>
          <w:trHeight w:val="360"/>
          <w:jc w:val="center"/>
        </w:trPr>
        <w:tc>
          <w:tcPr>
            <w:tcW w:w="3330" w:type="dxa"/>
            <w:shd w:val="clear" w:color="auto" w:fill="auto"/>
            <w:vAlign w:val="center"/>
            <w:hideMark/>
          </w:tcPr>
          <w:p w14:paraId="7A9CDB42" w14:textId="77777777" w:rsidR="00E1185E" w:rsidRPr="00416121" w:rsidRDefault="00E1185E" w:rsidP="006B6156">
            <w:pPr>
              <w:pStyle w:val="ExhibitText"/>
              <w:jc w:val="left"/>
              <w:rPr>
                <w:color w:val="000000"/>
                <w:sz w:val="18"/>
                <w:szCs w:val="18"/>
                <w:lang w:eastAsia="en-IN"/>
              </w:rPr>
            </w:pPr>
            <w:r w:rsidRPr="00416121">
              <w:rPr>
                <w:color w:val="000000"/>
                <w:sz w:val="18"/>
                <w:szCs w:val="18"/>
                <w:lang w:eastAsia="en-IN"/>
              </w:rPr>
              <w:t>Net Income Available to Common Shareholders</w:t>
            </w:r>
          </w:p>
        </w:tc>
        <w:tc>
          <w:tcPr>
            <w:tcW w:w="1206" w:type="dxa"/>
            <w:vAlign w:val="center"/>
          </w:tcPr>
          <w:p w14:paraId="109EE16A" w14:textId="65476121" w:rsidR="00E1185E" w:rsidRPr="00416121" w:rsidRDefault="00E1185E" w:rsidP="006B6156">
            <w:pPr>
              <w:pStyle w:val="ExhibitText"/>
              <w:jc w:val="right"/>
              <w:rPr>
                <w:color w:val="000000"/>
                <w:sz w:val="18"/>
                <w:szCs w:val="18"/>
                <w:lang w:eastAsia="en-IN"/>
              </w:rPr>
            </w:pPr>
            <w:r w:rsidRPr="00416121">
              <w:rPr>
                <w:color w:val="000000"/>
                <w:sz w:val="18"/>
                <w:szCs w:val="18"/>
                <w:lang w:eastAsia="en-IN"/>
              </w:rPr>
              <w:t>19,476</w:t>
            </w:r>
          </w:p>
        </w:tc>
        <w:tc>
          <w:tcPr>
            <w:tcW w:w="1206" w:type="dxa"/>
            <w:vAlign w:val="center"/>
          </w:tcPr>
          <w:p w14:paraId="3B441929" w14:textId="2863E3B7" w:rsidR="00E1185E" w:rsidRPr="00416121" w:rsidRDefault="00E1185E" w:rsidP="006B6156">
            <w:pPr>
              <w:pStyle w:val="ExhibitText"/>
              <w:jc w:val="right"/>
              <w:rPr>
                <w:color w:val="000000"/>
                <w:sz w:val="18"/>
                <w:szCs w:val="18"/>
                <w:lang w:eastAsia="en-IN"/>
              </w:rPr>
            </w:pPr>
            <w:r w:rsidRPr="00416121">
              <w:rPr>
                <w:color w:val="000000"/>
                <w:sz w:val="18"/>
                <w:szCs w:val="18"/>
                <w:lang w:eastAsia="en-IN"/>
              </w:rPr>
              <w:t>19,872</w:t>
            </w:r>
          </w:p>
        </w:tc>
        <w:tc>
          <w:tcPr>
            <w:tcW w:w="1206" w:type="dxa"/>
            <w:vAlign w:val="center"/>
          </w:tcPr>
          <w:p w14:paraId="2A2F8298" w14:textId="33437702" w:rsidR="00E1185E" w:rsidRPr="00416121" w:rsidRDefault="00E1185E" w:rsidP="006B6156">
            <w:pPr>
              <w:pStyle w:val="ExhibitText"/>
              <w:jc w:val="right"/>
              <w:rPr>
                <w:color w:val="000000"/>
                <w:sz w:val="18"/>
                <w:szCs w:val="18"/>
                <w:lang w:eastAsia="en-IN"/>
              </w:rPr>
            </w:pPr>
            <w:r w:rsidRPr="00416121">
              <w:rPr>
                <w:color w:val="000000"/>
                <w:sz w:val="18"/>
                <w:szCs w:val="18"/>
                <w:lang w:eastAsia="en-IN"/>
              </w:rPr>
              <w:t>24,083</w:t>
            </w:r>
          </w:p>
        </w:tc>
        <w:tc>
          <w:tcPr>
            <w:tcW w:w="1206" w:type="dxa"/>
            <w:vAlign w:val="center"/>
          </w:tcPr>
          <w:p w14:paraId="3264F7F7" w14:textId="7F5984A8" w:rsidR="00E1185E" w:rsidRPr="00416121" w:rsidRDefault="00E1185E" w:rsidP="006B6156">
            <w:pPr>
              <w:pStyle w:val="ExhibitText"/>
              <w:jc w:val="right"/>
              <w:rPr>
                <w:color w:val="000000"/>
                <w:sz w:val="18"/>
                <w:szCs w:val="18"/>
                <w:lang w:eastAsia="en-IN"/>
              </w:rPr>
            </w:pPr>
            <w:r w:rsidRPr="00416121">
              <w:rPr>
                <w:color w:val="000000"/>
                <w:sz w:val="18"/>
                <w:szCs w:val="18"/>
                <w:lang w:eastAsia="en-IN"/>
              </w:rPr>
              <w:t>24,074</w:t>
            </w:r>
          </w:p>
        </w:tc>
        <w:tc>
          <w:tcPr>
            <w:tcW w:w="1206" w:type="dxa"/>
            <w:shd w:val="clear" w:color="auto" w:fill="auto"/>
            <w:vAlign w:val="center"/>
            <w:hideMark/>
          </w:tcPr>
          <w:p w14:paraId="6E947460" w14:textId="682A1B44" w:rsidR="00E1185E" w:rsidRPr="00416121" w:rsidRDefault="00E1185E" w:rsidP="006B6156">
            <w:pPr>
              <w:pStyle w:val="ExhibitText"/>
              <w:jc w:val="right"/>
              <w:rPr>
                <w:color w:val="000000"/>
                <w:sz w:val="18"/>
                <w:szCs w:val="18"/>
                <w:lang w:eastAsia="en-IN"/>
              </w:rPr>
            </w:pPr>
            <w:r w:rsidRPr="00416121">
              <w:rPr>
                <w:color w:val="000000"/>
                <w:sz w:val="18"/>
                <w:szCs w:val="18"/>
                <w:lang w:eastAsia="en-IN"/>
              </w:rPr>
              <w:t>44,940</w:t>
            </w:r>
          </w:p>
        </w:tc>
      </w:tr>
      <w:tr w:rsidR="00E1185E" w:rsidRPr="00416121" w14:paraId="02592C5A" w14:textId="77777777" w:rsidTr="006B6156">
        <w:trPr>
          <w:trHeight w:val="360"/>
          <w:jc w:val="center"/>
        </w:trPr>
        <w:tc>
          <w:tcPr>
            <w:tcW w:w="3330" w:type="dxa"/>
            <w:shd w:val="clear" w:color="auto" w:fill="auto"/>
            <w:vAlign w:val="center"/>
            <w:hideMark/>
          </w:tcPr>
          <w:p w14:paraId="71AD9843" w14:textId="5943DCBB" w:rsidR="00E1185E" w:rsidRPr="00416121" w:rsidRDefault="00E1185E" w:rsidP="006B6156">
            <w:pPr>
              <w:pStyle w:val="ExhibitText"/>
              <w:jc w:val="left"/>
              <w:rPr>
                <w:color w:val="000000"/>
                <w:sz w:val="18"/>
                <w:szCs w:val="18"/>
                <w:lang w:eastAsia="en-IN"/>
              </w:rPr>
            </w:pPr>
            <w:r w:rsidRPr="00416121">
              <w:rPr>
                <w:color w:val="000000"/>
                <w:sz w:val="18"/>
                <w:szCs w:val="18"/>
                <w:lang w:eastAsia="en-IN"/>
              </w:rPr>
              <w:t>E</w:t>
            </w:r>
            <w:r w:rsidR="007B276A" w:rsidRPr="00416121">
              <w:rPr>
                <w:color w:val="000000"/>
                <w:sz w:val="18"/>
                <w:szCs w:val="18"/>
                <w:lang w:eastAsia="en-IN"/>
              </w:rPr>
              <w:t xml:space="preserve">arnings per </w:t>
            </w:r>
            <w:r w:rsidRPr="00416121">
              <w:rPr>
                <w:color w:val="000000"/>
                <w:sz w:val="18"/>
                <w:szCs w:val="18"/>
                <w:lang w:eastAsia="en-IN"/>
              </w:rPr>
              <w:t>S</w:t>
            </w:r>
            <w:r w:rsidR="007B276A" w:rsidRPr="00416121">
              <w:rPr>
                <w:color w:val="000000"/>
                <w:sz w:val="18"/>
                <w:szCs w:val="18"/>
                <w:lang w:eastAsia="en-IN"/>
              </w:rPr>
              <w:t>hare</w:t>
            </w:r>
            <w:r w:rsidRPr="00416121">
              <w:rPr>
                <w:color w:val="000000"/>
                <w:sz w:val="18"/>
                <w:szCs w:val="18"/>
                <w:lang w:eastAsia="en-IN"/>
              </w:rPr>
              <w:t xml:space="preserve"> (Basic)</w:t>
            </w:r>
          </w:p>
        </w:tc>
        <w:tc>
          <w:tcPr>
            <w:tcW w:w="1206" w:type="dxa"/>
            <w:vAlign w:val="center"/>
          </w:tcPr>
          <w:p w14:paraId="6DF837E7" w14:textId="7E660AD9" w:rsidR="00E1185E" w:rsidRPr="00416121" w:rsidRDefault="00E1185E" w:rsidP="006B6156">
            <w:pPr>
              <w:pStyle w:val="ExhibitText"/>
              <w:jc w:val="right"/>
              <w:rPr>
                <w:color w:val="000000"/>
                <w:sz w:val="18"/>
                <w:szCs w:val="18"/>
                <w:lang w:eastAsia="en-IN"/>
              </w:rPr>
            </w:pPr>
            <w:r w:rsidRPr="00416121">
              <w:rPr>
                <w:color w:val="000000"/>
                <w:sz w:val="18"/>
                <w:szCs w:val="18"/>
                <w:lang w:eastAsia="en-IN"/>
              </w:rPr>
              <w:t>7.9</w:t>
            </w:r>
          </w:p>
        </w:tc>
        <w:tc>
          <w:tcPr>
            <w:tcW w:w="1206" w:type="dxa"/>
            <w:vAlign w:val="center"/>
          </w:tcPr>
          <w:p w14:paraId="368AEC0F" w14:textId="1B239DA1" w:rsidR="00E1185E" w:rsidRPr="00416121" w:rsidRDefault="00E1185E" w:rsidP="006B6156">
            <w:pPr>
              <w:pStyle w:val="ExhibitText"/>
              <w:jc w:val="right"/>
              <w:rPr>
                <w:color w:val="000000"/>
                <w:sz w:val="18"/>
                <w:szCs w:val="18"/>
                <w:lang w:eastAsia="en-IN"/>
              </w:rPr>
            </w:pPr>
            <w:r w:rsidRPr="00416121">
              <w:rPr>
                <w:color w:val="000000"/>
                <w:sz w:val="18"/>
                <w:szCs w:val="18"/>
                <w:lang w:eastAsia="en-IN"/>
              </w:rPr>
              <w:t>8.06</w:t>
            </w:r>
          </w:p>
        </w:tc>
        <w:tc>
          <w:tcPr>
            <w:tcW w:w="1206" w:type="dxa"/>
            <w:vAlign w:val="center"/>
          </w:tcPr>
          <w:p w14:paraId="6D92E9A2" w14:textId="3E394D56" w:rsidR="00E1185E" w:rsidRPr="00416121" w:rsidRDefault="00E1185E" w:rsidP="006B6156">
            <w:pPr>
              <w:pStyle w:val="ExhibitText"/>
              <w:jc w:val="right"/>
              <w:rPr>
                <w:color w:val="000000"/>
                <w:sz w:val="18"/>
                <w:szCs w:val="18"/>
                <w:lang w:eastAsia="en-IN"/>
              </w:rPr>
            </w:pPr>
            <w:r w:rsidRPr="00416121">
              <w:rPr>
                <w:color w:val="000000"/>
                <w:sz w:val="18"/>
                <w:szCs w:val="18"/>
                <w:lang w:eastAsia="en-IN"/>
              </w:rPr>
              <w:t>9.77</w:t>
            </w:r>
          </w:p>
        </w:tc>
        <w:tc>
          <w:tcPr>
            <w:tcW w:w="1206" w:type="dxa"/>
            <w:vAlign w:val="center"/>
          </w:tcPr>
          <w:p w14:paraId="44FFE99F" w14:textId="28431446" w:rsidR="00E1185E" w:rsidRPr="00416121" w:rsidRDefault="00E1185E" w:rsidP="006B6156">
            <w:pPr>
              <w:pStyle w:val="ExhibitText"/>
              <w:jc w:val="right"/>
              <w:rPr>
                <w:color w:val="000000"/>
                <w:sz w:val="18"/>
                <w:szCs w:val="18"/>
                <w:lang w:eastAsia="en-IN"/>
              </w:rPr>
            </w:pPr>
            <w:r w:rsidRPr="00416121">
              <w:rPr>
                <w:color w:val="000000"/>
                <w:sz w:val="18"/>
                <w:szCs w:val="18"/>
                <w:lang w:eastAsia="en-IN"/>
              </w:rPr>
              <w:t>9.76</w:t>
            </w:r>
          </w:p>
        </w:tc>
        <w:tc>
          <w:tcPr>
            <w:tcW w:w="1206" w:type="dxa"/>
            <w:shd w:val="clear" w:color="auto" w:fill="auto"/>
            <w:vAlign w:val="center"/>
            <w:hideMark/>
          </w:tcPr>
          <w:p w14:paraId="2BB7446B" w14:textId="668986A9" w:rsidR="00E1185E" w:rsidRPr="00416121" w:rsidRDefault="00E1185E" w:rsidP="006B6156">
            <w:pPr>
              <w:pStyle w:val="ExhibitText"/>
              <w:jc w:val="right"/>
              <w:rPr>
                <w:color w:val="000000"/>
                <w:sz w:val="18"/>
                <w:szCs w:val="18"/>
                <w:lang w:eastAsia="en-IN"/>
              </w:rPr>
            </w:pPr>
            <w:r w:rsidRPr="00416121">
              <w:rPr>
                <w:color w:val="000000"/>
                <w:sz w:val="18"/>
                <w:szCs w:val="18"/>
                <w:lang w:eastAsia="en-IN"/>
              </w:rPr>
              <w:t>18.22</w:t>
            </w:r>
          </w:p>
        </w:tc>
      </w:tr>
      <w:tr w:rsidR="00E1185E" w:rsidRPr="00416121" w14:paraId="5DEFBECC" w14:textId="77777777" w:rsidTr="006B6156">
        <w:trPr>
          <w:trHeight w:val="360"/>
          <w:jc w:val="center"/>
        </w:trPr>
        <w:tc>
          <w:tcPr>
            <w:tcW w:w="3330" w:type="dxa"/>
            <w:shd w:val="clear" w:color="auto" w:fill="auto"/>
            <w:vAlign w:val="center"/>
            <w:hideMark/>
          </w:tcPr>
          <w:p w14:paraId="32073BAF" w14:textId="1B77D990" w:rsidR="00E1185E" w:rsidRPr="00416121" w:rsidRDefault="00E1185E" w:rsidP="006B6156">
            <w:pPr>
              <w:pStyle w:val="ExhibitText"/>
              <w:jc w:val="left"/>
              <w:rPr>
                <w:color w:val="000000"/>
                <w:sz w:val="18"/>
                <w:szCs w:val="18"/>
                <w:lang w:eastAsia="en-IN"/>
              </w:rPr>
            </w:pPr>
            <w:r w:rsidRPr="00416121">
              <w:rPr>
                <w:color w:val="000000"/>
                <w:sz w:val="18"/>
                <w:szCs w:val="18"/>
                <w:lang w:eastAsia="en-IN"/>
              </w:rPr>
              <w:t>E</w:t>
            </w:r>
            <w:r w:rsidR="007B276A" w:rsidRPr="00416121">
              <w:rPr>
                <w:color w:val="000000"/>
                <w:sz w:val="18"/>
                <w:szCs w:val="18"/>
                <w:lang w:eastAsia="en-IN"/>
              </w:rPr>
              <w:t xml:space="preserve">arnings per </w:t>
            </w:r>
            <w:r w:rsidRPr="00416121">
              <w:rPr>
                <w:color w:val="000000"/>
                <w:sz w:val="18"/>
                <w:szCs w:val="18"/>
                <w:lang w:eastAsia="en-IN"/>
              </w:rPr>
              <w:t>S</w:t>
            </w:r>
            <w:r w:rsidR="007B276A" w:rsidRPr="00416121">
              <w:rPr>
                <w:color w:val="000000"/>
                <w:sz w:val="18"/>
                <w:szCs w:val="18"/>
                <w:lang w:eastAsia="en-IN"/>
              </w:rPr>
              <w:t>hare</w:t>
            </w:r>
            <w:r w:rsidRPr="00416121">
              <w:rPr>
                <w:color w:val="000000"/>
                <w:sz w:val="18"/>
                <w:szCs w:val="18"/>
                <w:lang w:eastAsia="en-IN"/>
              </w:rPr>
              <w:t xml:space="preserve"> (Diluted)</w:t>
            </w:r>
          </w:p>
        </w:tc>
        <w:tc>
          <w:tcPr>
            <w:tcW w:w="1206" w:type="dxa"/>
            <w:vAlign w:val="center"/>
          </w:tcPr>
          <w:p w14:paraId="2A78F83D" w14:textId="2BBB1B32" w:rsidR="00E1185E" w:rsidRPr="00416121" w:rsidRDefault="00E1185E" w:rsidP="006B6156">
            <w:pPr>
              <w:pStyle w:val="ExhibitText"/>
              <w:jc w:val="right"/>
              <w:rPr>
                <w:color w:val="000000"/>
                <w:sz w:val="18"/>
                <w:szCs w:val="18"/>
                <w:lang w:eastAsia="en-IN"/>
              </w:rPr>
            </w:pPr>
            <w:r w:rsidRPr="00416121">
              <w:rPr>
                <w:color w:val="000000"/>
                <w:sz w:val="18"/>
                <w:szCs w:val="18"/>
                <w:lang w:eastAsia="en-IN"/>
              </w:rPr>
              <w:t>7.9</w:t>
            </w:r>
          </w:p>
        </w:tc>
        <w:tc>
          <w:tcPr>
            <w:tcW w:w="1206" w:type="dxa"/>
            <w:vAlign w:val="center"/>
          </w:tcPr>
          <w:p w14:paraId="210A128E" w14:textId="4062DB2B" w:rsidR="00E1185E" w:rsidRPr="00416121" w:rsidRDefault="00E1185E" w:rsidP="006B6156">
            <w:pPr>
              <w:pStyle w:val="ExhibitText"/>
              <w:jc w:val="right"/>
              <w:rPr>
                <w:color w:val="000000"/>
                <w:sz w:val="18"/>
                <w:szCs w:val="18"/>
                <w:lang w:eastAsia="en-IN"/>
              </w:rPr>
            </w:pPr>
            <w:r w:rsidRPr="00416121">
              <w:rPr>
                <w:color w:val="000000"/>
                <w:sz w:val="18"/>
                <w:szCs w:val="18"/>
                <w:lang w:eastAsia="en-IN"/>
              </w:rPr>
              <w:t>8.06</w:t>
            </w:r>
          </w:p>
        </w:tc>
        <w:tc>
          <w:tcPr>
            <w:tcW w:w="1206" w:type="dxa"/>
            <w:vAlign w:val="center"/>
          </w:tcPr>
          <w:p w14:paraId="527989C0" w14:textId="3758AC44" w:rsidR="00E1185E" w:rsidRPr="00416121" w:rsidRDefault="00E1185E" w:rsidP="006B6156">
            <w:pPr>
              <w:pStyle w:val="ExhibitText"/>
              <w:jc w:val="right"/>
              <w:rPr>
                <w:color w:val="000000"/>
                <w:sz w:val="18"/>
                <w:szCs w:val="18"/>
                <w:lang w:eastAsia="en-IN"/>
              </w:rPr>
            </w:pPr>
            <w:r w:rsidRPr="00416121">
              <w:rPr>
                <w:color w:val="000000"/>
                <w:sz w:val="18"/>
                <w:szCs w:val="18"/>
                <w:lang w:eastAsia="en-IN"/>
              </w:rPr>
              <w:t>9.77</w:t>
            </w:r>
          </w:p>
        </w:tc>
        <w:tc>
          <w:tcPr>
            <w:tcW w:w="1206" w:type="dxa"/>
            <w:vAlign w:val="center"/>
          </w:tcPr>
          <w:p w14:paraId="5A2665FD" w14:textId="306D82FE" w:rsidR="00E1185E" w:rsidRPr="00416121" w:rsidRDefault="00E1185E" w:rsidP="006B6156">
            <w:pPr>
              <w:pStyle w:val="ExhibitText"/>
              <w:jc w:val="right"/>
              <w:rPr>
                <w:color w:val="000000"/>
                <w:sz w:val="18"/>
                <w:szCs w:val="18"/>
                <w:lang w:eastAsia="en-IN"/>
              </w:rPr>
            </w:pPr>
            <w:r w:rsidRPr="00416121">
              <w:rPr>
                <w:color w:val="000000"/>
                <w:sz w:val="18"/>
                <w:szCs w:val="18"/>
                <w:lang w:eastAsia="en-IN"/>
              </w:rPr>
              <w:t>9.76</w:t>
            </w:r>
          </w:p>
        </w:tc>
        <w:tc>
          <w:tcPr>
            <w:tcW w:w="1206" w:type="dxa"/>
            <w:shd w:val="clear" w:color="auto" w:fill="auto"/>
            <w:vAlign w:val="center"/>
            <w:hideMark/>
          </w:tcPr>
          <w:p w14:paraId="5A896AE3" w14:textId="28B245A4" w:rsidR="00E1185E" w:rsidRPr="00416121" w:rsidRDefault="00E1185E" w:rsidP="006B6156">
            <w:pPr>
              <w:pStyle w:val="ExhibitText"/>
              <w:jc w:val="right"/>
              <w:rPr>
                <w:color w:val="000000"/>
                <w:sz w:val="18"/>
                <w:szCs w:val="18"/>
                <w:lang w:eastAsia="en-IN"/>
              </w:rPr>
            </w:pPr>
            <w:r w:rsidRPr="00416121">
              <w:rPr>
                <w:color w:val="000000"/>
                <w:sz w:val="18"/>
                <w:szCs w:val="18"/>
                <w:lang w:eastAsia="en-IN"/>
              </w:rPr>
              <w:t>18.22</w:t>
            </w:r>
          </w:p>
        </w:tc>
      </w:tr>
    </w:tbl>
    <w:p w14:paraId="51777060" w14:textId="77777777" w:rsidR="0081057D" w:rsidRPr="00416121" w:rsidRDefault="0081057D" w:rsidP="00F06F63">
      <w:pPr>
        <w:pStyle w:val="ExhibitText"/>
        <w:rPr>
          <w:rFonts w:eastAsia="Calibri"/>
        </w:rPr>
      </w:pPr>
    </w:p>
    <w:p w14:paraId="4375D527" w14:textId="77777777" w:rsidR="007B276A" w:rsidRPr="00416121" w:rsidRDefault="000977B4" w:rsidP="000977B4">
      <w:pPr>
        <w:pStyle w:val="Footnote"/>
        <w:rPr>
          <w:rFonts w:eastAsia="Calibri"/>
        </w:rPr>
      </w:pPr>
      <w:r w:rsidRPr="00416121">
        <w:rPr>
          <w:rFonts w:eastAsia="Calibri"/>
        </w:rPr>
        <w:t xml:space="preserve">Note: Fiscal year is January to December. </w:t>
      </w:r>
    </w:p>
    <w:p w14:paraId="6E1EEBAA" w14:textId="011BB8C0" w:rsidR="0081057D" w:rsidRPr="00416121" w:rsidRDefault="0081057D" w:rsidP="000977B4">
      <w:pPr>
        <w:pStyle w:val="Footnote"/>
        <w:rPr>
          <w:rFonts w:eastAsia="Calibri"/>
          <w:b/>
        </w:rPr>
      </w:pPr>
      <w:r w:rsidRPr="00416121">
        <w:rPr>
          <w:rFonts w:eastAsia="Calibri"/>
        </w:rPr>
        <w:t xml:space="preserve">Source: </w:t>
      </w:r>
      <w:r w:rsidR="00935190" w:rsidRPr="00416121">
        <w:rPr>
          <w:rFonts w:eastAsia="Calibri"/>
        </w:rPr>
        <w:t>“</w:t>
      </w:r>
      <w:r w:rsidRPr="00416121">
        <w:rPr>
          <w:rFonts w:eastAsia="Calibri"/>
        </w:rPr>
        <w:t>Berkshire Hathaway Inc.</w:t>
      </w:r>
      <w:r w:rsidR="00935190" w:rsidRPr="00416121">
        <w:rPr>
          <w:rFonts w:eastAsia="Calibri"/>
        </w:rPr>
        <w:t>: Income Statement</w:t>
      </w:r>
      <w:r w:rsidRPr="00416121">
        <w:rPr>
          <w:rFonts w:eastAsia="Calibri"/>
        </w:rPr>
        <w:t>,</w:t>
      </w:r>
      <w:r w:rsidR="00935190" w:rsidRPr="00416121">
        <w:rPr>
          <w:rFonts w:eastAsia="Calibri"/>
        </w:rPr>
        <w:t>”</w:t>
      </w:r>
      <w:r w:rsidRPr="00416121">
        <w:rPr>
          <w:rFonts w:eastAsia="Calibri"/>
        </w:rPr>
        <w:t xml:space="preserve"> </w:t>
      </w:r>
      <w:r w:rsidRPr="00416121">
        <w:rPr>
          <w:rFonts w:eastAsia="Calibri"/>
          <w:i/>
        </w:rPr>
        <w:t>Wall Street Journal</w:t>
      </w:r>
      <w:r w:rsidRPr="00416121">
        <w:rPr>
          <w:rFonts w:eastAsia="Calibri"/>
        </w:rPr>
        <w:t>, accessed June 15, 2018, https://quotes.wsj.com/BRKB/financials/annual/income-statement.</w:t>
      </w:r>
    </w:p>
    <w:p w14:paraId="3343BBF7" w14:textId="19AB5EDB" w:rsidR="00BA7CAE" w:rsidRPr="00416121" w:rsidRDefault="00BA7CAE">
      <w:pPr>
        <w:spacing w:after="200" w:line="276" w:lineRule="auto"/>
        <w:rPr>
          <w:rFonts w:ascii="Arial" w:eastAsia="Calibri" w:hAnsi="Arial" w:cs="Arial"/>
        </w:rPr>
      </w:pPr>
      <w:r w:rsidRPr="00416121">
        <w:rPr>
          <w:rFonts w:eastAsia="Calibri"/>
        </w:rPr>
        <w:br w:type="page"/>
      </w:r>
    </w:p>
    <w:p w14:paraId="211D53F5" w14:textId="523A2FEC" w:rsidR="0081057D" w:rsidRPr="00416121" w:rsidRDefault="0081057D" w:rsidP="000977B4">
      <w:pPr>
        <w:pStyle w:val="ExhibitHeading"/>
        <w:rPr>
          <w:rFonts w:eastAsia="Calibri"/>
        </w:rPr>
      </w:pPr>
      <w:r w:rsidRPr="00416121">
        <w:rPr>
          <w:rFonts w:eastAsia="Calibri"/>
        </w:rPr>
        <w:t xml:space="preserve">EXHIBIT </w:t>
      </w:r>
      <w:r w:rsidR="005A1899" w:rsidRPr="00416121">
        <w:rPr>
          <w:rFonts w:eastAsia="Calibri"/>
        </w:rPr>
        <w:t>4</w:t>
      </w:r>
      <w:r w:rsidRPr="00416121">
        <w:rPr>
          <w:rFonts w:eastAsia="Calibri"/>
        </w:rPr>
        <w:t xml:space="preserve">: </w:t>
      </w:r>
      <w:r w:rsidR="00273607" w:rsidRPr="00416121">
        <w:rPr>
          <w:rFonts w:eastAsia="Calibri"/>
        </w:rPr>
        <w:t xml:space="preserve">Berkshire Hathaway </w:t>
      </w:r>
      <w:r w:rsidRPr="00416121">
        <w:rPr>
          <w:rFonts w:eastAsia="Calibri"/>
        </w:rPr>
        <w:t>STATEMENT OF CASH FLOW</w:t>
      </w:r>
      <w:r w:rsidR="00273607">
        <w:rPr>
          <w:rFonts w:eastAsia="Calibri"/>
        </w:rPr>
        <w:t>, 2013–2017</w:t>
      </w:r>
      <w:r w:rsidR="000977B4" w:rsidRPr="00416121">
        <w:rPr>
          <w:rFonts w:eastAsia="Calibri"/>
        </w:rPr>
        <w:t xml:space="preserve"> (in us$ Millions)</w:t>
      </w:r>
    </w:p>
    <w:p w14:paraId="4DFF8CD9" w14:textId="77777777" w:rsidR="00780208" w:rsidRPr="00416121" w:rsidRDefault="00780208" w:rsidP="00780208">
      <w:pPr>
        <w:pStyle w:val="ExhibitText"/>
        <w:rPr>
          <w:rFonts w:eastAsia="Calibri"/>
        </w:rPr>
      </w:pPr>
    </w:p>
    <w:tbl>
      <w:tblPr>
        <w:tblW w:w="4996" w:type="pct"/>
        <w:tblInd w:w="-10" w:type="dxa"/>
        <w:tblBorders>
          <w:top w:val="single" w:sz="4" w:space="0" w:color="auto"/>
          <w:bottom w:val="single" w:sz="4" w:space="0" w:color="auto"/>
        </w:tblBorders>
        <w:tblLook w:val="04A0" w:firstRow="1" w:lastRow="0" w:firstColumn="1" w:lastColumn="0" w:noHBand="0" w:noVBand="1"/>
      </w:tblPr>
      <w:tblGrid>
        <w:gridCol w:w="4073"/>
        <w:gridCol w:w="1056"/>
        <w:gridCol w:w="1056"/>
        <w:gridCol w:w="1056"/>
        <w:gridCol w:w="1056"/>
        <w:gridCol w:w="1056"/>
      </w:tblGrid>
      <w:tr w:rsidR="00707A9E" w:rsidRPr="00416121" w14:paraId="1534450A" w14:textId="77777777" w:rsidTr="00707A9E">
        <w:trPr>
          <w:trHeight w:val="288"/>
        </w:trPr>
        <w:tc>
          <w:tcPr>
            <w:tcW w:w="4067" w:type="dxa"/>
            <w:tcBorders>
              <w:top w:val="single" w:sz="4" w:space="0" w:color="auto"/>
              <w:bottom w:val="single" w:sz="12" w:space="0" w:color="auto"/>
            </w:tcBorders>
            <w:shd w:val="clear" w:color="auto" w:fill="auto"/>
            <w:vAlign w:val="center"/>
            <w:hideMark/>
          </w:tcPr>
          <w:p w14:paraId="3C22CD6B" w14:textId="6F1E084E" w:rsidR="00707A9E" w:rsidRPr="00416121" w:rsidRDefault="00707A9E" w:rsidP="00707A9E">
            <w:pPr>
              <w:pStyle w:val="ExhibitText"/>
              <w:jc w:val="left"/>
              <w:rPr>
                <w:b/>
                <w:sz w:val="18"/>
                <w:szCs w:val="18"/>
                <w:lang w:eastAsia="en-IN"/>
              </w:rPr>
            </w:pPr>
          </w:p>
        </w:tc>
        <w:tc>
          <w:tcPr>
            <w:tcW w:w="1054" w:type="dxa"/>
            <w:tcBorders>
              <w:top w:val="single" w:sz="4" w:space="0" w:color="auto"/>
              <w:bottom w:val="single" w:sz="12" w:space="0" w:color="auto"/>
            </w:tcBorders>
            <w:vAlign w:val="center"/>
          </w:tcPr>
          <w:p w14:paraId="5BA1F65A" w14:textId="450801DE" w:rsidR="00707A9E" w:rsidRPr="00416121" w:rsidRDefault="00707A9E" w:rsidP="00707A9E">
            <w:pPr>
              <w:pStyle w:val="ExhibitText"/>
              <w:jc w:val="center"/>
              <w:rPr>
                <w:b/>
                <w:color w:val="333333"/>
                <w:sz w:val="18"/>
                <w:szCs w:val="18"/>
                <w:lang w:eastAsia="en-IN"/>
              </w:rPr>
            </w:pPr>
            <w:r w:rsidRPr="00416121">
              <w:rPr>
                <w:b/>
                <w:color w:val="333333"/>
                <w:sz w:val="18"/>
                <w:szCs w:val="18"/>
                <w:lang w:eastAsia="en-IN"/>
              </w:rPr>
              <w:t>2013</w:t>
            </w:r>
          </w:p>
        </w:tc>
        <w:tc>
          <w:tcPr>
            <w:tcW w:w="1054" w:type="dxa"/>
            <w:tcBorders>
              <w:top w:val="single" w:sz="4" w:space="0" w:color="auto"/>
              <w:bottom w:val="single" w:sz="12" w:space="0" w:color="auto"/>
            </w:tcBorders>
            <w:vAlign w:val="center"/>
          </w:tcPr>
          <w:p w14:paraId="1BA7827C" w14:textId="45ACC6EB" w:rsidR="00707A9E" w:rsidRPr="00416121" w:rsidRDefault="00707A9E" w:rsidP="00707A9E">
            <w:pPr>
              <w:pStyle w:val="ExhibitText"/>
              <w:jc w:val="center"/>
              <w:rPr>
                <w:b/>
                <w:color w:val="333333"/>
                <w:sz w:val="18"/>
                <w:szCs w:val="18"/>
                <w:lang w:eastAsia="en-IN"/>
              </w:rPr>
            </w:pPr>
            <w:r w:rsidRPr="00416121">
              <w:rPr>
                <w:b/>
                <w:color w:val="333333"/>
                <w:sz w:val="18"/>
                <w:szCs w:val="18"/>
                <w:lang w:eastAsia="en-IN"/>
              </w:rPr>
              <w:t>2014</w:t>
            </w:r>
          </w:p>
        </w:tc>
        <w:tc>
          <w:tcPr>
            <w:tcW w:w="1054" w:type="dxa"/>
            <w:tcBorders>
              <w:top w:val="single" w:sz="4" w:space="0" w:color="auto"/>
              <w:bottom w:val="single" w:sz="12" w:space="0" w:color="auto"/>
            </w:tcBorders>
            <w:vAlign w:val="center"/>
          </w:tcPr>
          <w:p w14:paraId="28CE1F6E" w14:textId="40FF94C8" w:rsidR="00707A9E" w:rsidRPr="00416121" w:rsidRDefault="00707A9E" w:rsidP="00707A9E">
            <w:pPr>
              <w:pStyle w:val="ExhibitText"/>
              <w:jc w:val="center"/>
              <w:rPr>
                <w:b/>
                <w:color w:val="333333"/>
                <w:sz w:val="18"/>
                <w:szCs w:val="18"/>
                <w:lang w:eastAsia="en-IN"/>
              </w:rPr>
            </w:pPr>
            <w:r w:rsidRPr="00416121">
              <w:rPr>
                <w:b/>
                <w:color w:val="333333"/>
                <w:sz w:val="18"/>
                <w:szCs w:val="18"/>
                <w:lang w:eastAsia="en-IN"/>
              </w:rPr>
              <w:t>2015</w:t>
            </w:r>
          </w:p>
        </w:tc>
        <w:tc>
          <w:tcPr>
            <w:tcW w:w="1054" w:type="dxa"/>
            <w:tcBorders>
              <w:top w:val="single" w:sz="4" w:space="0" w:color="auto"/>
              <w:bottom w:val="single" w:sz="12" w:space="0" w:color="auto"/>
            </w:tcBorders>
            <w:vAlign w:val="center"/>
          </w:tcPr>
          <w:p w14:paraId="4561C05F" w14:textId="736AE80A" w:rsidR="00707A9E" w:rsidRPr="00416121" w:rsidRDefault="00707A9E" w:rsidP="00707A9E">
            <w:pPr>
              <w:pStyle w:val="ExhibitText"/>
              <w:jc w:val="center"/>
              <w:rPr>
                <w:b/>
                <w:color w:val="333333"/>
                <w:sz w:val="18"/>
                <w:szCs w:val="18"/>
                <w:lang w:eastAsia="en-IN"/>
              </w:rPr>
            </w:pPr>
            <w:r w:rsidRPr="00416121">
              <w:rPr>
                <w:b/>
                <w:color w:val="333333"/>
                <w:sz w:val="18"/>
                <w:szCs w:val="18"/>
                <w:lang w:eastAsia="en-IN"/>
              </w:rPr>
              <w:t>2016</w:t>
            </w:r>
          </w:p>
        </w:tc>
        <w:tc>
          <w:tcPr>
            <w:tcW w:w="1054" w:type="dxa"/>
            <w:tcBorders>
              <w:top w:val="single" w:sz="4" w:space="0" w:color="auto"/>
              <w:bottom w:val="single" w:sz="12" w:space="0" w:color="auto"/>
            </w:tcBorders>
            <w:shd w:val="clear" w:color="auto" w:fill="auto"/>
            <w:vAlign w:val="center"/>
            <w:hideMark/>
          </w:tcPr>
          <w:p w14:paraId="1E2F48C1" w14:textId="60A21739" w:rsidR="00707A9E" w:rsidRPr="00416121" w:rsidRDefault="00707A9E" w:rsidP="00707A9E">
            <w:pPr>
              <w:pStyle w:val="ExhibitText"/>
              <w:jc w:val="center"/>
              <w:rPr>
                <w:b/>
                <w:color w:val="333333"/>
                <w:sz w:val="18"/>
                <w:szCs w:val="18"/>
                <w:lang w:eastAsia="en-IN"/>
              </w:rPr>
            </w:pPr>
            <w:r w:rsidRPr="00416121">
              <w:rPr>
                <w:b/>
                <w:color w:val="333333"/>
                <w:sz w:val="18"/>
                <w:szCs w:val="18"/>
                <w:lang w:eastAsia="en-IN"/>
              </w:rPr>
              <w:t>2017</w:t>
            </w:r>
          </w:p>
        </w:tc>
      </w:tr>
      <w:tr w:rsidR="00707A9E" w:rsidRPr="00416121" w14:paraId="79DB2820" w14:textId="77777777" w:rsidTr="00707A9E">
        <w:trPr>
          <w:trHeight w:val="288"/>
        </w:trPr>
        <w:tc>
          <w:tcPr>
            <w:tcW w:w="4067" w:type="dxa"/>
            <w:tcBorders>
              <w:top w:val="single" w:sz="12" w:space="0" w:color="auto"/>
            </w:tcBorders>
            <w:shd w:val="clear" w:color="auto" w:fill="auto"/>
            <w:vAlign w:val="center"/>
            <w:hideMark/>
          </w:tcPr>
          <w:p w14:paraId="11495FD6" w14:textId="77777777" w:rsidR="00707A9E" w:rsidRPr="00416121" w:rsidRDefault="00707A9E" w:rsidP="00707A9E">
            <w:pPr>
              <w:pStyle w:val="ExhibitText"/>
              <w:jc w:val="left"/>
              <w:rPr>
                <w:b/>
                <w:sz w:val="18"/>
                <w:szCs w:val="18"/>
                <w:lang w:eastAsia="en-IN"/>
              </w:rPr>
            </w:pPr>
            <w:r w:rsidRPr="00416121">
              <w:rPr>
                <w:b/>
                <w:sz w:val="18"/>
                <w:szCs w:val="18"/>
                <w:lang w:eastAsia="en-IN"/>
              </w:rPr>
              <w:t>Operating Activities</w:t>
            </w:r>
          </w:p>
        </w:tc>
        <w:tc>
          <w:tcPr>
            <w:tcW w:w="1054" w:type="dxa"/>
            <w:tcBorders>
              <w:top w:val="single" w:sz="12" w:space="0" w:color="auto"/>
            </w:tcBorders>
            <w:vAlign w:val="center"/>
          </w:tcPr>
          <w:p w14:paraId="6C752F79" w14:textId="6E318EB8" w:rsidR="00707A9E" w:rsidRPr="00416121" w:rsidRDefault="00707A9E" w:rsidP="00707A9E">
            <w:pPr>
              <w:pStyle w:val="ExhibitText"/>
              <w:jc w:val="right"/>
              <w:rPr>
                <w:b/>
                <w:color w:val="333333"/>
                <w:sz w:val="18"/>
                <w:szCs w:val="18"/>
                <w:lang w:eastAsia="en-IN"/>
              </w:rPr>
            </w:pPr>
          </w:p>
        </w:tc>
        <w:tc>
          <w:tcPr>
            <w:tcW w:w="1054" w:type="dxa"/>
            <w:tcBorders>
              <w:top w:val="single" w:sz="12" w:space="0" w:color="auto"/>
            </w:tcBorders>
            <w:vAlign w:val="center"/>
          </w:tcPr>
          <w:p w14:paraId="7C8CFF3E" w14:textId="7E3D28BE" w:rsidR="00707A9E" w:rsidRPr="00416121" w:rsidRDefault="00707A9E" w:rsidP="00707A9E">
            <w:pPr>
              <w:pStyle w:val="ExhibitText"/>
              <w:jc w:val="right"/>
              <w:rPr>
                <w:b/>
                <w:color w:val="333333"/>
                <w:sz w:val="18"/>
                <w:szCs w:val="18"/>
                <w:lang w:eastAsia="en-IN"/>
              </w:rPr>
            </w:pPr>
          </w:p>
        </w:tc>
        <w:tc>
          <w:tcPr>
            <w:tcW w:w="1054" w:type="dxa"/>
            <w:tcBorders>
              <w:top w:val="single" w:sz="12" w:space="0" w:color="auto"/>
            </w:tcBorders>
            <w:vAlign w:val="center"/>
          </w:tcPr>
          <w:p w14:paraId="23734CF4" w14:textId="0B5103A1" w:rsidR="00707A9E" w:rsidRPr="00416121" w:rsidRDefault="00707A9E" w:rsidP="00707A9E">
            <w:pPr>
              <w:pStyle w:val="ExhibitText"/>
              <w:jc w:val="right"/>
              <w:rPr>
                <w:b/>
                <w:color w:val="333333"/>
                <w:sz w:val="18"/>
                <w:szCs w:val="18"/>
                <w:lang w:eastAsia="en-IN"/>
              </w:rPr>
            </w:pPr>
          </w:p>
        </w:tc>
        <w:tc>
          <w:tcPr>
            <w:tcW w:w="1054" w:type="dxa"/>
            <w:tcBorders>
              <w:top w:val="single" w:sz="12" w:space="0" w:color="auto"/>
            </w:tcBorders>
            <w:vAlign w:val="center"/>
          </w:tcPr>
          <w:p w14:paraId="5C78DA97" w14:textId="3E04DBAE" w:rsidR="00707A9E" w:rsidRPr="00416121" w:rsidRDefault="00707A9E" w:rsidP="00707A9E">
            <w:pPr>
              <w:pStyle w:val="ExhibitText"/>
              <w:jc w:val="right"/>
              <w:rPr>
                <w:b/>
                <w:color w:val="333333"/>
                <w:sz w:val="18"/>
                <w:szCs w:val="18"/>
                <w:lang w:eastAsia="en-IN"/>
              </w:rPr>
            </w:pPr>
          </w:p>
        </w:tc>
        <w:tc>
          <w:tcPr>
            <w:tcW w:w="1054" w:type="dxa"/>
            <w:tcBorders>
              <w:top w:val="single" w:sz="12" w:space="0" w:color="auto"/>
            </w:tcBorders>
            <w:shd w:val="clear" w:color="auto" w:fill="auto"/>
            <w:vAlign w:val="center"/>
            <w:hideMark/>
          </w:tcPr>
          <w:p w14:paraId="46EE47FE" w14:textId="5B6C71C9" w:rsidR="00707A9E" w:rsidRPr="00416121" w:rsidRDefault="00707A9E" w:rsidP="00707A9E">
            <w:pPr>
              <w:pStyle w:val="ExhibitText"/>
              <w:jc w:val="right"/>
              <w:rPr>
                <w:b/>
                <w:color w:val="333333"/>
                <w:sz w:val="18"/>
                <w:szCs w:val="18"/>
                <w:lang w:eastAsia="en-IN"/>
              </w:rPr>
            </w:pPr>
          </w:p>
        </w:tc>
      </w:tr>
      <w:tr w:rsidR="00707A9E" w:rsidRPr="00416121" w14:paraId="6EF940B2" w14:textId="77777777" w:rsidTr="00707A9E">
        <w:trPr>
          <w:trHeight w:val="288"/>
        </w:trPr>
        <w:tc>
          <w:tcPr>
            <w:tcW w:w="4067" w:type="dxa"/>
            <w:shd w:val="clear" w:color="auto" w:fill="auto"/>
            <w:vAlign w:val="center"/>
            <w:hideMark/>
          </w:tcPr>
          <w:p w14:paraId="679F5540" w14:textId="77777777" w:rsidR="00707A9E" w:rsidRPr="00416121" w:rsidRDefault="00707A9E" w:rsidP="00067EBE">
            <w:pPr>
              <w:pStyle w:val="ExhibitText"/>
              <w:ind w:left="144"/>
              <w:jc w:val="left"/>
              <w:rPr>
                <w:sz w:val="18"/>
                <w:szCs w:val="18"/>
                <w:lang w:eastAsia="en-IN"/>
              </w:rPr>
            </w:pPr>
            <w:r w:rsidRPr="00416121">
              <w:rPr>
                <w:sz w:val="18"/>
                <w:szCs w:val="18"/>
                <w:lang w:eastAsia="en-IN"/>
              </w:rPr>
              <w:t>Net Income before Extra-ordinaries</w:t>
            </w:r>
          </w:p>
        </w:tc>
        <w:tc>
          <w:tcPr>
            <w:tcW w:w="1054" w:type="dxa"/>
            <w:vAlign w:val="center"/>
          </w:tcPr>
          <w:p w14:paraId="4DA25FFE" w14:textId="2C7D118D" w:rsidR="00707A9E" w:rsidRPr="00416121" w:rsidRDefault="00707A9E" w:rsidP="00707A9E">
            <w:pPr>
              <w:pStyle w:val="ExhibitText"/>
              <w:jc w:val="right"/>
              <w:rPr>
                <w:sz w:val="18"/>
                <w:szCs w:val="18"/>
                <w:lang w:eastAsia="en-IN"/>
              </w:rPr>
            </w:pPr>
            <w:r w:rsidRPr="00416121">
              <w:rPr>
                <w:sz w:val="18"/>
                <w:szCs w:val="18"/>
                <w:lang w:eastAsia="en-IN"/>
              </w:rPr>
              <w:t>19,845</w:t>
            </w:r>
          </w:p>
        </w:tc>
        <w:tc>
          <w:tcPr>
            <w:tcW w:w="1054" w:type="dxa"/>
            <w:vAlign w:val="center"/>
          </w:tcPr>
          <w:p w14:paraId="6243AC33" w14:textId="1C481C62" w:rsidR="00707A9E" w:rsidRPr="00416121" w:rsidRDefault="00707A9E" w:rsidP="00707A9E">
            <w:pPr>
              <w:pStyle w:val="ExhibitText"/>
              <w:jc w:val="right"/>
              <w:rPr>
                <w:sz w:val="18"/>
                <w:szCs w:val="18"/>
                <w:lang w:eastAsia="en-IN"/>
              </w:rPr>
            </w:pPr>
            <w:r w:rsidRPr="00416121">
              <w:rPr>
                <w:sz w:val="18"/>
                <w:szCs w:val="18"/>
                <w:lang w:eastAsia="en-IN"/>
              </w:rPr>
              <w:t>20,170</w:t>
            </w:r>
          </w:p>
        </w:tc>
        <w:tc>
          <w:tcPr>
            <w:tcW w:w="1054" w:type="dxa"/>
            <w:vAlign w:val="center"/>
          </w:tcPr>
          <w:p w14:paraId="77D3AC7C" w14:textId="7BD76023" w:rsidR="00707A9E" w:rsidRPr="00416121" w:rsidRDefault="00707A9E" w:rsidP="00707A9E">
            <w:pPr>
              <w:pStyle w:val="ExhibitText"/>
              <w:jc w:val="right"/>
              <w:rPr>
                <w:sz w:val="18"/>
                <w:szCs w:val="18"/>
                <w:lang w:eastAsia="en-IN"/>
              </w:rPr>
            </w:pPr>
            <w:r w:rsidRPr="00416121">
              <w:rPr>
                <w:sz w:val="18"/>
                <w:szCs w:val="18"/>
                <w:lang w:eastAsia="en-IN"/>
              </w:rPr>
              <w:t>24,414</w:t>
            </w:r>
          </w:p>
        </w:tc>
        <w:tc>
          <w:tcPr>
            <w:tcW w:w="1054" w:type="dxa"/>
            <w:vAlign w:val="center"/>
          </w:tcPr>
          <w:p w14:paraId="399C450E" w14:textId="3B6EE3E3" w:rsidR="00707A9E" w:rsidRPr="00416121" w:rsidRDefault="00707A9E" w:rsidP="00707A9E">
            <w:pPr>
              <w:pStyle w:val="ExhibitText"/>
              <w:jc w:val="right"/>
              <w:rPr>
                <w:sz w:val="18"/>
                <w:szCs w:val="18"/>
                <w:lang w:eastAsia="en-IN"/>
              </w:rPr>
            </w:pPr>
            <w:r w:rsidRPr="00416121">
              <w:rPr>
                <w:sz w:val="18"/>
                <w:szCs w:val="18"/>
                <w:lang w:eastAsia="en-IN"/>
              </w:rPr>
              <w:t>24,427</w:t>
            </w:r>
          </w:p>
        </w:tc>
        <w:tc>
          <w:tcPr>
            <w:tcW w:w="1054" w:type="dxa"/>
            <w:shd w:val="clear" w:color="auto" w:fill="auto"/>
            <w:vAlign w:val="center"/>
            <w:hideMark/>
          </w:tcPr>
          <w:p w14:paraId="66965B61" w14:textId="2366CB91" w:rsidR="00707A9E" w:rsidRPr="00416121" w:rsidRDefault="00707A9E" w:rsidP="00707A9E">
            <w:pPr>
              <w:pStyle w:val="ExhibitText"/>
              <w:jc w:val="right"/>
              <w:rPr>
                <w:sz w:val="18"/>
                <w:szCs w:val="18"/>
                <w:lang w:eastAsia="en-IN"/>
              </w:rPr>
            </w:pPr>
            <w:r w:rsidRPr="00416121">
              <w:rPr>
                <w:sz w:val="18"/>
                <w:szCs w:val="18"/>
                <w:lang w:eastAsia="en-IN"/>
              </w:rPr>
              <w:t>45,353</w:t>
            </w:r>
          </w:p>
        </w:tc>
      </w:tr>
      <w:tr w:rsidR="00707A9E" w:rsidRPr="00416121" w14:paraId="1919E7F7" w14:textId="77777777" w:rsidTr="00707A9E">
        <w:trPr>
          <w:trHeight w:val="288"/>
        </w:trPr>
        <w:tc>
          <w:tcPr>
            <w:tcW w:w="4067" w:type="dxa"/>
            <w:shd w:val="clear" w:color="auto" w:fill="auto"/>
            <w:vAlign w:val="center"/>
            <w:hideMark/>
          </w:tcPr>
          <w:p w14:paraId="6B33CFA4" w14:textId="77777777" w:rsidR="00707A9E" w:rsidRPr="00416121" w:rsidRDefault="00707A9E" w:rsidP="00067EBE">
            <w:pPr>
              <w:pStyle w:val="ExhibitText"/>
              <w:ind w:left="144"/>
              <w:jc w:val="left"/>
              <w:rPr>
                <w:sz w:val="18"/>
                <w:szCs w:val="18"/>
                <w:lang w:eastAsia="en-IN"/>
              </w:rPr>
            </w:pPr>
            <w:r w:rsidRPr="00416121">
              <w:rPr>
                <w:sz w:val="18"/>
                <w:szCs w:val="18"/>
                <w:lang w:eastAsia="en-IN"/>
              </w:rPr>
              <w:t>Depreciation, Depletion &amp; Amortization</w:t>
            </w:r>
          </w:p>
        </w:tc>
        <w:tc>
          <w:tcPr>
            <w:tcW w:w="1054" w:type="dxa"/>
            <w:vAlign w:val="center"/>
          </w:tcPr>
          <w:p w14:paraId="3F1CF807" w14:textId="5517212B" w:rsidR="00707A9E" w:rsidRPr="00416121" w:rsidRDefault="00707A9E" w:rsidP="00707A9E">
            <w:pPr>
              <w:pStyle w:val="ExhibitText"/>
              <w:jc w:val="right"/>
              <w:rPr>
                <w:sz w:val="18"/>
                <w:szCs w:val="18"/>
                <w:lang w:eastAsia="en-IN"/>
              </w:rPr>
            </w:pPr>
            <w:r w:rsidRPr="00416121">
              <w:rPr>
                <w:sz w:val="18"/>
                <w:szCs w:val="18"/>
                <w:lang w:eastAsia="en-IN"/>
              </w:rPr>
              <w:t>6,508</w:t>
            </w:r>
          </w:p>
        </w:tc>
        <w:tc>
          <w:tcPr>
            <w:tcW w:w="1054" w:type="dxa"/>
            <w:vAlign w:val="center"/>
          </w:tcPr>
          <w:p w14:paraId="6F2D84FF" w14:textId="1575ACD4" w:rsidR="00707A9E" w:rsidRPr="00416121" w:rsidRDefault="00707A9E" w:rsidP="00707A9E">
            <w:pPr>
              <w:pStyle w:val="ExhibitText"/>
              <w:jc w:val="right"/>
              <w:rPr>
                <w:sz w:val="18"/>
                <w:szCs w:val="18"/>
                <w:lang w:eastAsia="en-IN"/>
              </w:rPr>
            </w:pPr>
            <w:r w:rsidRPr="00416121">
              <w:rPr>
                <w:sz w:val="18"/>
                <w:szCs w:val="18"/>
                <w:lang w:eastAsia="en-IN"/>
              </w:rPr>
              <w:t>7,370</w:t>
            </w:r>
          </w:p>
        </w:tc>
        <w:tc>
          <w:tcPr>
            <w:tcW w:w="1054" w:type="dxa"/>
            <w:vAlign w:val="center"/>
          </w:tcPr>
          <w:p w14:paraId="54F574C2" w14:textId="10902B95" w:rsidR="00707A9E" w:rsidRPr="00416121" w:rsidRDefault="00707A9E" w:rsidP="00707A9E">
            <w:pPr>
              <w:pStyle w:val="ExhibitText"/>
              <w:jc w:val="right"/>
              <w:rPr>
                <w:sz w:val="18"/>
                <w:szCs w:val="18"/>
                <w:lang w:eastAsia="en-IN"/>
              </w:rPr>
            </w:pPr>
            <w:r w:rsidRPr="00416121">
              <w:rPr>
                <w:sz w:val="18"/>
                <w:szCs w:val="18"/>
                <w:lang w:eastAsia="en-IN"/>
              </w:rPr>
              <w:t>7,779</w:t>
            </w:r>
          </w:p>
        </w:tc>
        <w:tc>
          <w:tcPr>
            <w:tcW w:w="1054" w:type="dxa"/>
            <w:vAlign w:val="center"/>
          </w:tcPr>
          <w:p w14:paraId="3BA0BE9E" w14:textId="28293CCE" w:rsidR="00707A9E" w:rsidRPr="00416121" w:rsidRDefault="00707A9E" w:rsidP="00707A9E">
            <w:pPr>
              <w:pStyle w:val="ExhibitText"/>
              <w:jc w:val="right"/>
              <w:rPr>
                <w:sz w:val="18"/>
                <w:szCs w:val="18"/>
                <w:lang w:eastAsia="en-IN"/>
              </w:rPr>
            </w:pPr>
            <w:r w:rsidRPr="00416121">
              <w:rPr>
                <w:sz w:val="18"/>
                <w:szCs w:val="18"/>
                <w:lang w:eastAsia="en-IN"/>
              </w:rPr>
              <w:t>8,901</w:t>
            </w:r>
          </w:p>
        </w:tc>
        <w:tc>
          <w:tcPr>
            <w:tcW w:w="1054" w:type="dxa"/>
            <w:shd w:val="clear" w:color="auto" w:fill="auto"/>
            <w:vAlign w:val="center"/>
            <w:hideMark/>
          </w:tcPr>
          <w:p w14:paraId="3DB1C4D5" w14:textId="3B11F996" w:rsidR="00707A9E" w:rsidRPr="00416121" w:rsidRDefault="00707A9E" w:rsidP="00707A9E">
            <w:pPr>
              <w:pStyle w:val="ExhibitText"/>
              <w:jc w:val="right"/>
              <w:rPr>
                <w:sz w:val="18"/>
                <w:szCs w:val="18"/>
                <w:lang w:eastAsia="en-IN"/>
              </w:rPr>
            </w:pPr>
            <w:r w:rsidRPr="00416121">
              <w:rPr>
                <w:sz w:val="18"/>
                <w:szCs w:val="18"/>
                <w:lang w:eastAsia="en-IN"/>
              </w:rPr>
              <w:t>9,188</w:t>
            </w:r>
          </w:p>
        </w:tc>
      </w:tr>
      <w:tr w:rsidR="00707A9E" w:rsidRPr="00416121" w14:paraId="7B1FCD3A" w14:textId="77777777" w:rsidTr="00707A9E">
        <w:trPr>
          <w:trHeight w:val="288"/>
        </w:trPr>
        <w:tc>
          <w:tcPr>
            <w:tcW w:w="4067" w:type="dxa"/>
            <w:shd w:val="clear" w:color="auto" w:fill="auto"/>
            <w:vAlign w:val="center"/>
            <w:hideMark/>
          </w:tcPr>
          <w:p w14:paraId="11E4B0AC" w14:textId="77777777" w:rsidR="00707A9E" w:rsidRPr="00416121" w:rsidRDefault="00707A9E" w:rsidP="00067EBE">
            <w:pPr>
              <w:pStyle w:val="ExhibitText"/>
              <w:ind w:left="144"/>
              <w:jc w:val="left"/>
              <w:rPr>
                <w:sz w:val="18"/>
                <w:szCs w:val="18"/>
                <w:lang w:eastAsia="en-IN"/>
              </w:rPr>
            </w:pPr>
            <w:r w:rsidRPr="00416121">
              <w:rPr>
                <w:sz w:val="18"/>
                <w:szCs w:val="18"/>
                <w:lang w:eastAsia="en-IN"/>
              </w:rPr>
              <w:t>Other Funds</w:t>
            </w:r>
          </w:p>
        </w:tc>
        <w:tc>
          <w:tcPr>
            <w:tcW w:w="1054" w:type="dxa"/>
            <w:vAlign w:val="center"/>
          </w:tcPr>
          <w:p w14:paraId="79C39485" w14:textId="5FE224CE" w:rsidR="00707A9E" w:rsidRPr="00416121" w:rsidRDefault="00D931A4" w:rsidP="00707A9E">
            <w:pPr>
              <w:pStyle w:val="ExhibitText"/>
              <w:jc w:val="right"/>
              <w:rPr>
                <w:sz w:val="18"/>
                <w:szCs w:val="18"/>
                <w:lang w:eastAsia="en-IN"/>
              </w:rPr>
            </w:pPr>
            <w:r w:rsidRPr="00416121">
              <w:rPr>
                <w:sz w:val="18"/>
                <w:szCs w:val="18"/>
                <w:lang w:eastAsia="en-IN"/>
              </w:rPr>
              <w:t>−</w:t>
            </w:r>
            <w:r w:rsidR="00707A9E" w:rsidRPr="00416121">
              <w:rPr>
                <w:sz w:val="18"/>
                <w:szCs w:val="18"/>
                <w:lang w:eastAsia="en-IN"/>
              </w:rPr>
              <w:t>3,692</w:t>
            </w:r>
          </w:p>
        </w:tc>
        <w:tc>
          <w:tcPr>
            <w:tcW w:w="1054" w:type="dxa"/>
            <w:vAlign w:val="center"/>
          </w:tcPr>
          <w:p w14:paraId="7639003A" w14:textId="01AAD539" w:rsidR="00707A9E" w:rsidRPr="00416121" w:rsidRDefault="00D931A4" w:rsidP="00707A9E">
            <w:pPr>
              <w:pStyle w:val="ExhibitText"/>
              <w:jc w:val="right"/>
              <w:rPr>
                <w:sz w:val="18"/>
                <w:szCs w:val="18"/>
                <w:lang w:eastAsia="en-IN"/>
              </w:rPr>
            </w:pPr>
            <w:r w:rsidRPr="00416121">
              <w:rPr>
                <w:sz w:val="18"/>
                <w:szCs w:val="18"/>
                <w:lang w:eastAsia="en-IN"/>
              </w:rPr>
              <w:t>−</w:t>
            </w:r>
            <w:r w:rsidR="00707A9E" w:rsidRPr="00416121">
              <w:rPr>
                <w:sz w:val="18"/>
                <w:szCs w:val="18"/>
                <w:lang w:eastAsia="en-IN"/>
              </w:rPr>
              <w:t>3,916</w:t>
            </w:r>
          </w:p>
        </w:tc>
        <w:tc>
          <w:tcPr>
            <w:tcW w:w="1054" w:type="dxa"/>
            <w:vAlign w:val="center"/>
          </w:tcPr>
          <w:p w14:paraId="29D763AD" w14:textId="11C28BC8" w:rsidR="00707A9E" w:rsidRPr="00416121" w:rsidRDefault="00D931A4" w:rsidP="00707A9E">
            <w:pPr>
              <w:pStyle w:val="ExhibitText"/>
              <w:jc w:val="right"/>
              <w:rPr>
                <w:sz w:val="18"/>
                <w:szCs w:val="18"/>
                <w:lang w:eastAsia="en-IN"/>
              </w:rPr>
            </w:pPr>
            <w:r w:rsidRPr="00416121">
              <w:rPr>
                <w:sz w:val="18"/>
                <w:szCs w:val="18"/>
                <w:lang w:eastAsia="en-IN"/>
              </w:rPr>
              <w:t>−</w:t>
            </w:r>
            <w:r w:rsidR="00707A9E" w:rsidRPr="00416121">
              <w:rPr>
                <w:sz w:val="18"/>
                <w:szCs w:val="18"/>
                <w:lang w:eastAsia="en-IN"/>
              </w:rPr>
              <w:t>8,622</w:t>
            </w:r>
          </w:p>
        </w:tc>
        <w:tc>
          <w:tcPr>
            <w:tcW w:w="1054" w:type="dxa"/>
            <w:vAlign w:val="center"/>
          </w:tcPr>
          <w:p w14:paraId="21CC3B40" w14:textId="6F79213E" w:rsidR="00707A9E" w:rsidRPr="00416121" w:rsidRDefault="00D931A4" w:rsidP="00707A9E">
            <w:pPr>
              <w:pStyle w:val="ExhibitText"/>
              <w:jc w:val="right"/>
              <w:rPr>
                <w:sz w:val="18"/>
                <w:szCs w:val="18"/>
                <w:lang w:eastAsia="en-IN"/>
              </w:rPr>
            </w:pPr>
            <w:r w:rsidRPr="00416121">
              <w:rPr>
                <w:sz w:val="18"/>
                <w:szCs w:val="18"/>
                <w:lang w:eastAsia="en-IN"/>
              </w:rPr>
              <w:t>−</w:t>
            </w:r>
            <w:r w:rsidR="00707A9E" w:rsidRPr="00416121">
              <w:rPr>
                <w:sz w:val="18"/>
                <w:szCs w:val="18"/>
                <w:lang w:eastAsia="en-IN"/>
              </w:rPr>
              <w:t>7,714</w:t>
            </w:r>
          </w:p>
        </w:tc>
        <w:tc>
          <w:tcPr>
            <w:tcW w:w="1054" w:type="dxa"/>
            <w:shd w:val="clear" w:color="auto" w:fill="auto"/>
            <w:vAlign w:val="center"/>
            <w:hideMark/>
          </w:tcPr>
          <w:p w14:paraId="0D5A63F8" w14:textId="14FD311A" w:rsidR="00707A9E" w:rsidRPr="00416121" w:rsidRDefault="00D931A4" w:rsidP="00707A9E">
            <w:pPr>
              <w:pStyle w:val="ExhibitText"/>
              <w:jc w:val="right"/>
              <w:rPr>
                <w:sz w:val="18"/>
                <w:szCs w:val="18"/>
                <w:lang w:eastAsia="en-IN"/>
              </w:rPr>
            </w:pPr>
            <w:r w:rsidRPr="00416121">
              <w:rPr>
                <w:sz w:val="18"/>
                <w:szCs w:val="18"/>
                <w:lang w:eastAsia="en-IN"/>
              </w:rPr>
              <w:t>−</w:t>
            </w:r>
            <w:r w:rsidR="00707A9E" w:rsidRPr="00416121">
              <w:rPr>
                <w:sz w:val="18"/>
                <w:szCs w:val="18"/>
                <w:lang w:eastAsia="en-IN"/>
              </w:rPr>
              <w:t>952</w:t>
            </w:r>
          </w:p>
        </w:tc>
      </w:tr>
      <w:tr w:rsidR="00707A9E" w:rsidRPr="00416121" w14:paraId="4A1FE1EC" w14:textId="77777777" w:rsidTr="00707A9E">
        <w:trPr>
          <w:trHeight w:val="288"/>
        </w:trPr>
        <w:tc>
          <w:tcPr>
            <w:tcW w:w="4067" w:type="dxa"/>
            <w:shd w:val="clear" w:color="auto" w:fill="auto"/>
            <w:vAlign w:val="center"/>
            <w:hideMark/>
          </w:tcPr>
          <w:p w14:paraId="0E1134EA" w14:textId="77777777" w:rsidR="00707A9E" w:rsidRPr="00416121" w:rsidRDefault="00707A9E" w:rsidP="00067EBE">
            <w:pPr>
              <w:pStyle w:val="ExhibitText"/>
              <w:ind w:left="144"/>
              <w:jc w:val="left"/>
              <w:rPr>
                <w:sz w:val="18"/>
                <w:szCs w:val="18"/>
                <w:lang w:eastAsia="en-IN"/>
              </w:rPr>
            </w:pPr>
            <w:r w:rsidRPr="00416121">
              <w:rPr>
                <w:sz w:val="18"/>
                <w:szCs w:val="18"/>
                <w:lang w:eastAsia="en-IN"/>
              </w:rPr>
              <w:t>Funds from Operations</w:t>
            </w:r>
          </w:p>
        </w:tc>
        <w:tc>
          <w:tcPr>
            <w:tcW w:w="1054" w:type="dxa"/>
            <w:vAlign w:val="center"/>
          </w:tcPr>
          <w:p w14:paraId="40DD3111" w14:textId="5038C37F" w:rsidR="00707A9E" w:rsidRPr="00416121" w:rsidRDefault="00707A9E" w:rsidP="00707A9E">
            <w:pPr>
              <w:pStyle w:val="ExhibitText"/>
              <w:jc w:val="right"/>
              <w:rPr>
                <w:sz w:val="18"/>
                <w:szCs w:val="18"/>
                <w:lang w:eastAsia="en-IN"/>
              </w:rPr>
            </w:pPr>
            <w:r w:rsidRPr="00416121">
              <w:rPr>
                <w:sz w:val="18"/>
                <w:szCs w:val="18"/>
                <w:lang w:eastAsia="en-IN"/>
              </w:rPr>
              <w:t>22,661</w:t>
            </w:r>
          </w:p>
        </w:tc>
        <w:tc>
          <w:tcPr>
            <w:tcW w:w="1054" w:type="dxa"/>
            <w:vAlign w:val="center"/>
          </w:tcPr>
          <w:p w14:paraId="133EADE6" w14:textId="20E1DE2C" w:rsidR="00707A9E" w:rsidRPr="00416121" w:rsidRDefault="00707A9E" w:rsidP="00707A9E">
            <w:pPr>
              <w:pStyle w:val="ExhibitText"/>
              <w:jc w:val="right"/>
              <w:rPr>
                <w:sz w:val="18"/>
                <w:szCs w:val="18"/>
                <w:lang w:eastAsia="en-IN"/>
              </w:rPr>
            </w:pPr>
            <w:r w:rsidRPr="00416121">
              <w:rPr>
                <w:sz w:val="18"/>
                <w:szCs w:val="18"/>
                <w:lang w:eastAsia="en-IN"/>
              </w:rPr>
              <w:t>23,624</w:t>
            </w:r>
          </w:p>
        </w:tc>
        <w:tc>
          <w:tcPr>
            <w:tcW w:w="1054" w:type="dxa"/>
            <w:vAlign w:val="center"/>
          </w:tcPr>
          <w:p w14:paraId="73B84769" w14:textId="32A139E9" w:rsidR="00707A9E" w:rsidRPr="00416121" w:rsidRDefault="00707A9E" w:rsidP="00707A9E">
            <w:pPr>
              <w:pStyle w:val="ExhibitText"/>
              <w:jc w:val="right"/>
              <w:rPr>
                <w:sz w:val="18"/>
                <w:szCs w:val="18"/>
                <w:lang w:eastAsia="en-IN"/>
              </w:rPr>
            </w:pPr>
            <w:r w:rsidRPr="00416121">
              <w:rPr>
                <w:sz w:val="18"/>
                <w:szCs w:val="18"/>
                <w:lang w:eastAsia="en-IN"/>
              </w:rPr>
              <w:t>23,571</w:t>
            </w:r>
          </w:p>
        </w:tc>
        <w:tc>
          <w:tcPr>
            <w:tcW w:w="1054" w:type="dxa"/>
            <w:vAlign w:val="center"/>
          </w:tcPr>
          <w:p w14:paraId="18E19254" w14:textId="3183DADF" w:rsidR="00707A9E" w:rsidRPr="00416121" w:rsidRDefault="00707A9E" w:rsidP="00707A9E">
            <w:pPr>
              <w:pStyle w:val="ExhibitText"/>
              <w:jc w:val="right"/>
              <w:rPr>
                <w:sz w:val="18"/>
                <w:szCs w:val="18"/>
                <w:lang w:eastAsia="en-IN"/>
              </w:rPr>
            </w:pPr>
            <w:r w:rsidRPr="00416121">
              <w:rPr>
                <w:sz w:val="18"/>
                <w:szCs w:val="18"/>
                <w:lang w:eastAsia="en-IN"/>
              </w:rPr>
              <w:t>25,614</w:t>
            </w:r>
          </w:p>
        </w:tc>
        <w:tc>
          <w:tcPr>
            <w:tcW w:w="1054" w:type="dxa"/>
            <w:shd w:val="clear" w:color="auto" w:fill="auto"/>
            <w:vAlign w:val="center"/>
            <w:hideMark/>
          </w:tcPr>
          <w:p w14:paraId="4527BED0" w14:textId="3309C544" w:rsidR="00707A9E" w:rsidRPr="00416121" w:rsidRDefault="00707A9E" w:rsidP="00707A9E">
            <w:pPr>
              <w:pStyle w:val="ExhibitText"/>
              <w:jc w:val="right"/>
              <w:rPr>
                <w:sz w:val="18"/>
                <w:szCs w:val="18"/>
                <w:lang w:eastAsia="en-IN"/>
              </w:rPr>
            </w:pPr>
            <w:r w:rsidRPr="00416121">
              <w:rPr>
                <w:sz w:val="18"/>
                <w:szCs w:val="18"/>
                <w:lang w:eastAsia="en-IN"/>
              </w:rPr>
              <w:t>53,589</w:t>
            </w:r>
          </w:p>
        </w:tc>
      </w:tr>
      <w:tr w:rsidR="00707A9E" w:rsidRPr="00416121" w14:paraId="0C182578" w14:textId="77777777" w:rsidTr="00707A9E">
        <w:trPr>
          <w:trHeight w:val="288"/>
        </w:trPr>
        <w:tc>
          <w:tcPr>
            <w:tcW w:w="4067" w:type="dxa"/>
            <w:shd w:val="clear" w:color="auto" w:fill="auto"/>
            <w:vAlign w:val="center"/>
            <w:hideMark/>
          </w:tcPr>
          <w:p w14:paraId="442AEA62" w14:textId="77777777" w:rsidR="00707A9E" w:rsidRPr="00416121" w:rsidRDefault="00707A9E" w:rsidP="00067EBE">
            <w:pPr>
              <w:pStyle w:val="ExhibitText"/>
              <w:ind w:left="144"/>
              <w:jc w:val="left"/>
              <w:rPr>
                <w:sz w:val="18"/>
                <w:szCs w:val="18"/>
                <w:lang w:eastAsia="en-IN"/>
              </w:rPr>
            </w:pPr>
            <w:r w:rsidRPr="00416121">
              <w:rPr>
                <w:sz w:val="18"/>
                <w:szCs w:val="18"/>
                <w:lang w:eastAsia="en-IN"/>
              </w:rPr>
              <w:t>Changes in Working Capital</w:t>
            </w:r>
          </w:p>
        </w:tc>
        <w:tc>
          <w:tcPr>
            <w:tcW w:w="1054" w:type="dxa"/>
            <w:vAlign w:val="center"/>
          </w:tcPr>
          <w:p w14:paraId="00D326F3" w14:textId="2CB0B156" w:rsidR="00707A9E" w:rsidRPr="00416121" w:rsidRDefault="00707A9E" w:rsidP="00707A9E">
            <w:pPr>
              <w:pStyle w:val="ExhibitText"/>
              <w:jc w:val="right"/>
              <w:rPr>
                <w:sz w:val="18"/>
                <w:szCs w:val="18"/>
                <w:lang w:eastAsia="en-IN"/>
              </w:rPr>
            </w:pPr>
            <w:r w:rsidRPr="00416121">
              <w:rPr>
                <w:sz w:val="18"/>
                <w:szCs w:val="18"/>
                <w:lang w:eastAsia="en-IN"/>
              </w:rPr>
              <w:t>5,043</w:t>
            </w:r>
          </w:p>
        </w:tc>
        <w:tc>
          <w:tcPr>
            <w:tcW w:w="1054" w:type="dxa"/>
            <w:vAlign w:val="center"/>
          </w:tcPr>
          <w:p w14:paraId="72F6FC41" w14:textId="1415077E" w:rsidR="00707A9E" w:rsidRPr="00416121" w:rsidRDefault="00707A9E" w:rsidP="00707A9E">
            <w:pPr>
              <w:pStyle w:val="ExhibitText"/>
              <w:jc w:val="right"/>
              <w:rPr>
                <w:sz w:val="18"/>
                <w:szCs w:val="18"/>
                <w:lang w:eastAsia="en-IN"/>
              </w:rPr>
            </w:pPr>
            <w:r w:rsidRPr="00416121">
              <w:rPr>
                <w:sz w:val="18"/>
                <w:szCs w:val="18"/>
                <w:lang w:eastAsia="en-IN"/>
              </w:rPr>
              <w:t>8,386</w:t>
            </w:r>
          </w:p>
        </w:tc>
        <w:tc>
          <w:tcPr>
            <w:tcW w:w="1054" w:type="dxa"/>
            <w:vAlign w:val="center"/>
          </w:tcPr>
          <w:p w14:paraId="17626C1E" w14:textId="6E376074" w:rsidR="00707A9E" w:rsidRPr="00416121" w:rsidRDefault="00707A9E" w:rsidP="00707A9E">
            <w:pPr>
              <w:pStyle w:val="ExhibitText"/>
              <w:jc w:val="right"/>
              <w:rPr>
                <w:sz w:val="18"/>
                <w:szCs w:val="18"/>
                <w:lang w:eastAsia="en-IN"/>
              </w:rPr>
            </w:pPr>
            <w:r w:rsidRPr="00416121">
              <w:rPr>
                <w:sz w:val="18"/>
                <w:szCs w:val="18"/>
                <w:lang w:eastAsia="en-IN"/>
              </w:rPr>
              <w:t>7,920</w:t>
            </w:r>
          </w:p>
        </w:tc>
        <w:tc>
          <w:tcPr>
            <w:tcW w:w="1054" w:type="dxa"/>
            <w:vAlign w:val="center"/>
          </w:tcPr>
          <w:p w14:paraId="36AD6B76" w14:textId="2A7063D2" w:rsidR="00707A9E" w:rsidRPr="00416121" w:rsidRDefault="00707A9E" w:rsidP="00707A9E">
            <w:pPr>
              <w:pStyle w:val="ExhibitText"/>
              <w:jc w:val="right"/>
              <w:rPr>
                <w:sz w:val="18"/>
                <w:szCs w:val="18"/>
                <w:lang w:eastAsia="en-IN"/>
              </w:rPr>
            </w:pPr>
            <w:r w:rsidRPr="00416121">
              <w:rPr>
                <w:sz w:val="18"/>
                <w:szCs w:val="18"/>
                <w:lang w:eastAsia="en-IN"/>
              </w:rPr>
              <w:t>6,921</w:t>
            </w:r>
          </w:p>
        </w:tc>
        <w:tc>
          <w:tcPr>
            <w:tcW w:w="1054" w:type="dxa"/>
            <w:shd w:val="clear" w:color="auto" w:fill="auto"/>
            <w:vAlign w:val="center"/>
            <w:hideMark/>
          </w:tcPr>
          <w:p w14:paraId="3D6E8EAA" w14:textId="5051635F" w:rsidR="00707A9E" w:rsidRPr="00416121" w:rsidRDefault="00D931A4" w:rsidP="00707A9E">
            <w:pPr>
              <w:pStyle w:val="ExhibitText"/>
              <w:jc w:val="right"/>
              <w:rPr>
                <w:sz w:val="18"/>
                <w:szCs w:val="18"/>
                <w:lang w:eastAsia="en-IN"/>
              </w:rPr>
            </w:pPr>
            <w:r w:rsidRPr="00416121">
              <w:rPr>
                <w:sz w:val="18"/>
                <w:szCs w:val="18"/>
                <w:lang w:eastAsia="en-IN"/>
              </w:rPr>
              <w:t>−</w:t>
            </w:r>
            <w:r w:rsidR="00707A9E" w:rsidRPr="00416121">
              <w:rPr>
                <w:sz w:val="18"/>
                <w:szCs w:val="18"/>
                <w:lang w:eastAsia="en-IN"/>
              </w:rPr>
              <w:t>7,813</w:t>
            </w:r>
          </w:p>
        </w:tc>
      </w:tr>
      <w:tr w:rsidR="00707A9E" w:rsidRPr="00416121" w14:paraId="4668A81B" w14:textId="77777777" w:rsidTr="00707A9E">
        <w:trPr>
          <w:trHeight w:val="288"/>
        </w:trPr>
        <w:tc>
          <w:tcPr>
            <w:tcW w:w="4067" w:type="dxa"/>
            <w:shd w:val="clear" w:color="auto" w:fill="auto"/>
            <w:vAlign w:val="center"/>
            <w:hideMark/>
          </w:tcPr>
          <w:p w14:paraId="156226D1" w14:textId="77777777" w:rsidR="00707A9E" w:rsidRPr="00416121" w:rsidRDefault="00707A9E" w:rsidP="00067EBE">
            <w:pPr>
              <w:pStyle w:val="ExhibitText"/>
              <w:ind w:left="144"/>
              <w:jc w:val="left"/>
              <w:rPr>
                <w:b/>
                <w:bCs/>
                <w:sz w:val="18"/>
                <w:szCs w:val="18"/>
                <w:lang w:eastAsia="en-IN"/>
              </w:rPr>
            </w:pPr>
            <w:r w:rsidRPr="00416121">
              <w:rPr>
                <w:b/>
                <w:bCs/>
                <w:sz w:val="18"/>
                <w:szCs w:val="18"/>
                <w:lang w:eastAsia="en-IN"/>
              </w:rPr>
              <w:t>Net Operating Cash Flow</w:t>
            </w:r>
          </w:p>
        </w:tc>
        <w:tc>
          <w:tcPr>
            <w:tcW w:w="1054" w:type="dxa"/>
            <w:vAlign w:val="center"/>
          </w:tcPr>
          <w:p w14:paraId="2AC6F589" w14:textId="118FEDB0" w:rsidR="00707A9E" w:rsidRPr="00416121" w:rsidRDefault="00707A9E" w:rsidP="00707A9E">
            <w:pPr>
              <w:pStyle w:val="ExhibitText"/>
              <w:jc w:val="right"/>
              <w:rPr>
                <w:b/>
                <w:bCs/>
                <w:sz w:val="18"/>
                <w:szCs w:val="18"/>
                <w:lang w:eastAsia="en-IN"/>
              </w:rPr>
            </w:pPr>
            <w:r w:rsidRPr="00416121">
              <w:rPr>
                <w:b/>
                <w:bCs/>
                <w:sz w:val="18"/>
                <w:szCs w:val="18"/>
                <w:lang w:eastAsia="en-IN"/>
              </w:rPr>
              <w:t>27,704</w:t>
            </w:r>
          </w:p>
        </w:tc>
        <w:tc>
          <w:tcPr>
            <w:tcW w:w="1054" w:type="dxa"/>
            <w:vAlign w:val="center"/>
          </w:tcPr>
          <w:p w14:paraId="6F5E2C29" w14:textId="05CD2785" w:rsidR="00707A9E" w:rsidRPr="00416121" w:rsidRDefault="00707A9E" w:rsidP="00707A9E">
            <w:pPr>
              <w:pStyle w:val="ExhibitText"/>
              <w:jc w:val="right"/>
              <w:rPr>
                <w:b/>
                <w:bCs/>
                <w:sz w:val="18"/>
                <w:szCs w:val="18"/>
                <w:lang w:eastAsia="en-IN"/>
              </w:rPr>
            </w:pPr>
            <w:r w:rsidRPr="00416121">
              <w:rPr>
                <w:b/>
                <w:bCs/>
                <w:sz w:val="18"/>
                <w:szCs w:val="18"/>
                <w:lang w:eastAsia="en-IN"/>
              </w:rPr>
              <w:t>32,010</w:t>
            </w:r>
          </w:p>
        </w:tc>
        <w:tc>
          <w:tcPr>
            <w:tcW w:w="1054" w:type="dxa"/>
            <w:vAlign w:val="center"/>
          </w:tcPr>
          <w:p w14:paraId="1847A4DC" w14:textId="5D7C46E9" w:rsidR="00707A9E" w:rsidRPr="00416121" w:rsidRDefault="00707A9E" w:rsidP="00707A9E">
            <w:pPr>
              <w:pStyle w:val="ExhibitText"/>
              <w:jc w:val="right"/>
              <w:rPr>
                <w:b/>
                <w:bCs/>
                <w:sz w:val="18"/>
                <w:szCs w:val="18"/>
                <w:lang w:eastAsia="en-IN"/>
              </w:rPr>
            </w:pPr>
            <w:r w:rsidRPr="00416121">
              <w:rPr>
                <w:b/>
                <w:bCs/>
                <w:sz w:val="18"/>
                <w:szCs w:val="18"/>
                <w:lang w:eastAsia="en-IN"/>
              </w:rPr>
              <w:t>31,491</w:t>
            </w:r>
          </w:p>
        </w:tc>
        <w:tc>
          <w:tcPr>
            <w:tcW w:w="1054" w:type="dxa"/>
            <w:vAlign w:val="center"/>
          </w:tcPr>
          <w:p w14:paraId="45B1BDCB" w14:textId="34B23BB8" w:rsidR="00707A9E" w:rsidRPr="00416121" w:rsidRDefault="00707A9E" w:rsidP="00707A9E">
            <w:pPr>
              <w:pStyle w:val="ExhibitText"/>
              <w:jc w:val="right"/>
              <w:rPr>
                <w:b/>
                <w:bCs/>
                <w:sz w:val="18"/>
                <w:szCs w:val="18"/>
                <w:lang w:eastAsia="en-IN"/>
              </w:rPr>
            </w:pPr>
            <w:r w:rsidRPr="00416121">
              <w:rPr>
                <w:b/>
                <w:bCs/>
                <w:sz w:val="18"/>
                <w:szCs w:val="18"/>
                <w:lang w:eastAsia="en-IN"/>
              </w:rPr>
              <w:t>32,535</w:t>
            </w:r>
          </w:p>
        </w:tc>
        <w:tc>
          <w:tcPr>
            <w:tcW w:w="1054" w:type="dxa"/>
            <w:shd w:val="clear" w:color="auto" w:fill="auto"/>
            <w:vAlign w:val="center"/>
            <w:hideMark/>
          </w:tcPr>
          <w:p w14:paraId="7177D892" w14:textId="36005460" w:rsidR="00707A9E" w:rsidRPr="00416121" w:rsidRDefault="00707A9E" w:rsidP="00707A9E">
            <w:pPr>
              <w:pStyle w:val="ExhibitText"/>
              <w:jc w:val="right"/>
              <w:rPr>
                <w:b/>
                <w:bCs/>
                <w:sz w:val="18"/>
                <w:szCs w:val="18"/>
                <w:lang w:eastAsia="en-IN"/>
              </w:rPr>
            </w:pPr>
            <w:r w:rsidRPr="00416121">
              <w:rPr>
                <w:b/>
                <w:bCs/>
                <w:sz w:val="18"/>
                <w:szCs w:val="18"/>
                <w:lang w:eastAsia="en-IN"/>
              </w:rPr>
              <w:t>45,776</w:t>
            </w:r>
          </w:p>
        </w:tc>
      </w:tr>
      <w:tr w:rsidR="00707A9E" w:rsidRPr="00416121" w14:paraId="2BDD420F" w14:textId="77777777" w:rsidTr="00707A9E">
        <w:trPr>
          <w:trHeight w:val="288"/>
        </w:trPr>
        <w:tc>
          <w:tcPr>
            <w:tcW w:w="4067" w:type="dxa"/>
            <w:shd w:val="clear" w:color="auto" w:fill="auto"/>
            <w:vAlign w:val="center"/>
            <w:hideMark/>
          </w:tcPr>
          <w:p w14:paraId="3805FF55" w14:textId="6A56021C" w:rsidR="00707A9E" w:rsidRPr="00416121" w:rsidRDefault="00707A9E" w:rsidP="00707A9E">
            <w:pPr>
              <w:pStyle w:val="ExhibitText"/>
              <w:jc w:val="left"/>
              <w:rPr>
                <w:sz w:val="18"/>
                <w:szCs w:val="18"/>
                <w:lang w:eastAsia="en-IN"/>
              </w:rPr>
            </w:pPr>
          </w:p>
        </w:tc>
        <w:tc>
          <w:tcPr>
            <w:tcW w:w="1054" w:type="dxa"/>
            <w:vAlign w:val="center"/>
          </w:tcPr>
          <w:p w14:paraId="2A2181A1" w14:textId="009BE110" w:rsidR="00707A9E" w:rsidRPr="00416121" w:rsidRDefault="00707A9E" w:rsidP="00707A9E">
            <w:pPr>
              <w:pStyle w:val="ExhibitText"/>
              <w:jc w:val="right"/>
              <w:rPr>
                <w:sz w:val="18"/>
                <w:szCs w:val="18"/>
                <w:lang w:eastAsia="en-IN"/>
              </w:rPr>
            </w:pPr>
          </w:p>
        </w:tc>
        <w:tc>
          <w:tcPr>
            <w:tcW w:w="1054" w:type="dxa"/>
            <w:vAlign w:val="center"/>
          </w:tcPr>
          <w:p w14:paraId="113ACD13" w14:textId="7715E412" w:rsidR="00707A9E" w:rsidRPr="00416121" w:rsidRDefault="00707A9E" w:rsidP="00707A9E">
            <w:pPr>
              <w:pStyle w:val="ExhibitText"/>
              <w:jc w:val="right"/>
              <w:rPr>
                <w:sz w:val="18"/>
                <w:szCs w:val="18"/>
                <w:lang w:eastAsia="en-IN"/>
              </w:rPr>
            </w:pPr>
          </w:p>
        </w:tc>
        <w:tc>
          <w:tcPr>
            <w:tcW w:w="1054" w:type="dxa"/>
            <w:vAlign w:val="center"/>
          </w:tcPr>
          <w:p w14:paraId="13EA2C66" w14:textId="1DDB8EC3" w:rsidR="00707A9E" w:rsidRPr="00416121" w:rsidRDefault="00707A9E" w:rsidP="00707A9E">
            <w:pPr>
              <w:pStyle w:val="ExhibitText"/>
              <w:jc w:val="right"/>
              <w:rPr>
                <w:sz w:val="18"/>
                <w:szCs w:val="18"/>
                <w:lang w:eastAsia="en-IN"/>
              </w:rPr>
            </w:pPr>
          </w:p>
        </w:tc>
        <w:tc>
          <w:tcPr>
            <w:tcW w:w="1054" w:type="dxa"/>
            <w:vAlign w:val="center"/>
          </w:tcPr>
          <w:p w14:paraId="587AD5D2" w14:textId="0B009666" w:rsidR="00707A9E" w:rsidRPr="00416121" w:rsidRDefault="00707A9E" w:rsidP="00707A9E">
            <w:pPr>
              <w:pStyle w:val="ExhibitText"/>
              <w:jc w:val="right"/>
              <w:rPr>
                <w:sz w:val="18"/>
                <w:szCs w:val="18"/>
                <w:lang w:eastAsia="en-IN"/>
              </w:rPr>
            </w:pPr>
          </w:p>
        </w:tc>
        <w:tc>
          <w:tcPr>
            <w:tcW w:w="1054" w:type="dxa"/>
            <w:shd w:val="clear" w:color="auto" w:fill="auto"/>
            <w:vAlign w:val="center"/>
            <w:hideMark/>
          </w:tcPr>
          <w:p w14:paraId="59212C74" w14:textId="30968C71" w:rsidR="00707A9E" w:rsidRPr="00416121" w:rsidRDefault="00707A9E" w:rsidP="00707A9E">
            <w:pPr>
              <w:pStyle w:val="ExhibitText"/>
              <w:jc w:val="right"/>
              <w:rPr>
                <w:sz w:val="18"/>
                <w:szCs w:val="18"/>
                <w:lang w:eastAsia="en-IN"/>
              </w:rPr>
            </w:pPr>
          </w:p>
        </w:tc>
      </w:tr>
      <w:tr w:rsidR="00707A9E" w:rsidRPr="00416121" w14:paraId="6E77CCB9" w14:textId="77777777" w:rsidTr="006333DB">
        <w:trPr>
          <w:trHeight w:val="52"/>
        </w:trPr>
        <w:tc>
          <w:tcPr>
            <w:tcW w:w="4067" w:type="dxa"/>
            <w:shd w:val="clear" w:color="auto" w:fill="auto"/>
            <w:vAlign w:val="center"/>
            <w:hideMark/>
          </w:tcPr>
          <w:p w14:paraId="623C0F9E" w14:textId="77777777" w:rsidR="00707A9E" w:rsidRPr="00416121" w:rsidRDefault="00707A9E" w:rsidP="00707A9E">
            <w:pPr>
              <w:pStyle w:val="ExhibitText"/>
              <w:jc w:val="left"/>
              <w:rPr>
                <w:b/>
                <w:sz w:val="18"/>
                <w:szCs w:val="18"/>
                <w:lang w:eastAsia="en-IN"/>
              </w:rPr>
            </w:pPr>
            <w:r w:rsidRPr="00416121">
              <w:rPr>
                <w:b/>
                <w:sz w:val="18"/>
                <w:szCs w:val="18"/>
                <w:lang w:eastAsia="en-IN"/>
              </w:rPr>
              <w:t>Investing Activities</w:t>
            </w:r>
          </w:p>
        </w:tc>
        <w:tc>
          <w:tcPr>
            <w:tcW w:w="1054" w:type="dxa"/>
            <w:vAlign w:val="center"/>
          </w:tcPr>
          <w:p w14:paraId="7FD9F51B" w14:textId="1A96862C" w:rsidR="00707A9E" w:rsidRPr="00416121" w:rsidRDefault="00707A9E" w:rsidP="00707A9E">
            <w:pPr>
              <w:pStyle w:val="ExhibitText"/>
              <w:jc w:val="right"/>
              <w:rPr>
                <w:b/>
                <w:sz w:val="18"/>
                <w:szCs w:val="18"/>
                <w:lang w:eastAsia="en-IN"/>
              </w:rPr>
            </w:pPr>
          </w:p>
        </w:tc>
        <w:tc>
          <w:tcPr>
            <w:tcW w:w="1054" w:type="dxa"/>
            <w:vAlign w:val="center"/>
          </w:tcPr>
          <w:p w14:paraId="236EBC01" w14:textId="1BA60587" w:rsidR="00707A9E" w:rsidRPr="00416121" w:rsidRDefault="00707A9E" w:rsidP="00707A9E">
            <w:pPr>
              <w:pStyle w:val="ExhibitText"/>
              <w:jc w:val="right"/>
              <w:rPr>
                <w:b/>
                <w:sz w:val="18"/>
                <w:szCs w:val="18"/>
                <w:lang w:eastAsia="en-IN"/>
              </w:rPr>
            </w:pPr>
          </w:p>
        </w:tc>
        <w:tc>
          <w:tcPr>
            <w:tcW w:w="1054" w:type="dxa"/>
            <w:vAlign w:val="center"/>
          </w:tcPr>
          <w:p w14:paraId="787623C3" w14:textId="4B2EC0B8" w:rsidR="00707A9E" w:rsidRPr="00416121" w:rsidRDefault="00707A9E" w:rsidP="00707A9E">
            <w:pPr>
              <w:pStyle w:val="ExhibitText"/>
              <w:jc w:val="right"/>
              <w:rPr>
                <w:b/>
                <w:sz w:val="18"/>
                <w:szCs w:val="18"/>
                <w:lang w:eastAsia="en-IN"/>
              </w:rPr>
            </w:pPr>
          </w:p>
        </w:tc>
        <w:tc>
          <w:tcPr>
            <w:tcW w:w="1054" w:type="dxa"/>
            <w:vAlign w:val="center"/>
          </w:tcPr>
          <w:p w14:paraId="22DB75B6" w14:textId="5BA420EB" w:rsidR="00707A9E" w:rsidRPr="00416121" w:rsidRDefault="00707A9E" w:rsidP="00707A9E">
            <w:pPr>
              <w:pStyle w:val="ExhibitText"/>
              <w:jc w:val="right"/>
              <w:rPr>
                <w:b/>
                <w:sz w:val="18"/>
                <w:szCs w:val="18"/>
                <w:lang w:eastAsia="en-IN"/>
              </w:rPr>
            </w:pPr>
          </w:p>
        </w:tc>
        <w:tc>
          <w:tcPr>
            <w:tcW w:w="1054" w:type="dxa"/>
            <w:shd w:val="clear" w:color="auto" w:fill="auto"/>
            <w:noWrap/>
            <w:vAlign w:val="center"/>
            <w:hideMark/>
          </w:tcPr>
          <w:p w14:paraId="35300165" w14:textId="428FBB8D" w:rsidR="00707A9E" w:rsidRPr="00416121" w:rsidRDefault="00707A9E" w:rsidP="00707A9E">
            <w:pPr>
              <w:pStyle w:val="ExhibitText"/>
              <w:jc w:val="right"/>
              <w:rPr>
                <w:b/>
                <w:sz w:val="18"/>
                <w:szCs w:val="18"/>
                <w:lang w:eastAsia="en-IN"/>
              </w:rPr>
            </w:pPr>
          </w:p>
        </w:tc>
      </w:tr>
      <w:tr w:rsidR="00707A9E" w:rsidRPr="00416121" w14:paraId="746B7895" w14:textId="77777777" w:rsidTr="00707A9E">
        <w:trPr>
          <w:trHeight w:val="288"/>
        </w:trPr>
        <w:tc>
          <w:tcPr>
            <w:tcW w:w="4067" w:type="dxa"/>
            <w:shd w:val="clear" w:color="auto" w:fill="auto"/>
            <w:vAlign w:val="center"/>
            <w:hideMark/>
          </w:tcPr>
          <w:p w14:paraId="04F5D869" w14:textId="77777777" w:rsidR="00707A9E" w:rsidRPr="00416121" w:rsidRDefault="00707A9E" w:rsidP="00067EBE">
            <w:pPr>
              <w:pStyle w:val="ExhibitText"/>
              <w:ind w:left="144"/>
              <w:jc w:val="left"/>
              <w:rPr>
                <w:sz w:val="18"/>
                <w:szCs w:val="18"/>
                <w:lang w:eastAsia="en-IN"/>
              </w:rPr>
            </w:pPr>
            <w:r w:rsidRPr="00416121">
              <w:rPr>
                <w:sz w:val="18"/>
                <w:szCs w:val="18"/>
                <w:lang w:eastAsia="en-IN"/>
              </w:rPr>
              <w:t>Capital Expenditures</w:t>
            </w:r>
          </w:p>
        </w:tc>
        <w:tc>
          <w:tcPr>
            <w:tcW w:w="1054" w:type="dxa"/>
            <w:vAlign w:val="center"/>
          </w:tcPr>
          <w:p w14:paraId="0BE4220D" w14:textId="5D5E24CD" w:rsidR="00707A9E" w:rsidRPr="00416121" w:rsidRDefault="00D931A4" w:rsidP="00707A9E">
            <w:pPr>
              <w:pStyle w:val="ExhibitText"/>
              <w:jc w:val="right"/>
              <w:rPr>
                <w:sz w:val="18"/>
                <w:szCs w:val="18"/>
                <w:lang w:eastAsia="en-IN"/>
              </w:rPr>
            </w:pPr>
            <w:r w:rsidRPr="00416121">
              <w:rPr>
                <w:sz w:val="18"/>
                <w:szCs w:val="18"/>
                <w:lang w:eastAsia="en-IN"/>
              </w:rPr>
              <w:t>−</w:t>
            </w:r>
            <w:r w:rsidR="00707A9E" w:rsidRPr="00416121">
              <w:rPr>
                <w:sz w:val="18"/>
                <w:szCs w:val="18"/>
                <w:lang w:eastAsia="en-IN"/>
              </w:rPr>
              <w:t>11,087</w:t>
            </w:r>
          </w:p>
        </w:tc>
        <w:tc>
          <w:tcPr>
            <w:tcW w:w="1054" w:type="dxa"/>
            <w:vAlign w:val="center"/>
          </w:tcPr>
          <w:p w14:paraId="3240A770" w14:textId="7FB6BEE2" w:rsidR="00707A9E" w:rsidRPr="00416121" w:rsidRDefault="00D931A4" w:rsidP="00707A9E">
            <w:pPr>
              <w:pStyle w:val="ExhibitText"/>
              <w:jc w:val="right"/>
              <w:rPr>
                <w:sz w:val="18"/>
                <w:szCs w:val="18"/>
                <w:lang w:eastAsia="en-IN"/>
              </w:rPr>
            </w:pPr>
            <w:r w:rsidRPr="00416121">
              <w:rPr>
                <w:sz w:val="18"/>
                <w:szCs w:val="18"/>
                <w:lang w:eastAsia="en-IN"/>
              </w:rPr>
              <w:t>−</w:t>
            </w:r>
            <w:r w:rsidR="00707A9E" w:rsidRPr="00416121">
              <w:rPr>
                <w:sz w:val="18"/>
                <w:szCs w:val="18"/>
                <w:lang w:eastAsia="en-IN"/>
              </w:rPr>
              <w:t>15,185</w:t>
            </w:r>
          </w:p>
        </w:tc>
        <w:tc>
          <w:tcPr>
            <w:tcW w:w="1054" w:type="dxa"/>
            <w:vAlign w:val="center"/>
          </w:tcPr>
          <w:p w14:paraId="239C93F9" w14:textId="20C5F251" w:rsidR="00707A9E" w:rsidRPr="00416121" w:rsidRDefault="00D931A4" w:rsidP="00707A9E">
            <w:pPr>
              <w:pStyle w:val="ExhibitText"/>
              <w:jc w:val="right"/>
              <w:rPr>
                <w:sz w:val="18"/>
                <w:szCs w:val="18"/>
                <w:lang w:eastAsia="en-IN"/>
              </w:rPr>
            </w:pPr>
            <w:r w:rsidRPr="00416121">
              <w:rPr>
                <w:sz w:val="18"/>
                <w:szCs w:val="18"/>
                <w:lang w:eastAsia="en-IN"/>
              </w:rPr>
              <w:t>−</w:t>
            </w:r>
            <w:r w:rsidR="00707A9E" w:rsidRPr="00416121">
              <w:rPr>
                <w:sz w:val="18"/>
                <w:szCs w:val="18"/>
                <w:lang w:eastAsia="en-IN"/>
              </w:rPr>
              <w:t>16,082</w:t>
            </w:r>
          </w:p>
        </w:tc>
        <w:tc>
          <w:tcPr>
            <w:tcW w:w="1054" w:type="dxa"/>
            <w:vAlign w:val="center"/>
          </w:tcPr>
          <w:p w14:paraId="19AD4418" w14:textId="64EDDDF9" w:rsidR="00707A9E" w:rsidRPr="00416121" w:rsidRDefault="00D931A4" w:rsidP="00707A9E">
            <w:pPr>
              <w:pStyle w:val="ExhibitText"/>
              <w:jc w:val="right"/>
              <w:rPr>
                <w:sz w:val="18"/>
                <w:szCs w:val="18"/>
                <w:lang w:eastAsia="en-IN"/>
              </w:rPr>
            </w:pPr>
            <w:r w:rsidRPr="00416121">
              <w:rPr>
                <w:sz w:val="18"/>
                <w:szCs w:val="18"/>
                <w:lang w:eastAsia="en-IN"/>
              </w:rPr>
              <w:t>−</w:t>
            </w:r>
            <w:r w:rsidR="00707A9E" w:rsidRPr="00416121">
              <w:rPr>
                <w:sz w:val="18"/>
                <w:szCs w:val="18"/>
                <w:lang w:eastAsia="en-IN"/>
              </w:rPr>
              <w:t>12,954</w:t>
            </w:r>
          </w:p>
        </w:tc>
        <w:tc>
          <w:tcPr>
            <w:tcW w:w="1054" w:type="dxa"/>
            <w:shd w:val="clear" w:color="auto" w:fill="auto"/>
            <w:vAlign w:val="center"/>
            <w:hideMark/>
          </w:tcPr>
          <w:p w14:paraId="667BE9B7" w14:textId="14697D6A" w:rsidR="00707A9E" w:rsidRPr="00416121" w:rsidRDefault="00D931A4" w:rsidP="00707A9E">
            <w:pPr>
              <w:pStyle w:val="ExhibitText"/>
              <w:jc w:val="right"/>
              <w:rPr>
                <w:sz w:val="18"/>
                <w:szCs w:val="18"/>
                <w:lang w:eastAsia="en-IN"/>
              </w:rPr>
            </w:pPr>
            <w:r w:rsidRPr="00416121">
              <w:rPr>
                <w:sz w:val="18"/>
                <w:szCs w:val="18"/>
                <w:lang w:eastAsia="en-IN"/>
              </w:rPr>
              <w:t>−</w:t>
            </w:r>
            <w:r w:rsidR="00707A9E" w:rsidRPr="00416121">
              <w:rPr>
                <w:sz w:val="18"/>
                <w:szCs w:val="18"/>
                <w:lang w:eastAsia="en-IN"/>
              </w:rPr>
              <w:t>11,708</w:t>
            </w:r>
          </w:p>
        </w:tc>
      </w:tr>
      <w:tr w:rsidR="00707A9E" w:rsidRPr="00416121" w14:paraId="7D8ECC00" w14:textId="77777777" w:rsidTr="00707A9E">
        <w:trPr>
          <w:trHeight w:val="288"/>
        </w:trPr>
        <w:tc>
          <w:tcPr>
            <w:tcW w:w="4067" w:type="dxa"/>
            <w:shd w:val="clear" w:color="auto" w:fill="auto"/>
            <w:vAlign w:val="center"/>
            <w:hideMark/>
          </w:tcPr>
          <w:p w14:paraId="59FDDB19" w14:textId="77777777" w:rsidR="00707A9E" w:rsidRPr="00416121" w:rsidRDefault="00707A9E" w:rsidP="00067EBE">
            <w:pPr>
              <w:pStyle w:val="ExhibitText"/>
              <w:ind w:left="144"/>
              <w:jc w:val="left"/>
              <w:rPr>
                <w:sz w:val="18"/>
                <w:szCs w:val="18"/>
                <w:lang w:eastAsia="en-IN"/>
              </w:rPr>
            </w:pPr>
            <w:r w:rsidRPr="00416121">
              <w:rPr>
                <w:sz w:val="18"/>
                <w:szCs w:val="18"/>
                <w:lang w:eastAsia="en-IN"/>
              </w:rPr>
              <w:t>Net Assets from Acquisitions</w:t>
            </w:r>
          </w:p>
        </w:tc>
        <w:tc>
          <w:tcPr>
            <w:tcW w:w="1054" w:type="dxa"/>
            <w:vAlign w:val="center"/>
          </w:tcPr>
          <w:p w14:paraId="3EB085C6" w14:textId="2DFD0AD3" w:rsidR="00707A9E" w:rsidRPr="00416121" w:rsidRDefault="00D931A4" w:rsidP="00707A9E">
            <w:pPr>
              <w:pStyle w:val="ExhibitText"/>
              <w:jc w:val="right"/>
              <w:rPr>
                <w:sz w:val="18"/>
                <w:szCs w:val="18"/>
                <w:lang w:eastAsia="en-IN"/>
              </w:rPr>
            </w:pPr>
            <w:r w:rsidRPr="00416121">
              <w:rPr>
                <w:sz w:val="18"/>
                <w:szCs w:val="18"/>
                <w:lang w:eastAsia="en-IN"/>
              </w:rPr>
              <w:t>−</w:t>
            </w:r>
            <w:r w:rsidR="00707A9E" w:rsidRPr="00416121">
              <w:rPr>
                <w:sz w:val="18"/>
                <w:szCs w:val="18"/>
                <w:lang w:eastAsia="en-IN"/>
              </w:rPr>
              <w:t>6,431</w:t>
            </w:r>
          </w:p>
        </w:tc>
        <w:tc>
          <w:tcPr>
            <w:tcW w:w="1054" w:type="dxa"/>
            <w:vAlign w:val="center"/>
          </w:tcPr>
          <w:p w14:paraId="2036514D" w14:textId="5F9506C9" w:rsidR="00707A9E" w:rsidRPr="00416121" w:rsidRDefault="00D931A4" w:rsidP="00707A9E">
            <w:pPr>
              <w:pStyle w:val="ExhibitText"/>
              <w:jc w:val="right"/>
              <w:rPr>
                <w:sz w:val="18"/>
                <w:szCs w:val="18"/>
                <w:lang w:eastAsia="en-IN"/>
              </w:rPr>
            </w:pPr>
            <w:r w:rsidRPr="00416121">
              <w:rPr>
                <w:sz w:val="18"/>
                <w:szCs w:val="18"/>
                <w:lang w:eastAsia="en-IN"/>
              </w:rPr>
              <w:t>−</w:t>
            </w:r>
            <w:r w:rsidR="00707A9E" w:rsidRPr="00416121">
              <w:rPr>
                <w:sz w:val="18"/>
                <w:szCs w:val="18"/>
                <w:lang w:eastAsia="en-IN"/>
              </w:rPr>
              <w:t>4,824</w:t>
            </w:r>
          </w:p>
        </w:tc>
        <w:tc>
          <w:tcPr>
            <w:tcW w:w="1054" w:type="dxa"/>
            <w:vAlign w:val="center"/>
          </w:tcPr>
          <w:p w14:paraId="297CC85C" w14:textId="73322775" w:rsidR="00707A9E" w:rsidRPr="00416121" w:rsidRDefault="00D931A4" w:rsidP="00707A9E">
            <w:pPr>
              <w:pStyle w:val="ExhibitText"/>
              <w:jc w:val="right"/>
              <w:rPr>
                <w:sz w:val="18"/>
                <w:szCs w:val="18"/>
                <w:lang w:eastAsia="en-IN"/>
              </w:rPr>
            </w:pPr>
            <w:r w:rsidRPr="00416121">
              <w:rPr>
                <w:sz w:val="18"/>
                <w:szCs w:val="18"/>
                <w:lang w:eastAsia="en-IN"/>
              </w:rPr>
              <w:t>−</w:t>
            </w:r>
            <w:r w:rsidR="00707A9E" w:rsidRPr="00416121">
              <w:rPr>
                <w:sz w:val="18"/>
                <w:szCs w:val="18"/>
                <w:lang w:eastAsia="en-IN"/>
              </w:rPr>
              <w:t>4,902</w:t>
            </w:r>
          </w:p>
        </w:tc>
        <w:tc>
          <w:tcPr>
            <w:tcW w:w="1054" w:type="dxa"/>
            <w:vAlign w:val="center"/>
          </w:tcPr>
          <w:p w14:paraId="2FE75D66" w14:textId="6620968F" w:rsidR="00707A9E" w:rsidRPr="00416121" w:rsidRDefault="00D931A4" w:rsidP="00707A9E">
            <w:pPr>
              <w:pStyle w:val="ExhibitText"/>
              <w:jc w:val="right"/>
              <w:rPr>
                <w:sz w:val="18"/>
                <w:szCs w:val="18"/>
                <w:lang w:eastAsia="en-IN"/>
              </w:rPr>
            </w:pPr>
            <w:r w:rsidRPr="00416121">
              <w:rPr>
                <w:sz w:val="18"/>
                <w:szCs w:val="18"/>
                <w:lang w:eastAsia="en-IN"/>
              </w:rPr>
              <w:t>−</w:t>
            </w:r>
            <w:r w:rsidR="00707A9E" w:rsidRPr="00416121">
              <w:rPr>
                <w:sz w:val="18"/>
                <w:szCs w:val="18"/>
                <w:lang w:eastAsia="en-IN"/>
              </w:rPr>
              <w:t>31,399</w:t>
            </w:r>
          </w:p>
        </w:tc>
        <w:tc>
          <w:tcPr>
            <w:tcW w:w="1054" w:type="dxa"/>
            <w:shd w:val="clear" w:color="auto" w:fill="auto"/>
            <w:vAlign w:val="center"/>
            <w:hideMark/>
          </w:tcPr>
          <w:p w14:paraId="7ACB285E" w14:textId="0B3CCAE3" w:rsidR="00707A9E" w:rsidRPr="00416121" w:rsidRDefault="00D931A4" w:rsidP="00707A9E">
            <w:pPr>
              <w:pStyle w:val="ExhibitText"/>
              <w:jc w:val="right"/>
              <w:rPr>
                <w:sz w:val="18"/>
                <w:szCs w:val="18"/>
                <w:lang w:eastAsia="en-IN"/>
              </w:rPr>
            </w:pPr>
            <w:r w:rsidRPr="00416121">
              <w:rPr>
                <w:sz w:val="18"/>
                <w:szCs w:val="18"/>
                <w:lang w:eastAsia="en-IN"/>
              </w:rPr>
              <w:t>−</w:t>
            </w:r>
            <w:r w:rsidR="00707A9E" w:rsidRPr="00416121">
              <w:rPr>
                <w:sz w:val="18"/>
                <w:szCs w:val="18"/>
                <w:lang w:eastAsia="en-IN"/>
              </w:rPr>
              <w:t>2,708</w:t>
            </w:r>
          </w:p>
        </w:tc>
      </w:tr>
      <w:tr w:rsidR="00707A9E" w:rsidRPr="00416121" w14:paraId="25C1AE4C" w14:textId="77777777" w:rsidTr="00707A9E">
        <w:trPr>
          <w:trHeight w:val="288"/>
        </w:trPr>
        <w:tc>
          <w:tcPr>
            <w:tcW w:w="4067" w:type="dxa"/>
            <w:shd w:val="clear" w:color="auto" w:fill="auto"/>
            <w:vAlign w:val="center"/>
            <w:hideMark/>
          </w:tcPr>
          <w:p w14:paraId="6A350F16" w14:textId="77777777" w:rsidR="00707A9E" w:rsidRPr="00416121" w:rsidRDefault="00707A9E" w:rsidP="00067EBE">
            <w:pPr>
              <w:pStyle w:val="ExhibitText"/>
              <w:ind w:left="144"/>
              <w:jc w:val="left"/>
              <w:rPr>
                <w:sz w:val="18"/>
                <w:szCs w:val="18"/>
                <w:lang w:eastAsia="en-IN"/>
              </w:rPr>
            </w:pPr>
            <w:r w:rsidRPr="00416121">
              <w:rPr>
                <w:sz w:val="18"/>
                <w:szCs w:val="18"/>
                <w:lang w:eastAsia="en-IN"/>
              </w:rPr>
              <w:t>Purchase/Sale of Investments</w:t>
            </w:r>
          </w:p>
        </w:tc>
        <w:tc>
          <w:tcPr>
            <w:tcW w:w="1054" w:type="dxa"/>
            <w:vAlign w:val="center"/>
          </w:tcPr>
          <w:p w14:paraId="1120DE5A" w14:textId="36401F43" w:rsidR="00707A9E" w:rsidRPr="00416121" w:rsidRDefault="00D931A4" w:rsidP="00707A9E">
            <w:pPr>
              <w:pStyle w:val="ExhibitText"/>
              <w:jc w:val="right"/>
              <w:rPr>
                <w:sz w:val="18"/>
                <w:szCs w:val="18"/>
                <w:lang w:eastAsia="en-IN"/>
              </w:rPr>
            </w:pPr>
            <w:r w:rsidRPr="00416121">
              <w:rPr>
                <w:sz w:val="18"/>
                <w:szCs w:val="18"/>
                <w:lang w:eastAsia="en-IN"/>
              </w:rPr>
              <w:t>−</w:t>
            </w:r>
            <w:r w:rsidR="00707A9E" w:rsidRPr="00416121">
              <w:rPr>
                <w:sz w:val="18"/>
                <w:szCs w:val="18"/>
                <w:lang w:eastAsia="en-IN"/>
              </w:rPr>
              <w:t>8,971</w:t>
            </w:r>
          </w:p>
        </w:tc>
        <w:tc>
          <w:tcPr>
            <w:tcW w:w="1054" w:type="dxa"/>
            <w:vAlign w:val="center"/>
          </w:tcPr>
          <w:p w14:paraId="608682C6" w14:textId="54FC1B0A" w:rsidR="00707A9E" w:rsidRPr="00416121" w:rsidRDefault="00D931A4" w:rsidP="00707A9E">
            <w:pPr>
              <w:pStyle w:val="ExhibitText"/>
              <w:jc w:val="right"/>
              <w:rPr>
                <w:sz w:val="18"/>
                <w:szCs w:val="18"/>
                <w:lang w:eastAsia="en-IN"/>
              </w:rPr>
            </w:pPr>
            <w:r w:rsidRPr="00416121">
              <w:rPr>
                <w:sz w:val="18"/>
                <w:szCs w:val="18"/>
                <w:lang w:eastAsia="en-IN"/>
              </w:rPr>
              <w:t>−</w:t>
            </w:r>
            <w:r w:rsidR="00707A9E" w:rsidRPr="00416121">
              <w:rPr>
                <w:sz w:val="18"/>
                <w:szCs w:val="18"/>
                <w:lang w:eastAsia="en-IN"/>
              </w:rPr>
              <w:t>400</w:t>
            </w:r>
          </w:p>
        </w:tc>
        <w:tc>
          <w:tcPr>
            <w:tcW w:w="1054" w:type="dxa"/>
            <w:vAlign w:val="center"/>
          </w:tcPr>
          <w:p w14:paraId="52CDB88E" w14:textId="66A63655" w:rsidR="00707A9E" w:rsidRPr="00416121" w:rsidRDefault="00D931A4" w:rsidP="00707A9E">
            <w:pPr>
              <w:pStyle w:val="ExhibitText"/>
              <w:jc w:val="right"/>
              <w:rPr>
                <w:sz w:val="18"/>
                <w:szCs w:val="18"/>
                <w:lang w:eastAsia="en-IN"/>
              </w:rPr>
            </w:pPr>
            <w:r w:rsidRPr="00416121">
              <w:rPr>
                <w:sz w:val="18"/>
                <w:szCs w:val="18"/>
                <w:lang w:eastAsia="en-IN"/>
              </w:rPr>
              <w:t>−</w:t>
            </w:r>
            <w:r w:rsidR="00707A9E" w:rsidRPr="00416121">
              <w:rPr>
                <w:sz w:val="18"/>
                <w:szCs w:val="18"/>
                <w:lang w:eastAsia="en-IN"/>
              </w:rPr>
              <w:t>7,495</w:t>
            </w:r>
          </w:p>
        </w:tc>
        <w:tc>
          <w:tcPr>
            <w:tcW w:w="1054" w:type="dxa"/>
            <w:vAlign w:val="center"/>
          </w:tcPr>
          <w:p w14:paraId="714E7BA7" w14:textId="117F43B5" w:rsidR="00707A9E" w:rsidRPr="00416121" w:rsidRDefault="00D931A4" w:rsidP="00707A9E">
            <w:pPr>
              <w:pStyle w:val="ExhibitText"/>
              <w:jc w:val="right"/>
              <w:rPr>
                <w:sz w:val="18"/>
                <w:szCs w:val="18"/>
                <w:lang w:eastAsia="en-IN"/>
              </w:rPr>
            </w:pPr>
            <w:r w:rsidRPr="00416121">
              <w:rPr>
                <w:sz w:val="18"/>
                <w:szCs w:val="18"/>
                <w:lang w:eastAsia="en-IN"/>
              </w:rPr>
              <w:t>−</w:t>
            </w:r>
            <w:r w:rsidR="00707A9E" w:rsidRPr="00416121">
              <w:rPr>
                <w:sz w:val="18"/>
                <w:szCs w:val="18"/>
                <w:lang w:eastAsia="en-IN"/>
              </w:rPr>
              <w:t>39,678</w:t>
            </w:r>
          </w:p>
        </w:tc>
        <w:tc>
          <w:tcPr>
            <w:tcW w:w="1054" w:type="dxa"/>
            <w:shd w:val="clear" w:color="auto" w:fill="auto"/>
            <w:vAlign w:val="center"/>
            <w:hideMark/>
          </w:tcPr>
          <w:p w14:paraId="1090BF33" w14:textId="5A552EA6" w:rsidR="00707A9E" w:rsidRPr="00416121" w:rsidRDefault="00D931A4" w:rsidP="00707A9E">
            <w:pPr>
              <w:pStyle w:val="ExhibitText"/>
              <w:jc w:val="right"/>
              <w:rPr>
                <w:sz w:val="18"/>
                <w:szCs w:val="18"/>
                <w:lang w:eastAsia="en-IN"/>
              </w:rPr>
            </w:pPr>
            <w:r w:rsidRPr="00416121">
              <w:rPr>
                <w:sz w:val="18"/>
                <w:szCs w:val="18"/>
                <w:lang w:eastAsia="en-IN"/>
              </w:rPr>
              <w:t>−</w:t>
            </w:r>
            <w:r w:rsidR="00707A9E" w:rsidRPr="00416121">
              <w:rPr>
                <w:sz w:val="18"/>
                <w:szCs w:val="18"/>
                <w:lang w:eastAsia="en-IN"/>
              </w:rPr>
              <w:t>23,252</w:t>
            </w:r>
          </w:p>
        </w:tc>
      </w:tr>
      <w:tr w:rsidR="00707A9E" w:rsidRPr="00416121" w14:paraId="7E97FA32" w14:textId="77777777" w:rsidTr="00707A9E">
        <w:trPr>
          <w:trHeight w:val="288"/>
        </w:trPr>
        <w:tc>
          <w:tcPr>
            <w:tcW w:w="4067" w:type="dxa"/>
            <w:shd w:val="clear" w:color="auto" w:fill="auto"/>
            <w:vAlign w:val="center"/>
            <w:hideMark/>
          </w:tcPr>
          <w:p w14:paraId="12485422" w14:textId="77777777" w:rsidR="00707A9E" w:rsidRPr="00416121" w:rsidRDefault="00707A9E" w:rsidP="00067EBE">
            <w:pPr>
              <w:pStyle w:val="ExhibitText"/>
              <w:ind w:left="144"/>
              <w:jc w:val="left"/>
              <w:rPr>
                <w:sz w:val="18"/>
                <w:szCs w:val="18"/>
                <w:lang w:eastAsia="en-IN"/>
              </w:rPr>
            </w:pPr>
            <w:r w:rsidRPr="00416121">
              <w:rPr>
                <w:sz w:val="18"/>
                <w:szCs w:val="18"/>
                <w:lang w:eastAsia="en-IN"/>
              </w:rPr>
              <w:t>Other Uses</w:t>
            </w:r>
          </w:p>
        </w:tc>
        <w:tc>
          <w:tcPr>
            <w:tcW w:w="1054" w:type="dxa"/>
            <w:vAlign w:val="center"/>
          </w:tcPr>
          <w:p w14:paraId="2F45C957" w14:textId="10EB837A" w:rsidR="00707A9E" w:rsidRPr="00416121" w:rsidRDefault="00D931A4" w:rsidP="00707A9E">
            <w:pPr>
              <w:pStyle w:val="ExhibitText"/>
              <w:jc w:val="right"/>
              <w:rPr>
                <w:sz w:val="18"/>
                <w:szCs w:val="18"/>
                <w:lang w:eastAsia="en-IN"/>
              </w:rPr>
            </w:pPr>
            <w:r w:rsidRPr="00416121">
              <w:rPr>
                <w:sz w:val="18"/>
                <w:szCs w:val="18"/>
                <w:lang w:eastAsia="en-IN"/>
              </w:rPr>
              <w:t>−</w:t>
            </w:r>
            <w:r w:rsidR="00707A9E" w:rsidRPr="00416121">
              <w:rPr>
                <w:sz w:val="18"/>
                <w:szCs w:val="18"/>
                <w:lang w:eastAsia="en-IN"/>
              </w:rPr>
              <w:t>1,700</w:t>
            </w:r>
          </w:p>
        </w:tc>
        <w:tc>
          <w:tcPr>
            <w:tcW w:w="1054" w:type="dxa"/>
            <w:vAlign w:val="center"/>
          </w:tcPr>
          <w:p w14:paraId="61971BB7" w14:textId="361FABC0" w:rsidR="00707A9E" w:rsidRPr="00416121" w:rsidRDefault="00D931A4" w:rsidP="00707A9E">
            <w:pPr>
              <w:pStyle w:val="ExhibitText"/>
              <w:jc w:val="right"/>
              <w:rPr>
                <w:sz w:val="18"/>
                <w:szCs w:val="18"/>
                <w:lang w:eastAsia="en-IN"/>
              </w:rPr>
            </w:pPr>
            <w:r w:rsidRPr="00416121">
              <w:rPr>
                <w:sz w:val="18"/>
                <w:szCs w:val="18"/>
                <w:lang w:eastAsia="en-IN"/>
              </w:rPr>
              <w:t>−</w:t>
            </w:r>
            <w:r w:rsidR="00707A9E" w:rsidRPr="00416121">
              <w:rPr>
                <w:sz w:val="18"/>
                <w:szCs w:val="18"/>
                <w:lang w:eastAsia="en-IN"/>
              </w:rPr>
              <w:t>181</w:t>
            </w:r>
          </w:p>
        </w:tc>
        <w:tc>
          <w:tcPr>
            <w:tcW w:w="1054" w:type="dxa"/>
            <w:vAlign w:val="center"/>
          </w:tcPr>
          <w:p w14:paraId="3378FFC3" w14:textId="780CA2B6" w:rsidR="00707A9E" w:rsidRPr="00416121" w:rsidRDefault="00D931A4" w:rsidP="00707A9E">
            <w:pPr>
              <w:pStyle w:val="ExhibitText"/>
              <w:jc w:val="right"/>
              <w:rPr>
                <w:sz w:val="18"/>
                <w:szCs w:val="18"/>
                <w:lang w:eastAsia="en-IN"/>
              </w:rPr>
            </w:pPr>
            <w:r w:rsidRPr="00416121">
              <w:rPr>
                <w:sz w:val="18"/>
                <w:szCs w:val="18"/>
                <w:lang w:eastAsia="en-IN"/>
              </w:rPr>
              <w:t>−</w:t>
            </w:r>
            <w:r w:rsidR="00707A9E" w:rsidRPr="00416121">
              <w:rPr>
                <w:sz w:val="18"/>
                <w:szCs w:val="18"/>
                <w:lang w:eastAsia="en-IN"/>
              </w:rPr>
              <w:t>14</w:t>
            </w:r>
          </w:p>
        </w:tc>
        <w:tc>
          <w:tcPr>
            <w:tcW w:w="1054" w:type="dxa"/>
            <w:vAlign w:val="center"/>
          </w:tcPr>
          <w:p w14:paraId="4858C8E1" w14:textId="17CB28A4" w:rsidR="00707A9E" w:rsidRPr="00416121" w:rsidRDefault="00D931A4" w:rsidP="00707A9E">
            <w:pPr>
              <w:pStyle w:val="ExhibitText"/>
              <w:jc w:val="right"/>
              <w:rPr>
                <w:sz w:val="18"/>
                <w:szCs w:val="18"/>
                <w:lang w:eastAsia="en-IN"/>
              </w:rPr>
            </w:pPr>
            <w:r w:rsidRPr="00416121">
              <w:rPr>
                <w:sz w:val="18"/>
                <w:szCs w:val="18"/>
                <w:lang w:eastAsia="en-IN"/>
              </w:rPr>
              <w:t>−</w:t>
            </w:r>
            <w:r w:rsidR="00707A9E" w:rsidRPr="00416121">
              <w:rPr>
                <w:sz w:val="18"/>
                <w:szCs w:val="18"/>
                <w:lang w:eastAsia="en-IN"/>
              </w:rPr>
              <w:t>726</w:t>
            </w:r>
          </w:p>
        </w:tc>
        <w:tc>
          <w:tcPr>
            <w:tcW w:w="1054" w:type="dxa"/>
            <w:shd w:val="clear" w:color="auto" w:fill="auto"/>
            <w:vAlign w:val="center"/>
            <w:hideMark/>
          </w:tcPr>
          <w:p w14:paraId="7BD04A81" w14:textId="67E2CD41" w:rsidR="00707A9E" w:rsidRPr="00416121" w:rsidRDefault="00D931A4" w:rsidP="00707A9E">
            <w:pPr>
              <w:pStyle w:val="ExhibitText"/>
              <w:jc w:val="right"/>
              <w:rPr>
                <w:sz w:val="18"/>
                <w:szCs w:val="18"/>
                <w:lang w:eastAsia="en-IN"/>
              </w:rPr>
            </w:pPr>
            <w:r w:rsidRPr="00416121">
              <w:rPr>
                <w:sz w:val="18"/>
                <w:szCs w:val="18"/>
                <w:lang w:eastAsia="en-IN"/>
              </w:rPr>
              <w:t>−</w:t>
            </w:r>
            <w:r w:rsidR="00707A9E" w:rsidRPr="00416121">
              <w:rPr>
                <w:sz w:val="18"/>
                <w:szCs w:val="18"/>
                <w:lang w:eastAsia="en-IN"/>
              </w:rPr>
              <w:t>5,125</w:t>
            </w:r>
          </w:p>
        </w:tc>
      </w:tr>
      <w:tr w:rsidR="00707A9E" w:rsidRPr="00416121" w14:paraId="48C10AD2" w14:textId="77777777" w:rsidTr="00707A9E">
        <w:trPr>
          <w:trHeight w:val="288"/>
        </w:trPr>
        <w:tc>
          <w:tcPr>
            <w:tcW w:w="4067" w:type="dxa"/>
            <w:shd w:val="clear" w:color="auto" w:fill="auto"/>
            <w:vAlign w:val="center"/>
            <w:hideMark/>
          </w:tcPr>
          <w:p w14:paraId="27665384" w14:textId="77777777" w:rsidR="00707A9E" w:rsidRPr="00416121" w:rsidRDefault="00707A9E" w:rsidP="00067EBE">
            <w:pPr>
              <w:pStyle w:val="ExhibitText"/>
              <w:ind w:left="144"/>
              <w:jc w:val="left"/>
              <w:rPr>
                <w:sz w:val="18"/>
                <w:szCs w:val="18"/>
                <w:lang w:eastAsia="en-IN"/>
              </w:rPr>
            </w:pPr>
            <w:r w:rsidRPr="00416121">
              <w:rPr>
                <w:sz w:val="18"/>
                <w:szCs w:val="18"/>
                <w:lang w:eastAsia="en-IN"/>
              </w:rPr>
              <w:t>Other Sources</w:t>
            </w:r>
          </w:p>
        </w:tc>
        <w:tc>
          <w:tcPr>
            <w:tcW w:w="1054" w:type="dxa"/>
            <w:vAlign w:val="center"/>
          </w:tcPr>
          <w:p w14:paraId="61DDB7D2" w14:textId="05287A47" w:rsidR="00707A9E" w:rsidRPr="00416121" w:rsidRDefault="00707A9E" w:rsidP="00707A9E">
            <w:pPr>
              <w:pStyle w:val="ExhibitText"/>
              <w:jc w:val="right"/>
              <w:rPr>
                <w:sz w:val="18"/>
                <w:szCs w:val="18"/>
                <w:lang w:eastAsia="en-IN"/>
              </w:rPr>
            </w:pPr>
            <w:r w:rsidRPr="00416121">
              <w:rPr>
                <w:sz w:val="18"/>
                <w:szCs w:val="18"/>
                <w:lang w:eastAsia="en-IN"/>
              </w:rPr>
              <w:t>654</w:t>
            </w:r>
          </w:p>
        </w:tc>
        <w:tc>
          <w:tcPr>
            <w:tcW w:w="1054" w:type="dxa"/>
            <w:vAlign w:val="center"/>
          </w:tcPr>
          <w:p w14:paraId="4A5AD24D" w14:textId="74F46879" w:rsidR="00707A9E" w:rsidRPr="00416121" w:rsidRDefault="00707A9E" w:rsidP="00707A9E">
            <w:pPr>
              <w:pStyle w:val="ExhibitText"/>
              <w:jc w:val="right"/>
              <w:rPr>
                <w:sz w:val="18"/>
                <w:szCs w:val="18"/>
                <w:lang w:eastAsia="en-IN"/>
              </w:rPr>
            </w:pPr>
            <w:r w:rsidRPr="00416121">
              <w:rPr>
                <w:sz w:val="18"/>
                <w:szCs w:val="18"/>
                <w:lang w:eastAsia="en-IN"/>
              </w:rPr>
              <w:t>1,221</w:t>
            </w:r>
          </w:p>
        </w:tc>
        <w:tc>
          <w:tcPr>
            <w:tcW w:w="1054" w:type="dxa"/>
            <w:vAlign w:val="center"/>
          </w:tcPr>
          <w:p w14:paraId="36BACD41" w14:textId="07A34B24" w:rsidR="00707A9E" w:rsidRPr="00416121" w:rsidRDefault="00707A9E" w:rsidP="00707A9E">
            <w:pPr>
              <w:pStyle w:val="ExhibitText"/>
              <w:jc w:val="right"/>
              <w:rPr>
                <w:sz w:val="18"/>
                <w:szCs w:val="18"/>
                <w:lang w:eastAsia="en-IN"/>
              </w:rPr>
            </w:pPr>
            <w:r w:rsidRPr="00416121">
              <w:rPr>
                <w:sz w:val="18"/>
                <w:szCs w:val="18"/>
                <w:lang w:eastAsia="en-IN"/>
              </w:rPr>
              <w:t>492</w:t>
            </w:r>
          </w:p>
        </w:tc>
        <w:tc>
          <w:tcPr>
            <w:tcW w:w="1054" w:type="dxa"/>
            <w:vAlign w:val="center"/>
          </w:tcPr>
          <w:p w14:paraId="784C5947" w14:textId="11F7C315" w:rsidR="00707A9E" w:rsidRPr="00416121" w:rsidRDefault="00707A9E" w:rsidP="00707A9E">
            <w:pPr>
              <w:pStyle w:val="ExhibitText"/>
              <w:jc w:val="right"/>
              <w:rPr>
                <w:sz w:val="18"/>
                <w:szCs w:val="18"/>
                <w:lang w:eastAsia="en-IN"/>
              </w:rPr>
            </w:pPr>
            <w:r w:rsidRPr="00416121">
              <w:rPr>
                <w:sz w:val="18"/>
                <w:szCs w:val="18"/>
                <w:lang w:eastAsia="en-IN"/>
              </w:rPr>
              <w:t>490</w:t>
            </w:r>
          </w:p>
        </w:tc>
        <w:tc>
          <w:tcPr>
            <w:tcW w:w="1054" w:type="dxa"/>
            <w:shd w:val="clear" w:color="auto" w:fill="auto"/>
            <w:vAlign w:val="center"/>
            <w:hideMark/>
          </w:tcPr>
          <w:p w14:paraId="1B9EB277" w14:textId="111F4951" w:rsidR="00707A9E" w:rsidRPr="00416121" w:rsidRDefault="00707A9E" w:rsidP="00707A9E">
            <w:pPr>
              <w:pStyle w:val="ExhibitText"/>
              <w:jc w:val="right"/>
              <w:rPr>
                <w:sz w:val="18"/>
                <w:szCs w:val="18"/>
                <w:lang w:eastAsia="en-IN"/>
              </w:rPr>
            </w:pPr>
            <w:r w:rsidRPr="00416121">
              <w:rPr>
                <w:sz w:val="18"/>
                <w:szCs w:val="18"/>
                <w:lang w:eastAsia="en-IN"/>
              </w:rPr>
              <w:t>1,702</w:t>
            </w:r>
          </w:p>
        </w:tc>
      </w:tr>
      <w:tr w:rsidR="00707A9E" w:rsidRPr="00416121" w14:paraId="73B5926D" w14:textId="77777777" w:rsidTr="00707A9E">
        <w:trPr>
          <w:trHeight w:val="288"/>
        </w:trPr>
        <w:tc>
          <w:tcPr>
            <w:tcW w:w="4067" w:type="dxa"/>
            <w:shd w:val="clear" w:color="auto" w:fill="auto"/>
            <w:vAlign w:val="center"/>
            <w:hideMark/>
          </w:tcPr>
          <w:p w14:paraId="30C8E60B" w14:textId="77777777" w:rsidR="00707A9E" w:rsidRPr="00416121" w:rsidRDefault="00707A9E" w:rsidP="00067EBE">
            <w:pPr>
              <w:pStyle w:val="ExhibitText"/>
              <w:ind w:left="144"/>
              <w:jc w:val="left"/>
              <w:rPr>
                <w:b/>
                <w:bCs/>
                <w:sz w:val="18"/>
                <w:szCs w:val="18"/>
                <w:lang w:eastAsia="en-IN"/>
              </w:rPr>
            </w:pPr>
            <w:r w:rsidRPr="00416121">
              <w:rPr>
                <w:b/>
                <w:bCs/>
                <w:sz w:val="18"/>
                <w:szCs w:val="18"/>
                <w:lang w:eastAsia="en-IN"/>
              </w:rPr>
              <w:t>Net Investing Cash Flow</w:t>
            </w:r>
          </w:p>
        </w:tc>
        <w:tc>
          <w:tcPr>
            <w:tcW w:w="1054" w:type="dxa"/>
            <w:vAlign w:val="center"/>
          </w:tcPr>
          <w:p w14:paraId="234725F5" w14:textId="02E920DE" w:rsidR="00707A9E" w:rsidRPr="00416121" w:rsidRDefault="00D931A4" w:rsidP="00707A9E">
            <w:pPr>
              <w:pStyle w:val="ExhibitText"/>
              <w:jc w:val="right"/>
              <w:rPr>
                <w:b/>
                <w:bCs/>
                <w:sz w:val="18"/>
                <w:szCs w:val="18"/>
                <w:lang w:eastAsia="en-IN"/>
              </w:rPr>
            </w:pPr>
            <w:r w:rsidRPr="00416121">
              <w:rPr>
                <w:b/>
                <w:bCs/>
                <w:sz w:val="18"/>
                <w:szCs w:val="18"/>
                <w:lang w:eastAsia="en-IN"/>
              </w:rPr>
              <w:t>−</w:t>
            </w:r>
            <w:r w:rsidR="00707A9E" w:rsidRPr="00416121">
              <w:rPr>
                <w:b/>
                <w:bCs/>
                <w:sz w:val="18"/>
                <w:szCs w:val="18"/>
                <w:lang w:eastAsia="en-IN"/>
              </w:rPr>
              <w:t>27,535</w:t>
            </w:r>
          </w:p>
        </w:tc>
        <w:tc>
          <w:tcPr>
            <w:tcW w:w="1054" w:type="dxa"/>
            <w:vAlign w:val="center"/>
          </w:tcPr>
          <w:p w14:paraId="2DE4D84E" w14:textId="449E877D" w:rsidR="00707A9E" w:rsidRPr="00416121" w:rsidRDefault="00D931A4" w:rsidP="00707A9E">
            <w:pPr>
              <w:pStyle w:val="ExhibitText"/>
              <w:jc w:val="right"/>
              <w:rPr>
                <w:b/>
                <w:bCs/>
                <w:sz w:val="18"/>
                <w:szCs w:val="18"/>
                <w:lang w:eastAsia="en-IN"/>
              </w:rPr>
            </w:pPr>
            <w:r w:rsidRPr="00416121">
              <w:rPr>
                <w:b/>
                <w:bCs/>
                <w:sz w:val="18"/>
                <w:szCs w:val="18"/>
                <w:lang w:eastAsia="en-IN"/>
              </w:rPr>
              <w:t>−</w:t>
            </w:r>
            <w:r w:rsidR="00707A9E" w:rsidRPr="00416121">
              <w:rPr>
                <w:b/>
                <w:bCs/>
                <w:sz w:val="18"/>
                <w:szCs w:val="18"/>
                <w:lang w:eastAsia="en-IN"/>
              </w:rPr>
              <w:t>19,369</w:t>
            </w:r>
          </w:p>
        </w:tc>
        <w:tc>
          <w:tcPr>
            <w:tcW w:w="1054" w:type="dxa"/>
            <w:vAlign w:val="center"/>
          </w:tcPr>
          <w:p w14:paraId="2264DC71" w14:textId="10C0B203" w:rsidR="00707A9E" w:rsidRPr="00416121" w:rsidRDefault="00D931A4" w:rsidP="00707A9E">
            <w:pPr>
              <w:pStyle w:val="ExhibitText"/>
              <w:jc w:val="right"/>
              <w:rPr>
                <w:b/>
                <w:bCs/>
                <w:sz w:val="18"/>
                <w:szCs w:val="18"/>
                <w:lang w:eastAsia="en-IN"/>
              </w:rPr>
            </w:pPr>
            <w:r w:rsidRPr="00416121">
              <w:rPr>
                <w:b/>
                <w:bCs/>
                <w:sz w:val="18"/>
                <w:szCs w:val="18"/>
                <w:lang w:eastAsia="en-IN"/>
              </w:rPr>
              <w:t>−</w:t>
            </w:r>
            <w:r w:rsidR="00707A9E" w:rsidRPr="00416121">
              <w:rPr>
                <w:b/>
                <w:bCs/>
                <w:sz w:val="18"/>
                <w:szCs w:val="18"/>
                <w:lang w:eastAsia="en-IN"/>
              </w:rPr>
              <w:t>28,001</w:t>
            </w:r>
          </w:p>
        </w:tc>
        <w:tc>
          <w:tcPr>
            <w:tcW w:w="1054" w:type="dxa"/>
            <w:vAlign w:val="center"/>
          </w:tcPr>
          <w:p w14:paraId="2A5AC626" w14:textId="4B79E146" w:rsidR="00707A9E" w:rsidRPr="00416121" w:rsidRDefault="00D931A4" w:rsidP="00707A9E">
            <w:pPr>
              <w:pStyle w:val="ExhibitText"/>
              <w:jc w:val="right"/>
              <w:rPr>
                <w:b/>
                <w:bCs/>
                <w:sz w:val="18"/>
                <w:szCs w:val="18"/>
                <w:lang w:eastAsia="en-IN"/>
              </w:rPr>
            </w:pPr>
            <w:r w:rsidRPr="00416121">
              <w:rPr>
                <w:b/>
                <w:bCs/>
                <w:sz w:val="18"/>
                <w:szCs w:val="18"/>
                <w:lang w:eastAsia="en-IN"/>
              </w:rPr>
              <w:t>−</w:t>
            </w:r>
            <w:r w:rsidR="00707A9E" w:rsidRPr="00416121">
              <w:rPr>
                <w:b/>
                <w:bCs/>
                <w:sz w:val="18"/>
                <w:szCs w:val="18"/>
                <w:lang w:eastAsia="en-IN"/>
              </w:rPr>
              <w:t>84,267</w:t>
            </w:r>
          </w:p>
        </w:tc>
        <w:tc>
          <w:tcPr>
            <w:tcW w:w="1054" w:type="dxa"/>
            <w:shd w:val="clear" w:color="auto" w:fill="auto"/>
            <w:vAlign w:val="center"/>
            <w:hideMark/>
          </w:tcPr>
          <w:p w14:paraId="262DFFFA" w14:textId="1DC41F83" w:rsidR="00707A9E" w:rsidRPr="00416121" w:rsidRDefault="00D931A4" w:rsidP="00707A9E">
            <w:pPr>
              <w:pStyle w:val="ExhibitText"/>
              <w:jc w:val="right"/>
              <w:rPr>
                <w:b/>
                <w:bCs/>
                <w:sz w:val="18"/>
                <w:szCs w:val="18"/>
                <w:lang w:eastAsia="en-IN"/>
              </w:rPr>
            </w:pPr>
            <w:r w:rsidRPr="00416121">
              <w:rPr>
                <w:b/>
                <w:bCs/>
                <w:sz w:val="18"/>
                <w:szCs w:val="18"/>
                <w:lang w:eastAsia="en-IN"/>
              </w:rPr>
              <w:t>−</w:t>
            </w:r>
            <w:r w:rsidR="00707A9E" w:rsidRPr="00416121">
              <w:rPr>
                <w:b/>
                <w:bCs/>
                <w:sz w:val="18"/>
                <w:szCs w:val="18"/>
                <w:lang w:eastAsia="en-IN"/>
              </w:rPr>
              <w:t>41,091</w:t>
            </w:r>
          </w:p>
        </w:tc>
      </w:tr>
      <w:tr w:rsidR="00707A9E" w:rsidRPr="00416121" w14:paraId="105F290D" w14:textId="77777777" w:rsidTr="00707A9E">
        <w:trPr>
          <w:trHeight w:val="288"/>
        </w:trPr>
        <w:tc>
          <w:tcPr>
            <w:tcW w:w="4067" w:type="dxa"/>
            <w:shd w:val="clear" w:color="auto" w:fill="auto"/>
            <w:vAlign w:val="center"/>
            <w:hideMark/>
          </w:tcPr>
          <w:p w14:paraId="17BF6592" w14:textId="1F1AE472" w:rsidR="00707A9E" w:rsidRPr="00416121" w:rsidRDefault="00707A9E" w:rsidP="00707A9E">
            <w:pPr>
              <w:pStyle w:val="ExhibitText"/>
              <w:jc w:val="left"/>
              <w:rPr>
                <w:sz w:val="18"/>
                <w:szCs w:val="18"/>
                <w:lang w:eastAsia="en-IN"/>
              </w:rPr>
            </w:pPr>
          </w:p>
        </w:tc>
        <w:tc>
          <w:tcPr>
            <w:tcW w:w="1054" w:type="dxa"/>
            <w:vAlign w:val="center"/>
          </w:tcPr>
          <w:p w14:paraId="29238B04" w14:textId="65BAA32F" w:rsidR="00707A9E" w:rsidRPr="00416121" w:rsidRDefault="00707A9E" w:rsidP="00707A9E">
            <w:pPr>
              <w:pStyle w:val="ExhibitText"/>
              <w:jc w:val="right"/>
              <w:rPr>
                <w:sz w:val="18"/>
                <w:szCs w:val="18"/>
                <w:lang w:eastAsia="en-IN"/>
              </w:rPr>
            </w:pPr>
          </w:p>
        </w:tc>
        <w:tc>
          <w:tcPr>
            <w:tcW w:w="1054" w:type="dxa"/>
            <w:vAlign w:val="center"/>
          </w:tcPr>
          <w:p w14:paraId="39F01D6B" w14:textId="44131DA3" w:rsidR="00707A9E" w:rsidRPr="00416121" w:rsidRDefault="00707A9E" w:rsidP="00707A9E">
            <w:pPr>
              <w:pStyle w:val="ExhibitText"/>
              <w:jc w:val="right"/>
              <w:rPr>
                <w:sz w:val="18"/>
                <w:szCs w:val="18"/>
                <w:lang w:eastAsia="en-IN"/>
              </w:rPr>
            </w:pPr>
          </w:p>
        </w:tc>
        <w:tc>
          <w:tcPr>
            <w:tcW w:w="1054" w:type="dxa"/>
            <w:vAlign w:val="center"/>
          </w:tcPr>
          <w:p w14:paraId="7B87096C" w14:textId="2C64CEB5" w:rsidR="00707A9E" w:rsidRPr="00416121" w:rsidRDefault="00707A9E" w:rsidP="00707A9E">
            <w:pPr>
              <w:pStyle w:val="ExhibitText"/>
              <w:jc w:val="right"/>
              <w:rPr>
                <w:sz w:val="18"/>
                <w:szCs w:val="18"/>
                <w:lang w:eastAsia="en-IN"/>
              </w:rPr>
            </w:pPr>
          </w:p>
        </w:tc>
        <w:tc>
          <w:tcPr>
            <w:tcW w:w="1054" w:type="dxa"/>
            <w:vAlign w:val="center"/>
          </w:tcPr>
          <w:p w14:paraId="2E4E3F44" w14:textId="325ABD16" w:rsidR="00707A9E" w:rsidRPr="00416121" w:rsidRDefault="00707A9E" w:rsidP="00707A9E">
            <w:pPr>
              <w:pStyle w:val="ExhibitText"/>
              <w:jc w:val="right"/>
              <w:rPr>
                <w:sz w:val="18"/>
                <w:szCs w:val="18"/>
                <w:lang w:eastAsia="en-IN"/>
              </w:rPr>
            </w:pPr>
          </w:p>
        </w:tc>
        <w:tc>
          <w:tcPr>
            <w:tcW w:w="1054" w:type="dxa"/>
            <w:shd w:val="clear" w:color="auto" w:fill="auto"/>
            <w:vAlign w:val="center"/>
            <w:hideMark/>
          </w:tcPr>
          <w:p w14:paraId="24A86330" w14:textId="5E14CBD5" w:rsidR="00707A9E" w:rsidRPr="00416121" w:rsidRDefault="00707A9E" w:rsidP="00707A9E">
            <w:pPr>
              <w:pStyle w:val="ExhibitText"/>
              <w:jc w:val="right"/>
              <w:rPr>
                <w:sz w:val="18"/>
                <w:szCs w:val="18"/>
                <w:lang w:eastAsia="en-IN"/>
              </w:rPr>
            </w:pPr>
          </w:p>
        </w:tc>
      </w:tr>
      <w:tr w:rsidR="00707A9E" w:rsidRPr="00416121" w14:paraId="343C39D4" w14:textId="77777777" w:rsidTr="00707A9E">
        <w:trPr>
          <w:trHeight w:val="288"/>
        </w:trPr>
        <w:tc>
          <w:tcPr>
            <w:tcW w:w="4067" w:type="dxa"/>
            <w:shd w:val="clear" w:color="auto" w:fill="auto"/>
            <w:vAlign w:val="center"/>
            <w:hideMark/>
          </w:tcPr>
          <w:p w14:paraId="2DB69F81" w14:textId="77777777" w:rsidR="00707A9E" w:rsidRPr="00416121" w:rsidRDefault="00707A9E" w:rsidP="00707A9E">
            <w:pPr>
              <w:pStyle w:val="ExhibitText"/>
              <w:jc w:val="left"/>
              <w:rPr>
                <w:b/>
                <w:sz w:val="18"/>
                <w:szCs w:val="18"/>
                <w:lang w:eastAsia="en-IN"/>
              </w:rPr>
            </w:pPr>
            <w:r w:rsidRPr="00416121">
              <w:rPr>
                <w:b/>
                <w:sz w:val="18"/>
                <w:szCs w:val="18"/>
                <w:lang w:eastAsia="en-IN"/>
              </w:rPr>
              <w:t>Financing Activities</w:t>
            </w:r>
          </w:p>
        </w:tc>
        <w:tc>
          <w:tcPr>
            <w:tcW w:w="1054" w:type="dxa"/>
            <w:vAlign w:val="center"/>
          </w:tcPr>
          <w:p w14:paraId="2C7485DA" w14:textId="5EDC9839" w:rsidR="00707A9E" w:rsidRPr="00416121" w:rsidRDefault="00707A9E" w:rsidP="00707A9E">
            <w:pPr>
              <w:pStyle w:val="ExhibitText"/>
              <w:jc w:val="right"/>
              <w:rPr>
                <w:b/>
                <w:sz w:val="18"/>
                <w:szCs w:val="18"/>
                <w:lang w:eastAsia="en-IN"/>
              </w:rPr>
            </w:pPr>
          </w:p>
        </w:tc>
        <w:tc>
          <w:tcPr>
            <w:tcW w:w="1054" w:type="dxa"/>
            <w:vAlign w:val="center"/>
          </w:tcPr>
          <w:p w14:paraId="24B77011" w14:textId="4FC8A77C" w:rsidR="00707A9E" w:rsidRPr="00416121" w:rsidRDefault="00707A9E" w:rsidP="00707A9E">
            <w:pPr>
              <w:pStyle w:val="ExhibitText"/>
              <w:jc w:val="right"/>
              <w:rPr>
                <w:b/>
                <w:sz w:val="18"/>
                <w:szCs w:val="18"/>
                <w:lang w:eastAsia="en-IN"/>
              </w:rPr>
            </w:pPr>
          </w:p>
        </w:tc>
        <w:tc>
          <w:tcPr>
            <w:tcW w:w="1054" w:type="dxa"/>
            <w:vAlign w:val="center"/>
          </w:tcPr>
          <w:p w14:paraId="2BEA4610" w14:textId="5FCE25A6" w:rsidR="00707A9E" w:rsidRPr="00416121" w:rsidRDefault="00707A9E" w:rsidP="00707A9E">
            <w:pPr>
              <w:pStyle w:val="ExhibitText"/>
              <w:jc w:val="right"/>
              <w:rPr>
                <w:b/>
                <w:sz w:val="18"/>
                <w:szCs w:val="18"/>
                <w:lang w:eastAsia="en-IN"/>
              </w:rPr>
            </w:pPr>
          </w:p>
        </w:tc>
        <w:tc>
          <w:tcPr>
            <w:tcW w:w="1054" w:type="dxa"/>
            <w:vAlign w:val="center"/>
          </w:tcPr>
          <w:p w14:paraId="7BC423A2" w14:textId="028736D6" w:rsidR="00707A9E" w:rsidRPr="00416121" w:rsidRDefault="00707A9E" w:rsidP="00707A9E">
            <w:pPr>
              <w:pStyle w:val="ExhibitText"/>
              <w:jc w:val="right"/>
              <w:rPr>
                <w:b/>
                <w:sz w:val="18"/>
                <w:szCs w:val="18"/>
                <w:lang w:eastAsia="en-IN"/>
              </w:rPr>
            </w:pPr>
          </w:p>
        </w:tc>
        <w:tc>
          <w:tcPr>
            <w:tcW w:w="1054" w:type="dxa"/>
            <w:shd w:val="clear" w:color="auto" w:fill="auto"/>
            <w:noWrap/>
            <w:vAlign w:val="center"/>
            <w:hideMark/>
          </w:tcPr>
          <w:p w14:paraId="5211F227" w14:textId="184F67F1" w:rsidR="00707A9E" w:rsidRPr="00416121" w:rsidRDefault="00707A9E" w:rsidP="00707A9E">
            <w:pPr>
              <w:pStyle w:val="ExhibitText"/>
              <w:jc w:val="right"/>
              <w:rPr>
                <w:b/>
                <w:sz w:val="18"/>
                <w:szCs w:val="18"/>
                <w:lang w:eastAsia="en-IN"/>
              </w:rPr>
            </w:pPr>
          </w:p>
        </w:tc>
      </w:tr>
      <w:tr w:rsidR="00707A9E" w:rsidRPr="00416121" w14:paraId="3814EE8F" w14:textId="77777777" w:rsidTr="00707A9E">
        <w:trPr>
          <w:trHeight w:val="288"/>
        </w:trPr>
        <w:tc>
          <w:tcPr>
            <w:tcW w:w="4067" w:type="dxa"/>
            <w:shd w:val="clear" w:color="auto" w:fill="auto"/>
            <w:vAlign w:val="center"/>
            <w:hideMark/>
          </w:tcPr>
          <w:p w14:paraId="058337AF" w14:textId="77777777" w:rsidR="00707A9E" w:rsidRPr="00416121" w:rsidRDefault="00707A9E" w:rsidP="00067EBE">
            <w:pPr>
              <w:pStyle w:val="ExhibitText"/>
              <w:ind w:left="144"/>
              <w:jc w:val="left"/>
              <w:rPr>
                <w:sz w:val="18"/>
                <w:szCs w:val="18"/>
                <w:lang w:eastAsia="en-IN"/>
              </w:rPr>
            </w:pPr>
            <w:r w:rsidRPr="00416121">
              <w:rPr>
                <w:sz w:val="18"/>
                <w:szCs w:val="18"/>
                <w:lang w:eastAsia="en-IN"/>
              </w:rPr>
              <w:t>Issuance/Reduction of Debt, Net</w:t>
            </w:r>
          </w:p>
        </w:tc>
        <w:tc>
          <w:tcPr>
            <w:tcW w:w="1054" w:type="dxa"/>
            <w:vAlign w:val="center"/>
          </w:tcPr>
          <w:p w14:paraId="63763AC9" w14:textId="1E014404" w:rsidR="00707A9E" w:rsidRPr="00416121" w:rsidRDefault="00707A9E" w:rsidP="00707A9E">
            <w:pPr>
              <w:pStyle w:val="ExhibitText"/>
              <w:jc w:val="right"/>
              <w:rPr>
                <w:sz w:val="18"/>
                <w:szCs w:val="18"/>
                <w:lang w:eastAsia="en-IN"/>
              </w:rPr>
            </w:pPr>
            <w:r w:rsidRPr="00416121">
              <w:rPr>
                <w:sz w:val="18"/>
                <w:szCs w:val="18"/>
                <w:lang w:eastAsia="en-IN"/>
              </w:rPr>
              <w:t>3,985</w:t>
            </w:r>
          </w:p>
        </w:tc>
        <w:tc>
          <w:tcPr>
            <w:tcW w:w="1054" w:type="dxa"/>
            <w:vAlign w:val="center"/>
          </w:tcPr>
          <w:p w14:paraId="0710D0B4" w14:textId="0832A49A" w:rsidR="00707A9E" w:rsidRPr="00416121" w:rsidRDefault="00707A9E" w:rsidP="00707A9E">
            <w:pPr>
              <w:pStyle w:val="ExhibitText"/>
              <w:jc w:val="right"/>
              <w:rPr>
                <w:sz w:val="18"/>
                <w:szCs w:val="18"/>
                <w:lang w:eastAsia="en-IN"/>
              </w:rPr>
            </w:pPr>
            <w:r w:rsidRPr="00416121">
              <w:rPr>
                <w:sz w:val="18"/>
                <w:szCs w:val="18"/>
                <w:lang w:eastAsia="en-IN"/>
              </w:rPr>
              <w:t>3,996</w:t>
            </w:r>
          </w:p>
        </w:tc>
        <w:tc>
          <w:tcPr>
            <w:tcW w:w="1054" w:type="dxa"/>
            <w:vAlign w:val="center"/>
          </w:tcPr>
          <w:p w14:paraId="5D77D389" w14:textId="1442BF59" w:rsidR="00707A9E" w:rsidRPr="00416121" w:rsidRDefault="00707A9E" w:rsidP="00707A9E">
            <w:pPr>
              <w:pStyle w:val="ExhibitText"/>
              <w:jc w:val="right"/>
              <w:rPr>
                <w:sz w:val="18"/>
                <w:szCs w:val="18"/>
                <w:lang w:eastAsia="en-IN"/>
              </w:rPr>
            </w:pPr>
            <w:r w:rsidRPr="00416121">
              <w:rPr>
                <w:sz w:val="18"/>
                <w:szCs w:val="18"/>
                <w:lang w:eastAsia="en-IN"/>
              </w:rPr>
              <w:t>4,036</w:t>
            </w:r>
          </w:p>
        </w:tc>
        <w:tc>
          <w:tcPr>
            <w:tcW w:w="1054" w:type="dxa"/>
            <w:vAlign w:val="center"/>
          </w:tcPr>
          <w:p w14:paraId="19981E36" w14:textId="0F2FD941" w:rsidR="00707A9E" w:rsidRPr="00416121" w:rsidRDefault="00707A9E" w:rsidP="00707A9E">
            <w:pPr>
              <w:pStyle w:val="ExhibitText"/>
              <w:jc w:val="right"/>
              <w:rPr>
                <w:sz w:val="18"/>
                <w:szCs w:val="18"/>
                <w:lang w:eastAsia="en-IN"/>
              </w:rPr>
            </w:pPr>
            <w:r w:rsidRPr="00416121">
              <w:rPr>
                <w:sz w:val="18"/>
                <w:szCs w:val="18"/>
                <w:lang w:eastAsia="en-IN"/>
              </w:rPr>
              <w:t>12,679</w:t>
            </w:r>
          </w:p>
        </w:tc>
        <w:tc>
          <w:tcPr>
            <w:tcW w:w="1054" w:type="dxa"/>
            <w:shd w:val="clear" w:color="auto" w:fill="auto"/>
            <w:vAlign w:val="center"/>
            <w:hideMark/>
          </w:tcPr>
          <w:p w14:paraId="15FBFADC" w14:textId="07F99958" w:rsidR="00707A9E" w:rsidRPr="00416121" w:rsidRDefault="00D931A4" w:rsidP="00707A9E">
            <w:pPr>
              <w:pStyle w:val="ExhibitText"/>
              <w:jc w:val="right"/>
              <w:rPr>
                <w:sz w:val="18"/>
                <w:szCs w:val="18"/>
                <w:lang w:eastAsia="en-IN"/>
              </w:rPr>
            </w:pPr>
            <w:r w:rsidRPr="00416121">
              <w:rPr>
                <w:sz w:val="18"/>
                <w:szCs w:val="18"/>
                <w:lang w:eastAsia="en-IN"/>
              </w:rPr>
              <w:t>−</w:t>
            </w:r>
            <w:r w:rsidR="00707A9E" w:rsidRPr="00416121">
              <w:rPr>
                <w:sz w:val="18"/>
                <w:szCs w:val="18"/>
                <w:lang w:eastAsia="en-IN"/>
              </w:rPr>
              <w:t>1,277</w:t>
            </w:r>
          </w:p>
        </w:tc>
      </w:tr>
      <w:tr w:rsidR="00707A9E" w:rsidRPr="00416121" w14:paraId="719EAE88" w14:textId="77777777" w:rsidTr="00707A9E">
        <w:trPr>
          <w:trHeight w:val="288"/>
        </w:trPr>
        <w:tc>
          <w:tcPr>
            <w:tcW w:w="4067" w:type="dxa"/>
            <w:shd w:val="clear" w:color="auto" w:fill="auto"/>
            <w:vAlign w:val="center"/>
            <w:hideMark/>
          </w:tcPr>
          <w:p w14:paraId="1610A849" w14:textId="77777777" w:rsidR="00707A9E" w:rsidRPr="00416121" w:rsidRDefault="00707A9E" w:rsidP="00067EBE">
            <w:pPr>
              <w:pStyle w:val="ExhibitText"/>
              <w:ind w:left="144"/>
              <w:jc w:val="left"/>
              <w:rPr>
                <w:sz w:val="18"/>
                <w:szCs w:val="18"/>
                <w:lang w:eastAsia="en-IN"/>
              </w:rPr>
            </w:pPr>
            <w:r w:rsidRPr="00416121">
              <w:rPr>
                <w:sz w:val="18"/>
                <w:szCs w:val="18"/>
                <w:lang w:eastAsia="en-IN"/>
              </w:rPr>
              <w:t>Other Funds</w:t>
            </w:r>
          </w:p>
        </w:tc>
        <w:tc>
          <w:tcPr>
            <w:tcW w:w="1054" w:type="dxa"/>
            <w:vAlign w:val="center"/>
          </w:tcPr>
          <w:p w14:paraId="05EB35CC" w14:textId="0D7C73A7" w:rsidR="00707A9E" w:rsidRPr="00416121" w:rsidRDefault="00AF1113" w:rsidP="00707A9E">
            <w:pPr>
              <w:pStyle w:val="ExhibitText"/>
              <w:jc w:val="right"/>
              <w:rPr>
                <w:sz w:val="18"/>
                <w:szCs w:val="18"/>
                <w:lang w:eastAsia="en-IN"/>
              </w:rPr>
            </w:pPr>
            <w:r w:rsidRPr="00416121">
              <w:rPr>
                <w:sz w:val="18"/>
                <w:szCs w:val="18"/>
                <w:lang w:eastAsia="en-IN"/>
              </w:rPr>
              <w:t>−</w:t>
            </w:r>
            <w:r w:rsidR="00707A9E" w:rsidRPr="00416121">
              <w:rPr>
                <w:sz w:val="18"/>
                <w:szCs w:val="18"/>
                <w:lang w:eastAsia="en-IN"/>
              </w:rPr>
              <w:t>3,024</w:t>
            </w:r>
          </w:p>
        </w:tc>
        <w:tc>
          <w:tcPr>
            <w:tcW w:w="1054" w:type="dxa"/>
            <w:vAlign w:val="center"/>
          </w:tcPr>
          <w:p w14:paraId="0113EBA3" w14:textId="7A6D875C" w:rsidR="00707A9E" w:rsidRPr="00416121" w:rsidRDefault="00AF1113" w:rsidP="00707A9E">
            <w:pPr>
              <w:pStyle w:val="ExhibitText"/>
              <w:jc w:val="right"/>
              <w:rPr>
                <w:sz w:val="18"/>
                <w:szCs w:val="18"/>
                <w:lang w:eastAsia="en-IN"/>
              </w:rPr>
            </w:pPr>
            <w:r w:rsidRPr="00416121">
              <w:rPr>
                <w:sz w:val="18"/>
                <w:szCs w:val="18"/>
                <w:lang w:eastAsia="en-IN"/>
              </w:rPr>
              <w:t>−</w:t>
            </w:r>
            <w:r w:rsidR="00707A9E" w:rsidRPr="00416121">
              <w:rPr>
                <w:sz w:val="18"/>
                <w:szCs w:val="18"/>
                <w:lang w:eastAsia="en-IN"/>
              </w:rPr>
              <w:t>1,265</w:t>
            </w:r>
          </w:p>
        </w:tc>
        <w:tc>
          <w:tcPr>
            <w:tcW w:w="1054" w:type="dxa"/>
            <w:vAlign w:val="center"/>
          </w:tcPr>
          <w:p w14:paraId="3634C46A" w14:textId="56EECF61" w:rsidR="00707A9E" w:rsidRPr="00416121" w:rsidRDefault="00AF1113" w:rsidP="00707A9E">
            <w:pPr>
              <w:pStyle w:val="ExhibitText"/>
              <w:jc w:val="right"/>
              <w:rPr>
                <w:sz w:val="18"/>
                <w:szCs w:val="18"/>
                <w:lang w:eastAsia="en-IN"/>
              </w:rPr>
            </w:pPr>
            <w:r w:rsidRPr="00416121">
              <w:rPr>
                <w:sz w:val="18"/>
                <w:szCs w:val="18"/>
                <w:lang w:eastAsia="en-IN"/>
              </w:rPr>
              <w:t>−</w:t>
            </w:r>
            <w:r w:rsidR="00707A9E" w:rsidRPr="00416121">
              <w:rPr>
                <w:sz w:val="18"/>
                <w:szCs w:val="18"/>
                <w:lang w:eastAsia="en-IN"/>
              </w:rPr>
              <w:t>233</w:t>
            </w:r>
          </w:p>
        </w:tc>
        <w:tc>
          <w:tcPr>
            <w:tcW w:w="1054" w:type="dxa"/>
            <w:vAlign w:val="center"/>
          </w:tcPr>
          <w:p w14:paraId="545DA8F6" w14:textId="39AE5C6B" w:rsidR="00707A9E" w:rsidRPr="00416121" w:rsidRDefault="00707A9E" w:rsidP="00707A9E">
            <w:pPr>
              <w:pStyle w:val="ExhibitText"/>
              <w:jc w:val="right"/>
              <w:rPr>
                <w:sz w:val="18"/>
                <w:szCs w:val="18"/>
                <w:lang w:eastAsia="en-IN"/>
              </w:rPr>
            </w:pPr>
            <w:r w:rsidRPr="00416121">
              <w:rPr>
                <w:sz w:val="18"/>
                <w:szCs w:val="18"/>
                <w:lang w:eastAsia="en-IN"/>
              </w:rPr>
              <w:t>112</w:t>
            </w:r>
          </w:p>
        </w:tc>
        <w:tc>
          <w:tcPr>
            <w:tcW w:w="1054" w:type="dxa"/>
            <w:shd w:val="clear" w:color="auto" w:fill="auto"/>
            <w:vAlign w:val="center"/>
            <w:hideMark/>
          </w:tcPr>
          <w:p w14:paraId="1814C52D" w14:textId="229698ED" w:rsidR="00707A9E" w:rsidRPr="00416121" w:rsidRDefault="00AF1113" w:rsidP="00707A9E">
            <w:pPr>
              <w:pStyle w:val="ExhibitText"/>
              <w:jc w:val="right"/>
              <w:rPr>
                <w:sz w:val="18"/>
                <w:szCs w:val="18"/>
                <w:lang w:eastAsia="en-IN"/>
              </w:rPr>
            </w:pPr>
            <w:r w:rsidRPr="00416121">
              <w:rPr>
                <w:sz w:val="18"/>
                <w:szCs w:val="18"/>
                <w:lang w:eastAsia="en-IN"/>
              </w:rPr>
              <w:t>−</w:t>
            </w:r>
            <w:r w:rsidR="00707A9E" w:rsidRPr="00416121">
              <w:rPr>
                <w:sz w:val="18"/>
                <w:szCs w:val="18"/>
                <w:lang w:eastAsia="en-IN"/>
              </w:rPr>
              <w:t>121</w:t>
            </w:r>
          </w:p>
        </w:tc>
      </w:tr>
      <w:tr w:rsidR="00707A9E" w:rsidRPr="00416121" w14:paraId="188631A8" w14:textId="77777777" w:rsidTr="00707A9E">
        <w:trPr>
          <w:trHeight w:val="288"/>
        </w:trPr>
        <w:tc>
          <w:tcPr>
            <w:tcW w:w="4067" w:type="dxa"/>
            <w:shd w:val="clear" w:color="auto" w:fill="auto"/>
            <w:vAlign w:val="center"/>
            <w:hideMark/>
          </w:tcPr>
          <w:p w14:paraId="6F9A96A2" w14:textId="77777777" w:rsidR="00707A9E" w:rsidRPr="00416121" w:rsidRDefault="00707A9E" w:rsidP="00067EBE">
            <w:pPr>
              <w:pStyle w:val="ExhibitText"/>
              <w:ind w:left="144"/>
              <w:jc w:val="left"/>
              <w:rPr>
                <w:b/>
                <w:bCs/>
                <w:sz w:val="18"/>
                <w:szCs w:val="18"/>
                <w:lang w:eastAsia="en-IN"/>
              </w:rPr>
            </w:pPr>
            <w:r w:rsidRPr="00416121">
              <w:rPr>
                <w:b/>
                <w:bCs/>
                <w:sz w:val="18"/>
                <w:szCs w:val="18"/>
                <w:lang w:eastAsia="en-IN"/>
              </w:rPr>
              <w:t>Net Financing Cash Flow</w:t>
            </w:r>
          </w:p>
        </w:tc>
        <w:tc>
          <w:tcPr>
            <w:tcW w:w="1054" w:type="dxa"/>
            <w:vAlign w:val="center"/>
          </w:tcPr>
          <w:p w14:paraId="3EA1A640" w14:textId="229C3AD7" w:rsidR="00707A9E" w:rsidRPr="00416121" w:rsidRDefault="00707A9E" w:rsidP="00707A9E">
            <w:pPr>
              <w:pStyle w:val="ExhibitText"/>
              <w:jc w:val="right"/>
              <w:rPr>
                <w:b/>
                <w:bCs/>
                <w:sz w:val="18"/>
                <w:szCs w:val="18"/>
                <w:lang w:eastAsia="en-IN"/>
              </w:rPr>
            </w:pPr>
            <w:r w:rsidRPr="00416121">
              <w:rPr>
                <w:b/>
                <w:bCs/>
                <w:sz w:val="18"/>
                <w:szCs w:val="18"/>
                <w:lang w:eastAsia="en-IN"/>
              </w:rPr>
              <w:t>961</w:t>
            </w:r>
          </w:p>
        </w:tc>
        <w:tc>
          <w:tcPr>
            <w:tcW w:w="1054" w:type="dxa"/>
            <w:vAlign w:val="center"/>
          </w:tcPr>
          <w:p w14:paraId="5AEE4D56" w14:textId="77741945" w:rsidR="00707A9E" w:rsidRPr="00416121" w:rsidRDefault="00707A9E" w:rsidP="00707A9E">
            <w:pPr>
              <w:pStyle w:val="ExhibitText"/>
              <w:jc w:val="right"/>
              <w:rPr>
                <w:b/>
                <w:bCs/>
                <w:sz w:val="18"/>
                <w:szCs w:val="18"/>
                <w:lang w:eastAsia="en-IN"/>
              </w:rPr>
            </w:pPr>
            <w:r w:rsidRPr="00416121">
              <w:rPr>
                <w:b/>
                <w:bCs/>
                <w:sz w:val="18"/>
                <w:szCs w:val="18"/>
                <w:lang w:eastAsia="en-IN"/>
              </w:rPr>
              <w:t>2,731</w:t>
            </w:r>
          </w:p>
        </w:tc>
        <w:tc>
          <w:tcPr>
            <w:tcW w:w="1054" w:type="dxa"/>
            <w:vAlign w:val="center"/>
          </w:tcPr>
          <w:p w14:paraId="79B0EB33" w14:textId="048CAE68" w:rsidR="00707A9E" w:rsidRPr="00416121" w:rsidRDefault="00707A9E" w:rsidP="00707A9E">
            <w:pPr>
              <w:pStyle w:val="ExhibitText"/>
              <w:jc w:val="right"/>
              <w:rPr>
                <w:b/>
                <w:bCs/>
                <w:sz w:val="18"/>
                <w:szCs w:val="18"/>
                <w:lang w:eastAsia="en-IN"/>
              </w:rPr>
            </w:pPr>
            <w:r w:rsidRPr="00416121">
              <w:rPr>
                <w:b/>
                <w:bCs/>
                <w:sz w:val="18"/>
                <w:szCs w:val="18"/>
                <w:lang w:eastAsia="en-IN"/>
              </w:rPr>
              <w:t>3,803</w:t>
            </w:r>
          </w:p>
        </w:tc>
        <w:tc>
          <w:tcPr>
            <w:tcW w:w="1054" w:type="dxa"/>
            <w:vAlign w:val="center"/>
          </w:tcPr>
          <w:p w14:paraId="1A51C9BC" w14:textId="711C4B7C" w:rsidR="00707A9E" w:rsidRPr="00416121" w:rsidRDefault="00707A9E" w:rsidP="00707A9E">
            <w:pPr>
              <w:pStyle w:val="ExhibitText"/>
              <w:jc w:val="right"/>
              <w:rPr>
                <w:b/>
                <w:bCs/>
                <w:sz w:val="18"/>
                <w:szCs w:val="18"/>
                <w:lang w:eastAsia="en-IN"/>
              </w:rPr>
            </w:pPr>
            <w:r w:rsidRPr="00416121">
              <w:rPr>
                <w:b/>
                <w:bCs/>
                <w:sz w:val="18"/>
                <w:szCs w:val="18"/>
                <w:lang w:eastAsia="en-IN"/>
              </w:rPr>
              <w:t>12,791</w:t>
            </w:r>
          </w:p>
        </w:tc>
        <w:tc>
          <w:tcPr>
            <w:tcW w:w="1054" w:type="dxa"/>
            <w:shd w:val="clear" w:color="auto" w:fill="auto"/>
            <w:vAlign w:val="center"/>
            <w:hideMark/>
          </w:tcPr>
          <w:p w14:paraId="1891AF2D" w14:textId="06758A07" w:rsidR="00707A9E" w:rsidRPr="00416121" w:rsidRDefault="00AF1113" w:rsidP="00707A9E">
            <w:pPr>
              <w:pStyle w:val="ExhibitText"/>
              <w:jc w:val="right"/>
              <w:rPr>
                <w:b/>
                <w:bCs/>
                <w:sz w:val="18"/>
                <w:szCs w:val="18"/>
                <w:lang w:eastAsia="en-IN"/>
              </w:rPr>
            </w:pPr>
            <w:r w:rsidRPr="00416121">
              <w:rPr>
                <w:b/>
                <w:bCs/>
                <w:sz w:val="18"/>
                <w:szCs w:val="18"/>
                <w:lang w:eastAsia="en-IN"/>
              </w:rPr>
              <w:t>−</w:t>
            </w:r>
            <w:r w:rsidR="00707A9E" w:rsidRPr="00416121">
              <w:rPr>
                <w:b/>
                <w:bCs/>
                <w:sz w:val="18"/>
                <w:szCs w:val="18"/>
                <w:lang w:eastAsia="en-IN"/>
              </w:rPr>
              <w:t>1,398</w:t>
            </w:r>
          </w:p>
        </w:tc>
      </w:tr>
      <w:tr w:rsidR="00707A9E" w:rsidRPr="00416121" w14:paraId="77A9203F" w14:textId="77777777" w:rsidTr="00707A9E">
        <w:trPr>
          <w:trHeight w:val="288"/>
        </w:trPr>
        <w:tc>
          <w:tcPr>
            <w:tcW w:w="4067" w:type="dxa"/>
            <w:shd w:val="clear" w:color="auto" w:fill="auto"/>
            <w:vAlign w:val="center"/>
            <w:hideMark/>
          </w:tcPr>
          <w:p w14:paraId="6F2BBC6A" w14:textId="395344DF" w:rsidR="00707A9E" w:rsidRPr="00416121" w:rsidRDefault="00707A9E" w:rsidP="00707A9E">
            <w:pPr>
              <w:pStyle w:val="ExhibitText"/>
              <w:jc w:val="left"/>
              <w:rPr>
                <w:sz w:val="18"/>
                <w:szCs w:val="18"/>
                <w:lang w:eastAsia="en-IN"/>
              </w:rPr>
            </w:pPr>
          </w:p>
        </w:tc>
        <w:tc>
          <w:tcPr>
            <w:tcW w:w="1054" w:type="dxa"/>
            <w:vAlign w:val="center"/>
          </w:tcPr>
          <w:p w14:paraId="22464BC2" w14:textId="4A85F1F5" w:rsidR="00707A9E" w:rsidRPr="00416121" w:rsidRDefault="00707A9E" w:rsidP="00707A9E">
            <w:pPr>
              <w:pStyle w:val="ExhibitText"/>
              <w:jc w:val="right"/>
              <w:rPr>
                <w:sz w:val="18"/>
                <w:szCs w:val="18"/>
                <w:lang w:eastAsia="en-IN"/>
              </w:rPr>
            </w:pPr>
          </w:p>
        </w:tc>
        <w:tc>
          <w:tcPr>
            <w:tcW w:w="1054" w:type="dxa"/>
            <w:vAlign w:val="center"/>
          </w:tcPr>
          <w:p w14:paraId="0F8A315A" w14:textId="0FA020C5" w:rsidR="00707A9E" w:rsidRPr="00416121" w:rsidRDefault="00707A9E" w:rsidP="00707A9E">
            <w:pPr>
              <w:pStyle w:val="ExhibitText"/>
              <w:jc w:val="right"/>
              <w:rPr>
                <w:sz w:val="18"/>
                <w:szCs w:val="18"/>
                <w:lang w:eastAsia="en-IN"/>
              </w:rPr>
            </w:pPr>
          </w:p>
        </w:tc>
        <w:tc>
          <w:tcPr>
            <w:tcW w:w="1054" w:type="dxa"/>
            <w:vAlign w:val="center"/>
          </w:tcPr>
          <w:p w14:paraId="7CB07969" w14:textId="0D15D41A" w:rsidR="00707A9E" w:rsidRPr="00416121" w:rsidRDefault="00707A9E" w:rsidP="00707A9E">
            <w:pPr>
              <w:pStyle w:val="ExhibitText"/>
              <w:jc w:val="right"/>
              <w:rPr>
                <w:sz w:val="18"/>
                <w:szCs w:val="18"/>
                <w:lang w:eastAsia="en-IN"/>
              </w:rPr>
            </w:pPr>
          </w:p>
        </w:tc>
        <w:tc>
          <w:tcPr>
            <w:tcW w:w="1054" w:type="dxa"/>
            <w:vAlign w:val="center"/>
          </w:tcPr>
          <w:p w14:paraId="1000ABD7" w14:textId="19769535" w:rsidR="00707A9E" w:rsidRPr="00416121" w:rsidRDefault="00707A9E" w:rsidP="00707A9E">
            <w:pPr>
              <w:pStyle w:val="ExhibitText"/>
              <w:jc w:val="right"/>
              <w:rPr>
                <w:sz w:val="18"/>
                <w:szCs w:val="18"/>
                <w:lang w:eastAsia="en-IN"/>
              </w:rPr>
            </w:pPr>
          </w:p>
        </w:tc>
        <w:tc>
          <w:tcPr>
            <w:tcW w:w="1054" w:type="dxa"/>
            <w:shd w:val="clear" w:color="auto" w:fill="auto"/>
            <w:vAlign w:val="center"/>
            <w:hideMark/>
          </w:tcPr>
          <w:p w14:paraId="7BE82C29" w14:textId="7546C8B9" w:rsidR="00707A9E" w:rsidRPr="00416121" w:rsidRDefault="00707A9E" w:rsidP="00707A9E">
            <w:pPr>
              <w:pStyle w:val="ExhibitText"/>
              <w:jc w:val="right"/>
              <w:rPr>
                <w:sz w:val="18"/>
                <w:szCs w:val="18"/>
                <w:lang w:eastAsia="en-IN"/>
              </w:rPr>
            </w:pPr>
          </w:p>
        </w:tc>
      </w:tr>
      <w:tr w:rsidR="00707A9E" w:rsidRPr="00416121" w14:paraId="759F1E21" w14:textId="77777777" w:rsidTr="00707A9E">
        <w:trPr>
          <w:trHeight w:val="288"/>
        </w:trPr>
        <w:tc>
          <w:tcPr>
            <w:tcW w:w="4067" w:type="dxa"/>
            <w:shd w:val="clear" w:color="auto" w:fill="auto"/>
            <w:vAlign w:val="center"/>
            <w:hideMark/>
          </w:tcPr>
          <w:p w14:paraId="2E470D0B" w14:textId="77777777" w:rsidR="00707A9E" w:rsidRPr="00416121" w:rsidRDefault="00707A9E" w:rsidP="00707A9E">
            <w:pPr>
              <w:pStyle w:val="ExhibitText"/>
              <w:jc w:val="left"/>
              <w:rPr>
                <w:sz w:val="18"/>
                <w:szCs w:val="18"/>
                <w:lang w:eastAsia="en-IN"/>
              </w:rPr>
            </w:pPr>
            <w:r w:rsidRPr="00416121">
              <w:rPr>
                <w:sz w:val="18"/>
                <w:szCs w:val="18"/>
                <w:lang w:eastAsia="en-IN"/>
              </w:rPr>
              <w:t>Exchange Rate Effect</w:t>
            </w:r>
          </w:p>
        </w:tc>
        <w:tc>
          <w:tcPr>
            <w:tcW w:w="1054" w:type="dxa"/>
            <w:vAlign w:val="center"/>
          </w:tcPr>
          <w:p w14:paraId="7305F576" w14:textId="74135246" w:rsidR="00707A9E" w:rsidRPr="00416121" w:rsidRDefault="00707A9E" w:rsidP="00707A9E">
            <w:pPr>
              <w:pStyle w:val="ExhibitText"/>
              <w:jc w:val="right"/>
              <w:rPr>
                <w:sz w:val="18"/>
                <w:szCs w:val="18"/>
                <w:lang w:eastAsia="en-IN"/>
              </w:rPr>
            </w:pPr>
            <w:r w:rsidRPr="00416121">
              <w:rPr>
                <w:sz w:val="18"/>
                <w:szCs w:val="18"/>
                <w:lang w:eastAsia="en-IN"/>
              </w:rPr>
              <w:t>64</w:t>
            </w:r>
          </w:p>
        </w:tc>
        <w:tc>
          <w:tcPr>
            <w:tcW w:w="1054" w:type="dxa"/>
            <w:vAlign w:val="center"/>
          </w:tcPr>
          <w:p w14:paraId="201C6162" w14:textId="663CDE6C" w:rsidR="00707A9E" w:rsidRPr="00416121" w:rsidRDefault="00AF1113" w:rsidP="00707A9E">
            <w:pPr>
              <w:pStyle w:val="ExhibitText"/>
              <w:jc w:val="right"/>
              <w:rPr>
                <w:sz w:val="18"/>
                <w:szCs w:val="18"/>
                <w:lang w:eastAsia="en-IN"/>
              </w:rPr>
            </w:pPr>
            <w:r w:rsidRPr="00416121">
              <w:rPr>
                <w:sz w:val="18"/>
                <w:szCs w:val="18"/>
                <w:lang w:eastAsia="en-IN"/>
              </w:rPr>
              <w:t>−</w:t>
            </w:r>
            <w:r w:rsidR="00707A9E" w:rsidRPr="00416121">
              <w:rPr>
                <w:sz w:val="18"/>
                <w:szCs w:val="18"/>
                <w:lang w:eastAsia="en-IN"/>
              </w:rPr>
              <w:t>289</w:t>
            </w:r>
          </w:p>
        </w:tc>
        <w:tc>
          <w:tcPr>
            <w:tcW w:w="1054" w:type="dxa"/>
            <w:vAlign w:val="center"/>
          </w:tcPr>
          <w:p w14:paraId="2CB8B34A" w14:textId="482DB1B2" w:rsidR="00707A9E" w:rsidRPr="00416121" w:rsidRDefault="00AF1113" w:rsidP="00707A9E">
            <w:pPr>
              <w:pStyle w:val="ExhibitText"/>
              <w:jc w:val="right"/>
              <w:rPr>
                <w:sz w:val="18"/>
                <w:szCs w:val="18"/>
                <w:lang w:eastAsia="en-IN"/>
              </w:rPr>
            </w:pPr>
            <w:r w:rsidRPr="00416121">
              <w:rPr>
                <w:sz w:val="18"/>
                <w:szCs w:val="18"/>
                <w:lang w:eastAsia="en-IN"/>
              </w:rPr>
              <w:t>−</w:t>
            </w:r>
            <w:r w:rsidR="00707A9E" w:rsidRPr="00416121">
              <w:rPr>
                <w:sz w:val="18"/>
                <w:szCs w:val="18"/>
                <w:lang w:eastAsia="en-IN"/>
              </w:rPr>
              <w:t>165</w:t>
            </w:r>
          </w:p>
        </w:tc>
        <w:tc>
          <w:tcPr>
            <w:tcW w:w="1054" w:type="dxa"/>
            <w:vAlign w:val="center"/>
          </w:tcPr>
          <w:p w14:paraId="4CADDEAD" w14:textId="1C06D90D" w:rsidR="00707A9E" w:rsidRPr="00416121" w:rsidRDefault="00AF1113" w:rsidP="00707A9E">
            <w:pPr>
              <w:pStyle w:val="ExhibitText"/>
              <w:jc w:val="right"/>
              <w:rPr>
                <w:sz w:val="18"/>
                <w:szCs w:val="18"/>
                <w:lang w:eastAsia="en-IN"/>
              </w:rPr>
            </w:pPr>
            <w:r w:rsidRPr="00416121">
              <w:rPr>
                <w:sz w:val="18"/>
                <w:szCs w:val="18"/>
                <w:lang w:eastAsia="en-IN"/>
              </w:rPr>
              <w:t>−</w:t>
            </w:r>
            <w:r w:rsidR="00707A9E" w:rsidRPr="00416121">
              <w:rPr>
                <w:sz w:val="18"/>
                <w:szCs w:val="18"/>
                <w:lang w:eastAsia="en-IN"/>
              </w:rPr>
              <w:t>172</w:t>
            </w:r>
          </w:p>
        </w:tc>
        <w:tc>
          <w:tcPr>
            <w:tcW w:w="1054" w:type="dxa"/>
            <w:shd w:val="clear" w:color="auto" w:fill="auto"/>
            <w:vAlign w:val="center"/>
            <w:hideMark/>
          </w:tcPr>
          <w:p w14:paraId="76CC3815" w14:textId="04CD226A" w:rsidR="00707A9E" w:rsidRPr="00416121" w:rsidRDefault="00707A9E" w:rsidP="00707A9E">
            <w:pPr>
              <w:pStyle w:val="ExhibitText"/>
              <w:jc w:val="right"/>
              <w:rPr>
                <w:sz w:val="18"/>
                <w:szCs w:val="18"/>
                <w:lang w:eastAsia="en-IN"/>
              </w:rPr>
            </w:pPr>
            <w:r w:rsidRPr="00416121">
              <w:rPr>
                <w:sz w:val="18"/>
                <w:szCs w:val="18"/>
                <w:lang w:eastAsia="en-IN"/>
              </w:rPr>
              <w:t>248</w:t>
            </w:r>
          </w:p>
        </w:tc>
      </w:tr>
      <w:tr w:rsidR="00707A9E" w:rsidRPr="00416121" w14:paraId="41A582AB" w14:textId="77777777" w:rsidTr="00707A9E">
        <w:trPr>
          <w:trHeight w:val="288"/>
        </w:trPr>
        <w:tc>
          <w:tcPr>
            <w:tcW w:w="4067" w:type="dxa"/>
            <w:shd w:val="clear" w:color="auto" w:fill="auto"/>
            <w:vAlign w:val="center"/>
            <w:hideMark/>
          </w:tcPr>
          <w:p w14:paraId="7453D378" w14:textId="77777777" w:rsidR="00707A9E" w:rsidRPr="00416121" w:rsidRDefault="00707A9E" w:rsidP="00707A9E">
            <w:pPr>
              <w:pStyle w:val="ExhibitText"/>
              <w:jc w:val="left"/>
              <w:rPr>
                <w:b/>
                <w:bCs/>
                <w:sz w:val="18"/>
                <w:szCs w:val="18"/>
                <w:lang w:eastAsia="en-IN"/>
              </w:rPr>
            </w:pPr>
            <w:r w:rsidRPr="00416121">
              <w:rPr>
                <w:b/>
                <w:bCs/>
                <w:sz w:val="18"/>
                <w:szCs w:val="18"/>
                <w:lang w:eastAsia="en-IN"/>
              </w:rPr>
              <w:t>Net Change in Cash</w:t>
            </w:r>
          </w:p>
        </w:tc>
        <w:tc>
          <w:tcPr>
            <w:tcW w:w="1054" w:type="dxa"/>
            <w:vAlign w:val="center"/>
          </w:tcPr>
          <w:p w14:paraId="020887F3" w14:textId="24483CB2" w:rsidR="00707A9E" w:rsidRPr="00416121" w:rsidRDefault="00707A9E" w:rsidP="00707A9E">
            <w:pPr>
              <w:pStyle w:val="ExhibitText"/>
              <w:jc w:val="right"/>
              <w:rPr>
                <w:b/>
                <w:bCs/>
                <w:sz w:val="18"/>
                <w:szCs w:val="18"/>
                <w:lang w:eastAsia="en-IN"/>
              </w:rPr>
            </w:pPr>
            <w:r w:rsidRPr="00416121">
              <w:rPr>
                <w:b/>
                <w:bCs/>
                <w:sz w:val="18"/>
                <w:szCs w:val="18"/>
                <w:lang w:eastAsia="en-IN"/>
              </w:rPr>
              <w:t>1,194</w:t>
            </w:r>
          </w:p>
        </w:tc>
        <w:tc>
          <w:tcPr>
            <w:tcW w:w="1054" w:type="dxa"/>
            <w:vAlign w:val="center"/>
          </w:tcPr>
          <w:p w14:paraId="12A496E0" w14:textId="388B9F72" w:rsidR="00707A9E" w:rsidRPr="00416121" w:rsidRDefault="00707A9E" w:rsidP="00707A9E">
            <w:pPr>
              <w:pStyle w:val="ExhibitText"/>
              <w:jc w:val="right"/>
              <w:rPr>
                <w:b/>
                <w:bCs/>
                <w:sz w:val="18"/>
                <w:szCs w:val="18"/>
                <w:lang w:eastAsia="en-IN"/>
              </w:rPr>
            </w:pPr>
            <w:r w:rsidRPr="00416121">
              <w:rPr>
                <w:b/>
                <w:bCs/>
                <w:sz w:val="18"/>
                <w:szCs w:val="18"/>
                <w:lang w:eastAsia="en-IN"/>
              </w:rPr>
              <w:t>15,083</w:t>
            </w:r>
          </w:p>
        </w:tc>
        <w:tc>
          <w:tcPr>
            <w:tcW w:w="1054" w:type="dxa"/>
            <w:vAlign w:val="center"/>
          </w:tcPr>
          <w:p w14:paraId="03170EE1" w14:textId="2924AAC1" w:rsidR="00707A9E" w:rsidRPr="00416121" w:rsidRDefault="00707A9E" w:rsidP="00707A9E">
            <w:pPr>
              <w:pStyle w:val="ExhibitText"/>
              <w:jc w:val="right"/>
              <w:rPr>
                <w:b/>
                <w:bCs/>
                <w:sz w:val="18"/>
                <w:szCs w:val="18"/>
                <w:lang w:eastAsia="en-IN"/>
              </w:rPr>
            </w:pPr>
            <w:r w:rsidRPr="00416121">
              <w:rPr>
                <w:b/>
                <w:bCs/>
                <w:sz w:val="18"/>
                <w:szCs w:val="18"/>
                <w:lang w:eastAsia="en-IN"/>
              </w:rPr>
              <w:t>7,128</w:t>
            </w:r>
          </w:p>
        </w:tc>
        <w:tc>
          <w:tcPr>
            <w:tcW w:w="1054" w:type="dxa"/>
            <w:vAlign w:val="center"/>
          </w:tcPr>
          <w:p w14:paraId="6C0D78FD" w14:textId="4DC183F7" w:rsidR="00707A9E" w:rsidRPr="00416121" w:rsidRDefault="00AF1113" w:rsidP="00707A9E">
            <w:pPr>
              <w:pStyle w:val="ExhibitText"/>
              <w:jc w:val="right"/>
              <w:rPr>
                <w:b/>
                <w:bCs/>
                <w:sz w:val="18"/>
                <w:szCs w:val="18"/>
                <w:lang w:eastAsia="en-IN"/>
              </w:rPr>
            </w:pPr>
            <w:r w:rsidRPr="00416121">
              <w:rPr>
                <w:b/>
                <w:bCs/>
                <w:sz w:val="18"/>
                <w:szCs w:val="18"/>
                <w:lang w:eastAsia="en-IN"/>
              </w:rPr>
              <w:t>−</w:t>
            </w:r>
            <w:r w:rsidR="00707A9E" w:rsidRPr="00416121">
              <w:rPr>
                <w:b/>
                <w:bCs/>
                <w:sz w:val="18"/>
                <w:szCs w:val="18"/>
                <w:lang w:eastAsia="en-IN"/>
              </w:rPr>
              <w:t>39,113</w:t>
            </w:r>
          </w:p>
        </w:tc>
        <w:tc>
          <w:tcPr>
            <w:tcW w:w="1054" w:type="dxa"/>
            <w:shd w:val="clear" w:color="auto" w:fill="auto"/>
            <w:vAlign w:val="center"/>
            <w:hideMark/>
          </w:tcPr>
          <w:p w14:paraId="4EE4899F" w14:textId="45446618" w:rsidR="00707A9E" w:rsidRPr="00416121" w:rsidRDefault="00707A9E" w:rsidP="00707A9E">
            <w:pPr>
              <w:pStyle w:val="ExhibitText"/>
              <w:jc w:val="right"/>
              <w:rPr>
                <w:b/>
                <w:bCs/>
                <w:sz w:val="18"/>
                <w:szCs w:val="18"/>
                <w:lang w:eastAsia="en-IN"/>
              </w:rPr>
            </w:pPr>
            <w:r w:rsidRPr="00416121">
              <w:rPr>
                <w:b/>
                <w:bCs/>
                <w:sz w:val="18"/>
                <w:szCs w:val="18"/>
                <w:lang w:eastAsia="en-IN"/>
              </w:rPr>
              <w:t>3,535</w:t>
            </w:r>
          </w:p>
        </w:tc>
      </w:tr>
    </w:tbl>
    <w:p w14:paraId="355F782B" w14:textId="4B58F5EE" w:rsidR="000977B4" w:rsidRPr="00416121" w:rsidRDefault="000977B4" w:rsidP="00F06F63">
      <w:pPr>
        <w:pStyle w:val="ExhibitText"/>
        <w:rPr>
          <w:rFonts w:eastAsia="Calibri"/>
        </w:rPr>
      </w:pPr>
    </w:p>
    <w:p w14:paraId="0592BD2E" w14:textId="258C4037" w:rsidR="0081057D" w:rsidRPr="00416121" w:rsidRDefault="0081057D" w:rsidP="000977B4">
      <w:pPr>
        <w:pStyle w:val="Footnote"/>
        <w:rPr>
          <w:rFonts w:eastAsia="Calibri"/>
        </w:rPr>
      </w:pPr>
      <w:r w:rsidRPr="00416121">
        <w:rPr>
          <w:rFonts w:eastAsia="Calibri"/>
        </w:rPr>
        <w:t xml:space="preserve">Source: </w:t>
      </w:r>
      <w:r w:rsidR="00935190" w:rsidRPr="00416121">
        <w:rPr>
          <w:rFonts w:eastAsia="Calibri"/>
        </w:rPr>
        <w:t>“</w:t>
      </w:r>
      <w:r w:rsidRPr="00416121">
        <w:rPr>
          <w:rFonts w:eastAsia="Calibri"/>
        </w:rPr>
        <w:t>Berkshire Hathaway Inc.</w:t>
      </w:r>
      <w:r w:rsidR="00935190" w:rsidRPr="00416121">
        <w:rPr>
          <w:rFonts w:eastAsia="Calibri"/>
        </w:rPr>
        <w:t>: Cash Flow</w:t>
      </w:r>
      <w:r w:rsidRPr="00416121">
        <w:rPr>
          <w:rFonts w:eastAsia="Calibri"/>
        </w:rPr>
        <w:t>,</w:t>
      </w:r>
      <w:r w:rsidR="00935190" w:rsidRPr="00416121">
        <w:rPr>
          <w:rFonts w:eastAsia="Calibri"/>
        </w:rPr>
        <w:t>”</w:t>
      </w:r>
      <w:r w:rsidRPr="00416121">
        <w:rPr>
          <w:rFonts w:eastAsia="Calibri"/>
        </w:rPr>
        <w:t xml:space="preserve"> </w:t>
      </w:r>
      <w:r w:rsidRPr="00416121">
        <w:rPr>
          <w:rFonts w:eastAsia="Calibri"/>
          <w:i/>
        </w:rPr>
        <w:t>Wall Street Journal</w:t>
      </w:r>
      <w:r w:rsidRPr="00416121">
        <w:rPr>
          <w:rFonts w:eastAsia="Calibri"/>
        </w:rPr>
        <w:t xml:space="preserve">, accessed June 15, 2018, </w:t>
      </w:r>
      <w:bookmarkStart w:id="5" w:name="_Hlk519445768"/>
      <w:r w:rsidRPr="00416121">
        <w:rPr>
          <w:rFonts w:eastAsia="Calibri"/>
        </w:rPr>
        <w:t>https://quotes.wsj.com/BRKA/financials/annual/cash-flow</w:t>
      </w:r>
      <w:bookmarkEnd w:id="5"/>
      <w:r w:rsidRPr="00416121">
        <w:rPr>
          <w:rFonts w:eastAsia="Calibri"/>
        </w:rPr>
        <w:t>.</w:t>
      </w:r>
    </w:p>
    <w:p w14:paraId="3AD441DB" w14:textId="7BEF4745" w:rsidR="0008431C" w:rsidRPr="00416121" w:rsidRDefault="0008431C">
      <w:pPr>
        <w:spacing w:after="200" w:line="276" w:lineRule="auto"/>
        <w:rPr>
          <w:rFonts w:ascii="Arial" w:eastAsia="Calibri" w:hAnsi="Arial" w:cs="Arial"/>
        </w:rPr>
      </w:pPr>
      <w:r w:rsidRPr="00416121">
        <w:rPr>
          <w:rFonts w:eastAsia="Calibri"/>
        </w:rPr>
        <w:br w:type="page"/>
      </w:r>
    </w:p>
    <w:p w14:paraId="4EA2C943" w14:textId="2A91E124" w:rsidR="0081057D" w:rsidRPr="00416121" w:rsidRDefault="0081057D" w:rsidP="003C2A84">
      <w:pPr>
        <w:pStyle w:val="Casehead1"/>
        <w:rPr>
          <w:rFonts w:eastAsia="Calibri"/>
        </w:rPr>
      </w:pPr>
      <w:r w:rsidRPr="00416121">
        <w:rPr>
          <w:rFonts w:eastAsia="Calibri"/>
        </w:rPr>
        <w:t>ENDNOTES</w:t>
      </w:r>
    </w:p>
    <w:sectPr w:rsidR="0081057D" w:rsidRPr="00416121" w:rsidSect="00751E0B">
      <w:headerReference w:type="default" r:id="rId9"/>
      <w:footnotePr>
        <w:numRestart w:val="eachPage"/>
      </w:footnotePr>
      <w:endnotePr>
        <w:numFmt w:val="decimal"/>
      </w:endnotePr>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740503" w14:textId="77777777" w:rsidR="00660430" w:rsidRDefault="00660430" w:rsidP="00D75295">
      <w:r>
        <w:separator/>
      </w:r>
    </w:p>
  </w:endnote>
  <w:endnote w:type="continuationSeparator" w:id="0">
    <w:p w14:paraId="2E0B33B1" w14:textId="77777777" w:rsidR="00660430" w:rsidRDefault="00660430" w:rsidP="00D75295">
      <w:r>
        <w:continuationSeparator/>
      </w:r>
    </w:p>
  </w:endnote>
  <w:endnote w:id="1">
    <w:p w14:paraId="4840508F" w14:textId="61F41079" w:rsidR="00660430" w:rsidRPr="000977B4" w:rsidRDefault="00660430" w:rsidP="000977B4">
      <w:pPr>
        <w:pStyle w:val="Footnote"/>
      </w:pPr>
      <w:r w:rsidRPr="000C2EAE">
        <w:rPr>
          <w:rStyle w:val="EndnoteReference"/>
        </w:rPr>
        <w:endnoteRef/>
      </w:r>
      <w:r w:rsidRPr="00DA7B38">
        <w:t xml:space="preserve"> </w:t>
      </w:r>
      <w:r w:rsidRPr="000977B4">
        <w:t xml:space="preserve">This case has been written on the basis of published sources only. Thus, the interpretation and perspectives presented in the case are not essentially those of Berkshire Hathaway </w:t>
      </w:r>
      <w:r>
        <w:t xml:space="preserve">Inc. </w:t>
      </w:r>
      <w:r w:rsidRPr="000977B4">
        <w:t>or any of its employees.</w:t>
      </w:r>
    </w:p>
  </w:endnote>
  <w:endnote w:id="2">
    <w:p w14:paraId="1324DBFB" w14:textId="368A70C1" w:rsidR="00660430" w:rsidRPr="0023447F" w:rsidRDefault="00660430" w:rsidP="000977B4">
      <w:pPr>
        <w:pStyle w:val="Footnote"/>
        <w:rPr>
          <w:spacing w:val="-6"/>
        </w:rPr>
      </w:pPr>
      <w:r w:rsidRPr="0023447F">
        <w:rPr>
          <w:rStyle w:val="EndnoteReference"/>
          <w:spacing w:val="-6"/>
        </w:rPr>
        <w:endnoteRef/>
      </w:r>
      <w:r w:rsidRPr="0023447F">
        <w:rPr>
          <w:spacing w:val="-6"/>
        </w:rPr>
        <w:t xml:space="preserve"> Brian O’ Connell, “Pros and Cons of Buying Berkshire Hathaway Stock,” </w:t>
      </w:r>
      <w:r w:rsidRPr="0023447F">
        <w:rPr>
          <w:i/>
          <w:spacing w:val="-6"/>
        </w:rPr>
        <w:t>U.S. News &amp; World Report</w:t>
      </w:r>
      <w:r w:rsidRPr="0023447F">
        <w:rPr>
          <w:spacing w:val="-6"/>
        </w:rPr>
        <w:t>, June 18, 2018, accessed August 17, 2018, https://money.usnews.com/investing/stock-market-news/articles/2018-06-18/berkshire-hathaway-inc-brka-brkb-stock.</w:t>
      </w:r>
    </w:p>
  </w:endnote>
  <w:endnote w:id="3">
    <w:p w14:paraId="0817F877" w14:textId="694EC6F9" w:rsidR="00660430" w:rsidRPr="000977B4" w:rsidRDefault="00660430" w:rsidP="000977B4">
      <w:pPr>
        <w:pStyle w:val="Footnote"/>
      </w:pPr>
      <w:r w:rsidRPr="000C2EAE">
        <w:rPr>
          <w:rStyle w:val="EndnoteReference"/>
        </w:rPr>
        <w:endnoteRef/>
      </w:r>
      <w:r w:rsidRPr="000977B4">
        <w:t xml:space="preserve"> Ibid</w:t>
      </w:r>
      <w:r>
        <w:t>.</w:t>
      </w:r>
    </w:p>
  </w:endnote>
  <w:endnote w:id="4">
    <w:p w14:paraId="1AA39D43" w14:textId="72A85FC6" w:rsidR="00660430" w:rsidRPr="000977B4" w:rsidRDefault="00660430" w:rsidP="000977B4">
      <w:pPr>
        <w:pStyle w:val="Footnote"/>
      </w:pPr>
      <w:r w:rsidRPr="000C2EAE">
        <w:rPr>
          <w:rStyle w:val="EndnoteReference"/>
        </w:rPr>
        <w:endnoteRef/>
      </w:r>
      <w:r w:rsidRPr="000977B4">
        <w:t xml:space="preserve"> Matt Krantz, “Ask Matt: Why Doesn’t Berkshire Pay a Dividend?” </w:t>
      </w:r>
      <w:r w:rsidRPr="000977B4">
        <w:rPr>
          <w:i/>
        </w:rPr>
        <w:t>USA Today</w:t>
      </w:r>
      <w:r w:rsidRPr="000977B4">
        <w:t xml:space="preserve">, March 7, 2016, accessed June 15, 2018, </w:t>
      </w:r>
      <w:r w:rsidRPr="00842182">
        <w:rPr>
          <w:rStyle w:val="Hyperlink"/>
          <w:color w:val="auto"/>
          <w:u w:val="none"/>
        </w:rPr>
        <w:t>www.usatoday.com/story/money/columnist/krantz/2016/03/07/ask-matt-why-doesnt-berkshire-pay-dividend/81334490</w:t>
      </w:r>
      <w:r w:rsidRPr="000977B4">
        <w:t>.</w:t>
      </w:r>
    </w:p>
  </w:endnote>
  <w:endnote w:id="5">
    <w:p w14:paraId="3EA450B2" w14:textId="37288D8C" w:rsidR="00660430" w:rsidRPr="006568CC" w:rsidRDefault="00660430" w:rsidP="006568CC">
      <w:pPr>
        <w:pStyle w:val="Footnote"/>
      </w:pPr>
      <w:r w:rsidRPr="00427D4B">
        <w:rPr>
          <w:vertAlign w:val="superscript"/>
        </w:rPr>
        <w:endnoteRef/>
      </w:r>
      <w:r w:rsidRPr="006568CC">
        <w:t xml:space="preserve"> </w:t>
      </w:r>
      <w:r w:rsidRPr="006333DB">
        <w:rPr>
          <w:i/>
        </w:rPr>
        <w:t>Graham &amp; Doddsville</w:t>
      </w:r>
      <w:r w:rsidRPr="006568CC">
        <w:t xml:space="preserve"> was an investment newsletter published by Columbia Business School. The newsletter’s target audience was investors who relied on the principles espoused by Columbia professors Benjamin Graham and David Dodd in their classic text, </w:t>
      </w:r>
      <w:r w:rsidRPr="006333DB">
        <w:rPr>
          <w:i/>
        </w:rPr>
        <w:t>Security Analysis</w:t>
      </w:r>
      <w:r w:rsidRPr="006568CC">
        <w:t>, first published in 1934.</w:t>
      </w:r>
    </w:p>
  </w:endnote>
  <w:endnote w:id="6">
    <w:p w14:paraId="34196788" w14:textId="14839670" w:rsidR="00660430" w:rsidRPr="00EB7470" w:rsidRDefault="00660430" w:rsidP="00716344">
      <w:pPr>
        <w:pStyle w:val="Footnote"/>
        <w:rPr>
          <w:lang w:val="en-US"/>
        </w:rPr>
      </w:pPr>
      <w:r w:rsidRPr="000C2EAE">
        <w:rPr>
          <w:rStyle w:val="EndnoteReference"/>
        </w:rPr>
        <w:endnoteRef/>
      </w:r>
      <w:r>
        <w:t xml:space="preserve"> </w:t>
      </w:r>
      <w:r w:rsidRPr="00EB7470">
        <w:rPr>
          <w:lang w:val="en-US"/>
        </w:rPr>
        <w:t xml:space="preserve">Berkshire Hathaway, </w:t>
      </w:r>
      <w:r w:rsidRPr="00303341">
        <w:rPr>
          <w:rFonts w:eastAsia="Calibri"/>
          <w:lang w:val="en-IN"/>
        </w:rPr>
        <w:t>“</w:t>
      </w:r>
      <w:r>
        <w:rPr>
          <w:rFonts w:eastAsia="Calibri"/>
          <w:lang w:val="en-IN"/>
        </w:rPr>
        <w:t xml:space="preserve">Chairman’s </w:t>
      </w:r>
      <w:r w:rsidRPr="00303341">
        <w:rPr>
          <w:rFonts w:eastAsia="Calibri"/>
          <w:lang w:val="en-IN"/>
        </w:rPr>
        <w:t>Letter,”</w:t>
      </w:r>
      <w:r w:rsidRPr="00EB7470">
        <w:rPr>
          <w:lang w:val="en-US"/>
        </w:rPr>
        <w:t xml:space="preserve"> </w:t>
      </w:r>
      <w:r>
        <w:rPr>
          <w:lang w:val="en-US"/>
        </w:rPr>
        <w:t xml:space="preserve">in </w:t>
      </w:r>
      <w:r w:rsidRPr="006568CC">
        <w:rPr>
          <w:i/>
          <w:lang w:val="en-US"/>
        </w:rPr>
        <w:t>2017 Annual Report</w:t>
      </w:r>
      <w:r>
        <w:rPr>
          <w:lang w:val="en-US"/>
        </w:rPr>
        <w:t>, February 24</w:t>
      </w:r>
      <w:r w:rsidRPr="00EB7470">
        <w:rPr>
          <w:lang w:val="en-US"/>
        </w:rPr>
        <w:t>, 201</w:t>
      </w:r>
      <w:r>
        <w:rPr>
          <w:lang w:val="en-US"/>
        </w:rPr>
        <w:t>8</w:t>
      </w:r>
      <w:r w:rsidRPr="00EB7470">
        <w:rPr>
          <w:lang w:val="en-US"/>
        </w:rPr>
        <w:t xml:space="preserve">, accessed </w:t>
      </w:r>
      <w:r>
        <w:rPr>
          <w:lang w:val="en-US"/>
        </w:rPr>
        <w:t>September</w:t>
      </w:r>
      <w:r w:rsidRPr="00EB7470">
        <w:rPr>
          <w:lang w:val="en-US"/>
        </w:rPr>
        <w:t xml:space="preserve"> 15, 2018, </w:t>
      </w:r>
      <w:r w:rsidRPr="00F964E4">
        <w:t>www.berkshirehathaway.com/letters/2017ltr.pdf</w:t>
      </w:r>
      <w:r>
        <w:rPr>
          <w:lang w:val="en-US"/>
        </w:rPr>
        <w:t xml:space="preserve">; </w:t>
      </w:r>
      <w:r w:rsidRPr="00EB7470">
        <w:rPr>
          <w:rStyle w:val="Hyperlink"/>
          <w:color w:val="auto"/>
          <w:u w:val="none"/>
          <w:lang w:val="en-US"/>
        </w:rPr>
        <w:t xml:space="preserve">Andrea Frazzini, David Kabiller, Lasse H. Pedersen, “Buffett’s Alpha,” NBER Working Paper </w:t>
      </w:r>
      <w:r>
        <w:rPr>
          <w:rStyle w:val="Hyperlink"/>
          <w:color w:val="auto"/>
          <w:u w:val="none"/>
          <w:lang w:val="en-US"/>
        </w:rPr>
        <w:t>No. 19681</w:t>
      </w:r>
      <w:r w:rsidRPr="00EB7470">
        <w:rPr>
          <w:rStyle w:val="Hyperlink"/>
          <w:color w:val="auto"/>
          <w:u w:val="none"/>
          <w:lang w:val="en-US"/>
        </w:rPr>
        <w:t>, November 2013, accessed September 15, 2018, www.nber.org/papers/w19681</w:t>
      </w:r>
      <w:r>
        <w:rPr>
          <w:rStyle w:val="Hyperlink"/>
          <w:color w:val="auto"/>
          <w:u w:val="none"/>
          <w:lang w:val="en-US"/>
        </w:rPr>
        <w:t>.</w:t>
      </w:r>
    </w:p>
  </w:endnote>
  <w:endnote w:id="7">
    <w:p w14:paraId="11D4D761" w14:textId="172EF273" w:rsidR="00660430" w:rsidRPr="000977B4" w:rsidRDefault="00660430" w:rsidP="000977B4">
      <w:pPr>
        <w:pStyle w:val="Footnote"/>
      </w:pPr>
      <w:r w:rsidRPr="000C2EAE">
        <w:rPr>
          <w:rStyle w:val="EndnoteReference"/>
        </w:rPr>
        <w:endnoteRef/>
      </w:r>
      <w:r w:rsidRPr="000977B4">
        <w:t xml:space="preserve"> Erik Holm, “Berkshire Annual Meeting: Buffett Raises the Prospect of Paying a Dividend,” </w:t>
      </w:r>
      <w:r w:rsidRPr="000977B4">
        <w:rPr>
          <w:i/>
        </w:rPr>
        <w:t>Wall Street Journal</w:t>
      </w:r>
      <w:r w:rsidRPr="000977B4">
        <w:t xml:space="preserve">, May 6, 2017, accessed June 15, 2018, </w:t>
      </w:r>
      <w:r w:rsidRPr="00842182">
        <w:rPr>
          <w:rStyle w:val="Hyperlink"/>
          <w:color w:val="auto"/>
          <w:u w:val="none"/>
        </w:rPr>
        <w:t>www.wsj.com/livecoverage/berkshire-hathaway-2017-annual-meeting-analysis/card/1494096880</w:t>
      </w:r>
      <w:r>
        <w:rPr>
          <w:rStyle w:val="Hyperlink"/>
          <w:color w:val="auto"/>
          <w:u w:val="none"/>
        </w:rPr>
        <w:t>.</w:t>
      </w:r>
    </w:p>
  </w:endnote>
  <w:endnote w:id="8">
    <w:p w14:paraId="2D575505" w14:textId="7F17DC3F" w:rsidR="00660430" w:rsidRPr="000977B4" w:rsidRDefault="00660430" w:rsidP="000977B4">
      <w:pPr>
        <w:pStyle w:val="Footnote"/>
      </w:pPr>
      <w:r w:rsidRPr="000C2EAE">
        <w:rPr>
          <w:rStyle w:val="EndnoteReference"/>
        </w:rPr>
        <w:endnoteRef/>
      </w:r>
      <w:r w:rsidRPr="000977B4">
        <w:t xml:space="preserve"> </w:t>
      </w:r>
      <w:r>
        <w:t>“</w:t>
      </w:r>
      <w:r w:rsidRPr="00716344">
        <w:t>About Berkshire Hathaway,</w:t>
      </w:r>
      <w:r>
        <w:t>” TTI Inc.,</w:t>
      </w:r>
      <w:r w:rsidRPr="000977B4">
        <w:t xml:space="preserve"> March 30, 2007, accessed August 17, 2018, www.ttiinc.com/content/ttiinc/en/about/about-berkshire-hathaway.html</w:t>
      </w:r>
      <w:r>
        <w:t>.</w:t>
      </w:r>
    </w:p>
  </w:endnote>
  <w:endnote w:id="9">
    <w:p w14:paraId="0A655DD0" w14:textId="51695F1D" w:rsidR="00660430" w:rsidRPr="000977B4" w:rsidRDefault="00660430" w:rsidP="000977B4">
      <w:pPr>
        <w:pStyle w:val="Footnote"/>
      </w:pPr>
      <w:r w:rsidRPr="000C2EAE">
        <w:rPr>
          <w:rStyle w:val="EndnoteReference"/>
        </w:rPr>
        <w:endnoteRef/>
      </w:r>
      <w:r w:rsidRPr="000977B4">
        <w:t xml:space="preserve"> </w:t>
      </w:r>
      <w:bookmarkStart w:id="1" w:name="_Hlk522388574"/>
      <w:r w:rsidRPr="000977B4">
        <w:t xml:space="preserve">“History of Berkshire Hathaway,” Warren Buffett.com, accessed June 15, 2018, </w:t>
      </w:r>
      <w:r w:rsidRPr="000977B4">
        <w:rPr>
          <w:rStyle w:val="Hyperlink"/>
          <w:color w:val="auto"/>
          <w:u w:val="none"/>
        </w:rPr>
        <w:t>www.warrenbuffett.com/berkshire-hathaway/history-of-berkshire-hathaway</w:t>
      </w:r>
      <w:r w:rsidRPr="000977B4">
        <w:t>.</w:t>
      </w:r>
      <w:bookmarkEnd w:id="1"/>
    </w:p>
  </w:endnote>
  <w:endnote w:id="10">
    <w:p w14:paraId="6DCCA27E" w14:textId="77777777" w:rsidR="00660430" w:rsidRPr="000977B4" w:rsidRDefault="00660430" w:rsidP="000977B4">
      <w:pPr>
        <w:pStyle w:val="Footnote"/>
      </w:pPr>
      <w:r w:rsidRPr="000C2EAE">
        <w:rPr>
          <w:rStyle w:val="EndnoteReference"/>
        </w:rPr>
        <w:endnoteRef/>
      </w:r>
      <w:r w:rsidRPr="000977B4">
        <w:t xml:space="preserve"> Ibid.</w:t>
      </w:r>
    </w:p>
  </w:endnote>
  <w:endnote w:id="11">
    <w:p w14:paraId="5E82A2E0" w14:textId="77777777" w:rsidR="00660430" w:rsidRPr="000977B4" w:rsidRDefault="00660430" w:rsidP="000977B4">
      <w:pPr>
        <w:pStyle w:val="Footnote"/>
      </w:pPr>
      <w:r w:rsidRPr="000C2EAE">
        <w:rPr>
          <w:rStyle w:val="EndnoteReference"/>
        </w:rPr>
        <w:endnoteRef/>
      </w:r>
      <w:r w:rsidRPr="000977B4">
        <w:t xml:space="preserve"> Ibid.</w:t>
      </w:r>
    </w:p>
  </w:endnote>
  <w:endnote w:id="12">
    <w:p w14:paraId="54AF42D1" w14:textId="5272A9AF" w:rsidR="00660430" w:rsidRPr="000977B4" w:rsidRDefault="00660430" w:rsidP="000977B4">
      <w:pPr>
        <w:pStyle w:val="Footnote"/>
        <w:rPr>
          <w:bCs/>
        </w:rPr>
      </w:pPr>
      <w:r w:rsidRPr="000C2EAE">
        <w:rPr>
          <w:rStyle w:val="EndnoteReference"/>
        </w:rPr>
        <w:endnoteRef/>
      </w:r>
      <w:r w:rsidRPr="000977B4">
        <w:t xml:space="preserve"> </w:t>
      </w:r>
      <w:r w:rsidRPr="000977B4">
        <w:rPr>
          <w:rStyle w:val="Hyperlink"/>
          <w:color w:val="auto"/>
          <w:u w:val="none"/>
        </w:rPr>
        <w:t>Dan Caplinger, “</w:t>
      </w:r>
      <w:r w:rsidRPr="000977B4">
        <w:rPr>
          <w:rStyle w:val="Hyperlink"/>
          <w:bCs/>
          <w:color w:val="auto"/>
          <w:u w:val="none"/>
        </w:rPr>
        <w:t xml:space="preserve">5 Key Moments in Berkshire Hathaway Stock History,” Motley Fool, June 1, 2017, accessed August 17, 2018, </w:t>
      </w:r>
      <w:r w:rsidRPr="000977B4">
        <w:rPr>
          <w:rStyle w:val="Hyperlink"/>
          <w:color w:val="auto"/>
          <w:u w:val="none"/>
        </w:rPr>
        <w:t>www.fool.com/investing/2017/06/01/5-key-moments-in-berkshire-hathaway-stock-history.aspx</w:t>
      </w:r>
      <w:r>
        <w:rPr>
          <w:rStyle w:val="Hyperlink"/>
          <w:color w:val="auto"/>
          <w:u w:val="none"/>
        </w:rPr>
        <w:t>.</w:t>
      </w:r>
    </w:p>
  </w:endnote>
  <w:endnote w:id="13">
    <w:p w14:paraId="3928E5C0" w14:textId="6970B550" w:rsidR="00660430" w:rsidRDefault="00660430" w:rsidP="006568CC">
      <w:pPr>
        <w:pStyle w:val="Footnote"/>
      </w:pPr>
      <w:r w:rsidRPr="00427D4B">
        <w:rPr>
          <w:vertAlign w:val="superscript"/>
        </w:rPr>
        <w:endnoteRef/>
      </w:r>
      <w:r w:rsidRPr="00427D4B">
        <w:rPr>
          <w:vertAlign w:val="superscript"/>
        </w:rPr>
        <w:t xml:space="preserve"> </w:t>
      </w:r>
      <w:r>
        <w:t>All dollar amounts are in US$ unless otherwise stated.</w:t>
      </w:r>
    </w:p>
  </w:endnote>
  <w:endnote w:id="14">
    <w:p w14:paraId="60D8A1D0" w14:textId="13E489BA" w:rsidR="00660430" w:rsidRPr="000977B4" w:rsidRDefault="00660430" w:rsidP="005E21D6">
      <w:pPr>
        <w:pStyle w:val="Footnote"/>
        <w:rPr>
          <w:bCs/>
        </w:rPr>
      </w:pPr>
      <w:r w:rsidRPr="000C2EAE">
        <w:rPr>
          <w:rStyle w:val="EndnoteReference"/>
        </w:rPr>
        <w:endnoteRef/>
      </w:r>
      <w:r w:rsidRPr="000977B4">
        <w:t xml:space="preserve"> </w:t>
      </w:r>
      <w:r w:rsidRPr="000977B4">
        <w:rPr>
          <w:rStyle w:val="Hyperlink"/>
          <w:color w:val="auto"/>
          <w:u w:val="none"/>
        </w:rPr>
        <w:t>Steve Jordan, “</w:t>
      </w:r>
      <w:r w:rsidRPr="000977B4">
        <w:rPr>
          <w:rStyle w:val="Hyperlink"/>
          <w:bCs/>
          <w:color w:val="auto"/>
          <w:u w:val="none"/>
        </w:rPr>
        <w:t xml:space="preserve">Berkshire Hathaway: The </w:t>
      </w:r>
      <w:r>
        <w:rPr>
          <w:rStyle w:val="Hyperlink"/>
          <w:bCs/>
          <w:color w:val="auto"/>
          <w:u w:val="none"/>
        </w:rPr>
        <w:t>T</w:t>
      </w:r>
      <w:r w:rsidRPr="000977B4">
        <w:rPr>
          <w:rStyle w:val="Hyperlink"/>
          <w:bCs/>
          <w:color w:val="auto"/>
          <w:u w:val="none"/>
        </w:rPr>
        <w:t xml:space="preserve">extile </w:t>
      </w:r>
      <w:r>
        <w:rPr>
          <w:rStyle w:val="Hyperlink"/>
          <w:bCs/>
          <w:color w:val="auto"/>
          <w:u w:val="none"/>
        </w:rPr>
        <w:t>M</w:t>
      </w:r>
      <w:r w:rsidRPr="000977B4">
        <w:rPr>
          <w:rStyle w:val="Hyperlink"/>
          <w:bCs/>
          <w:color w:val="auto"/>
          <w:u w:val="none"/>
        </w:rPr>
        <w:t xml:space="preserve">ill </w:t>
      </w:r>
      <w:r>
        <w:rPr>
          <w:rStyle w:val="Hyperlink"/>
          <w:bCs/>
          <w:color w:val="auto"/>
          <w:u w:val="none"/>
        </w:rPr>
        <w:t>W</w:t>
      </w:r>
      <w:r w:rsidRPr="000977B4">
        <w:rPr>
          <w:rStyle w:val="Hyperlink"/>
          <w:bCs/>
          <w:color w:val="auto"/>
          <w:u w:val="none"/>
        </w:rPr>
        <w:t xml:space="preserve">here </w:t>
      </w:r>
      <w:r>
        <w:rPr>
          <w:rStyle w:val="Hyperlink"/>
          <w:bCs/>
          <w:color w:val="auto"/>
          <w:u w:val="none"/>
        </w:rPr>
        <w:t>I</w:t>
      </w:r>
      <w:r w:rsidRPr="000977B4">
        <w:rPr>
          <w:rStyle w:val="Hyperlink"/>
          <w:bCs/>
          <w:color w:val="auto"/>
          <w:u w:val="none"/>
        </w:rPr>
        <w:t xml:space="preserve">t </w:t>
      </w:r>
      <w:r>
        <w:rPr>
          <w:rStyle w:val="Hyperlink"/>
          <w:bCs/>
          <w:color w:val="auto"/>
          <w:u w:val="none"/>
        </w:rPr>
        <w:t>A</w:t>
      </w:r>
      <w:r w:rsidRPr="000977B4">
        <w:rPr>
          <w:rStyle w:val="Hyperlink"/>
          <w:bCs/>
          <w:color w:val="auto"/>
          <w:u w:val="none"/>
        </w:rPr>
        <w:t xml:space="preserve">ll </w:t>
      </w:r>
      <w:r>
        <w:rPr>
          <w:rStyle w:val="Hyperlink"/>
          <w:bCs/>
          <w:color w:val="auto"/>
          <w:u w:val="none"/>
        </w:rPr>
        <w:t>S</w:t>
      </w:r>
      <w:r w:rsidRPr="000977B4">
        <w:rPr>
          <w:rStyle w:val="Hyperlink"/>
          <w:bCs/>
          <w:color w:val="auto"/>
          <w:u w:val="none"/>
        </w:rPr>
        <w:t xml:space="preserve">tarted,” </w:t>
      </w:r>
      <w:r w:rsidRPr="006568CC">
        <w:rPr>
          <w:rStyle w:val="Hyperlink"/>
          <w:bCs/>
          <w:i/>
          <w:color w:val="auto"/>
          <w:u w:val="none"/>
        </w:rPr>
        <w:t>Omaha World Herald</w:t>
      </w:r>
      <w:r w:rsidRPr="000977B4">
        <w:rPr>
          <w:rStyle w:val="Hyperlink"/>
          <w:bCs/>
          <w:color w:val="auto"/>
          <w:u w:val="none"/>
        </w:rPr>
        <w:t xml:space="preserve">, May 2, 2015, accessed August 18, 2018, </w:t>
      </w:r>
      <w:r w:rsidRPr="000977B4">
        <w:rPr>
          <w:rStyle w:val="Hyperlink"/>
          <w:color w:val="auto"/>
          <w:u w:val="none"/>
        </w:rPr>
        <w:t>www.omaha.com/money/buffett/berkshire-hathaway-the-textile-mill-where-it-all-started/article_703618c7-3182-572f-b56e-f8d9998d7d46.html</w:t>
      </w:r>
      <w:r>
        <w:rPr>
          <w:rStyle w:val="Hyperlink"/>
          <w:color w:val="auto"/>
          <w:u w:val="none"/>
        </w:rPr>
        <w:t>.</w:t>
      </w:r>
    </w:p>
  </w:endnote>
  <w:endnote w:id="15">
    <w:p w14:paraId="62A324CA" w14:textId="365B0B46" w:rsidR="00660430" w:rsidRPr="000977B4" w:rsidRDefault="00660430" w:rsidP="000977B4">
      <w:pPr>
        <w:pStyle w:val="Footnote"/>
        <w:rPr>
          <w:bCs/>
        </w:rPr>
      </w:pPr>
      <w:r w:rsidRPr="000C2EAE">
        <w:rPr>
          <w:rStyle w:val="EndnoteReference"/>
        </w:rPr>
        <w:endnoteRef/>
      </w:r>
      <w:r w:rsidRPr="000977B4">
        <w:t xml:space="preserve"> </w:t>
      </w:r>
      <w:r>
        <w:rPr>
          <w:rStyle w:val="Hyperlink"/>
          <w:color w:val="auto"/>
          <w:u w:val="none"/>
        </w:rPr>
        <w:t>Ibid.</w:t>
      </w:r>
    </w:p>
  </w:endnote>
  <w:endnote w:id="16">
    <w:p w14:paraId="22778730" w14:textId="691EA709" w:rsidR="00660430" w:rsidRPr="000977B4" w:rsidRDefault="00660430" w:rsidP="000977B4">
      <w:pPr>
        <w:pStyle w:val="Footnote"/>
      </w:pPr>
      <w:r w:rsidRPr="000C2EAE">
        <w:rPr>
          <w:rStyle w:val="EndnoteReference"/>
        </w:rPr>
        <w:endnoteRef/>
      </w:r>
      <w:r w:rsidRPr="000977B4">
        <w:t xml:space="preserve"> </w:t>
      </w:r>
      <w:r w:rsidR="0073763A" w:rsidRPr="000977B4">
        <w:t xml:space="preserve">“History of Berkshire Hathaway,” </w:t>
      </w:r>
      <w:r w:rsidR="0073763A">
        <w:t>op. cit</w:t>
      </w:r>
      <w:r w:rsidR="0073763A" w:rsidRPr="000977B4">
        <w:t>.</w:t>
      </w:r>
    </w:p>
  </w:endnote>
  <w:endnote w:id="17">
    <w:p w14:paraId="402875AD" w14:textId="6BE0992D" w:rsidR="00660430" w:rsidRPr="000977B4" w:rsidRDefault="00660430" w:rsidP="000977B4">
      <w:pPr>
        <w:pStyle w:val="Footnote"/>
      </w:pPr>
      <w:r w:rsidRPr="000C2EAE">
        <w:rPr>
          <w:rStyle w:val="EndnoteReference"/>
        </w:rPr>
        <w:endnoteRef/>
      </w:r>
      <w:r w:rsidRPr="000977B4">
        <w:t xml:space="preserve"> </w:t>
      </w:r>
      <w:r>
        <w:t>Ibid</w:t>
      </w:r>
      <w:r w:rsidRPr="000977B4">
        <w:t>.</w:t>
      </w:r>
    </w:p>
  </w:endnote>
  <w:endnote w:id="18">
    <w:p w14:paraId="6B373673" w14:textId="77777777" w:rsidR="00660430" w:rsidRPr="000977B4" w:rsidRDefault="00660430" w:rsidP="000977B4">
      <w:pPr>
        <w:pStyle w:val="Footnote"/>
      </w:pPr>
      <w:r w:rsidRPr="000C2EAE">
        <w:rPr>
          <w:rStyle w:val="EndnoteReference"/>
        </w:rPr>
        <w:endnoteRef/>
      </w:r>
      <w:r w:rsidRPr="000977B4">
        <w:t xml:space="preserve"> Ibid.</w:t>
      </w:r>
    </w:p>
  </w:endnote>
  <w:endnote w:id="19">
    <w:p w14:paraId="2D35A336" w14:textId="77777777" w:rsidR="00660430" w:rsidRPr="000977B4" w:rsidRDefault="00660430" w:rsidP="000977B4">
      <w:pPr>
        <w:pStyle w:val="Footnote"/>
      </w:pPr>
      <w:r w:rsidRPr="000C2EAE">
        <w:rPr>
          <w:rStyle w:val="EndnoteReference"/>
        </w:rPr>
        <w:endnoteRef/>
      </w:r>
      <w:r w:rsidRPr="000977B4">
        <w:t xml:space="preserve"> Ibid.</w:t>
      </w:r>
    </w:p>
  </w:endnote>
  <w:endnote w:id="20">
    <w:p w14:paraId="7DC31366" w14:textId="77777777" w:rsidR="00660430" w:rsidRPr="000977B4" w:rsidRDefault="00660430" w:rsidP="000977B4">
      <w:pPr>
        <w:pStyle w:val="Footnote"/>
      </w:pPr>
      <w:r w:rsidRPr="000C2EAE">
        <w:rPr>
          <w:rStyle w:val="EndnoteReference"/>
        </w:rPr>
        <w:endnoteRef/>
      </w:r>
      <w:r w:rsidRPr="000977B4">
        <w:t xml:space="preserve"> Ibid.</w:t>
      </w:r>
    </w:p>
  </w:endnote>
  <w:endnote w:id="21">
    <w:p w14:paraId="3FCC2684" w14:textId="77777777" w:rsidR="00660430" w:rsidRPr="000977B4" w:rsidRDefault="00660430" w:rsidP="000977B4">
      <w:pPr>
        <w:pStyle w:val="Footnote"/>
      </w:pPr>
      <w:r w:rsidRPr="000C2EAE">
        <w:rPr>
          <w:rStyle w:val="EndnoteReference"/>
        </w:rPr>
        <w:endnoteRef/>
      </w:r>
      <w:r w:rsidRPr="000977B4">
        <w:t xml:space="preserve"> Ibid.</w:t>
      </w:r>
    </w:p>
  </w:endnote>
  <w:endnote w:id="22">
    <w:p w14:paraId="15EE768A" w14:textId="77777777" w:rsidR="00660430" w:rsidRPr="000977B4" w:rsidRDefault="00660430" w:rsidP="000977B4">
      <w:pPr>
        <w:pStyle w:val="Footnote"/>
      </w:pPr>
      <w:r w:rsidRPr="000C2EAE">
        <w:rPr>
          <w:rStyle w:val="EndnoteReference"/>
        </w:rPr>
        <w:endnoteRef/>
      </w:r>
      <w:r w:rsidRPr="000977B4">
        <w:t xml:space="preserve"> Ibid.</w:t>
      </w:r>
    </w:p>
  </w:endnote>
  <w:endnote w:id="23">
    <w:p w14:paraId="784644C7" w14:textId="7BEB17AD" w:rsidR="00660430" w:rsidRPr="00427D4B" w:rsidRDefault="00660430" w:rsidP="000977B4">
      <w:pPr>
        <w:pStyle w:val="Footnote"/>
        <w:rPr>
          <w:spacing w:val="-2"/>
        </w:rPr>
      </w:pPr>
      <w:r w:rsidRPr="00427D4B">
        <w:rPr>
          <w:rStyle w:val="EndnoteReference"/>
          <w:spacing w:val="-2"/>
        </w:rPr>
        <w:endnoteRef/>
      </w:r>
      <w:r w:rsidRPr="00427D4B">
        <w:rPr>
          <w:spacing w:val="-2"/>
        </w:rPr>
        <w:t xml:space="preserve"> Ibid</w:t>
      </w:r>
      <w:r>
        <w:rPr>
          <w:spacing w:val="-2"/>
        </w:rPr>
        <w:t>.</w:t>
      </w:r>
      <w:r w:rsidRPr="00427D4B">
        <w:rPr>
          <w:spacing w:val="-2"/>
        </w:rPr>
        <w:t>; Berkshire Hathaway Inc., “Berkshire Hathaway Completes Acquisition of Benjamin Moore &amp; Co.,” press release,</w:t>
      </w:r>
      <w:r w:rsidRPr="00427D4B">
        <w:rPr>
          <w:i/>
          <w:spacing w:val="-2"/>
        </w:rPr>
        <w:t xml:space="preserve"> </w:t>
      </w:r>
      <w:r w:rsidRPr="00427D4B">
        <w:rPr>
          <w:spacing w:val="-2"/>
        </w:rPr>
        <w:t xml:space="preserve">January 2, 2001, accessed June 15, 2018, </w:t>
      </w:r>
      <w:r w:rsidRPr="00427D4B">
        <w:rPr>
          <w:rStyle w:val="Hyperlink"/>
          <w:color w:val="auto"/>
          <w:spacing w:val="-2"/>
          <w:u w:val="none"/>
        </w:rPr>
        <w:t xml:space="preserve">www.berkshirehathaway.com/news/jan0201.html; </w:t>
      </w:r>
      <w:r w:rsidRPr="00427D4B">
        <w:rPr>
          <w:spacing w:val="-2"/>
        </w:rPr>
        <w:t xml:space="preserve">Amelia Martyn-Hemphill, “10 Most Recent Berkshire Hathaway Acquisitions: Duracell, Heinz and More,” The Street, November 13, 2014, accessed June 15, 2018, </w:t>
      </w:r>
      <w:r w:rsidRPr="00427D4B">
        <w:rPr>
          <w:rStyle w:val="Hyperlink"/>
          <w:color w:val="auto"/>
          <w:spacing w:val="-2"/>
          <w:u w:val="none"/>
        </w:rPr>
        <w:t>www.thestreet.com/story/12953539/1/10-most-recent-berkshire-hathaway-acquisitions-duracell-heinz-and-more.html</w:t>
      </w:r>
      <w:r w:rsidRPr="00427D4B">
        <w:rPr>
          <w:spacing w:val="-2"/>
        </w:rPr>
        <w:t>.</w:t>
      </w:r>
    </w:p>
  </w:endnote>
  <w:endnote w:id="24">
    <w:p w14:paraId="3266D782" w14:textId="06908ADC" w:rsidR="00660430" w:rsidRPr="000977B4" w:rsidRDefault="00660430" w:rsidP="000977B4">
      <w:pPr>
        <w:pStyle w:val="Footnote"/>
        <w:rPr>
          <w:bCs/>
        </w:rPr>
      </w:pPr>
      <w:r w:rsidRPr="000C2EAE">
        <w:rPr>
          <w:rStyle w:val="EndnoteReference"/>
        </w:rPr>
        <w:endnoteRef/>
      </w:r>
      <w:r w:rsidRPr="000977B4">
        <w:t xml:space="preserve"> Laura </w:t>
      </w:r>
      <w:r>
        <w:t>K</w:t>
      </w:r>
      <w:r w:rsidRPr="000977B4">
        <w:t>earns, “Who Owns Berkshire Hathaway Inc (NYSE: BRK.A)?</w:t>
      </w:r>
      <w:r>
        <w:t>,</w:t>
      </w:r>
      <w:r w:rsidRPr="000977B4">
        <w:t>” Simply Wall St, January 25, 2018, accessed August 17, 2018, https://simplywall.st/stocks/us/diversified-financials/nyse-brk.a/berkshire-hathaway/news/who-owns-berkshire-hathaway-inc-nysebrk-a</w:t>
      </w:r>
      <w:r>
        <w:t>.</w:t>
      </w:r>
    </w:p>
  </w:endnote>
  <w:endnote w:id="25">
    <w:p w14:paraId="2E667769" w14:textId="1429029A" w:rsidR="00660430" w:rsidRPr="00B67E5F" w:rsidRDefault="00660430" w:rsidP="000977B4">
      <w:pPr>
        <w:pStyle w:val="Footnote"/>
        <w:rPr>
          <w:spacing w:val="-4"/>
        </w:rPr>
      </w:pPr>
      <w:r w:rsidRPr="00B67E5F">
        <w:rPr>
          <w:rStyle w:val="EndnoteReference"/>
          <w:spacing w:val="-4"/>
        </w:rPr>
        <w:endnoteRef/>
      </w:r>
      <w:r w:rsidRPr="00B67E5F">
        <w:rPr>
          <w:spacing w:val="-4"/>
        </w:rPr>
        <w:t xml:space="preserve"> </w:t>
      </w:r>
      <w:bookmarkStart w:id="2" w:name="_Hlk519447161"/>
      <w:r w:rsidRPr="00B67E5F">
        <w:rPr>
          <w:spacing w:val="-4"/>
        </w:rPr>
        <w:t>“Berkshire Hathaway Inc. (BRK-A),” Yahoo Finance, accessed June 15, 2018, https://finance.yahoo.com/quote/brk-a/history.</w:t>
      </w:r>
      <w:bookmarkEnd w:id="2"/>
    </w:p>
  </w:endnote>
  <w:endnote w:id="26">
    <w:p w14:paraId="2BFFC12D" w14:textId="5980B36D" w:rsidR="00660430" w:rsidRPr="000977B4" w:rsidRDefault="00660430" w:rsidP="000977B4">
      <w:pPr>
        <w:pStyle w:val="Footnote"/>
      </w:pPr>
      <w:r w:rsidRPr="000C2EAE">
        <w:rPr>
          <w:rStyle w:val="EndnoteReference"/>
        </w:rPr>
        <w:endnoteRef/>
      </w:r>
      <w:r w:rsidRPr="000977B4">
        <w:t xml:space="preserve"> Caplinger, </w:t>
      </w:r>
      <w:r>
        <w:t>op. cit.</w:t>
      </w:r>
    </w:p>
  </w:endnote>
  <w:endnote w:id="27">
    <w:p w14:paraId="0DA2A083" w14:textId="0A709784" w:rsidR="00660430" w:rsidRPr="000977B4" w:rsidRDefault="00660430" w:rsidP="000977B4">
      <w:pPr>
        <w:pStyle w:val="Footnote"/>
      </w:pPr>
      <w:r w:rsidRPr="000C2EAE">
        <w:rPr>
          <w:rStyle w:val="EndnoteReference"/>
        </w:rPr>
        <w:endnoteRef/>
      </w:r>
      <w:r w:rsidRPr="000977B4">
        <w:t xml:space="preserve"> Ibid</w:t>
      </w:r>
      <w:r>
        <w:t>.</w:t>
      </w:r>
    </w:p>
  </w:endnote>
  <w:endnote w:id="28">
    <w:p w14:paraId="32F467CE" w14:textId="23497CD1" w:rsidR="00660430" w:rsidRPr="000977B4" w:rsidRDefault="00660430" w:rsidP="000977B4">
      <w:pPr>
        <w:pStyle w:val="Footnote"/>
      </w:pPr>
      <w:r w:rsidRPr="000C2EAE">
        <w:rPr>
          <w:rStyle w:val="EndnoteReference"/>
        </w:rPr>
        <w:endnoteRef/>
      </w:r>
      <w:r w:rsidRPr="000977B4">
        <w:t xml:space="preserve"> Laura </w:t>
      </w:r>
      <w:r>
        <w:t>K</w:t>
      </w:r>
      <w:r w:rsidRPr="000977B4">
        <w:t>earns, “Who Owns Berkshire Hathaway Inc (NYSE: BRK.B)?</w:t>
      </w:r>
      <w:r>
        <w:t>,</w:t>
      </w:r>
      <w:r w:rsidRPr="000977B4">
        <w:t>” Simply Wall St, January 25, 2018, accessed August 17, 2018, https://simplywall.st/stocks/us/diversified-financials/nyse-brk.b/berkshire-hathaway/news/who-owns-most-of-berkshire-hathaway-inc-nysebrk-b</w:t>
      </w:r>
      <w:r>
        <w:t>.</w:t>
      </w:r>
    </w:p>
  </w:endnote>
  <w:endnote w:id="29">
    <w:p w14:paraId="653F15BD" w14:textId="7CB486F9" w:rsidR="00660430" w:rsidRPr="00B67E5F" w:rsidRDefault="00660430" w:rsidP="000977B4">
      <w:pPr>
        <w:pStyle w:val="Footnote"/>
        <w:rPr>
          <w:spacing w:val="-4"/>
        </w:rPr>
      </w:pPr>
      <w:r w:rsidRPr="00B67E5F">
        <w:rPr>
          <w:rStyle w:val="EndnoteReference"/>
          <w:spacing w:val="-4"/>
        </w:rPr>
        <w:endnoteRef/>
      </w:r>
      <w:r w:rsidRPr="00B67E5F">
        <w:rPr>
          <w:spacing w:val="-4"/>
        </w:rPr>
        <w:t xml:space="preserve"> “Berkshire Hathaway Inc. (BRK-B),” Yahoo Finance, accessed June 15, 2018, https://finance.yahoo.com/quote/brk-b/history.</w:t>
      </w:r>
    </w:p>
  </w:endnote>
  <w:endnote w:id="30">
    <w:p w14:paraId="4B2422B5" w14:textId="77777777" w:rsidR="0023447F" w:rsidRPr="000977B4" w:rsidRDefault="0023447F" w:rsidP="0023447F">
      <w:pPr>
        <w:pStyle w:val="Footnote"/>
      </w:pPr>
      <w:r w:rsidRPr="000C2EAE">
        <w:rPr>
          <w:rStyle w:val="EndnoteReference"/>
        </w:rPr>
        <w:endnoteRef/>
      </w:r>
      <w:r w:rsidRPr="000977B4">
        <w:t xml:space="preserve"> Berkshire Hathaway</w:t>
      </w:r>
      <w:r>
        <w:t xml:space="preserve"> Inc.</w:t>
      </w:r>
      <w:r w:rsidRPr="000977B4">
        <w:t xml:space="preserve">, </w:t>
      </w:r>
      <w:r>
        <w:t xml:space="preserve">“Chairman’s Letter,” in </w:t>
      </w:r>
      <w:r w:rsidRPr="000977B4">
        <w:rPr>
          <w:i/>
        </w:rPr>
        <w:t>2012 Annual Report</w:t>
      </w:r>
      <w:r w:rsidRPr="000977B4">
        <w:t>, March 1, 2013, accessed June 15, 2018, www.berkshirehathaway.com/letters/2012ltr.pdf.</w:t>
      </w:r>
    </w:p>
  </w:endnote>
  <w:endnote w:id="31">
    <w:p w14:paraId="51A8590B" w14:textId="283355DF" w:rsidR="00660430" w:rsidRPr="000977B4" w:rsidRDefault="00660430" w:rsidP="000977B4">
      <w:pPr>
        <w:pStyle w:val="Footnote"/>
      </w:pPr>
      <w:r w:rsidRPr="000C2EAE">
        <w:rPr>
          <w:rStyle w:val="EndnoteReference"/>
        </w:rPr>
        <w:endnoteRef/>
      </w:r>
      <w:r w:rsidRPr="000977B4">
        <w:t xml:space="preserve"> Ibid</w:t>
      </w:r>
      <w:r>
        <w:t xml:space="preserve">.; </w:t>
      </w:r>
      <w:r w:rsidRPr="000977B4">
        <w:t xml:space="preserve">Ben Woodhead, “Why Warren Buffett’s Berkshire Hathaway Doesn’t Pay Dividends,” </w:t>
      </w:r>
      <w:r w:rsidRPr="006568CC">
        <w:rPr>
          <w:i/>
        </w:rPr>
        <w:t>Financial Review</w:t>
      </w:r>
      <w:r w:rsidRPr="000977B4">
        <w:t>,</w:t>
      </w:r>
      <w:r>
        <w:t xml:space="preserve"> </w:t>
      </w:r>
      <w:r w:rsidRPr="000977B4">
        <w:t xml:space="preserve">March 4, 2013, June 15, 2018, </w:t>
      </w:r>
      <w:r w:rsidRPr="00842182">
        <w:rPr>
          <w:rStyle w:val="Hyperlink"/>
          <w:color w:val="auto"/>
          <w:u w:val="none"/>
        </w:rPr>
        <w:t>www.afr.com/markets/equity-markets/why-warren-buffetts-berkshire-hathaway-doesnt-pay-dividends-20130302-j12jv</w:t>
      </w:r>
      <w:r>
        <w:rPr>
          <w:rStyle w:val="Hyperlink"/>
          <w:color w:val="auto"/>
          <w:u w:val="none"/>
        </w:rPr>
        <w:t xml:space="preserve">; </w:t>
      </w:r>
      <w:r w:rsidRPr="000977B4">
        <w:t xml:space="preserve">Joseph Lisanti, “When It Comes to Dividends, Warren Buffett Believes It’s Better to Receive than Give,” </w:t>
      </w:r>
      <w:r>
        <w:t xml:space="preserve">Financial Planning | </w:t>
      </w:r>
      <w:r w:rsidRPr="006568CC">
        <w:t>Bank Investment Consultant</w:t>
      </w:r>
      <w:r w:rsidRPr="000977B4">
        <w:t xml:space="preserve">, May 16, 2018, accessed June 15, 2018, </w:t>
      </w:r>
      <w:r w:rsidRPr="00842182">
        <w:rPr>
          <w:rStyle w:val="Hyperlink"/>
          <w:color w:val="auto"/>
          <w:u w:val="none"/>
        </w:rPr>
        <w:t>https://bic.financial-planning.com/news/warren-buffett-buys-dividend-paying-stocks-but-doesnt-pay-dividends</w:t>
      </w:r>
      <w:r w:rsidRPr="000977B4">
        <w:t>.</w:t>
      </w:r>
    </w:p>
  </w:endnote>
  <w:endnote w:id="32">
    <w:p w14:paraId="51FAA8E9" w14:textId="77777777" w:rsidR="0023447F" w:rsidRPr="000977B4" w:rsidRDefault="0023447F" w:rsidP="0023447F">
      <w:pPr>
        <w:pStyle w:val="Footnote"/>
      </w:pPr>
      <w:r w:rsidRPr="000C2EAE">
        <w:rPr>
          <w:rStyle w:val="EndnoteReference"/>
        </w:rPr>
        <w:endnoteRef/>
      </w:r>
      <w:r w:rsidRPr="000977B4">
        <w:t xml:space="preserve"> Berkshire Hathaway</w:t>
      </w:r>
      <w:r>
        <w:t xml:space="preserve"> Inc.</w:t>
      </w:r>
      <w:r w:rsidRPr="000977B4">
        <w:t xml:space="preserve">, </w:t>
      </w:r>
      <w:r>
        <w:t xml:space="preserve">“Chairman’s Letter,” in </w:t>
      </w:r>
      <w:r w:rsidRPr="000977B4">
        <w:rPr>
          <w:i/>
        </w:rPr>
        <w:t>2012 Annual Report</w:t>
      </w:r>
      <w:r w:rsidRPr="000977B4">
        <w:t xml:space="preserve">, </w:t>
      </w:r>
      <w:r>
        <w:t xml:space="preserve">op. cit.; </w:t>
      </w:r>
      <w:r w:rsidRPr="000977B4">
        <w:t>Jared Cummans, “Does Berkshire Hathaway Pay Dividends?” Dividend.</w:t>
      </w:r>
      <w:r>
        <w:t>c</w:t>
      </w:r>
      <w:r w:rsidRPr="000977B4">
        <w:t xml:space="preserve">om, December 12, 2014, accessed June 15, 2018, </w:t>
      </w:r>
      <w:r w:rsidRPr="00842182">
        <w:rPr>
          <w:rStyle w:val="Hyperlink"/>
          <w:color w:val="auto"/>
          <w:u w:val="none"/>
        </w:rPr>
        <w:t>www.dividend.com/dividend-education/why-warren-buffett-doesnt-pay-a-dividend</w:t>
      </w:r>
      <w:r w:rsidRPr="000977B4">
        <w:t>.</w:t>
      </w:r>
    </w:p>
  </w:endnote>
  <w:endnote w:id="33">
    <w:p w14:paraId="30C250E6" w14:textId="77777777" w:rsidR="00660430" w:rsidRDefault="00660430" w:rsidP="002713E5">
      <w:pPr>
        <w:pStyle w:val="Footnote"/>
      </w:pPr>
      <w:r>
        <w:rPr>
          <w:rStyle w:val="EndnoteReference"/>
        </w:rPr>
        <w:endnoteRef/>
      </w:r>
      <w:r>
        <w:t xml:space="preserve"> </w:t>
      </w:r>
      <w:r w:rsidRPr="000977B4">
        <w:t>Berkshire Hathaway</w:t>
      </w:r>
      <w:r>
        <w:t xml:space="preserve"> Inc.</w:t>
      </w:r>
      <w:r w:rsidRPr="000977B4">
        <w:t xml:space="preserve">, </w:t>
      </w:r>
      <w:r>
        <w:t xml:space="preserve">“Chairman’s Letter,” in </w:t>
      </w:r>
      <w:r w:rsidRPr="000977B4">
        <w:rPr>
          <w:i/>
        </w:rPr>
        <w:t>2012 Annual Report</w:t>
      </w:r>
      <w:r w:rsidRPr="000977B4">
        <w:t xml:space="preserve">, </w:t>
      </w:r>
      <w:r>
        <w:t>op. cit., 20.</w:t>
      </w:r>
    </w:p>
  </w:endnote>
  <w:endnote w:id="34">
    <w:p w14:paraId="263CD9E7" w14:textId="7DC6B3CC" w:rsidR="00660430" w:rsidRPr="000977B4" w:rsidRDefault="00660430" w:rsidP="000977B4">
      <w:pPr>
        <w:pStyle w:val="Footnote"/>
      </w:pPr>
      <w:r w:rsidRPr="000C2EAE">
        <w:rPr>
          <w:rStyle w:val="EndnoteReference"/>
        </w:rPr>
        <w:endnoteRef/>
      </w:r>
      <w:r w:rsidRPr="000977B4">
        <w:t xml:space="preserve"> </w:t>
      </w:r>
      <w:r>
        <w:t>Ibid</w:t>
      </w:r>
      <w:r w:rsidRPr="000977B4">
        <w:t>.</w:t>
      </w:r>
    </w:p>
  </w:endnote>
  <w:endnote w:id="35">
    <w:p w14:paraId="078035D5" w14:textId="77777777" w:rsidR="00660430" w:rsidRPr="000977B4" w:rsidRDefault="00660430" w:rsidP="000977B4">
      <w:pPr>
        <w:pStyle w:val="Footnote"/>
      </w:pPr>
      <w:r w:rsidRPr="000C2EAE">
        <w:rPr>
          <w:rStyle w:val="EndnoteReference"/>
        </w:rPr>
        <w:endnoteRef/>
      </w:r>
      <w:r w:rsidRPr="000977B4">
        <w:t xml:space="preserve"> Ibid.</w:t>
      </w:r>
    </w:p>
  </w:endnote>
  <w:endnote w:id="36">
    <w:p w14:paraId="5C9DE7B8" w14:textId="77777777" w:rsidR="00660430" w:rsidRPr="000977B4" w:rsidRDefault="00660430" w:rsidP="000977B4">
      <w:pPr>
        <w:pStyle w:val="Footnote"/>
      </w:pPr>
      <w:r w:rsidRPr="000C2EAE">
        <w:rPr>
          <w:rStyle w:val="EndnoteReference"/>
        </w:rPr>
        <w:endnoteRef/>
      </w:r>
      <w:r w:rsidRPr="000977B4">
        <w:t xml:space="preserve"> </w:t>
      </w:r>
      <w:r w:rsidRPr="000977B4">
        <w:rPr>
          <w:rStyle w:val="Hyperlink"/>
          <w:color w:val="auto"/>
          <w:u w:val="none"/>
        </w:rPr>
        <w:t>Ibid</w:t>
      </w:r>
    </w:p>
  </w:endnote>
  <w:endnote w:id="37">
    <w:p w14:paraId="30CF78A7" w14:textId="66FEAD35" w:rsidR="00660430" w:rsidRPr="000977B4" w:rsidRDefault="00660430" w:rsidP="000977B4">
      <w:pPr>
        <w:pStyle w:val="Footnote"/>
      </w:pPr>
      <w:r w:rsidRPr="000C2EAE">
        <w:rPr>
          <w:rStyle w:val="EndnoteReference"/>
        </w:rPr>
        <w:endnoteRef/>
      </w:r>
      <w:r w:rsidRPr="000977B4">
        <w:t xml:space="preserve"> Rupert Hargreaves, “Why Berkshire Hathaway Won’t Pay a Dividend,” NASDAQ, August 24, 2017, accessed June 15, 2018, </w:t>
      </w:r>
      <w:r w:rsidRPr="00842182">
        <w:rPr>
          <w:rStyle w:val="Hyperlink"/>
          <w:color w:val="auto"/>
          <w:u w:val="none"/>
        </w:rPr>
        <w:t>www.nasdaq.com/article/why-berkshire-hathaway-wont-pay-a-dividend-cm837027</w:t>
      </w:r>
      <w:r>
        <w:t xml:space="preserve">; </w:t>
      </w:r>
      <w:r w:rsidRPr="000977B4">
        <w:t xml:space="preserve">Ian Wyatt, “Warren Buffett Ready for 2018 Payout,” </w:t>
      </w:r>
      <w:r w:rsidRPr="006568CC">
        <w:t>Wyatt Investment Research</w:t>
      </w:r>
      <w:r w:rsidRPr="000977B4">
        <w:t>,</w:t>
      </w:r>
      <w:r>
        <w:t xml:space="preserve"> </w:t>
      </w:r>
      <w:r w:rsidRPr="000977B4">
        <w:t xml:space="preserve">August 19, 2017, accessed June 15, 2018, </w:t>
      </w:r>
      <w:r w:rsidRPr="00842182">
        <w:rPr>
          <w:rStyle w:val="Hyperlink"/>
          <w:color w:val="auto"/>
          <w:u w:val="none"/>
        </w:rPr>
        <w:t>www.wyattresearch.com/article/berkshire-hathaway-dividend-warren-buffett-ready-for-2018-payout</w:t>
      </w:r>
      <w:r w:rsidRPr="000977B4">
        <w:t>.</w:t>
      </w:r>
    </w:p>
  </w:endnote>
  <w:endnote w:id="38">
    <w:p w14:paraId="1BF3982C" w14:textId="5347B447" w:rsidR="00660430" w:rsidRPr="000977B4" w:rsidRDefault="00660430" w:rsidP="000977B4">
      <w:pPr>
        <w:pStyle w:val="Footnote"/>
        <w:rPr>
          <w:bCs/>
        </w:rPr>
      </w:pPr>
      <w:r w:rsidRPr="000C2EAE">
        <w:rPr>
          <w:rStyle w:val="EndnoteReference"/>
        </w:rPr>
        <w:endnoteRef/>
      </w:r>
      <w:r w:rsidRPr="000977B4">
        <w:t xml:space="preserve"> </w:t>
      </w:r>
      <w:r w:rsidRPr="000977B4">
        <w:rPr>
          <w:rStyle w:val="Hyperlink"/>
          <w:color w:val="auto"/>
          <w:u w:val="none"/>
        </w:rPr>
        <w:t>Robert Baillieul,</w:t>
      </w:r>
      <w:r w:rsidRPr="000977B4">
        <w:t xml:space="preserve"> </w:t>
      </w:r>
      <w:r w:rsidRPr="000977B4">
        <w:rPr>
          <w:rStyle w:val="Hyperlink"/>
          <w:color w:val="auto"/>
          <w:u w:val="none"/>
        </w:rPr>
        <w:t>“</w:t>
      </w:r>
      <w:r w:rsidRPr="000977B4">
        <w:rPr>
          <w:rStyle w:val="Hyperlink"/>
          <w:bCs/>
          <w:color w:val="auto"/>
          <w:u w:val="none"/>
        </w:rPr>
        <w:t>Could Berkshire Hathaway Issue an 11</w:t>
      </w:r>
      <w:r>
        <w:rPr>
          <w:rStyle w:val="Hyperlink"/>
          <w:bCs/>
          <w:color w:val="auto"/>
          <w:u w:val="none"/>
        </w:rPr>
        <w:t>%</w:t>
      </w:r>
      <w:r w:rsidRPr="000977B4">
        <w:rPr>
          <w:rStyle w:val="Hyperlink"/>
          <w:bCs/>
          <w:color w:val="auto"/>
          <w:u w:val="none"/>
        </w:rPr>
        <w:t xml:space="preserve"> Special Dividend?</w:t>
      </w:r>
      <w:r>
        <w:rPr>
          <w:rStyle w:val="Hyperlink"/>
          <w:bCs/>
          <w:color w:val="auto"/>
          <w:u w:val="none"/>
        </w:rPr>
        <w:t>,</w:t>
      </w:r>
      <w:r w:rsidRPr="000977B4">
        <w:rPr>
          <w:rStyle w:val="Hyperlink"/>
          <w:bCs/>
          <w:color w:val="auto"/>
          <w:u w:val="none"/>
        </w:rPr>
        <w:t xml:space="preserve">” Income Investors, August 23, 2017, accessed August 18, 2018, </w:t>
      </w:r>
      <w:r w:rsidRPr="000977B4">
        <w:rPr>
          <w:rStyle w:val="Hyperlink"/>
          <w:color w:val="auto"/>
          <w:u w:val="none"/>
        </w:rPr>
        <w:t>www.incomeinvestors.com/could-warren-buffett-issue-11-percent-special-dividend/28021</w:t>
      </w:r>
      <w:r>
        <w:rPr>
          <w:rStyle w:val="Hyperlink"/>
          <w:color w:val="auto"/>
          <w:u w:val="none"/>
        </w:rPr>
        <w:t>.</w:t>
      </w:r>
    </w:p>
  </w:endnote>
  <w:endnote w:id="39">
    <w:p w14:paraId="6B21833C" w14:textId="0E8B741B" w:rsidR="00660430" w:rsidRPr="000977B4" w:rsidRDefault="00660430" w:rsidP="000977B4">
      <w:pPr>
        <w:pStyle w:val="Footnote"/>
      </w:pPr>
      <w:r w:rsidRPr="000C2EAE">
        <w:rPr>
          <w:rStyle w:val="EndnoteReference"/>
        </w:rPr>
        <w:endnoteRef/>
      </w:r>
      <w:r w:rsidRPr="000977B4">
        <w:t xml:space="preserve"> Claire E</w:t>
      </w:r>
      <w:r>
        <w:t>.</w:t>
      </w:r>
      <w:r w:rsidRPr="000977B4">
        <w:t xml:space="preserve"> Crutchley</w:t>
      </w:r>
      <w:r>
        <w:t>, Carl D. Hudson, Marlin R. H. Jensen, and Beverly B. Marshall</w:t>
      </w:r>
      <w:r w:rsidRPr="000977B4">
        <w:t>, “Special Dividends: What Do They Tell Investors about Future Performance?</w:t>
      </w:r>
      <w:r>
        <w:t>,</w:t>
      </w:r>
      <w:r w:rsidRPr="000977B4">
        <w:t xml:space="preserve">” </w:t>
      </w:r>
      <w:r w:rsidRPr="000977B4">
        <w:rPr>
          <w:i/>
        </w:rPr>
        <w:t>Financial Services Review</w:t>
      </w:r>
      <w:r w:rsidRPr="000977B4">
        <w:t xml:space="preserve"> 12, no. 2 (2003): 129, accessed June 15, 2018, </w:t>
      </w:r>
      <w:r w:rsidRPr="00F964E4">
        <w:t>www.questia.com/library/journal/1P3-429939601/special-dividends-what-do-they-tell-investors-about</w:t>
      </w:r>
      <w:r>
        <w:t xml:space="preserve">; </w:t>
      </w:r>
      <w:r w:rsidRPr="000977B4">
        <w:t xml:space="preserve">Thomas Heath, “Warren Buffett’s Berkshire Hathaway Had an Amazing 2017. 2018 Isn’t Looking Too Bad, Either,” </w:t>
      </w:r>
      <w:r w:rsidRPr="000977B4">
        <w:rPr>
          <w:i/>
        </w:rPr>
        <w:t>Washington Post</w:t>
      </w:r>
      <w:r w:rsidRPr="000977B4">
        <w:t>, January 18, 2018, accessed June 15, 2018,</w:t>
      </w:r>
      <w:r>
        <w:t xml:space="preserve"> </w:t>
      </w:r>
      <w:r w:rsidRPr="00842182">
        <w:rPr>
          <w:rStyle w:val="Hyperlink"/>
          <w:color w:val="auto"/>
          <w:u w:val="none"/>
        </w:rPr>
        <w:t>www.washingtonpost.com/news/get-there/wp/2018/01/18/warren-buffetts-berkshire-hathaway-had-an-amazing-2017-2018-isnt-looking-too-bad-either</w:t>
      </w:r>
      <w:r w:rsidRPr="000977B4">
        <w:t>.</w:t>
      </w:r>
    </w:p>
  </w:endnote>
  <w:endnote w:id="40">
    <w:p w14:paraId="4969A4ED" w14:textId="578CB17F" w:rsidR="00660430" w:rsidRPr="000977B4" w:rsidRDefault="00660430" w:rsidP="000977B4">
      <w:pPr>
        <w:pStyle w:val="Footnote"/>
      </w:pPr>
      <w:r w:rsidRPr="000C2EAE">
        <w:rPr>
          <w:rStyle w:val="EndnoteReference"/>
        </w:rPr>
        <w:endnoteRef/>
      </w:r>
      <w:r w:rsidRPr="000977B4">
        <w:t xml:space="preserve"> Erik Holm, “Berkshire Annual Meeting: Buffett Raises the Prospect of Paying a Dividend,” </w:t>
      </w:r>
      <w:r w:rsidRPr="000977B4">
        <w:rPr>
          <w:i/>
        </w:rPr>
        <w:t>Wall Street Journal</w:t>
      </w:r>
      <w:r w:rsidRPr="000977B4">
        <w:t xml:space="preserve">, May 6, 2017, accessed June 15, 2018, </w:t>
      </w:r>
      <w:r w:rsidRPr="00842182">
        <w:rPr>
          <w:rStyle w:val="Hyperlink"/>
          <w:color w:val="auto"/>
          <w:u w:val="none"/>
        </w:rPr>
        <w:t>www.wsj.com/livecoverage/berkshire-hathaway-2017-annual-meeting-analysis/card/1494096880</w:t>
      </w:r>
      <w:r>
        <w:rPr>
          <w:rStyle w:val="Hyperlink"/>
          <w:color w:val="auto"/>
          <w:u w:val="none"/>
        </w:rPr>
        <w:t xml:space="preserve">; </w:t>
      </w:r>
      <w:r w:rsidRPr="000977B4">
        <w:t xml:space="preserve">Gene Marcial, “A Dividend from Berkshire? Buffett Is Considering It,” </w:t>
      </w:r>
      <w:r w:rsidRPr="006568CC">
        <w:t>CBS News</w:t>
      </w:r>
      <w:r w:rsidRPr="000977B4">
        <w:t>, August 14, 2017, accessed June 15, 2018,</w:t>
      </w:r>
      <w:r>
        <w:t xml:space="preserve"> </w:t>
      </w:r>
      <w:r w:rsidRPr="000977B4">
        <w:t>www.cbsnews.com/news/a-dividend-from-berkshire-buffett-is-considering-it.</w:t>
      </w:r>
    </w:p>
  </w:endnote>
  <w:endnote w:id="41">
    <w:p w14:paraId="26BBDFB1" w14:textId="4B822F2A" w:rsidR="00660430" w:rsidRPr="000977B4" w:rsidRDefault="00660430" w:rsidP="000977B4">
      <w:pPr>
        <w:pStyle w:val="Footnote"/>
      </w:pPr>
      <w:r w:rsidRPr="000C2EAE">
        <w:rPr>
          <w:rStyle w:val="EndnoteReference"/>
        </w:rPr>
        <w:endnoteRef/>
      </w:r>
      <w:r w:rsidRPr="000977B4">
        <w:t xml:space="preserve"> </w:t>
      </w:r>
      <w:r w:rsidRPr="000977B4">
        <w:rPr>
          <w:rStyle w:val="Hyperlink"/>
          <w:color w:val="auto"/>
          <w:u w:val="none"/>
        </w:rPr>
        <w:t>Baillieul,</w:t>
      </w:r>
      <w:r w:rsidRPr="000977B4">
        <w:t xml:space="preserve"> </w:t>
      </w:r>
      <w:r>
        <w:rPr>
          <w:rStyle w:val="Hyperlink"/>
          <w:color w:val="auto"/>
          <w:u w:val="none"/>
        </w:rPr>
        <w:t xml:space="preserve">op. cit.; “Kraft Withdraws $143 Billion Offer for Unilever Offer after Opposition,” Food Ingredients First, February 20, 2017, accessed November 14, 2018, </w:t>
      </w:r>
      <w:r w:rsidRPr="003E5585">
        <w:rPr>
          <w:rStyle w:val="Hyperlink"/>
          <w:color w:val="auto"/>
          <w:u w:val="none"/>
        </w:rPr>
        <w:t>www.foodingredientsfirst.com/news/kraft-withdraws-143-billion-offer-for-unilever-offer-after-opposition.html</w:t>
      </w:r>
      <w:r>
        <w:rPr>
          <w:rStyle w:val="Hyperlink"/>
          <w:color w:val="auto"/>
          <w:u w:val="none"/>
        </w:rPr>
        <w:t>.</w:t>
      </w:r>
    </w:p>
  </w:endnote>
  <w:endnote w:id="42">
    <w:p w14:paraId="472E9B71" w14:textId="3DEE99F4" w:rsidR="00660430" w:rsidRPr="00B67E5F" w:rsidRDefault="00660430" w:rsidP="00977B7C">
      <w:pPr>
        <w:pStyle w:val="Footnote"/>
        <w:rPr>
          <w:spacing w:val="-4"/>
        </w:rPr>
      </w:pPr>
      <w:r w:rsidRPr="00B67E5F">
        <w:rPr>
          <w:rStyle w:val="EndnoteReference"/>
          <w:spacing w:val="-4"/>
        </w:rPr>
        <w:endnoteRef/>
      </w:r>
      <w:r w:rsidRPr="00B67E5F">
        <w:rPr>
          <w:spacing w:val="-4"/>
        </w:rPr>
        <w:t xml:space="preserve"> Jennifer Ablan, “Warren Buffett: Berkshire More Inclined on Share Buyback than Dividend Payments,” Livemint, February 26, 2018, accessed June 15, 2018, </w:t>
      </w:r>
      <w:r w:rsidRPr="00B67E5F">
        <w:rPr>
          <w:rStyle w:val="Hyperlink"/>
          <w:color w:val="auto"/>
          <w:spacing w:val="-4"/>
          <w:u w:val="none"/>
        </w:rPr>
        <w:t>www.livemint.com/Industry/0PiCsTNTfpe03cziUx35bP/Warren-Buffett-Berkshire-more-inclined-on-share-buyback-tha.html</w:t>
      </w:r>
      <w:r w:rsidRPr="00B67E5F">
        <w:rPr>
          <w:spacing w:val="-4"/>
        </w:rPr>
        <w:t xml:space="preserve">; Jeff Cox, “Buffett Sees Buybacks as an Option for Berkshire Cash Pile,” CNBC, February 26, 2018, accessed June 15, 2018, </w:t>
      </w:r>
      <w:r w:rsidRPr="00B67E5F">
        <w:rPr>
          <w:rStyle w:val="Hyperlink"/>
          <w:color w:val="auto"/>
          <w:spacing w:val="-4"/>
          <w:u w:val="none"/>
        </w:rPr>
        <w:t>www.cnbc.com/2018/02/26/buffett-sees-buybacks-as-an-option-for-berkshire-cash-pile.html</w:t>
      </w:r>
      <w:r w:rsidRPr="00B67E5F">
        <w:rPr>
          <w:spacing w:val="-4"/>
        </w:rPr>
        <w:t>.</w:t>
      </w:r>
      <w:bookmarkStart w:id="4" w:name="_GoBack"/>
      <w:bookmarkEnd w:id="4"/>
    </w:p>
  </w:endnote>
  <w:endnote w:id="43">
    <w:p w14:paraId="108142C6" w14:textId="24A7FF12" w:rsidR="00660430" w:rsidRPr="000977B4" w:rsidRDefault="00660430" w:rsidP="000977B4">
      <w:pPr>
        <w:pStyle w:val="Footnote"/>
      </w:pPr>
      <w:r w:rsidRPr="000C2EAE">
        <w:rPr>
          <w:rStyle w:val="EndnoteReference"/>
        </w:rPr>
        <w:endnoteRef/>
      </w:r>
      <w:r w:rsidRPr="000977B4">
        <w:t xml:space="preserve"> </w:t>
      </w:r>
      <w:r>
        <w:t xml:space="preserve">Cox, op. cit.; </w:t>
      </w:r>
      <w:r w:rsidRPr="000977B4">
        <w:t xml:space="preserve">“Why Berkshire Is Destined to Become the Ultimate Dividend Growth Stock,” Seeking Alpha, August 13, 2017, accessed June 15, 2018, </w:t>
      </w:r>
      <w:r w:rsidRPr="00842182">
        <w:rPr>
          <w:rStyle w:val="Hyperlink"/>
          <w:color w:val="auto"/>
          <w:u w:val="none"/>
        </w:rPr>
        <w:t>https://seekingalpha.com/article/4098444-berkshire-destined-become-ultimate-dividend-growth-stock</w:t>
      </w:r>
      <w:r>
        <w:t xml:space="preserve">; </w:t>
      </w:r>
      <w:r w:rsidRPr="000977B4">
        <w:t xml:space="preserve">Gautam Sinha, “Warren Buffett Live at Berkshire AGM 2018: Warren Buffett Says He Would Love to See Apple Buy Back Shares,” </w:t>
      </w:r>
      <w:r w:rsidRPr="000977B4">
        <w:rPr>
          <w:i/>
        </w:rPr>
        <w:t>Economic Times</w:t>
      </w:r>
      <w:r w:rsidRPr="000977B4">
        <w:t xml:space="preserve">, May 6, 2018, accessed June 15, 2018, </w:t>
      </w:r>
      <w:r w:rsidRPr="00842182">
        <w:rPr>
          <w:rStyle w:val="Hyperlink"/>
          <w:color w:val="auto"/>
          <w:u w:val="none"/>
        </w:rPr>
        <w:t>https://economictimes.indiatimes.com/warren-buffetts-address-to-berkshire-agm/liveblog/64037613.cms</w:t>
      </w:r>
      <w:r w:rsidRPr="00DA7B38">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D89310" w14:textId="77777777" w:rsidR="00660430" w:rsidRDefault="00660430" w:rsidP="00D75295">
      <w:r>
        <w:separator/>
      </w:r>
    </w:p>
  </w:footnote>
  <w:footnote w:type="continuationSeparator" w:id="0">
    <w:p w14:paraId="54F5C4DC" w14:textId="77777777" w:rsidR="00660430" w:rsidRDefault="00660430"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67142" w14:textId="3D266C8D" w:rsidR="00660430" w:rsidRPr="00C92CC4" w:rsidRDefault="00660430"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2D20C2">
      <w:rPr>
        <w:rFonts w:ascii="Arial" w:hAnsi="Arial"/>
        <w:b/>
        <w:noProof/>
      </w:rPr>
      <w:t>11</w:t>
    </w:r>
    <w:r>
      <w:rPr>
        <w:rFonts w:ascii="Arial" w:hAnsi="Arial"/>
        <w:b/>
      </w:rPr>
      <w:fldChar w:fldCharType="end"/>
    </w:r>
    <w:r>
      <w:rPr>
        <w:rFonts w:ascii="Arial" w:hAnsi="Arial"/>
        <w:b/>
      </w:rPr>
      <w:tab/>
      <w:t>9B19N007</w:t>
    </w:r>
  </w:p>
  <w:p w14:paraId="2B53C0A0" w14:textId="77777777" w:rsidR="00660430" w:rsidRDefault="00660430" w:rsidP="00D13667">
    <w:pPr>
      <w:pStyle w:val="Header"/>
      <w:tabs>
        <w:tab w:val="clear" w:pos="4680"/>
      </w:tabs>
      <w:rPr>
        <w:sz w:val="18"/>
        <w:szCs w:val="18"/>
      </w:rPr>
    </w:pPr>
  </w:p>
  <w:p w14:paraId="47119730" w14:textId="77777777" w:rsidR="00660430" w:rsidRPr="00C92CC4" w:rsidRDefault="00660430"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15488A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AA741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AD6DD1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94C786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8EA3EE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DA86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D0C5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2ACA5B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C9C8C0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970D1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372CB2"/>
    <w:multiLevelType w:val="hybridMultilevel"/>
    <w:tmpl w:val="DDD01D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97323EB"/>
    <w:multiLevelType w:val="hybridMultilevel"/>
    <w:tmpl w:val="39EC6A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E0E579E"/>
    <w:multiLevelType w:val="hybridMultilevel"/>
    <w:tmpl w:val="0FFCB9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34D2456"/>
    <w:multiLevelType w:val="hybridMultilevel"/>
    <w:tmpl w:val="B1A0D1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9230740"/>
    <w:multiLevelType w:val="hybridMultilevel"/>
    <w:tmpl w:val="F1665A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1B52AD3"/>
    <w:multiLevelType w:val="hybridMultilevel"/>
    <w:tmpl w:val="3DD6B8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7062226"/>
    <w:multiLevelType w:val="hybridMultilevel"/>
    <w:tmpl w:val="227673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3"/>
  </w:num>
  <w:num w:numId="2">
    <w:abstractNumId w:val="18"/>
  </w:num>
  <w:num w:numId="3">
    <w:abstractNumId w:val="13"/>
  </w:num>
  <w:num w:numId="4">
    <w:abstractNumId w:val="22"/>
  </w:num>
  <w:num w:numId="5">
    <w:abstractNumId w:val="15"/>
  </w:num>
  <w:num w:numId="6">
    <w:abstractNumId w:val="21"/>
  </w:num>
  <w:num w:numId="7">
    <w:abstractNumId w:val="12"/>
  </w:num>
  <w:num w:numId="8">
    <w:abstractNumId w:val="16"/>
  </w:num>
  <w:num w:numId="9">
    <w:abstractNumId w:val="19"/>
  </w:num>
  <w:num w:numId="10">
    <w:abstractNumId w:val="14"/>
  </w:num>
  <w:num w:numId="11">
    <w:abstractNumId w:val="20"/>
  </w:num>
  <w:num w:numId="12">
    <w:abstractNumId w:val="17"/>
  </w:num>
  <w:num w:numId="13">
    <w:abstractNumId w:val="10"/>
  </w:num>
  <w:num w:numId="14">
    <w:abstractNumId w:val="11"/>
  </w:num>
  <w:num w:numId="15">
    <w:abstractNumId w:val="0"/>
  </w:num>
  <w:num w:numId="16">
    <w:abstractNumId w:val="1"/>
  </w:num>
  <w:num w:numId="17">
    <w:abstractNumId w:val="2"/>
  </w:num>
  <w:num w:numId="18">
    <w:abstractNumId w:val="3"/>
  </w:num>
  <w:num w:numId="19">
    <w:abstractNumId w:val="8"/>
  </w:num>
  <w:num w:numId="20">
    <w:abstractNumId w:val="4"/>
  </w:num>
  <w:num w:numId="21">
    <w:abstractNumId w:val="5"/>
  </w:num>
  <w:num w:numId="22">
    <w:abstractNumId w:val="6"/>
  </w:num>
  <w:num w:numId="23">
    <w:abstractNumId w:val="7"/>
  </w:num>
  <w:num w:numId="24">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6145"/>
  </w:hdrShapeDefaults>
  <w:footnotePr>
    <w:numRestart w:val="eachPage"/>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QxMjQwtjQxtbA0NTRS0lEKTi0uzszPAymwrAUAZGvpTiwAAAA="/>
  </w:docVars>
  <w:rsids>
    <w:rsidRoot w:val="008A4DC4"/>
    <w:rsid w:val="0000085A"/>
    <w:rsid w:val="000032A3"/>
    <w:rsid w:val="00013360"/>
    <w:rsid w:val="00016759"/>
    <w:rsid w:val="000216CE"/>
    <w:rsid w:val="00024ED4"/>
    <w:rsid w:val="00025DC7"/>
    <w:rsid w:val="00032E78"/>
    <w:rsid w:val="00034F99"/>
    <w:rsid w:val="00035F09"/>
    <w:rsid w:val="00037523"/>
    <w:rsid w:val="000445F3"/>
    <w:rsid w:val="00044ECC"/>
    <w:rsid w:val="0005182B"/>
    <w:rsid w:val="000531D3"/>
    <w:rsid w:val="0005646B"/>
    <w:rsid w:val="000668D1"/>
    <w:rsid w:val="00067EBE"/>
    <w:rsid w:val="00072625"/>
    <w:rsid w:val="0008102D"/>
    <w:rsid w:val="00081357"/>
    <w:rsid w:val="00082E22"/>
    <w:rsid w:val="0008431C"/>
    <w:rsid w:val="00084F0C"/>
    <w:rsid w:val="00086B26"/>
    <w:rsid w:val="000925EB"/>
    <w:rsid w:val="00094C0E"/>
    <w:rsid w:val="000953B1"/>
    <w:rsid w:val="000977B4"/>
    <w:rsid w:val="000A146D"/>
    <w:rsid w:val="000C2EAE"/>
    <w:rsid w:val="000D2A2F"/>
    <w:rsid w:val="000D7091"/>
    <w:rsid w:val="000F0C22"/>
    <w:rsid w:val="000F6B09"/>
    <w:rsid w:val="000F6FDC"/>
    <w:rsid w:val="00104567"/>
    <w:rsid w:val="00104916"/>
    <w:rsid w:val="00104AA7"/>
    <w:rsid w:val="0012732D"/>
    <w:rsid w:val="00143F25"/>
    <w:rsid w:val="00152682"/>
    <w:rsid w:val="00154FC9"/>
    <w:rsid w:val="001624B4"/>
    <w:rsid w:val="00165AC0"/>
    <w:rsid w:val="00184715"/>
    <w:rsid w:val="00185BEC"/>
    <w:rsid w:val="0019241A"/>
    <w:rsid w:val="00192A18"/>
    <w:rsid w:val="001A22D1"/>
    <w:rsid w:val="001A4446"/>
    <w:rsid w:val="001A752D"/>
    <w:rsid w:val="001A757E"/>
    <w:rsid w:val="001B3CBB"/>
    <w:rsid w:val="001B5032"/>
    <w:rsid w:val="001C6311"/>
    <w:rsid w:val="001C7777"/>
    <w:rsid w:val="001D344B"/>
    <w:rsid w:val="001E364F"/>
    <w:rsid w:val="001E6CDB"/>
    <w:rsid w:val="001F4222"/>
    <w:rsid w:val="00203AA1"/>
    <w:rsid w:val="00213E98"/>
    <w:rsid w:val="00225147"/>
    <w:rsid w:val="00226E02"/>
    <w:rsid w:val="00230150"/>
    <w:rsid w:val="0023081A"/>
    <w:rsid w:val="00233111"/>
    <w:rsid w:val="0023447F"/>
    <w:rsid w:val="00263871"/>
    <w:rsid w:val="002654E1"/>
    <w:rsid w:val="00265C62"/>
    <w:rsid w:val="00265FA8"/>
    <w:rsid w:val="002713E5"/>
    <w:rsid w:val="00273607"/>
    <w:rsid w:val="00277178"/>
    <w:rsid w:val="002830B3"/>
    <w:rsid w:val="002C4E29"/>
    <w:rsid w:val="002C621D"/>
    <w:rsid w:val="002D20C2"/>
    <w:rsid w:val="002D5326"/>
    <w:rsid w:val="002E495D"/>
    <w:rsid w:val="002E527F"/>
    <w:rsid w:val="002F460C"/>
    <w:rsid w:val="002F48D6"/>
    <w:rsid w:val="003011D8"/>
    <w:rsid w:val="00303341"/>
    <w:rsid w:val="003059BB"/>
    <w:rsid w:val="00317391"/>
    <w:rsid w:val="00326216"/>
    <w:rsid w:val="003342DA"/>
    <w:rsid w:val="00336580"/>
    <w:rsid w:val="00352DA5"/>
    <w:rsid w:val="00354899"/>
    <w:rsid w:val="00355FD6"/>
    <w:rsid w:val="00364A5C"/>
    <w:rsid w:val="00364CE4"/>
    <w:rsid w:val="00373FB1"/>
    <w:rsid w:val="00377A89"/>
    <w:rsid w:val="00396C76"/>
    <w:rsid w:val="003A6ED8"/>
    <w:rsid w:val="003A7886"/>
    <w:rsid w:val="003B30D8"/>
    <w:rsid w:val="003B7B87"/>
    <w:rsid w:val="003B7EF2"/>
    <w:rsid w:val="003C2A84"/>
    <w:rsid w:val="003C3FA4"/>
    <w:rsid w:val="003D0BA1"/>
    <w:rsid w:val="003D3FE3"/>
    <w:rsid w:val="003D664B"/>
    <w:rsid w:val="003E2202"/>
    <w:rsid w:val="003E5585"/>
    <w:rsid w:val="003F2B0C"/>
    <w:rsid w:val="003F75CF"/>
    <w:rsid w:val="004105B2"/>
    <w:rsid w:val="0041145A"/>
    <w:rsid w:val="0041229E"/>
    <w:rsid w:val="00412900"/>
    <w:rsid w:val="00416121"/>
    <w:rsid w:val="004221E4"/>
    <w:rsid w:val="004273F8"/>
    <w:rsid w:val="00427D4B"/>
    <w:rsid w:val="004355A3"/>
    <w:rsid w:val="00446546"/>
    <w:rsid w:val="00452769"/>
    <w:rsid w:val="00454FA7"/>
    <w:rsid w:val="00465348"/>
    <w:rsid w:val="004722A3"/>
    <w:rsid w:val="004979A5"/>
    <w:rsid w:val="004A25E0"/>
    <w:rsid w:val="004B1CCB"/>
    <w:rsid w:val="004B632F"/>
    <w:rsid w:val="004D3FB1"/>
    <w:rsid w:val="004D6F21"/>
    <w:rsid w:val="004D6F57"/>
    <w:rsid w:val="004D73A5"/>
    <w:rsid w:val="005160F1"/>
    <w:rsid w:val="00524F2F"/>
    <w:rsid w:val="00527E5C"/>
    <w:rsid w:val="00530649"/>
    <w:rsid w:val="0053182B"/>
    <w:rsid w:val="00532CF5"/>
    <w:rsid w:val="00540C6F"/>
    <w:rsid w:val="005528CB"/>
    <w:rsid w:val="00553A88"/>
    <w:rsid w:val="005644F7"/>
    <w:rsid w:val="00566771"/>
    <w:rsid w:val="00580080"/>
    <w:rsid w:val="00581E2E"/>
    <w:rsid w:val="00584F15"/>
    <w:rsid w:val="00587B69"/>
    <w:rsid w:val="0059514B"/>
    <w:rsid w:val="005A1899"/>
    <w:rsid w:val="005A1B0F"/>
    <w:rsid w:val="005A3034"/>
    <w:rsid w:val="005A5766"/>
    <w:rsid w:val="005B1F3A"/>
    <w:rsid w:val="005B5EFE"/>
    <w:rsid w:val="005E21D6"/>
    <w:rsid w:val="005E52C2"/>
    <w:rsid w:val="005F6643"/>
    <w:rsid w:val="00605C2B"/>
    <w:rsid w:val="0061553C"/>
    <w:rsid w:val="006163F7"/>
    <w:rsid w:val="00627C63"/>
    <w:rsid w:val="00632BFB"/>
    <w:rsid w:val="006333DB"/>
    <w:rsid w:val="0063350B"/>
    <w:rsid w:val="006435D0"/>
    <w:rsid w:val="006523DE"/>
    <w:rsid w:val="00652606"/>
    <w:rsid w:val="006568CC"/>
    <w:rsid w:val="00660430"/>
    <w:rsid w:val="006668EA"/>
    <w:rsid w:val="006823FA"/>
    <w:rsid w:val="006946EE"/>
    <w:rsid w:val="0069564A"/>
    <w:rsid w:val="006A48D0"/>
    <w:rsid w:val="006A58A9"/>
    <w:rsid w:val="006A606D"/>
    <w:rsid w:val="006B6156"/>
    <w:rsid w:val="006C0371"/>
    <w:rsid w:val="006C08B6"/>
    <w:rsid w:val="006C0B1A"/>
    <w:rsid w:val="006C6065"/>
    <w:rsid w:val="006C7F9F"/>
    <w:rsid w:val="006D591A"/>
    <w:rsid w:val="006D689E"/>
    <w:rsid w:val="006E1C00"/>
    <w:rsid w:val="006E2F6D"/>
    <w:rsid w:val="006E58F6"/>
    <w:rsid w:val="006E77E1"/>
    <w:rsid w:val="006F1098"/>
    <w:rsid w:val="006F131D"/>
    <w:rsid w:val="00707A9E"/>
    <w:rsid w:val="00711642"/>
    <w:rsid w:val="00716344"/>
    <w:rsid w:val="0073763A"/>
    <w:rsid w:val="007507C6"/>
    <w:rsid w:val="00751E0B"/>
    <w:rsid w:val="00752BCD"/>
    <w:rsid w:val="00753F7F"/>
    <w:rsid w:val="00764E9A"/>
    <w:rsid w:val="007660FB"/>
    <w:rsid w:val="00766DA1"/>
    <w:rsid w:val="0077375C"/>
    <w:rsid w:val="00775716"/>
    <w:rsid w:val="00780208"/>
    <w:rsid w:val="00780D94"/>
    <w:rsid w:val="00781696"/>
    <w:rsid w:val="00783DBB"/>
    <w:rsid w:val="007866A6"/>
    <w:rsid w:val="007A130D"/>
    <w:rsid w:val="007B276A"/>
    <w:rsid w:val="007D1A2D"/>
    <w:rsid w:val="007D4102"/>
    <w:rsid w:val="007D4A13"/>
    <w:rsid w:val="007E54A7"/>
    <w:rsid w:val="007F41C3"/>
    <w:rsid w:val="007F43B7"/>
    <w:rsid w:val="007F54AF"/>
    <w:rsid w:val="008003BD"/>
    <w:rsid w:val="00801E8F"/>
    <w:rsid w:val="0080406D"/>
    <w:rsid w:val="0080537B"/>
    <w:rsid w:val="0081057D"/>
    <w:rsid w:val="00821FFC"/>
    <w:rsid w:val="008271CA"/>
    <w:rsid w:val="00842182"/>
    <w:rsid w:val="00844B97"/>
    <w:rsid w:val="008467D5"/>
    <w:rsid w:val="008668A7"/>
    <w:rsid w:val="00867082"/>
    <w:rsid w:val="008703EE"/>
    <w:rsid w:val="00871FAB"/>
    <w:rsid w:val="00887193"/>
    <w:rsid w:val="008A4DC4"/>
    <w:rsid w:val="008B438C"/>
    <w:rsid w:val="008C7CFF"/>
    <w:rsid w:val="008D06CA"/>
    <w:rsid w:val="008D3176"/>
    <w:rsid w:val="008D3A46"/>
    <w:rsid w:val="008F2385"/>
    <w:rsid w:val="008F2AEE"/>
    <w:rsid w:val="009067A4"/>
    <w:rsid w:val="00930885"/>
    <w:rsid w:val="00933D68"/>
    <w:rsid w:val="009340DB"/>
    <w:rsid w:val="00935190"/>
    <w:rsid w:val="0094618C"/>
    <w:rsid w:val="0095684B"/>
    <w:rsid w:val="009632F5"/>
    <w:rsid w:val="00972498"/>
    <w:rsid w:val="0097481F"/>
    <w:rsid w:val="00974CC6"/>
    <w:rsid w:val="00976AD4"/>
    <w:rsid w:val="00977B7C"/>
    <w:rsid w:val="009803F2"/>
    <w:rsid w:val="00995547"/>
    <w:rsid w:val="009A312F"/>
    <w:rsid w:val="009A466E"/>
    <w:rsid w:val="009A5348"/>
    <w:rsid w:val="009B0AB7"/>
    <w:rsid w:val="009B6AB7"/>
    <w:rsid w:val="009C47E0"/>
    <w:rsid w:val="009C76D5"/>
    <w:rsid w:val="009D6177"/>
    <w:rsid w:val="009F227E"/>
    <w:rsid w:val="009F7AA4"/>
    <w:rsid w:val="00A04845"/>
    <w:rsid w:val="00A10AD7"/>
    <w:rsid w:val="00A30C4F"/>
    <w:rsid w:val="00A332DE"/>
    <w:rsid w:val="00A559DB"/>
    <w:rsid w:val="00A569EA"/>
    <w:rsid w:val="00A676A0"/>
    <w:rsid w:val="00A7217D"/>
    <w:rsid w:val="00A73B41"/>
    <w:rsid w:val="00AB01EE"/>
    <w:rsid w:val="00AB2CAE"/>
    <w:rsid w:val="00AB721E"/>
    <w:rsid w:val="00AF1113"/>
    <w:rsid w:val="00AF35FC"/>
    <w:rsid w:val="00AF36B3"/>
    <w:rsid w:val="00AF5556"/>
    <w:rsid w:val="00B02283"/>
    <w:rsid w:val="00B03639"/>
    <w:rsid w:val="00B0652A"/>
    <w:rsid w:val="00B40937"/>
    <w:rsid w:val="00B423EF"/>
    <w:rsid w:val="00B44F7C"/>
    <w:rsid w:val="00B453DE"/>
    <w:rsid w:val="00B467BE"/>
    <w:rsid w:val="00B62497"/>
    <w:rsid w:val="00B67E5F"/>
    <w:rsid w:val="00B72597"/>
    <w:rsid w:val="00B729AA"/>
    <w:rsid w:val="00B76F90"/>
    <w:rsid w:val="00B8665F"/>
    <w:rsid w:val="00B87DC0"/>
    <w:rsid w:val="00B901F9"/>
    <w:rsid w:val="00BA7CAE"/>
    <w:rsid w:val="00BB2B7F"/>
    <w:rsid w:val="00BC4D98"/>
    <w:rsid w:val="00BD6EFB"/>
    <w:rsid w:val="00BE3DF5"/>
    <w:rsid w:val="00BF5EAB"/>
    <w:rsid w:val="00C02410"/>
    <w:rsid w:val="00C1584D"/>
    <w:rsid w:val="00C15BE2"/>
    <w:rsid w:val="00C3447F"/>
    <w:rsid w:val="00C407A5"/>
    <w:rsid w:val="00C44714"/>
    <w:rsid w:val="00C55198"/>
    <w:rsid w:val="00C67102"/>
    <w:rsid w:val="00C77571"/>
    <w:rsid w:val="00C81491"/>
    <w:rsid w:val="00C81676"/>
    <w:rsid w:val="00C834E3"/>
    <w:rsid w:val="00C85C5D"/>
    <w:rsid w:val="00C907A4"/>
    <w:rsid w:val="00C92CC4"/>
    <w:rsid w:val="00CA0AFB"/>
    <w:rsid w:val="00CA2CE1"/>
    <w:rsid w:val="00CA3976"/>
    <w:rsid w:val="00CA50E3"/>
    <w:rsid w:val="00CA56A5"/>
    <w:rsid w:val="00CA757B"/>
    <w:rsid w:val="00CB4BFA"/>
    <w:rsid w:val="00CC1787"/>
    <w:rsid w:val="00CC182C"/>
    <w:rsid w:val="00CD0824"/>
    <w:rsid w:val="00CD2908"/>
    <w:rsid w:val="00D03A82"/>
    <w:rsid w:val="00D13667"/>
    <w:rsid w:val="00D15344"/>
    <w:rsid w:val="00D20BE8"/>
    <w:rsid w:val="00D23F57"/>
    <w:rsid w:val="00D31BEC"/>
    <w:rsid w:val="00D37A5B"/>
    <w:rsid w:val="00D5198B"/>
    <w:rsid w:val="00D54479"/>
    <w:rsid w:val="00D57C7D"/>
    <w:rsid w:val="00D63150"/>
    <w:rsid w:val="00D636BA"/>
    <w:rsid w:val="00D64A32"/>
    <w:rsid w:val="00D64EFC"/>
    <w:rsid w:val="00D75295"/>
    <w:rsid w:val="00D76CE9"/>
    <w:rsid w:val="00D86495"/>
    <w:rsid w:val="00D931A4"/>
    <w:rsid w:val="00D93285"/>
    <w:rsid w:val="00D97F12"/>
    <w:rsid w:val="00DA6095"/>
    <w:rsid w:val="00DB42E7"/>
    <w:rsid w:val="00DC09B3"/>
    <w:rsid w:val="00DC09D8"/>
    <w:rsid w:val="00DC68A6"/>
    <w:rsid w:val="00DE01A6"/>
    <w:rsid w:val="00DE1627"/>
    <w:rsid w:val="00DE16FE"/>
    <w:rsid w:val="00DE4004"/>
    <w:rsid w:val="00DE7A98"/>
    <w:rsid w:val="00DF32C2"/>
    <w:rsid w:val="00E1185E"/>
    <w:rsid w:val="00E21B3E"/>
    <w:rsid w:val="00E274BD"/>
    <w:rsid w:val="00E471A7"/>
    <w:rsid w:val="00E54579"/>
    <w:rsid w:val="00E635CF"/>
    <w:rsid w:val="00E83973"/>
    <w:rsid w:val="00E83F9E"/>
    <w:rsid w:val="00E86F9F"/>
    <w:rsid w:val="00EA15E4"/>
    <w:rsid w:val="00EA7D63"/>
    <w:rsid w:val="00EB1E3B"/>
    <w:rsid w:val="00EB7470"/>
    <w:rsid w:val="00EC6E0A"/>
    <w:rsid w:val="00ED428F"/>
    <w:rsid w:val="00ED4E18"/>
    <w:rsid w:val="00ED7922"/>
    <w:rsid w:val="00EE02C4"/>
    <w:rsid w:val="00EE1F37"/>
    <w:rsid w:val="00EE5828"/>
    <w:rsid w:val="00F0159C"/>
    <w:rsid w:val="00F06F63"/>
    <w:rsid w:val="00F105B7"/>
    <w:rsid w:val="00F131D7"/>
    <w:rsid w:val="00F13220"/>
    <w:rsid w:val="00F17A21"/>
    <w:rsid w:val="00F17B5F"/>
    <w:rsid w:val="00F37B27"/>
    <w:rsid w:val="00F4497B"/>
    <w:rsid w:val="00F46556"/>
    <w:rsid w:val="00F47E98"/>
    <w:rsid w:val="00F50E91"/>
    <w:rsid w:val="00F57D29"/>
    <w:rsid w:val="00F60786"/>
    <w:rsid w:val="00F66AA2"/>
    <w:rsid w:val="00F74FF9"/>
    <w:rsid w:val="00F82522"/>
    <w:rsid w:val="00F91BC7"/>
    <w:rsid w:val="00F96201"/>
    <w:rsid w:val="00F964E4"/>
    <w:rsid w:val="00FA1BBC"/>
    <w:rsid w:val="00FA3428"/>
    <w:rsid w:val="00FB0117"/>
    <w:rsid w:val="00FB4422"/>
    <w:rsid w:val="00FC78F0"/>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779AA937"/>
  <w15:docId w15:val="{E63C83B8-E446-4634-B121-71CD04BF3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0" w:unhideWhenUsed="1"/>
    <w:lsdException w:name="heading 4" w:semiHidden="1" w:uiPriority="0" w:unhideWhenUsed="1"/>
    <w:lsdException w:name="heading 5" w:semiHidden="1" w:uiPriority="0" w:unhideWhenUsed="1"/>
    <w:lsdException w:name="heading 6" w:semiHidden="1" w:uiPriority="9"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lsdException w:name="Book Title" w:uiPriority="33"/>
    <w:lsdException w:name="Bibliography" w:semiHidden="1" w:uiPriority="37" w:unhideWhenUsed="1"/>
    <w:lsdException w:name="TOC Heading" w:semiHidden="1" w:uiPriority="0"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D428F"/>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uiPriority w:val="9"/>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rsid w:val="004273F8"/>
    <w:pPr>
      <w:keepNext/>
      <w:outlineLvl w:val="6"/>
    </w:pPr>
    <w:rPr>
      <w:b/>
      <w:bCs/>
      <w:sz w:val="24"/>
      <w:szCs w:val="24"/>
      <w:lang w:eastAsia="x-none"/>
    </w:rPr>
  </w:style>
  <w:style w:type="paragraph" w:styleId="Heading8">
    <w:name w:val="heading 8"/>
    <w:basedOn w:val="Normal"/>
    <w:next w:val="Normal"/>
    <w:link w:val="Heading8Char"/>
    <w:rsid w:val="00711642"/>
    <w:pPr>
      <w:tabs>
        <w:tab w:val="left" w:pos="0"/>
      </w:tabs>
      <w:jc w:val="center"/>
      <w:outlineLvl w:val="7"/>
    </w:pPr>
    <w:rPr>
      <w:b/>
      <w:sz w:val="18"/>
      <w:lang w:val="en-AU"/>
    </w:rPr>
  </w:style>
  <w:style w:type="paragraph" w:styleId="Heading9">
    <w:name w:val="heading 9"/>
    <w:basedOn w:val="Normal"/>
    <w:next w:val="Normal"/>
    <w:link w:val="Heading9Char"/>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next w:val="BodyTextMain"/>
    <w:link w:val="Casehead1Char"/>
    <w:qFormat/>
    <w:rsid w:val="00ED428F"/>
    <w:pPr>
      <w:keepNext/>
    </w:pPr>
    <w:rPr>
      <w:rFonts w:ascii="Arial" w:hAnsi="Arial" w:cs="Arial"/>
      <w:b/>
      <w:caps/>
      <w:sz w:val="20"/>
      <w:szCs w:val="20"/>
    </w:rPr>
  </w:style>
  <w:style w:type="character" w:customStyle="1" w:styleId="Casehead1Char">
    <w:name w:val="Casehead 1 Char"/>
    <w:basedOn w:val="BodyTextMainChar"/>
    <w:link w:val="Casehead1"/>
    <w:rsid w:val="00ED428F"/>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568CC"/>
    <w:pPr>
      <w:jc w:val="both"/>
    </w:pPr>
    <w:rPr>
      <w:rFonts w:ascii="Arial" w:hAnsi="Arial" w:cs="Arial"/>
      <w:sz w:val="17"/>
      <w:szCs w:val="17"/>
    </w:rPr>
  </w:style>
  <w:style w:type="character" w:customStyle="1" w:styleId="FootnoteChar">
    <w:name w:val="Footnote Char"/>
    <w:basedOn w:val="FootnoteTextChar"/>
    <w:link w:val="Footnote"/>
    <w:rsid w:val="006568CC"/>
    <w:rPr>
      <w:rFonts w:ascii="Arial" w:eastAsia="Times New Roman" w:hAnsi="Arial" w:cs="Arial"/>
      <w:sz w:val="17"/>
      <w:szCs w:val="17"/>
      <w:lang w:val="en-GB"/>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UnresolvedMention1">
    <w:name w:val="Unresolved Mention1"/>
    <w:basedOn w:val="DefaultParagraphFont"/>
    <w:uiPriority w:val="99"/>
    <w:semiHidden/>
    <w:unhideWhenUsed/>
    <w:rsid w:val="00D54479"/>
    <w:rPr>
      <w:color w:val="605E5C"/>
      <w:shd w:val="clear" w:color="auto" w:fill="E1DFDD"/>
    </w:rPr>
  </w:style>
  <w:style w:type="paragraph" w:styleId="EndnoteText">
    <w:name w:val="endnote text"/>
    <w:basedOn w:val="Normal"/>
    <w:link w:val="EndnoteTextChar"/>
    <w:uiPriority w:val="99"/>
    <w:semiHidden/>
    <w:unhideWhenUsed/>
    <w:rsid w:val="009F227E"/>
  </w:style>
  <w:style w:type="character" w:styleId="Strong">
    <w:name w:val="Strong"/>
    <w:uiPriority w:val="22"/>
    <w:rsid w:val="004273F8"/>
    <w:rPr>
      <w:b/>
      <w:bCs/>
    </w:rPr>
  </w:style>
  <w:style w:type="character" w:styleId="IntenseReference">
    <w:name w:val="Intense Reference"/>
    <w:rsid w:val="004273F8"/>
    <w:rPr>
      <w:b/>
      <w:bCs/>
      <w:smallCaps/>
      <w:color w:val="C0504D"/>
      <w:spacing w:val="5"/>
      <w:u w:val="single"/>
    </w:rPr>
  </w:style>
  <w:style w:type="character" w:customStyle="1" w:styleId="EndnoteTextChar">
    <w:name w:val="Endnote Text Char"/>
    <w:basedOn w:val="DefaultParagraphFont"/>
    <w:link w:val="EndnoteText"/>
    <w:uiPriority w:val="99"/>
    <w:semiHidden/>
    <w:rsid w:val="009F227E"/>
    <w:rPr>
      <w:rFonts w:ascii="Times New Roman" w:eastAsia="Times New Roman" w:hAnsi="Times New Roman" w:cs="Times New Roman"/>
      <w:sz w:val="20"/>
      <w:szCs w:val="20"/>
      <w:lang w:val="en-GB"/>
    </w:rPr>
  </w:style>
  <w:style w:type="character" w:styleId="EndnoteReference">
    <w:name w:val="endnote reference"/>
    <w:uiPriority w:val="99"/>
    <w:unhideWhenUsed/>
    <w:qFormat/>
    <w:rsid w:val="00D5198B"/>
    <w:rPr>
      <w:b w:val="0"/>
      <w:color w:val="auto"/>
      <w:vertAlign w:val="superscript"/>
    </w:rPr>
  </w:style>
  <w:style w:type="paragraph" w:styleId="NoSpacing">
    <w:name w:val="No Spacing"/>
    <w:link w:val="NoSpacingChar"/>
    <w:uiPriority w:val="1"/>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iPriority w:val="99"/>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rsid w:val="00ED7922"/>
    <w:pPr>
      <w:widowControl w:val="0"/>
      <w:autoSpaceDE w:val="0"/>
      <w:autoSpaceDN w:val="0"/>
      <w:jc w:val="right"/>
    </w:pPr>
    <w:rPr>
      <w:sz w:val="22"/>
      <w:szCs w:val="22"/>
    </w:rPr>
  </w:style>
  <w:style w:type="numbering" w:customStyle="1" w:styleId="NoList1">
    <w:name w:val="No List1"/>
    <w:next w:val="NoList"/>
    <w:uiPriority w:val="99"/>
    <w:semiHidden/>
    <w:unhideWhenUsed/>
    <w:rsid w:val="0081057D"/>
  </w:style>
  <w:style w:type="character" w:customStyle="1" w:styleId="UnresolvedMention10">
    <w:name w:val="Unresolved Mention1"/>
    <w:basedOn w:val="DefaultParagraphFont"/>
    <w:uiPriority w:val="99"/>
    <w:semiHidden/>
    <w:unhideWhenUsed/>
    <w:rsid w:val="0081057D"/>
    <w:rPr>
      <w:color w:val="808080"/>
      <w:shd w:val="clear" w:color="auto" w:fill="E6E6E6"/>
    </w:rPr>
  </w:style>
  <w:style w:type="paragraph" w:customStyle="1" w:styleId="p">
    <w:name w:val="p"/>
    <w:basedOn w:val="Normal"/>
    <w:rsid w:val="0081057D"/>
    <w:pPr>
      <w:spacing w:before="100" w:beforeAutospacing="1" w:after="100" w:afterAutospacing="1"/>
    </w:pPr>
    <w:rPr>
      <w:sz w:val="24"/>
      <w:szCs w:val="24"/>
      <w:lang w:val="en-IN" w:eastAsia="en-IN"/>
    </w:rPr>
  </w:style>
  <w:style w:type="character" w:customStyle="1" w:styleId="UnresolvedMention2">
    <w:name w:val="Unresolved Mention2"/>
    <w:basedOn w:val="DefaultParagraphFont"/>
    <w:uiPriority w:val="99"/>
    <w:semiHidden/>
    <w:unhideWhenUsed/>
    <w:rsid w:val="0081057D"/>
    <w:rPr>
      <w:color w:val="605E5C"/>
      <w:shd w:val="clear" w:color="auto" w:fill="E1DFDD"/>
    </w:rPr>
  </w:style>
  <w:style w:type="character" w:customStyle="1" w:styleId="UnresolvedMention3">
    <w:name w:val="Unresolved Mention3"/>
    <w:basedOn w:val="DefaultParagraphFont"/>
    <w:uiPriority w:val="99"/>
    <w:semiHidden/>
    <w:unhideWhenUsed/>
    <w:rsid w:val="0081057D"/>
    <w:rPr>
      <w:color w:val="605E5C"/>
      <w:shd w:val="clear" w:color="auto" w:fill="E1DFDD"/>
    </w:rPr>
  </w:style>
  <w:style w:type="character" w:customStyle="1" w:styleId="UnresolvedMention4">
    <w:name w:val="Unresolved Mention4"/>
    <w:basedOn w:val="DefaultParagraphFont"/>
    <w:uiPriority w:val="99"/>
    <w:semiHidden/>
    <w:unhideWhenUsed/>
    <w:rsid w:val="0081057D"/>
    <w:rPr>
      <w:color w:val="605E5C"/>
      <w:shd w:val="clear" w:color="auto" w:fill="E1DFDD"/>
    </w:rPr>
  </w:style>
  <w:style w:type="character" w:customStyle="1" w:styleId="UnresolvedMention5">
    <w:name w:val="Unresolved Mention5"/>
    <w:basedOn w:val="DefaultParagraphFont"/>
    <w:uiPriority w:val="99"/>
    <w:semiHidden/>
    <w:unhideWhenUsed/>
    <w:rsid w:val="00887193"/>
    <w:rPr>
      <w:color w:val="605E5C"/>
      <w:shd w:val="clear" w:color="auto" w:fill="E1DFDD"/>
    </w:rPr>
  </w:style>
  <w:style w:type="character" w:customStyle="1" w:styleId="UnresolvedMention6">
    <w:name w:val="Unresolved Mention6"/>
    <w:basedOn w:val="DefaultParagraphFont"/>
    <w:uiPriority w:val="99"/>
    <w:semiHidden/>
    <w:unhideWhenUsed/>
    <w:rsid w:val="002771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181879">
      <w:bodyDiv w:val="1"/>
      <w:marLeft w:val="0"/>
      <w:marRight w:val="0"/>
      <w:marTop w:val="0"/>
      <w:marBottom w:val="0"/>
      <w:divBdr>
        <w:top w:val="none" w:sz="0" w:space="0" w:color="auto"/>
        <w:left w:val="none" w:sz="0" w:space="0" w:color="auto"/>
        <w:bottom w:val="none" w:sz="0" w:space="0" w:color="auto"/>
        <w:right w:val="none" w:sz="0" w:space="0" w:color="auto"/>
      </w:divBdr>
    </w:div>
    <w:div w:id="540675402">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2D0416-2299-4B20-A6BF-8B2909F49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12</Pages>
  <Words>3315</Words>
  <Characters>18901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22172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McCutcheon, Amber</cp:lastModifiedBy>
  <cp:revision>5</cp:revision>
  <cp:lastPrinted>2015-03-04T20:34:00Z</cp:lastPrinted>
  <dcterms:created xsi:type="dcterms:W3CDTF">2019-04-03T19:57:00Z</dcterms:created>
  <dcterms:modified xsi:type="dcterms:W3CDTF">2019-04-16T18:17:00Z</dcterms:modified>
</cp:coreProperties>
</file>