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E5A551C" w:rsidR="00C02410" w:rsidRDefault="00B318F2" w:rsidP="00C02410">
      <w:pPr>
        <w:pStyle w:val="ProductNumber"/>
      </w:pPr>
      <w:r>
        <w:t>9B19N008</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D8C8393" w:rsidR="00013360" w:rsidRDefault="00B318F2" w:rsidP="00013360">
      <w:pPr>
        <w:pStyle w:val="CaseTitle"/>
        <w:spacing w:after="0" w:line="240" w:lineRule="auto"/>
        <w:rPr>
          <w:sz w:val="20"/>
          <w:szCs w:val="20"/>
        </w:rPr>
      </w:pPr>
      <w:r w:rsidRPr="00684336">
        <w:rPr>
          <w:color w:val="auto"/>
          <w:szCs w:val="20"/>
          <w:lang w:val="en-GB"/>
        </w:rPr>
        <w:t>succession, transition, or exit: greentown’s founder’s Decision</w:t>
      </w:r>
      <w:r w:rsidR="009F1077">
        <w:rPr>
          <w:rStyle w:val="EndnoteReference"/>
          <w:color w:val="auto"/>
          <w:szCs w:val="20"/>
          <w:lang w:val="en-GB"/>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14F2710D" w:rsidR="00086B26" w:rsidRPr="00287D6F" w:rsidRDefault="00B318F2" w:rsidP="00086B26">
      <w:pPr>
        <w:pStyle w:val="StyleCopyrightStatementAfter0ptBottomSinglesolidline1"/>
        <w:rPr>
          <w:lang w:val="en-GB"/>
        </w:rPr>
      </w:pPr>
      <w:r>
        <w:t>Stephen Sapp</w:t>
      </w:r>
      <w:r w:rsidR="00ED7922" w:rsidRPr="00FD7E52">
        <w:rPr>
          <w:rFonts w:cs="Arial"/>
          <w:szCs w:val="16"/>
          <w:lang w:val="en-CA"/>
        </w:rPr>
        <w:t xml:space="preserve"> </w:t>
      </w:r>
      <w:r w:rsidR="00086B26" w:rsidRPr="00287D6F">
        <w:rPr>
          <w:lang w:val="en-GB"/>
        </w:rPr>
        <w:t xml:space="preserve">wrote this case </w:t>
      </w:r>
      <w:r w:rsidR="007A3A11">
        <w:rPr>
          <w:lang w:val="en-GB"/>
        </w:rPr>
        <w:t xml:space="preserve">with the assistance of Willow Yang </w:t>
      </w:r>
      <w:r w:rsidR="00086B26" w:rsidRPr="00287D6F">
        <w:rPr>
          <w:lang w:val="en-GB"/>
        </w:rPr>
        <w:t>solely to provide material for class discussion. The author</w:t>
      </w:r>
      <w:r w:rsidR="007A3A11">
        <w:rPr>
          <w:lang w:val="en-GB"/>
        </w:rPr>
        <w:t>s</w:t>
      </w:r>
      <w:r w:rsidR="00086B26" w:rsidRPr="00287D6F">
        <w:rPr>
          <w:lang w:val="en-GB"/>
        </w:rPr>
        <w:t xml:space="preserve"> do not intend to illustrate either effective or ineffective handling of a managerial situation. The autho</w:t>
      </w:r>
      <w:r w:rsidR="007A3A11">
        <w:rPr>
          <w:lang w:val="en-GB"/>
        </w:rPr>
        <w:t>rs</w:t>
      </w:r>
      <w:r w:rsidR="00086B26" w:rsidRPr="00287D6F">
        <w:rPr>
          <w:lang w:val="en-GB"/>
        </w:rPr>
        <w:t xml:space="preserve">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bookmarkStart w:id="0" w:name="_GoBack"/>
      <w:bookmarkEnd w:id="0"/>
    </w:p>
    <w:p w14:paraId="3922E14F" w14:textId="707EECB7"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B318F2">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B318F2">
        <w:rPr>
          <w:rFonts w:cs="Arial"/>
          <w:iCs w:val="0"/>
          <w:color w:val="auto"/>
          <w:szCs w:val="16"/>
        </w:rPr>
        <w:t>19</w:t>
      </w:r>
      <w:r w:rsidRPr="00A323B0">
        <w:rPr>
          <w:rFonts w:cs="Arial"/>
          <w:iCs w:val="0"/>
          <w:color w:val="auto"/>
          <w:szCs w:val="16"/>
        </w:rPr>
        <w:t>-</w:t>
      </w:r>
      <w:r w:rsidR="007A3A11">
        <w:rPr>
          <w:rFonts w:cs="Arial"/>
          <w:iCs w:val="0"/>
          <w:color w:val="auto"/>
          <w:szCs w:val="16"/>
        </w:rPr>
        <w:t>10</w:t>
      </w:r>
      <w:r w:rsidRPr="00A323B0">
        <w:rPr>
          <w:rFonts w:cs="Arial"/>
          <w:iCs w:val="0"/>
          <w:color w:val="auto"/>
          <w:szCs w:val="16"/>
        </w:rPr>
        <w:t>-</w:t>
      </w:r>
      <w:r w:rsidR="007A3A11">
        <w:rPr>
          <w:rFonts w:cs="Arial"/>
          <w:iCs w:val="0"/>
          <w:color w:val="auto"/>
          <w:szCs w:val="16"/>
        </w:rPr>
        <w:t>09</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08219EDF" w14:textId="77777777" w:rsidR="00DF0333" w:rsidRPr="00DF0333" w:rsidRDefault="00DF0333" w:rsidP="00DF0333">
      <w:pPr>
        <w:jc w:val="both"/>
        <w:rPr>
          <w:sz w:val="22"/>
          <w:szCs w:val="22"/>
          <w:lang w:val="en-GB"/>
        </w:rPr>
      </w:pPr>
      <w:r w:rsidRPr="00DF0333">
        <w:rPr>
          <w:sz w:val="22"/>
          <w:szCs w:val="22"/>
          <w:lang w:val="en-GB"/>
        </w:rPr>
        <w:t xml:space="preserve">In May 2014, Song </w:t>
      </w:r>
      <w:proofErr w:type="spellStart"/>
      <w:r w:rsidRPr="00DF0333">
        <w:rPr>
          <w:sz w:val="22"/>
          <w:szCs w:val="22"/>
          <w:lang w:val="en-GB"/>
        </w:rPr>
        <w:t>Weiping</w:t>
      </w:r>
      <w:proofErr w:type="spellEnd"/>
      <w:r w:rsidRPr="00DF0333">
        <w:rPr>
          <w:sz w:val="22"/>
          <w:szCs w:val="22"/>
          <w:lang w:val="en-GB"/>
        </w:rPr>
        <w:t>, founder of the Hangzhou-based luxury residential property developer Greentown China Holdings Limited (Greentown), his real estate empire, had recently blasted government policy-makers at a press conference:</w:t>
      </w:r>
    </w:p>
    <w:p w14:paraId="0CD8858A" w14:textId="77777777" w:rsidR="00DF0333" w:rsidRPr="00DF0333" w:rsidRDefault="00DF0333" w:rsidP="00DF0333">
      <w:pPr>
        <w:jc w:val="both"/>
        <w:rPr>
          <w:sz w:val="22"/>
          <w:szCs w:val="22"/>
          <w:lang w:val="en-GB"/>
        </w:rPr>
      </w:pPr>
    </w:p>
    <w:p w14:paraId="6987BF45" w14:textId="77777777" w:rsidR="00DF0333" w:rsidRPr="00DF0333" w:rsidRDefault="00DF0333" w:rsidP="00DF0333">
      <w:pPr>
        <w:ind w:left="720"/>
        <w:jc w:val="both"/>
        <w:rPr>
          <w:sz w:val="22"/>
          <w:szCs w:val="22"/>
          <w:lang w:val="en-GB"/>
        </w:rPr>
      </w:pPr>
      <w:r w:rsidRPr="00DF0333">
        <w:rPr>
          <w:sz w:val="22"/>
          <w:szCs w:val="22"/>
          <w:lang w:val="en-GB"/>
        </w:rPr>
        <w:t>The austerity measures have largely disrupted the property market and have made it increasingly difficult for most developers to do business. . . . To me, it’s not a real property market at all. . . . I think many of the officials are stupid. . . .</w:t>
      </w:r>
      <w:r w:rsidRPr="00DF0333">
        <w:rPr>
          <w:sz w:val="24"/>
          <w:szCs w:val="22"/>
          <w:lang w:val="en-GB"/>
        </w:rPr>
        <w:t xml:space="preserve"> </w:t>
      </w:r>
      <w:r w:rsidRPr="00DF0333">
        <w:rPr>
          <w:sz w:val="22"/>
          <w:szCs w:val="22"/>
          <w:lang w:val="en-GB"/>
        </w:rPr>
        <w:t>The unreasonable policy directions and decisions really made me angry and disappointed.</w:t>
      </w:r>
      <w:r w:rsidRPr="00DF0333">
        <w:rPr>
          <w:sz w:val="22"/>
          <w:szCs w:val="22"/>
          <w:vertAlign w:val="superscript"/>
          <w:lang w:val="en-GB"/>
        </w:rPr>
        <w:endnoteReference w:id="2"/>
      </w:r>
    </w:p>
    <w:p w14:paraId="17C1A67E" w14:textId="77777777" w:rsidR="00DF0333" w:rsidRPr="00DF0333" w:rsidRDefault="00DF0333" w:rsidP="00DF0333">
      <w:pPr>
        <w:jc w:val="both"/>
        <w:rPr>
          <w:sz w:val="22"/>
          <w:szCs w:val="22"/>
          <w:lang w:val="en-GB"/>
        </w:rPr>
      </w:pPr>
    </w:p>
    <w:p w14:paraId="7B1CDCE1" w14:textId="77777777" w:rsidR="00DF0333" w:rsidRPr="00DF0333" w:rsidRDefault="00DF0333" w:rsidP="00DF0333">
      <w:pPr>
        <w:jc w:val="both"/>
        <w:rPr>
          <w:sz w:val="22"/>
          <w:szCs w:val="22"/>
          <w:lang w:val="en-GB"/>
        </w:rPr>
      </w:pPr>
      <w:r w:rsidRPr="00DF0333">
        <w:rPr>
          <w:sz w:val="22"/>
          <w:szCs w:val="22"/>
          <w:lang w:val="en-GB"/>
        </w:rPr>
        <w:t>Greentown had been missing its sales targets for the past few months, and China’s home market was getting more and more sluggish. Song said he had “lost his faith in the realty sector” and was looking at moving on.</w:t>
      </w:r>
      <w:r w:rsidRPr="00DF0333">
        <w:rPr>
          <w:sz w:val="22"/>
          <w:szCs w:val="22"/>
          <w:vertAlign w:val="superscript"/>
          <w:lang w:val="en-GB"/>
        </w:rPr>
        <w:endnoteReference w:id="3"/>
      </w:r>
      <w:r w:rsidRPr="00DF0333">
        <w:rPr>
          <w:sz w:val="22"/>
          <w:szCs w:val="22"/>
          <w:lang w:val="en-GB"/>
        </w:rPr>
        <w:t xml:space="preserve"> </w:t>
      </w:r>
    </w:p>
    <w:p w14:paraId="1D528AEB" w14:textId="77777777" w:rsidR="00DF0333" w:rsidRPr="00DF0333" w:rsidRDefault="00DF0333" w:rsidP="00DF0333">
      <w:pPr>
        <w:jc w:val="both"/>
        <w:rPr>
          <w:sz w:val="22"/>
          <w:szCs w:val="22"/>
          <w:lang w:val="en-GB"/>
        </w:rPr>
      </w:pPr>
    </w:p>
    <w:p w14:paraId="02A8117F" w14:textId="77777777" w:rsidR="00DF0333" w:rsidRPr="00DF0333" w:rsidRDefault="00DF0333" w:rsidP="00DF0333">
      <w:pPr>
        <w:jc w:val="both"/>
        <w:rPr>
          <w:sz w:val="22"/>
          <w:szCs w:val="22"/>
          <w:lang w:val="en-GB"/>
        </w:rPr>
      </w:pPr>
      <w:r w:rsidRPr="00DF0333">
        <w:rPr>
          <w:sz w:val="22"/>
          <w:szCs w:val="22"/>
          <w:lang w:val="en-GB"/>
        </w:rPr>
        <w:t>Succession was</w:t>
      </w:r>
      <w:r w:rsidRPr="00DF0333" w:rsidDel="002B2516">
        <w:rPr>
          <w:sz w:val="22"/>
          <w:szCs w:val="22"/>
          <w:lang w:val="en-GB"/>
        </w:rPr>
        <w:t xml:space="preserve"> </w:t>
      </w:r>
      <w:r w:rsidRPr="00DF0333">
        <w:rPr>
          <w:sz w:val="22"/>
          <w:szCs w:val="22"/>
          <w:lang w:val="en-GB"/>
        </w:rPr>
        <w:t>a concern. Song, who had no children, had built the 10th-largest property company in China over the past two decades,</w:t>
      </w:r>
      <w:r w:rsidRPr="00DF0333">
        <w:rPr>
          <w:sz w:val="22"/>
          <w:szCs w:val="22"/>
          <w:vertAlign w:val="superscript"/>
          <w:lang w:val="en-GB"/>
        </w:rPr>
        <w:endnoteReference w:id="4"/>
      </w:r>
      <w:r w:rsidRPr="00DF0333">
        <w:rPr>
          <w:sz w:val="22"/>
          <w:szCs w:val="22"/>
          <w:lang w:val="en-GB"/>
        </w:rPr>
        <w:t xml:space="preserve"> and his partner in the company, chief executive officer (CEO) </w:t>
      </w:r>
      <w:proofErr w:type="spellStart"/>
      <w:r w:rsidRPr="00DF0333">
        <w:rPr>
          <w:sz w:val="22"/>
          <w:szCs w:val="22"/>
          <w:lang w:val="en-GB"/>
        </w:rPr>
        <w:t>Shou</w:t>
      </w:r>
      <w:proofErr w:type="spellEnd"/>
      <w:r w:rsidRPr="00DF0333">
        <w:rPr>
          <w:sz w:val="22"/>
          <w:szCs w:val="22"/>
          <w:lang w:val="en-GB"/>
        </w:rPr>
        <w:t xml:space="preserve"> </w:t>
      </w:r>
      <w:proofErr w:type="spellStart"/>
      <w:r w:rsidRPr="00DF0333">
        <w:rPr>
          <w:sz w:val="22"/>
          <w:szCs w:val="22"/>
          <w:lang w:val="en-GB"/>
        </w:rPr>
        <w:t>Bainian</w:t>
      </w:r>
      <w:proofErr w:type="spellEnd"/>
      <w:r w:rsidRPr="00DF0333">
        <w:rPr>
          <w:sz w:val="22"/>
          <w:szCs w:val="22"/>
          <w:lang w:val="en-GB"/>
        </w:rPr>
        <w:t xml:space="preserve">, had tendered a sell-and-retire request, citing his deteriorating health. In his early 60s, </w:t>
      </w:r>
      <w:proofErr w:type="spellStart"/>
      <w:r w:rsidRPr="00DF0333">
        <w:rPr>
          <w:sz w:val="22"/>
          <w:szCs w:val="22"/>
          <w:lang w:val="en-GB"/>
        </w:rPr>
        <w:t>Shou</w:t>
      </w:r>
      <w:proofErr w:type="spellEnd"/>
      <w:r w:rsidRPr="00DF0333">
        <w:rPr>
          <w:sz w:val="22"/>
          <w:szCs w:val="22"/>
          <w:lang w:val="en-GB"/>
        </w:rPr>
        <w:t xml:space="preserve"> was Song’s college friend and closest associate. </w:t>
      </w:r>
      <w:proofErr w:type="spellStart"/>
      <w:r w:rsidRPr="00DF0333">
        <w:rPr>
          <w:sz w:val="22"/>
          <w:szCs w:val="22"/>
          <w:lang w:val="en-GB"/>
        </w:rPr>
        <w:t>Shou</w:t>
      </w:r>
      <w:proofErr w:type="spellEnd"/>
      <w:r w:rsidRPr="00DF0333">
        <w:rPr>
          <w:sz w:val="22"/>
          <w:szCs w:val="22"/>
          <w:lang w:val="en-GB"/>
        </w:rPr>
        <w:t xml:space="preserve"> acted in concert</w:t>
      </w:r>
      <w:r w:rsidRPr="00DF0333">
        <w:rPr>
          <w:sz w:val="22"/>
          <w:szCs w:val="22"/>
          <w:vertAlign w:val="superscript"/>
          <w:lang w:val="en-GB"/>
        </w:rPr>
        <w:endnoteReference w:id="5"/>
      </w:r>
      <w:r w:rsidRPr="00DF0333">
        <w:rPr>
          <w:sz w:val="22"/>
          <w:szCs w:val="22"/>
          <w:lang w:val="en-GB"/>
        </w:rPr>
        <w:t xml:space="preserve"> with Song’s family in making decisions regarding the company. Together, they owned 42.9 per cent of Greentown (see Exhibit 1 for details), so they were the largest and therefore controlling shareholders.</w:t>
      </w:r>
      <w:r w:rsidRPr="00DF0333">
        <w:rPr>
          <w:sz w:val="22"/>
          <w:szCs w:val="22"/>
          <w:vertAlign w:val="superscript"/>
          <w:lang w:val="en-GB"/>
        </w:rPr>
        <w:endnoteReference w:id="6"/>
      </w:r>
      <w:r w:rsidRPr="00DF0333">
        <w:rPr>
          <w:sz w:val="22"/>
          <w:szCs w:val="22"/>
          <w:lang w:val="en-GB"/>
        </w:rPr>
        <w:t xml:space="preserve"> As Song and </w:t>
      </w:r>
      <w:proofErr w:type="spellStart"/>
      <w:r w:rsidRPr="00DF0333">
        <w:rPr>
          <w:sz w:val="22"/>
          <w:szCs w:val="22"/>
          <w:lang w:val="en-GB"/>
        </w:rPr>
        <w:t>Shou</w:t>
      </w:r>
      <w:proofErr w:type="spellEnd"/>
      <w:r w:rsidRPr="00DF0333">
        <w:rPr>
          <w:sz w:val="22"/>
          <w:szCs w:val="22"/>
          <w:lang w:val="en-GB"/>
        </w:rPr>
        <w:t xml:space="preserve"> had long worked as a team, it could be difficult for Song to run the company on his own, especially in such difficult times. </w:t>
      </w:r>
    </w:p>
    <w:p w14:paraId="04B3EA7D" w14:textId="77777777" w:rsidR="00DF0333" w:rsidRPr="00DF0333" w:rsidRDefault="00DF0333" w:rsidP="00DF0333">
      <w:pPr>
        <w:jc w:val="both"/>
        <w:rPr>
          <w:sz w:val="22"/>
          <w:szCs w:val="22"/>
          <w:lang w:val="en-GB"/>
        </w:rPr>
      </w:pPr>
    </w:p>
    <w:p w14:paraId="05377D7B" w14:textId="77777777" w:rsidR="00DF0333" w:rsidRPr="00DF0333" w:rsidRDefault="00DF0333" w:rsidP="00DF0333">
      <w:pPr>
        <w:jc w:val="both"/>
        <w:rPr>
          <w:sz w:val="22"/>
          <w:szCs w:val="22"/>
          <w:lang w:val="en-GB"/>
        </w:rPr>
      </w:pPr>
      <w:r w:rsidRPr="00DF0333">
        <w:rPr>
          <w:sz w:val="22"/>
          <w:szCs w:val="22"/>
          <w:lang w:val="en-GB"/>
        </w:rPr>
        <w:t>There were several alternatives facing Song. For example, he could resign his position as chair, giving up his board responsibilities but remaining as a financial investor who was not actively involved in running the company. However, this would require finding a suitable successor as CEO. The successor would have to be someone who would follow Song’s vision and could lead Greentown to prosperity again. Song could also sell some or all of his 25 per cent holding in Greentown, either to a carefully selected buyer or to the stock market. This would provide Song with the capital and time to devote his retirement to pursuing his other interests. Unfortunately, it would also mean giving up control of his firm. The timing was important, as Greentown’s share price had dropped more than 22 per cent in the past year, most recently closing at HK$9.26.</w:t>
      </w:r>
      <w:r w:rsidRPr="00DF0333">
        <w:rPr>
          <w:sz w:val="22"/>
          <w:szCs w:val="22"/>
          <w:vertAlign w:val="superscript"/>
          <w:lang w:val="en-GB"/>
        </w:rPr>
        <w:endnoteReference w:id="7"/>
      </w:r>
    </w:p>
    <w:p w14:paraId="66B88E0A" w14:textId="77777777" w:rsidR="00DF0333" w:rsidRPr="00DF0333" w:rsidRDefault="00DF0333" w:rsidP="00DF0333">
      <w:pPr>
        <w:jc w:val="both"/>
        <w:rPr>
          <w:sz w:val="22"/>
          <w:szCs w:val="22"/>
          <w:lang w:val="en-GB"/>
        </w:rPr>
      </w:pPr>
      <w:r w:rsidRPr="00DF0333">
        <w:rPr>
          <w:sz w:val="22"/>
          <w:szCs w:val="22"/>
          <w:lang w:val="en-GB"/>
        </w:rPr>
        <w:lastRenderedPageBreak/>
        <w:t xml:space="preserve">Song could also maintain his controlling ownership position but leave managing the company to someone else. If he sold his interest in the company, should he sell it to a strategic buyer, a financial buyer, or the stock market? What criteria should he </w:t>
      </w:r>
      <w:proofErr w:type="spellStart"/>
      <w:r w:rsidRPr="00DF0333">
        <w:rPr>
          <w:sz w:val="22"/>
          <w:szCs w:val="22"/>
          <w:lang w:val="en-GB"/>
        </w:rPr>
        <w:t>use</w:t>
      </w:r>
      <w:proofErr w:type="spellEnd"/>
      <w:r w:rsidRPr="00DF0333">
        <w:rPr>
          <w:sz w:val="22"/>
          <w:szCs w:val="22"/>
          <w:lang w:val="en-GB"/>
        </w:rPr>
        <w:t xml:space="preserve"> to determine the best buyer or buyers? How much should he sell? What price was fair, given current market conditions and Song’s consequent loss of control? Answering these questions would require pulling some important information together.</w:t>
      </w:r>
    </w:p>
    <w:p w14:paraId="512DFFE1" w14:textId="77777777" w:rsidR="00DF0333" w:rsidRPr="00DF0333" w:rsidRDefault="00DF0333" w:rsidP="00DF0333">
      <w:pPr>
        <w:jc w:val="both"/>
        <w:rPr>
          <w:sz w:val="22"/>
          <w:szCs w:val="22"/>
          <w:lang w:val="en-GB"/>
        </w:rPr>
      </w:pPr>
    </w:p>
    <w:p w14:paraId="6CBE4A4E" w14:textId="77777777" w:rsidR="00DF0333" w:rsidRPr="00DF0333" w:rsidRDefault="00DF0333" w:rsidP="00DF0333">
      <w:pPr>
        <w:jc w:val="both"/>
        <w:rPr>
          <w:sz w:val="22"/>
          <w:szCs w:val="22"/>
          <w:lang w:val="en-GB"/>
        </w:rPr>
      </w:pPr>
    </w:p>
    <w:p w14:paraId="5B357DEE" w14:textId="77777777" w:rsidR="00DF0333" w:rsidRPr="00DF0333" w:rsidRDefault="00DF0333" w:rsidP="00DF0333">
      <w:pPr>
        <w:jc w:val="both"/>
        <w:rPr>
          <w:rFonts w:ascii="Arial" w:hAnsi="Arial" w:cs="Arial"/>
          <w:b/>
          <w:caps/>
          <w:lang w:val="en-GB"/>
        </w:rPr>
      </w:pPr>
      <w:r w:rsidRPr="00DF0333">
        <w:rPr>
          <w:rFonts w:ascii="Arial" w:hAnsi="Arial" w:cs="Arial"/>
          <w:b/>
          <w:caps/>
          <w:lang w:val="en-GB"/>
        </w:rPr>
        <w:t>CHINA’S RESIDENTIAL REAL ESTATE MARKET</w:t>
      </w:r>
    </w:p>
    <w:p w14:paraId="2E2D0D5F" w14:textId="77777777" w:rsidR="00DF0333" w:rsidRPr="00125566" w:rsidRDefault="00DF0333" w:rsidP="00DF0333">
      <w:pPr>
        <w:jc w:val="both"/>
        <w:rPr>
          <w:caps/>
          <w:szCs w:val="22"/>
          <w:lang w:val="en-GB"/>
        </w:rPr>
      </w:pPr>
    </w:p>
    <w:p w14:paraId="1166BD4C" w14:textId="77777777" w:rsidR="00DF0333" w:rsidRPr="00DF0333" w:rsidRDefault="00DF0333" w:rsidP="00DF0333">
      <w:pPr>
        <w:jc w:val="both"/>
        <w:rPr>
          <w:sz w:val="22"/>
          <w:szCs w:val="22"/>
          <w:lang w:val="en-GB"/>
        </w:rPr>
      </w:pPr>
      <w:r w:rsidRPr="00DF0333">
        <w:rPr>
          <w:sz w:val="22"/>
          <w:szCs w:val="22"/>
          <w:lang w:val="en-GB"/>
        </w:rPr>
        <w:t xml:space="preserve">The modern real estate industry in China had a relatively short history compared to real estate markets in other major economies; it had its start in 1987, thanks to the government’s “reform and opening-up” policy. Prior to this, housing was built and provided to the public by the communist government through work units, or </w:t>
      </w:r>
      <w:proofErr w:type="spellStart"/>
      <w:r w:rsidRPr="00DF0333">
        <w:rPr>
          <w:i/>
          <w:sz w:val="22"/>
          <w:szCs w:val="22"/>
          <w:lang w:val="en-GB"/>
        </w:rPr>
        <w:t>danwei</w:t>
      </w:r>
      <w:proofErr w:type="spellEnd"/>
      <w:r w:rsidRPr="00DF0333">
        <w:rPr>
          <w:sz w:val="22"/>
          <w:szCs w:val="22"/>
          <w:lang w:val="en-GB"/>
        </w:rPr>
        <w:t>. To facilitate the development of a formal real estate industry in the 1990s, the trade of land-use rights and apartments was allowed, and the housing-allocation policy was finally abolished in 1998.</w:t>
      </w:r>
      <w:r w:rsidRPr="00DF0333">
        <w:rPr>
          <w:sz w:val="22"/>
          <w:szCs w:val="22"/>
          <w:vertAlign w:val="superscript"/>
          <w:lang w:val="en-GB"/>
        </w:rPr>
        <w:endnoteReference w:id="8"/>
      </w:r>
    </w:p>
    <w:p w14:paraId="2D78C089" w14:textId="77777777" w:rsidR="00DF0333" w:rsidRPr="00DF0333" w:rsidRDefault="00DF0333" w:rsidP="00DF0333">
      <w:pPr>
        <w:jc w:val="both"/>
        <w:rPr>
          <w:sz w:val="22"/>
          <w:szCs w:val="22"/>
          <w:lang w:val="en-GB"/>
        </w:rPr>
      </w:pPr>
    </w:p>
    <w:p w14:paraId="0C7F1CE4" w14:textId="77777777" w:rsidR="00DF0333" w:rsidRPr="00DF0333" w:rsidRDefault="00DF0333" w:rsidP="00DF0333">
      <w:pPr>
        <w:jc w:val="both"/>
        <w:rPr>
          <w:sz w:val="22"/>
          <w:szCs w:val="22"/>
          <w:lang w:val="en-GB"/>
        </w:rPr>
      </w:pPr>
      <w:r w:rsidRPr="00DF0333">
        <w:rPr>
          <w:sz w:val="22"/>
          <w:szCs w:val="22"/>
          <w:lang w:val="en-GB"/>
        </w:rPr>
        <w:t>Since that time, the private housing industry</w:t>
      </w:r>
      <w:r w:rsidRPr="00DF0333">
        <w:rPr>
          <w:sz w:val="22"/>
          <w:szCs w:val="22"/>
          <w:vertAlign w:val="superscript"/>
          <w:lang w:val="en-GB"/>
        </w:rPr>
        <w:endnoteReference w:id="9"/>
      </w:r>
      <w:r w:rsidRPr="00DF0333">
        <w:rPr>
          <w:sz w:val="22"/>
          <w:szCs w:val="22"/>
          <w:lang w:val="en-GB"/>
        </w:rPr>
        <w:t xml:space="preserve"> had experienced rapid growth due to an increasing demand for better housing solutions in China. As personal incomes rose, people wanted larger homes. China’s per capita living space in 2012 was 37.1 </w:t>
      </w:r>
      <w:bookmarkStart w:id="1" w:name="_Hlk1402698"/>
      <w:r w:rsidRPr="00DF0333">
        <w:rPr>
          <w:sz w:val="22"/>
          <w:szCs w:val="22"/>
          <w:lang w:val="en-GB"/>
        </w:rPr>
        <w:t>square metres (m</w:t>
      </w:r>
      <w:r w:rsidRPr="00DF0333">
        <w:rPr>
          <w:sz w:val="22"/>
          <w:szCs w:val="22"/>
          <w:vertAlign w:val="superscript"/>
          <w:lang w:val="en-GB"/>
        </w:rPr>
        <w:t>2</w:t>
      </w:r>
      <w:r w:rsidRPr="00DF0333">
        <w:rPr>
          <w:sz w:val="22"/>
          <w:szCs w:val="22"/>
          <w:lang w:val="en-GB"/>
        </w:rPr>
        <w:t>)</w:t>
      </w:r>
      <w:bookmarkEnd w:id="1"/>
      <w:r w:rsidRPr="00DF0333">
        <w:rPr>
          <w:sz w:val="22"/>
          <w:szCs w:val="22"/>
          <w:lang w:val="en-GB"/>
        </w:rPr>
        <w:t xml:space="preserve"> in rural areas and 32.9 m</w:t>
      </w:r>
      <w:r w:rsidRPr="00DF0333">
        <w:rPr>
          <w:sz w:val="22"/>
          <w:szCs w:val="22"/>
          <w:vertAlign w:val="superscript"/>
          <w:lang w:val="en-GB"/>
        </w:rPr>
        <w:t>2</w:t>
      </w:r>
      <w:r w:rsidRPr="00DF0333">
        <w:rPr>
          <w:sz w:val="22"/>
          <w:szCs w:val="22"/>
          <w:lang w:val="en-GB"/>
        </w:rPr>
        <w:t xml:space="preserve"> in urban areas—more than 30 per cent larger than a decade earlier.</w:t>
      </w:r>
      <w:r w:rsidRPr="00DF0333">
        <w:rPr>
          <w:sz w:val="22"/>
          <w:szCs w:val="22"/>
          <w:vertAlign w:val="superscript"/>
          <w:lang w:val="en-GB"/>
        </w:rPr>
        <w:endnoteReference w:id="10"/>
      </w:r>
      <w:r w:rsidRPr="00DF0333">
        <w:rPr>
          <w:sz w:val="22"/>
          <w:szCs w:val="22"/>
          <w:lang w:val="en-GB"/>
        </w:rPr>
        <w:t xml:space="preserve"> Beijing was determined to continue the pace of urbanization over the next two decades, so the demand for urban housing was expected to stay strong in the short to medium term.</w:t>
      </w:r>
      <w:r w:rsidRPr="00DF0333">
        <w:rPr>
          <w:sz w:val="22"/>
          <w:szCs w:val="22"/>
          <w:vertAlign w:val="superscript"/>
          <w:lang w:val="en-GB"/>
        </w:rPr>
        <w:endnoteReference w:id="11"/>
      </w:r>
      <w:r w:rsidRPr="00DF0333">
        <w:rPr>
          <w:sz w:val="22"/>
          <w:szCs w:val="22"/>
          <w:lang w:val="en-GB"/>
        </w:rPr>
        <w:t xml:space="preserve"> </w:t>
      </w:r>
    </w:p>
    <w:p w14:paraId="0384177F" w14:textId="77777777" w:rsidR="00DF0333" w:rsidRPr="00DF0333" w:rsidRDefault="00DF0333" w:rsidP="00DF0333">
      <w:pPr>
        <w:jc w:val="both"/>
        <w:rPr>
          <w:sz w:val="22"/>
          <w:szCs w:val="22"/>
          <w:lang w:val="en-GB"/>
        </w:rPr>
      </w:pPr>
    </w:p>
    <w:p w14:paraId="7D860D3E" w14:textId="77777777" w:rsidR="00DF0333" w:rsidRPr="00DF0333" w:rsidRDefault="00DF0333" w:rsidP="00DF0333">
      <w:pPr>
        <w:jc w:val="both"/>
        <w:rPr>
          <w:sz w:val="22"/>
          <w:szCs w:val="22"/>
          <w:lang w:val="en-GB"/>
        </w:rPr>
      </w:pPr>
      <w:r w:rsidRPr="00DF0333">
        <w:rPr>
          <w:sz w:val="22"/>
          <w:szCs w:val="22"/>
          <w:lang w:val="en-GB"/>
        </w:rPr>
        <w:t xml:space="preserve">As the demand for different types of housing grew, developers stepped in to offer what people were looking for. In China, there are different types of housing, and the definitions varied from city to city; each type required a different down payment and different taxes. Developers often segmented the properties into four categories: rigid demand properties, improved accommodation properties, high-end and luxury properties, and investment properties.  </w:t>
      </w:r>
    </w:p>
    <w:p w14:paraId="1AB706E0" w14:textId="77777777" w:rsidR="00DF0333" w:rsidRPr="00DF0333" w:rsidRDefault="00DF0333" w:rsidP="00DF0333">
      <w:pPr>
        <w:jc w:val="both"/>
        <w:rPr>
          <w:sz w:val="22"/>
          <w:szCs w:val="22"/>
          <w:lang w:val="en-GB"/>
        </w:rPr>
      </w:pPr>
    </w:p>
    <w:p w14:paraId="7A8F82E2" w14:textId="77777777" w:rsidR="00DF0333" w:rsidRPr="00DF0333" w:rsidRDefault="00DF0333" w:rsidP="00DF0333">
      <w:pPr>
        <w:jc w:val="both"/>
        <w:rPr>
          <w:sz w:val="22"/>
          <w:szCs w:val="22"/>
          <w:lang w:val="en-GB"/>
        </w:rPr>
      </w:pPr>
      <w:r w:rsidRPr="00DF0333">
        <w:rPr>
          <w:sz w:val="22"/>
          <w:szCs w:val="22"/>
          <w:lang w:val="en-GB"/>
        </w:rPr>
        <w:t>Rigid demand properties met basic housing needs. Representing the low to middle part of the market, these properties were often far removed from urban centres and smaller in size (around 90 m</w:t>
      </w:r>
      <w:r w:rsidRPr="00DF0333">
        <w:rPr>
          <w:sz w:val="22"/>
          <w:szCs w:val="22"/>
          <w:vertAlign w:val="superscript"/>
          <w:lang w:val="en-GB"/>
        </w:rPr>
        <w:t>2</w:t>
      </w:r>
      <w:r w:rsidRPr="00DF0333">
        <w:rPr>
          <w:sz w:val="22"/>
          <w:szCs w:val="22"/>
          <w:lang w:val="en-GB"/>
        </w:rPr>
        <w:t xml:space="preserve"> per unit). The main buyers of this type of housing were in their late 20s and newly married or planning to get married. In Chinese culture, it was considered shameful for married couples to live in rented homes. Improved accommodation properties targeted middle-class families who were seeking to upgrade from their initial homes. Properties of this type were usually located on the outskirts of central business districts and had better landscaping and facilities. The size of these units was usually about 120 to 140 m</w:t>
      </w:r>
      <w:r w:rsidRPr="00DF0333">
        <w:rPr>
          <w:sz w:val="22"/>
          <w:szCs w:val="22"/>
          <w:vertAlign w:val="superscript"/>
          <w:lang w:val="en-GB"/>
        </w:rPr>
        <w:t>2</w:t>
      </w:r>
      <w:r w:rsidRPr="00DF0333">
        <w:rPr>
          <w:sz w:val="22"/>
          <w:szCs w:val="22"/>
          <w:lang w:val="en-GB"/>
        </w:rPr>
        <w:t xml:space="preserve"> per unit. High-end and luxury properties were a niche segment that accounted for only 8 per cent of the total market. These properties were even larger in size and in better areas.</w:t>
      </w:r>
      <w:r w:rsidRPr="00DF0333">
        <w:rPr>
          <w:sz w:val="22"/>
          <w:szCs w:val="22"/>
          <w:vertAlign w:val="superscript"/>
          <w:lang w:val="en-GB"/>
        </w:rPr>
        <w:endnoteReference w:id="12"/>
      </w:r>
      <w:r w:rsidRPr="00DF0333">
        <w:rPr>
          <w:sz w:val="22"/>
          <w:szCs w:val="22"/>
          <w:lang w:val="en-GB"/>
        </w:rPr>
        <w:t xml:space="preserve"> </w:t>
      </w:r>
    </w:p>
    <w:p w14:paraId="6E9D0B30" w14:textId="77777777" w:rsidR="00DF0333" w:rsidRPr="00DF0333" w:rsidRDefault="00DF0333" w:rsidP="00DF0333">
      <w:pPr>
        <w:jc w:val="both"/>
        <w:rPr>
          <w:sz w:val="22"/>
          <w:szCs w:val="22"/>
          <w:lang w:val="en-GB"/>
        </w:rPr>
      </w:pPr>
    </w:p>
    <w:p w14:paraId="19C330A4" w14:textId="77777777" w:rsidR="00DF0333" w:rsidRPr="00DF0333" w:rsidRDefault="00DF0333" w:rsidP="00DF0333">
      <w:pPr>
        <w:jc w:val="both"/>
        <w:rPr>
          <w:sz w:val="22"/>
          <w:szCs w:val="22"/>
          <w:lang w:val="en-GB"/>
        </w:rPr>
      </w:pPr>
      <w:r w:rsidRPr="00DF0333">
        <w:rPr>
          <w:sz w:val="22"/>
          <w:szCs w:val="22"/>
          <w:lang w:val="en-GB"/>
        </w:rPr>
        <w:t>Beyond its use for housing, real estate was a popular place for the Chinese to store wealth. Due to constraints on foreign investments and limited opportunities for participation in domestic equity markets, real estate had become the most popular way for Chinese people to invest their savings. In a country with a savings rate of almost 50 per cent, there was significant capital to invest in this sector, so real estate had experienced robust gains. The home ownership rate in China stood at 90 per cent in 2013—one of the highest in the world.</w:t>
      </w:r>
      <w:r w:rsidRPr="00DF0333">
        <w:rPr>
          <w:sz w:val="22"/>
          <w:szCs w:val="22"/>
          <w:vertAlign w:val="superscript"/>
          <w:lang w:val="en-GB"/>
        </w:rPr>
        <w:endnoteReference w:id="13"/>
      </w:r>
      <w:r w:rsidRPr="00DF0333">
        <w:rPr>
          <w:sz w:val="22"/>
          <w:szCs w:val="22"/>
          <w:lang w:val="en-GB"/>
        </w:rPr>
        <w:t xml:space="preserve"> For more than a decade, property investment and development had been an important driver of the world’s second-largest economy, comprising 12.9 per cent of fixed asset investment and 16 per cent of </w:t>
      </w:r>
      <w:bookmarkStart w:id="2" w:name="_Hlk1403477"/>
      <w:r w:rsidRPr="00DF0333">
        <w:rPr>
          <w:sz w:val="22"/>
          <w:szCs w:val="22"/>
          <w:lang w:val="en-GB"/>
        </w:rPr>
        <w:t>gross domestic product (GDP)</w:t>
      </w:r>
      <w:bookmarkEnd w:id="2"/>
      <w:r w:rsidRPr="00DF0333">
        <w:rPr>
          <w:sz w:val="22"/>
          <w:szCs w:val="22"/>
          <w:lang w:val="en-GB"/>
        </w:rPr>
        <w:t xml:space="preserve"> in 2013.</w:t>
      </w:r>
      <w:r w:rsidRPr="00DF0333">
        <w:rPr>
          <w:sz w:val="22"/>
          <w:szCs w:val="22"/>
          <w:vertAlign w:val="superscript"/>
          <w:lang w:val="en-GB"/>
        </w:rPr>
        <w:endnoteReference w:id="14"/>
      </w:r>
      <w:r w:rsidRPr="00DF0333">
        <w:rPr>
          <w:sz w:val="22"/>
          <w:szCs w:val="22"/>
          <w:lang w:val="en-GB"/>
        </w:rPr>
        <w:t xml:space="preserve"> The sector acted as the backbone to several upstream and downstream industries: loans to the real estate sector accounted for over 20 per cent of all bank lending, and land sales were a major source of revenue for local governments.</w:t>
      </w:r>
      <w:r w:rsidRPr="00DF0333">
        <w:rPr>
          <w:sz w:val="22"/>
          <w:szCs w:val="22"/>
          <w:vertAlign w:val="superscript"/>
          <w:lang w:val="en-GB"/>
        </w:rPr>
        <w:endnoteReference w:id="15"/>
      </w:r>
      <w:r w:rsidRPr="00DF0333">
        <w:rPr>
          <w:sz w:val="22"/>
          <w:szCs w:val="22"/>
          <w:lang w:val="en-GB"/>
        </w:rPr>
        <w:t xml:space="preserve">  </w:t>
      </w:r>
    </w:p>
    <w:p w14:paraId="702DD553" w14:textId="77777777" w:rsidR="00DF0333" w:rsidRPr="00DF0333" w:rsidRDefault="00DF0333" w:rsidP="00DF0333">
      <w:pPr>
        <w:jc w:val="both"/>
        <w:rPr>
          <w:sz w:val="22"/>
          <w:szCs w:val="22"/>
          <w:lang w:val="en-GB"/>
        </w:rPr>
      </w:pPr>
    </w:p>
    <w:p w14:paraId="295DB183" w14:textId="77777777" w:rsidR="00DF0333" w:rsidRPr="00DF0333" w:rsidRDefault="00DF0333" w:rsidP="00DF0333">
      <w:pPr>
        <w:jc w:val="both"/>
        <w:rPr>
          <w:sz w:val="22"/>
          <w:szCs w:val="22"/>
          <w:lang w:val="en-GB"/>
        </w:rPr>
      </w:pPr>
      <w:r w:rsidRPr="00DF0333">
        <w:rPr>
          <w:sz w:val="22"/>
          <w:szCs w:val="22"/>
          <w:lang w:val="en-GB"/>
        </w:rPr>
        <w:lastRenderedPageBreak/>
        <w:t>There were over 91,000 real estate companies in China, with total assets worth over 72 per cent of GDP.</w:t>
      </w:r>
      <w:r w:rsidRPr="00DF0333">
        <w:rPr>
          <w:sz w:val="22"/>
          <w:szCs w:val="22"/>
          <w:vertAlign w:val="superscript"/>
          <w:lang w:val="en-GB"/>
        </w:rPr>
        <w:endnoteReference w:id="16"/>
      </w:r>
      <w:r w:rsidRPr="00DF0333">
        <w:rPr>
          <w:sz w:val="22"/>
          <w:szCs w:val="22"/>
          <w:lang w:val="en-GB"/>
        </w:rPr>
        <w:t xml:space="preserve"> The top 10 developers had 13.3 per cent of the market in 2013, and the top 50 had 25.4 per cent.</w:t>
      </w:r>
      <w:r w:rsidRPr="00DF0333">
        <w:rPr>
          <w:sz w:val="22"/>
          <w:szCs w:val="22"/>
          <w:vertAlign w:val="superscript"/>
          <w:lang w:val="en-GB"/>
        </w:rPr>
        <w:endnoteReference w:id="17"/>
      </w:r>
      <w:r w:rsidRPr="00DF0333">
        <w:rPr>
          <w:sz w:val="22"/>
          <w:szCs w:val="22"/>
          <w:lang w:val="en-GB"/>
        </w:rPr>
        <w:t xml:space="preserve"> Most of the developers, however, focused on their local market, as the business model in China required a close relationship with the suppliers of land—the local governments. Most real estate companies operated with high leverage—higher, in fact, than companies in any other sector. Due to restrictions on bank loans, developers tended to rely on self-raised funds, which included funds from the unregulated shadow banking sector. Despite this high leverage, a report by the Reserve Bank of Australia showed that Chinese property developers appeared less affected by the global financial crisis and were more profitable than other sectors.</w:t>
      </w:r>
      <w:r w:rsidRPr="00DF0333">
        <w:rPr>
          <w:sz w:val="22"/>
          <w:szCs w:val="22"/>
          <w:vertAlign w:val="superscript"/>
          <w:lang w:val="en-GB"/>
        </w:rPr>
        <w:endnoteReference w:id="18"/>
      </w:r>
      <w:r w:rsidRPr="00DF0333">
        <w:rPr>
          <w:sz w:val="22"/>
          <w:szCs w:val="22"/>
          <w:lang w:val="en-GB"/>
        </w:rPr>
        <w:t xml:space="preserve"> </w:t>
      </w:r>
    </w:p>
    <w:p w14:paraId="0A6FB8B3" w14:textId="77777777" w:rsidR="00DF0333" w:rsidRPr="00DF0333" w:rsidRDefault="00DF0333" w:rsidP="00DF0333">
      <w:pPr>
        <w:jc w:val="both"/>
        <w:rPr>
          <w:sz w:val="22"/>
          <w:szCs w:val="22"/>
          <w:lang w:val="en-GB"/>
        </w:rPr>
      </w:pPr>
    </w:p>
    <w:p w14:paraId="7B0D50CA" w14:textId="77777777" w:rsidR="00DF0333" w:rsidRPr="00DF0333" w:rsidRDefault="00DF0333" w:rsidP="00DF0333">
      <w:pPr>
        <w:jc w:val="both"/>
        <w:rPr>
          <w:sz w:val="22"/>
          <w:szCs w:val="22"/>
          <w:lang w:val="en-GB"/>
        </w:rPr>
      </w:pPr>
      <w:r w:rsidRPr="00DF0333">
        <w:rPr>
          <w:sz w:val="22"/>
          <w:szCs w:val="22"/>
          <w:lang w:val="en-GB"/>
        </w:rPr>
        <w:t>The recent slowdown in the real estate market could be traced to changes in government policies following the global financial crisis. Because of this crisis, in 2008, the government enacted policies such as lowering the minimum down payment requirements, lowering interest rates for home mortgages, and decreasing some taxes related to property transaction to spur growth in the real estate sector. This resulted in a strong recovery after the declines associated with the crisis. As things improved, there was a double-digit surge in home prices in 2013.</w:t>
      </w:r>
      <w:r w:rsidRPr="00DF0333">
        <w:rPr>
          <w:sz w:val="22"/>
          <w:szCs w:val="22"/>
          <w:vertAlign w:val="superscript"/>
          <w:lang w:val="en-GB"/>
        </w:rPr>
        <w:endnoteReference w:id="19"/>
      </w:r>
      <w:r w:rsidRPr="00DF0333">
        <w:rPr>
          <w:sz w:val="22"/>
          <w:szCs w:val="22"/>
          <w:lang w:val="en-GB"/>
        </w:rPr>
        <w:t xml:space="preserve"> The government responded with stricter down payment and mortgage requirements to slow the market, discourage speculation, and improve housing affordability. These changes led the real estate sector in China to experience a nationwide slowdown in residential price growth and a decrease in transactions in 2014. Property sales in the first four months of 2014 dropped almost 10 per cent year over year,</w:t>
      </w:r>
      <w:r w:rsidRPr="00DF0333">
        <w:rPr>
          <w:sz w:val="22"/>
          <w:szCs w:val="22"/>
          <w:vertAlign w:val="superscript"/>
          <w:lang w:val="en-GB"/>
        </w:rPr>
        <w:endnoteReference w:id="20"/>
      </w:r>
      <w:r w:rsidRPr="00DF0333">
        <w:rPr>
          <w:sz w:val="22"/>
          <w:szCs w:val="22"/>
          <w:lang w:val="en-GB"/>
        </w:rPr>
        <w:t xml:space="preserve"> and GDP growth slowed to 7.4 per cent, the weakest since 2002.</w:t>
      </w:r>
      <w:r w:rsidRPr="00DF0333">
        <w:rPr>
          <w:sz w:val="22"/>
          <w:szCs w:val="22"/>
          <w:vertAlign w:val="superscript"/>
          <w:lang w:val="en-GB"/>
        </w:rPr>
        <w:endnoteReference w:id="21"/>
      </w:r>
      <w:r w:rsidRPr="00DF0333">
        <w:rPr>
          <w:sz w:val="22"/>
          <w:szCs w:val="22"/>
          <w:lang w:val="en-GB"/>
        </w:rPr>
        <w:t xml:space="preserve"> Small and medium-sized developers with major exposure to </w:t>
      </w:r>
      <w:bookmarkStart w:id="3" w:name="_Hlk1404237"/>
      <w:r w:rsidRPr="00DF0333">
        <w:rPr>
          <w:sz w:val="22"/>
          <w:szCs w:val="22"/>
          <w:lang w:val="en-GB"/>
        </w:rPr>
        <w:t xml:space="preserve">lower-tier </w:t>
      </w:r>
      <w:bookmarkEnd w:id="3"/>
      <w:r w:rsidRPr="00DF0333">
        <w:rPr>
          <w:sz w:val="22"/>
          <w:szCs w:val="22"/>
          <w:lang w:val="en-GB"/>
        </w:rPr>
        <w:t>cities were the first to suffer. While the property markets in the Tier 1 cities of Beijing, Shanghai, Guangzhou, and Shenzhen and some Tier 2 cities were relatively healthier, it was difficult for Tier 3 and 4 cities to absorb the vast inventory of unsold homes that resulted from the oversupply of land by local governments.</w:t>
      </w:r>
      <w:r w:rsidRPr="00DF0333">
        <w:rPr>
          <w:sz w:val="22"/>
          <w:szCs w:val="22"/>
          <w:vertAlign w:val="superscript"/>
          <w:lang w:val="en-GB"/>
        </w:rPr>
        <w:endnoteReference w:id="22"/>
      </w:r>
    </w:p>
    <w:p w14:paraId="48E14434" w14:textId="77777777" w:rsidR="00DF0333" w:rsidRPr="00DF0333" w:rsidRDefault="00DF0333" w:rsidP="00DF0333">
      <w:pPr>
        <w:jc w:val="both"/>
        <w:rPr>
          <w:sz w:val="22"/>
          <w:szCs w:val="22"/>
          <w:lang w:val="en-GB"/>
        </w:rPr>
      </w:pPr>
    </w:p>
    <w:p w14:paraId="05024B3F" w14:textId="77777777" w:rsidR="00DF0333" w:rsidRPr="00DF0333" w:rsidRDefault="00DF0333" w:rsidP="00DF0333">
      <w:pPr>
        <w:jc w:val="both"/>
        <w:rPr>
          <w:sz w:val="22"/>
          <w:szCs w:val="22"/>
          <w:lang w:val="en-GB"/>
        </w:rPr>
      </w:pPr>
      <w:r w:rsidRPr="00DF0333">
        <w:rPr>
          <w:sz w:val="22"/>
          <w:szCs w:val="22"/>
          <w:lang w:val="en-GB"/>
        </w:rPr>
        <w:t xml:space="preserve">Because of the important role played by the real estate market in all facets of the Chinese economy, governments did not allow the downturn to last long. The central and local governments in China were able to use various tools to adjust the property market, which they did, to positive effects (see Exhibit 2). </w:t>
      </w:r>
    </w:p>
    <w:p w14:paraId="440D66E2" w14:textId="77777777" w:rsidR="00DF0333" w:rsidRPr="00DF0333" w:rsidRDefault="00DF0333" w:rsidP="00DF0333">
      <w:pPr>
        <w:jc w:val="both"/>
        <w:rPr>
          <w:sz w:val="22"/>
          <w:szCs w:val="22"/>
          <w:lang w:val="en-GB"/>
        </w:rPr>
      </w:pPr>
    </w:p>
    <w:p w14:paraId="5130D261" w14:textId="77777777" w:rsidR="00DF0333" w:rsidRPr="00DF0333" w:rsidRDefault="00DF0333" w:rsidP="00DF0333">
      <w:pPr>
        <w:rPr>
          <w:lang w:val="en-GB"/>
        </w:rPr>
      </w:pPr>
    </w:p>
    <w:p w14:paraId="5903AAC1" w14:textId="77777777" w:rsidR="00DF0333" w:rsidRPr="00DF0333" w:rsidRDefault="00DF0333" w:rsidP="00DF0333">
      <w:pPr>
        <w:jc w:val="both"/>
        <w:rPr>
          <w:rFonts w:ascii="Arial" w:hAnsi="Arial" w:cs="Arial"/>
          <w:b/>
          <w:caps/>
          <w:lang w:val="en-GB"/>
        </w:rPr>
      </w:pPr>
      <w:r w:rsidRPr="00DF0333">
        <w:rPr>
          <w:rFonts w:ascii="Arial" w:hAnsi="Arial" w:cs="Arial"/>
          <w:b/>
          <w:caps/>
          <w:lang w:val="en-GB"/>
        </w:rPr>
        <w:t>SONG WEIPING AND GREENTOWN</w:t>
      </w:r>
    </w:p>
    <w:p w14:paraId="7CBA8DF1" w14:textId="77777777" w:rsidR="00DF0333" w:rsidRPr="00DF0333" w:rsidRDefault="00DF0333" w:rsidP="00DF0333">
      <w:pPr>
        <w:jc w:val="both"/>
        <w:rPr>
          <w:sz w:val="22"/>
          <w:szCs w:val="22"/>
          <w:lang w:val="en-GB"/>
        </w:rPr>
      </w:pPr>
    </w:p>
    <w:p w14:paraId="1BE462F8" w14:textId="7F1E52F0" w:rsidR="00DF0333" w:rsidRPr="00125566" w:rsidRDefault="00DF0333" w:rsidP="00DF0333">
      <w:pPr>
        <w:jc w:val="both"/>
        <w:rPr>
          <w:spacing w:val="-2"/>
          <w:sz w:val="22"/>
          <w:szCs w:val="22"/>
          <w:lang w:val="en-GB"/>
        </w:rPr>
      </w:pPr>
      <w:r w:rsidRPr="00125566">
        <w:rPr>
          <w:spacing w:val="-2"/>
          <w:sz w:val="22"/>
          <w:szCs w:val="22"/>
          <w:lang w:val="en-GB"/>
        </w:rPr>
        <w:t xml:space="preserve">Song </w:t>
      </w:r>
      <w:proofErr w:type="spellStart"/>
      <w:r w:rsidRPr="00125566">
        <w:rPr>
          <w:spacing w:val="-2"/>
          <w:sz w:val="22"/>
          <w:szCs w:val="22"/>
          <w:lang w:val="en-GB"/>
        </w:rPr>
        <w:t>Weiping</w:t>
      </w:r>
      <w:proofErr w:type="spellEnd"/>
      <w:r w:rsidRPr="00125566">
        <w:rPr>
          <w:spacing w:val="-2"/>
          <w:sz w:val="22"/>
          <w:szCs w:val="22"/>
          <w:lang w:val="en-GB"/>
        </w:rPr>
        <w:t xml:space="preserve"> was born in 1958 in Zhejiang, the eastern Chinese province neighbouring Shanghai.</w:t>
      </w:r>
      <w:r w:rsidRPr="00125566">
        <w:rPr>
          <w:spacing w:val="-2"/>
          <w:sz w:val="22"/>
          <w:szCs w:val="22"/>
          <w:vertAlign w:val="superscript"/>
          <w:lang w:val="en-GB"/>
        </w:rPr>
        <w:endnoteReference w:id="23"/>
      </w:r>
      <w:r w:rsidRPr="00125566">
        <w:rPr>
          <w:spacing w:val="-2"/>
          <w:sz w:val="22"/>
          <w:szCs w:val="22"/>
          <w:lang w:val="en-GB"/>
        </w:rPr>
        <w:t xml:space="preserve"> When he was young, his parents moved to the Zhoushan Islands, where they endured the hardships of several natural disasters in the early 1960s and struggled to find enough food to eat. These hardships helped shape Song from an early age.</w:t>
      </w:r>
      <w:r w:rsidRPr="00125566">
        <w:rPr>
          <w:spacing w:val="-2"/>
          <w:sz w:val="22"/>
          <w:szCs w:val="22"/>
          <w:vertAlign w:val="superscript"/>
          <w:lang w:val="en-GB"/>
        </w:rPr>
        <w:endnoteReference w:id="24"/>
      </w:r>
      <w:r w:rsidRPr="00125566">
        <w:rPr>
          <w:spacing w:val="-2"/>
          <w:sz w:val="22"/>
          <w:szCs w:val="22"/>
          <w:lang w:val="en-GB"/>
        </w:rPr>
        <w:t xml:space="preserve"> He studied history at Hangzhou University (now part of Zhejiang University), where he met his business partner </w:t>
      </w:r>
      <w:proofErr w:type="spellStart"/>
      <w:r w:rsidRPr="00125566">
        <w:rPr>
          <w:spacing w:val="-2"/>
          <w:sz w:val="22"/>
          <w:szCs w:val="22"/>
          <w:lang w:val="en-GB"/>
        </w:rPr>
        <w:t>Shou</w:t>
      </w:r>
      <w:proofErr w:type="spellEnd"/>
      <w:r w:rsidRPr="00125566">
        <w:rPr>
          <w:spacing w:val="-2"/>
          <w:sz w:val="22"/>
          <w:szCs w:val="22"/>
          <w:lang w:val="en-GB"/>
        </w:rPr>
        <w:t xml:space="preserve"> </w:t>
      </w:r>
      <w:proofErr w:type="spellStart"/>
      <w:r w:rsidRPr="00125566">
        <w:rPr>
          <w:spacing w:val="-2"/>
          <w:sz w:val="22"/>
          <w:szCs w:val="22"/>
          <w:lang w:val="en-GB"/>
        </w:rPr>
        <w:t>Bainian</w:t>
      </w:r>
      <w:proofErr w:type="spellEnd"/>
      <w:r w:rsidRPr="00125566">
        <w:rPr>
          <w:spacing w:val="-2"/>
          <w:sz w:val="22"/>
          <w:szCs w:val="22"/>
          <w:lang w:val="en-GB"/>
        </w:rPr>
        <w:t xml:space="preserve">. </w:t>
      </w:r>
      <w:proofErr w:type="spellStart"/>
      <w:r w:rsidRPr="00125566">
        <w:rPr>
          <w:spacing w:val="-2"/>
          <w:sz w:val="22"/>
          <w:szCs w:val="22"/>
          <w:lang w:val="en-GB"/>
        </w:rPr>
        <w:t>Shou</w:t>
      </w:r>
      <w:proofErr w:type="spellEnd"/>
      <w:r w:rsidRPr="00125566">
        <w:rPr>
          <w:spacing w:val="-2"/>
          <w:sz w:val="22"/>
          <w:szCs w:val="22"/>
          <w:lang w:val="en-GB"/>
        </w:rPr>
        <w:t xml:space="preserve"> had been an executive director of the company and acting in concert with Song’s family since 1998. </w:t>
      </w:r>
      <w:proofErr w:type="spellStart"/>
      <w:r w:rsidRPr="00125566">
        <w:rPr>
          <w:spacing w:val="-2"/>
          <w:sz w:val="22"/>
          <w:szCs w:val="22"/>
          <w:lang w:val="en-GB"/>
        </w:rPr>
        <w:t>Shou</w:t>
      </w:r>
      <w:proofErr w:type="spellEnd"/>
      <w:r w:rsidRPr="00125566">
        <w:rPr>
          <w:spacing w:val="-2"/>
          <w:sz w:val="22"/>
          <w:szCs w:val="22"/>
          <w:lang w:val="en-GB"/>
        </w:rPr>
        <w:t xml:space="preserve"> held a 17.81 per cent stake in the company.</w:t>
      </w:r>
      <w:r w:rsidRPr="00125566">
        <w:rPr>
          <w:spacing w:val="-2"/>
          <w:sz w:val="22"/>
          <w:szCs w:val="22"/>
          <w:vertAlign w:val="superscript"/>
          <w:lang w:val="en-GB"/>
        </w:rPr>
        <w:endnoteReference w:id="25"/>
      </w:r>
    </w:p>
    <w:p w14:paraId="23B586B5" w14:textId="77777777" w:rsidR="00DF0333" w:rsidRPr="00DF0333" w:rsidRDefault="00DF0333" w:rsidP="00DF0333">
      <w:pPr>
        <w:jc w:val="both"/>
        <w:rPr>
          <w:sz w:val="22"/>
          <w:szCs w:val="22"/>
          <w:lang w:val="en-GB"/>
        </w:rPr>
      </w:pPr>
    </w:p>
    <w:p w14:paraId="05FD9397" w14:textId="77777777" w:rsidR="00DF0333" w:rsidRPr="00DF0333" w:rsidRDefault="00DF0333" w:rsidP="00DF0333">
      <w:pPr>
        <w:jc w:val="both"/>
        <w:rPr>
          <w:sz w:val="22"/>
          <w:szCs w:val="22"/>
          <w:lang w:val="en-GB"/>
        </w:rPr>
      </w:pPr>
      <w:r w:rsidRPr="00DF0333">
        <w:rPr>
          <w:sz w:val="22"/>
          <w:szCs w:val="22"/>
          <w:lang w:val="en-GB"/>
        </w:rPr>
        <w:t xml:space="preserve">After obtaining a bachelor’s degree, Song worked as a history and sports teacher at the Central Party School of the Communist Party of China in Zhoushan, where he also met his wife Xia </w:t>
      </w:r>
      <w:proofErr w:type="spellStart"/>
      <w:r w:rsidRPr="00DF0333">
        <w:rPr>
          <w:sz w:val="22"/>
          <w:szCs w:val="22"/>
          <w:lang w:val="en-GB"/>
        </w:rPr>
        <w:t>Yibo</w:t>
      </w:r>
      <w:proofErr w:type="spellEnd"/>
      <w:r w:rsidRPr="00DF0333">
        <w:rPr>
          <w:sz w:val="22"/>
          <w:szCs w:val="22"/>
          <w:lang w:val="en-GB"/>
        </w:rPr>
        <w:t xml:space="preserve">. Xia personally owned 3.19 per cent of Greentown and was formally acting in concert with Song and </w:t>
      </w:r>
      <w:proofErr w:type="spellStart"/>
      <w:r w:rsidRPr="00DF0333">
        <w:rPr>
          <w:sz w:val="22"/>
          <w:szCs w:val="22"/>
          <w:lang w:val="en-GB"/>
        </w:rPr>
        <w:t>Shou</w:t>
      </w:r>
      <w:proofErr w:type="spellEnd"/>
      <w:r w:rsidRPr="00DF0333">
        <w:rPr>
          <w:sz w:val="22"/>
          <w:szCs w:val="22"/>
          <w:lang w:val="en-GB"/>
        </w:rPr>
        <w:t xml:space="preserve"> (see Exhibit 2). The couple had no children, and there were no other family members involved in Greentown’s business.</w:t>
      </w:r>
    </w:p>
    <w:p w14:paraId="6C13C66B" w14:textId="77777777" w:rsidR="00DF0333" w:rsidRPr="00DF0333" w:rsidRDefault="00DF0333" w:rsidP="00DF0333">
      <w:pPr>
        <w:jc w:val="both"/>
        <w:rPr>
          <w:sz w:val="22"/>
          <w:szCs w:val="22"/>
          <w:lang w:val="en-GB"/>
        </w:rPr>
      </w:pPr>
    </w:p>
    <w:p w14:paraId="4DAFEA69" w14:textId="77777777" w:rsidR="00DF0333" w:rsidRPr="00DF0333" w:rsidRDefault="00DF0333" w:rsidP="00DF0333">
      <w:pPr>
        <w:jc w:val="both"/>
        <w:rPr>
          <w:sz w:val="22"/>
          <w:szCs w:val="22"/>
          <w:lang w:val="en-GB"/>
        </w:rPr>
      </w:pPr>
      <w:r w:rsidRPr="00DF0333">
        <w:rPr>
          <w:sz w:val="22"/>
          <w:szCs w:val="22"/>
          <w:lang w:val="en-GB"/>
        </w:rPr>
        <w:t>Song was forced to leave his stable teaching job in 1987 after founding a radical school newspaper in which he wrote commentaries on the government’s economic policies. In 1994, he founded a real estate company with some friends. Song left that first property start-up after a year and established his own company, Zhejiang Greentown Real Estate Company, the predecessor of Greentown.</w:t>
      </w:r>
      <w:r w:rsidRPr="00DF0333">
        <w:rPr>
          <w:sz w:val="22"/>
          <w:szCs w:val="22"/>
          <w:vertAlign w:val="superscript"/>
          <w:lang w:val="en-GB"/>
        </w:rPr>
        <w:endnoteReference w:id="26"/>
      </w:r>
      <w:r w:rsidRPr="00DF0333">
        <w:rPr>
          <w:sz w:val="22"/>
          <w:szCs w:val="22"/>
          <w:lang w:val="en-GB"/>
        </w:rPr>
        <w:t xml:space="preserve"> </w:t>
      </w:r>
    </w:p>
    <w:p w14:paraId="70C09B6D" w14:textId="77777777" w:rsidR="00DF0333" w:rsidRPr="00DF0333" w:rsidRDefault="00DF0333" w:rsidP="00DF0333">
      <w:pPr>
        <w:jc w:val="both"/>
        <w:rPr>
          <w:sz w:val="22"/>
          <w:szCs w:val="22"/>
          <w:lang w:val="en-GB"/>
        </w:rPr>
      </w:pPr>
    </w:p>
    <w:p w14:paraId="2817AA46" w14:textId="69CA12E3" w:rsidR="00DF0333" w:rsidRPr="00DF0333" w:rsidRDefault="00DF0333" w:rsidP="00DF0333">
      <w:pPr>
        <w:jc w:val="both"/>
        <w:rPr>
          <w:sz w:val="22"/>
          <w:szCs w:val="22"/>
          <w:lang w:val="en-GB"/>
        </w:rPr>
      </w:pPr>
      <w:r w:rsidRPr="00DF0333">
        <w:rPr>
          <w:sz w:val="22"/>
          <w:szCs w:val="22"/>
          <w:lang w:val="en-GB"/>
        </w:rPr>
        <w:lastRenderedPageBreak/>
        <w:t>Song was known for the superior quality of his projects, and Greentown strove to adhere to its principles of “Sincere, Goodwill, Exquisite and Perfection.”</w:t>
      </w:r>
      <w:r w:rsidRPr="00DF0333">
        <w:rPr>
          <w:sz w:val="22"/>
          <w:szCs w:val="22"/>
          <w:vertAlign w:val="superscript"/>
          <w:lang w:val="en-GB"/>
        </w:rPr>
        <w:endnoteReference w:id="27"/>
      </w:r>
      <w:r w:rsidRPr="00DF0333">
        <w:rPr>
          <w:sz w:val="22"/>
          <w:szCs w:val="22"/>
          <w:lang w:val="en-GB"/>
        </w:rPr>
        <w:t xml:space="preserve"> This led to higher costs and lower margins than those of the company’s peers.</w:t>
      </w:r>
      <w:r w:rsidRPr="00DF0333">
        <w:rPr>
          <w:sz w:val="22"/>
          <w:szCs w:val="22"/>
          <w:vertAlign w:val="superscript"/>
          <w:lang w:val="en-GB"/>
        </w:rPr>
        <w:endnoteReference w:id="28"/>
      </w:r>
      <w:r w:rsidRPr="00DF0333">
        <w:rPr>
          <w:sz w:val="22"/>
          <w:szCs w:val="22"/>
          <w:lang w:val="en-GB"/>
        </w:rPr>
        <w:t xml:space="preserve"> Song referred to Greentown’s developments as “artistic works,” and Greentown was responsible for providing quality developments to the community. This took time but resulted in Greentown being ranked for nine consecutive years as one of the “Top 10 Property Enterprises in China” and ranking first in the “General Satisfaction of Urban Residents” in most of its key markets.</w:t>
      </w:r>
      <w:r w:rsidRPr="00DF0333">
        <w:rPr>
          <w:sz w:val="22"/>
          <w:szCs w:val="22"/>
          <w:vertAlign w:val="superscript"/>
          <w:lang w:val="en-GB"/>
        </w:rPr>
        <w:endnoteReference w:id="29"/>
      </w:r>
      <w:r w:rsidRPr="00DF0333">
        <w:rPr>
          <w:sz w:val="22"/>
          <w:szCs w:val="22"/>
          <w:lang w:val="en-GB"/>
        </w:rPr>
        <w:t xml:space="preserve"> This meant that Greentown’s average days of inventory in 2007–2013 was more than 2,200 days</w:t>
      </w:r>
      <w:r w:rsidRPr="00DF0333">
        <w:rPr>
          <w:sz w:val="22"/>
          <w:szCs w:val="22"/>
          <w:vertAlign w:val="superscript"/>
          <w:lang w:val="en-GB"/>
        </w:rPr>
        <w:endnoteReference w:id="30"/>
      </w:r>
      <w:r w:rsidRPr="00DF0333">
        <w:rPr>
          <w:sz w:val="22"/>
          <w:szCs w:val="22"/>
          <w:lang w:val="en-GB"/>
        </w:rPr>
        <w:t>—that is, Greentown usually took six years between acquiring land and delivering completed projects. This compared to under 1,100 days of inventory for China’s other large, high-end property developers.</w:t>
      </w:r>
      <w:r w:rsidRPr="00DF0333">
        <w:rPr>
          <w:sz w:val="22"/>
          <w:szCs w:val="22"/>
          <w:vertAlign w:val="superscript"/>
          <w:lang w:val="en-GB"/>
        </w:rPr>
        <w:endnoteReference w:id="31"/>
      </w:r>
      <w:r w:rsidRPr="00DF0333">
        <w:rPr>
          <w:sz w:val="22"/>
          <w:szCs w:val="22"/>
          <w:lang w:val="en-GB"/>
        </w:rPr>
        <w:t xml:space="preserve"> To ensure that its customers were happy, Greentown had set up a subsidiary, Greentown Service Group, to take care of its customers.</w:t>
      </w:r>
      <w:r w:rsidRPr="00DF0333">
        <w:rPr>
          <w:sz w:val="22"/>
          <w:szCs w:val="22"/>
          <w:vertAlign w:val="superscript"/>
          <w:lang w:val="en-GB"/>
        </w:rPr>
        <w:endnoteReference w:id="32"/>
      </w:r>
      <w:r w:rsidRPr="00DF0333">
        <w:rPr>
          <w:sz w:val="22"/>
          <w:szCs w:val="22"/>
          <w:lang w:val="en-GB"/>
        </w:rPr>
        <w:t xml:space="preserve"> This included the development of </w:t>
      </w:r>
      <w:r w:rsidR="006136D1">
        <w:rPr>
          <w:sz w:val="22"/>
          <w:szCs w:val="22"/>
          <w:lang w:val="en-GB"/>
        </w:rPr>
        <w:t>the</w:t>
      </w:r>
      <w:r w:rsidRPr="00DF0333">
        <w:rPr>
          <w:sz w:val="22"/>
          <w:szCs w:val="22"/>
          <w:lang w:val="en-GB"/>
        </w:rPr>
        <w:t xml:space="preserve"> Happy Greentown</w:t>
      </w:r>
      <w:r w:rsidR="006136D1">
        <w:rPr>
          <w:sz w:val="22"/>
          <w:szCs w:val="22"/>
          <w:lang w:val="en-GB"/>
        </w:rPr>
        <w:t xml:space="preserve"> app </w:t>
      </w:r>
      <w:r w:rsidRPr="00DF0333">
        <w:rPr>
          <w:sz w:val="22"/>
          <w:szCs w:val="22"/>
          <w:lang w:val="en-GB"/>
        </w:rPr>
        <w:t>that allowed clients to stay in touch with the management company.</w:t>
      </w:r>
      <w:r w:rsidRPr="00DF0333">
        <w:rPr>
          <w:sz w:val="22"/>
          <w:szCs w:val="22"/>
          <w:vertAlign w:val="superscript"/>
          <w:lang w:val="en-GB"/>
        </w:rPr>
        <w:endnoteReference w:id="33"/>
      </w:r>
    </w:p>
    <w:p w14:paraId="2EEBF4B4" w14:textId="77777777" w:rsidR="00DF0333" w:rsidRPr="00DF0333" w:rsidRDefault="00DF0333" w:rsidP="00DF0333">
      <w:pPr>
        <w:jc w:val="both"/>
        <w:rPr>
          <w:sz w:val="22"/>
          <w:szCs w:val="22"/>
          <w:lang w:val="en-GB"/>
        </w:rPr>
      </w:pPr>
    </w:p>
    <w:p w14:paraId="2D177CDA" w14:textId="5ADA90AB" w:rsidR="00DF0333" w:rsidRPr="00DF0333" w:rsidRDefault="00DF0333" w:rsidP="00DF0333">
      <w:pPr>
        <w:jc w:val="both"/>
        <w:rPr>
          <w:sz w:val="22"/>
          <w:szCs w:val="22"/>
          <w:lang w:val="en-GB"/>
        </w:rPr>
      </w:pPr>
      <w:r w:rsidRPr="00DF0333">
        <w:rPr>
          <w:sz w:val="22"/>
          <w:szCs w:val="22"/>
          <w:lang w:val="en-GB"/>
        </w:rPr>
        <w:t>To the general public, Song was often perceived as a maverick. In 1998, he founded the</w:t>
      </w:r>
      <w:r w:rsidRPr="00DF0333">
        <w:rPr>
          <w:sz w:val="22"/>
          <w:szCs w:val="22"/>
        </w:rPr>
        <w:t xml:space="preserve"> </w:t>
      </w:r>
      <w:r w:rsidRPr="00DF0333">
        <w:rPr>
          <w:sz w:val="22"/>
          <w:szCs w:val="22"/>
          <w:lang w:val="en-GB"/>
        </w:rPr>
        <w:t>Zhejiang Greentown Football Club. Three years later, he earned national notoriety when he publicly confessed to bribing several soccer referees.</w:t>
      </w:r>
      <w:r w:rsidRPr="00DF0333">
        <w:rPr>
          <w:sz w:val="22"/>
          <w:szCs w:val="22"/>
          <w:vertAlign w:val="superscript"/>
          <w:lang w:val="en-GB"/>
        </w:rPr>
        <w:endnoteReference w:id="34"/>
      </w:r>
      <w:r w:rsidRPr="00DF0333">
        <w:rPr>
          <w:sz w:val="22"/>
          <w:szCs w:val="22"/>
          <w:lang w:val="en-GB"/>
        </w:rPr>
        <w:t xml:space="preserve"> He urged the government to crack down on corruption in China’s notorious soccer industry. This unusual move turned out to be a great public relations success: Song was not punished for bribery but was celebrated nationwide as a corruption fighter.</w:t>
      </w:r>
    </w:p>
    <w:p w14:paraId="791D7A67" w14:textId="77777777" w:rsidR="00DF0333" w:rsidRPr="00DF0333" w:rsidRDefault="00DF0333" w:rsidP="00DF0333">
      <w:pPr>
        <w:jc w:val="both"/>
        <w:rPr>
          <w:sz w:val="22"/>
          <w:szCs w:val="22"/>
          <w:lang w:val="en-GB"/>
        </w:rPr>
      </w:pPr>
    </w:p>
    <w:p w14:paraId="7AEDBEFF" w14:textId="77777777" w:rsidR="00DF0333" w:rsidRPr="00DF0333" w:rsidRDefault="00DF0333" w:rsidP="00DF0333">
      <w:pPr>
        <w:jc w:val="both"/>
        <w:rPr>
          <w:sz w:val="22"/>
          <w:szCs w:val="22"/>
          <w:lang w:val="en-GB"/>
        </w:rPr>
      </w:pPr>
      <w:r w:rsidRPr="00DF0333">
        <w:rPr>
          <w:sz w:val="22"/>
          <w:szCs w:val="22"/>
          <w:lang w:val="en-GB"/>
        </w:rPr>
        <w:t>Riding on Song’s fame, Greentown was finally able to expand outside its home base. Greentown grew into one of the leading large-scale luxury home builders in China. It developed luxury residential properties including villas, multi-storey and high-rise apartment buildings, and large community and urban complex projects such as integrated residences, hotels, shopping malls, office buildings, schools, and public buildings. Based in Zhejiang province, one of the most economically prosperous regions in China, the company expanded into Shanghai, Beijing, and major cities in provinces such as Jiangsu, Anhui, Henan, Hunan, and Xinjiang. As of 2013, the company had 104 projects with a total gross floor area of 38.89 million m</w:t>
      </w:r>
      <w:r w:rsidRPr="00DF0333">
        <w:rPr>
          <w:sz w:val="22"/>
          <w:szCs w:val="22"/>
          <w:vertAlign w:val="superscript"/>
          <w:lang w:val="en-GB"/>
        </w:rPr>
        <w:t>2</w:t>
      </w:r>
      <w:r w:rsidRPr="00DF0333">
        <w:rPr>
          <w:sz w:val="22"/>
          <w:szCs w:val="22"/>
          <w:lang w:val="en-GB"/>
        </w:rPr>
        <w:t>, and the average selling price was ¥20,264</w:t>
      </w:r>
      <w:r w:rsidRPr="00DF0333">
        <w:rPr>
          <w:sz w:val="22"/>
          <w:szCs w:val="22"/>
          <w:vertAlign w:val="superscript"/>
          <w:lang w:val="en-GB"/>
        </w:rPr>
        <w:endnoteReference w:id="35"/>
      </w:r>
      <w:r w:rsidRPr="00DF0333">
        <w:rPr>
          <w:sz w:val="22"/>
          <w:szCs w:val="22"/>
          <w:lang w:val="en-GB"/>
        </w:rPr>
        <w:t xml:space="preserve"> per m</w:t>
      </w:r>
      <w:r w:rsidRPr="00DF0333">
        <w:rPr>
          <w:sz w:val="22"/>
          <w:szCs w:val="22"/>
          <w:vertAlign w:val="superscript"/>
          <w:lang w:val="en-GB"/>
        </w:rPr>
        <w:t>2</w:t>
      </w:r>
      <w:r w:rsidRPr="00DF0333">
        <w:rPr>
          <w:sz w:val="22"/>
          <w:szCs w:val="22"/>
          <w:lang w:val="en-GB"/>
        </w:rPr>
        <w:t>; this compared to an average selling price in 100 major Chinese cities of ¥10,833 per m</w:t>
      </w:r>
      <w:r w:rsidRPr="00DF0333">
        <w:rPr>
          <w:sz w:val="22"/>
          <w:szCs w:val="22"/>
          <w:vertAlign w:val="superscript"/>
          <w:lang w:val="en-GB"/>
        </w:rPr>
        <w:t>2</w:t>
      </w:r>
      <w:r w:rsidRPr="00DF0333">
        <w:rPr>
          <w:sz w:val="22"/>
          <w:szCs w:val="22"/>
          <w:lang w:val="en-GB"/>
        </w:rPr>
        <w:t>.</w:t>
      </w:r>
      <w:r w:rsidRPr="00DF0333">
        <w:rPr>
          <w:sz w:val="22"/>
          <w:szCs w:val="22"/>
          <w:vertAlign w:val="superscript"/>
          <w:lang w:val="en-GB"/>
        </w:rPr>
        <w:endnoteReference w:id="36"/>
      </w:r>
      <w:r w:rsidRPr="00DF0333">
        <w:rPr>
          <w:sz w:val="22"/>
          <w:szCs w:val="22"/>
          <w:lang w:val="en-GB"/>
        </w:rPr>
        <w:t xml:space="preserve"> Greentown was consistently ranked among the top 10 real estate companies in China in terms of size and city coverage. </w:t>
      </w:r>
    </w:p>
    <w:p w14:paraId="0DC526F7" w14:textId="77777777" w:rsidR="00DF0333" w:rsidRPr="00DF0333" w:rsidRDefault="00DF0333" w:rsidP="00DF0333">
      <w:pPr>
        <w:jc w:val="both"/>
        <w:rPr>
          <w:sz w:val="22"/>
          <w:szCs w:val="22"/>
          <w:lang w:val="en-GB"/>
        </w:rPr>
      </w:pPr>
    </w:p>
    <w:p w14:paraId="5F747B9D" w14:textId="77777777" w:rsidR="00DF0333" w:rsidRPr="006136D1" w:rsidRDefault="00DF0333" w:rsidP="00DF0333">
      <w:pPr>
        <w:jc w:val="both"/>
        <w:rPr>
          <w:spacing w:val="-2"/>
          <w:sz w:val="22"/>
          <w:szCs w:val="22"/>
          <w:lang w:val="en-GB"/>
        </w:rPr>
      </w:pPr>
      <w:r w:rsidRPr="006136D1">
        <w:rPr>
          <w:spacing w:val="-2"/>
          <w:sz w:val="22"/>
          <w:szCs w:val="22"/>
          <w:lang w:val="en-GB"/>
        </w:rPr>
        <w:t>From this position, the future outlook for the industry would play a key part in any decision. The market was forecasting sales declines throughout 2014, likely by 6 per cent over the year, and a slow rebound from 2015 onwards. If Greentown were to bring in a partner, this was expected to result in a growth rate that would rise to match the forecasted industry growth rates of 4 per cent, 8 per cent, 8 per cent, and 7 per cent each year from 2015 until 2018. Growth after 2018 would be assumed to be at 4 per cent per annum—a conservative long-term growth rate for this industry in China. To compete in this increasingly tight market, it was also expected that Greentown’s earnings before interest and taxes (EBIT) margins would tighten from 20 per cent in 2014 to 18 per cent in 2015 and stay at that level going forward (see Exhibit 3).</w:t>
      </w:r>
    </w:p>
    <w:p w14:paraId="12B7247C" w14:textId="77777777" w:rsidR="00DF0333" w:rsidRPr="00DF0333" w:rsidRDefault="00DF0333" w:rsidP="00DF0333">
      <w:pPr>
        <w:jc w:val="both"/>
        <w:rPr>
          <w:sz w:val="22"/>
          <w:szCs w:val="22"/>
          <w:lang w:val="en-GB"/>
        </w:rPr>
      </w:pPr>
    </w:p>
    <w:p w14:paraId="16FF527C" w14:textId="77777777" w:rsidR="00DF0333" w:rsidRPr="00DF0333" w:rsidRDefault="00DF0333" w:rsidP="00DF0333">
      <w:pPr>
        <w:jc w:val="both"/>
        <w:rPr>
          <w:sz w:val="22"/>
          <w:szCs w:val="22"/>
          <w:lang w:val="en-GB"/>
        </w:rPr>
      </w:pPr>
    </w:p>
    <w:p w14:paraId="5C0C23AE" w14:textId="77777777" w:rsidR="00DF0333" w:rsidRPr="00DF0333" w:rsidRDefault="00DF0333" w:rsidP="00DF0333">
      <w:pPr>
        <w:jc w:val="both"/>
        <w:rPr>
          <w:rFonts w:ascii="Arial" w:hAnsi="Arial" w:cs="Arial"/>
          <w:b/>
          <w:caps/>
          <w:lang w:val="en-GB"/>
        </w:rPr>
      </w:pPr>
      <w:r w:rsidRPr="00DF0333">
        <w:rPr>
          <w:rFonts w:ascii="Arial" w:hAnsi="Arial" w:cs="Arial"/>
          <w:b/>
          <w:caps/>
          <w:lang w:val="en-GB"/>
        </w:rPr>
        <w:t>GREENTOWN’S PAST WOES</w:t>
      </w:r>
    </w:p>
    <w:p w14:paraId="58C1B2BC" w14:textId="77777777" w:rsidR="00DF0333" w:rsidRPr="00DF0333" w:rsidRDefault="00DF0333" w:rsidP="00DF0333">
      <w:pPr>
        <w:jc w:val="both"/>
        <w:rPr>
          <w:sz w:val="22"/>
          <w:szCs w:val="22"/>
          <w:lang w:val="en-GB"/>
        </w:rPr>
      </w:pPr>
    </w:p>
    <w:p w14:paraId="19F2BF0D" w14:textId="77777777" w:rsidR="00DF0333" w:rsidRPr="00DF0333" w:rsidRDefault="00DF0333" w:rsidP="00DF0333">
      <w:pPr>
        <w:jc w:val="both"/>
        <w:rPr>
          <w:sz w:val="22"/>
          <w:szCs w:val="22"/>
          <w:lang w:val="en-GB"/>
        </w:rPr>
      </w:pPr>
      <w:r w:rsidRPr="00DF0333">
        <w:rPr>
          <w:sz w:val="22"/>
          <w:szCs w:val="22"/>
          <w:lang w:val="en-GB"/>
        </w:rPr>
        <w:t>This was not the first time that Greentown had faced challenging conditions. In 2004, Greentown had been forced into a major restructuring that ultimately resulted in an initial public offering (IPO) in Hong Kong in July 2006 to raise much-needed capital; it raised HK$2.66 billion.</w:t>
      </w:r>
      <w:r w:rsidRPr="00DF0333">
        <w:rPr>
          <w:sz w:val="22"/>
          <w:szCs w:val="22"/>
          <w:vertAlign w:val="superscript"/>
          <w:lang w:val="en-GB"/>
        </w:rPr>
        <w:endnoteReference w:id="37"/>
      </w:r>
      <w:r w:rsidRPr="00DF0333">
        <w:rPr>
          <w:sz w:val="22"/>
          <w:szCs w:val="22"/>
          <w:lang w:val="en-GB"/>
        </w:rPr>
        <w:t xml:space="preserve"> Even though the IPO stabilized Greentown’s financial state, it was not for long, as, shortly after the listing, Song led the company into a land-acquisition spree with heavy borrowing.</w:t>
      </w:r>
      <w:r w:rsidRPr="00DF0333">
        <w:rPr>
          <w:sz w:val="22"/>
          <w:szCs w:val="22"/>
          <w:vertAlign w:val="superscript"/>
          <w:lang w:val="en-GB"/>
        </w:rPr>
        <w:endnoteReference w:id="38"/>
      </w:r>
      <w:r w:rsidRPr="00DF0333">
        <w:rPr>
          <w:sz w:val="22"/>
          <w:szCs w:val="22"/>
          <w:lang w:val="en-GB"/>
        </w:rPr>
        <w:t xml:space="preserve"> The aggressive expansion allowed Greentown to become one of the largest players in the market but continued to drain its cash flow. By the </w:t>
      </w:r>
      <w:r w:rsidRPr="00DF0333">
        <w:rPr>
          <w:sz w:val="22"/>
          <w:szCs w:val="22"/>
          <w:lang w:val="en-GB"/>
        </w:rPr>
        <w:lastRenderedPageBreak/>
        <w:t>end of 2008, Greentown’s cash balance had been almost halved from a year earlier, and its leverage had risen 59 per cent, to 140 per cent.</w:t>
      </w:r>
      <w:r w:rsidRPr="00DF0333">
        <w:rPr>
          <w:sz w:val="22"/>
          <w:szCs w:val="22"/>
          <w:vertAlign w:val="superscript"/>
          <w:lang w:val="en-GB"/>
        </w:rPr>
        <w:endnoteReference w:id="39"/>
      </w:r>
      <w:r w:rsidRPr="00DF0333">
        <w:rPr>
          <w:sz w:val="22"/>
          <w:szCs w:val="22"/>
          <w:lang w:val="en-GB"/>
        </w:rPr>
        <w:t xml:space="preserve"> </w:t>
      </w:r>
    </w:p>
    <w:p w14:paraId="109806A7" w14:textId="77777777" w:rsidR="00DF0333" w:rsidRPr="00DF0333" w:rsidRDefault="00DF0333" w:rsidP="00DF0333">
      <w:pPr>
        <w:jc w:val="both"/>
        <w:rPr>
          <w:sz w:val="22"/>
          <w:szCs w:val="22"/>
          <w:lang w:val="en-GB"/>
        </w:rPr>
      </w:pPr>
    </w:p>
    <w:p w14:paraId="3343FF99" w14:textId="77777777" w:rsidR="00DF0333" w:rsidRPr="00DF0333" w:rsidRDefault="00DF0333" w:rsidP="00DF0333">
      <w:pPr>
        <w:jc w:val="both"/>
        <w:rPr>
          <w:sz w:val="22"/>
          <w:szCs w:val="22"/>
          <w:lang w:val="en-GB"/>
        </w:rPr>
      </w:pPr>
      <w:r w:rsidRPr="00DF0333">
        <w:rPr>
          <w:sz w:val="22"/>
          <w:szCs w:val="22"/>
          <w:lang w:val="en-GB"/>
        </w:rPr>
        <w:t>In April 2009, Greentown was on the brink of bankruptcy. Its major problem was the restrictive covenants on a US$400 million bond issued a month before the IPO.</w:t>
      </w:r>
      <w:r w:rsidRPr="00DF0333">
        <w:rPr>
          <w:sz w:val="22"/>
          <w:szCs w:val="22"/>
          <w:vertAlign w:val="superscript"/>
          <w:lang w:val="en-GB"/>
        </w:rPr>
        <w:endnoteReference w:id="40"/>
      </w:r>
      <w:r w:rsidRPr="00DF0333">
        <w:rPr>
          <w:sz w:val="22"/>
          <w:szCs w:val="22"/>
          <w:lang w:val="en-GB"/>
        </w:rPr>
        <w:t xml:space="preserve"> To save itself from bankruptcy, Greentown had to declare itself in breach of the bond’s covenants and repurchase the bond. To fund ongoing operations, Greentown began to rely heavily on trust loans pledged by its projects and land parcels.</w:t>
      </w:r>
      <w:r w:rsidRPr="00DF0333">
        <w:rPr>
          <w:sz w:val="22"/>
          <w:szCs w:val="22"/>
          <w:vertAlign w:val="superscript"/>
          <w:lang w:val="en-GB"/>
        </w:rPr>
        <w:endnoteReference w:id="41"/>
      </w:r>
      <w:r w:rsidRPr="00DF0333">
        <w:rPr>
          <w:sz w:val="22"/>
          <w:szCs w:val="22"/>
          <w:lang w:val="en-GB"/>
        </w:rPr>
        <w:t xml:space="preserve"> This higher-cost financing pushed Greentown’s leverage to a high of 163.2 per cent in early 2011; the company had a negative cash flow, and sales remained weak. In late September 2011, its share price tumbled more than 40 per cent in a week based on rumours that China’s banking regulators were investigating Greentown’s financing through trusts (see Exhibit 4).</w:t>
      </w:r>
      <w:r w:rsidRPr="00DF0333">
        <w:rPr>
          <w:sz w:val="22"/>
          <w:szCs w:val="22"/>
          <w:vertAlign w:val="superscript"/>
          <w:lang w:val="en-GB"/>
        </w:rPr>
        <w:endnoteReference w:id="42"/>
      </w:r>
      <w:r w:rsidRPr="00DF0333">
        <w:rPr>
          <w:sz w:val="22"/>
          <w:szCs w:val="22"/>
          <w:lang w:val="en-GB"/>
        </w:rPr>
        <w:t xml:space="preserve"> </w:t>
      </w:r>
    </w:p>
    <w:p w14:paraId="52B15CA2" w14:textId="77777777" w:rsidR="00DF0333" w:rsidRPr="00DF0333" w:rsidRDefault="00DF0333" w:rsidP="00DF0333">
      <w:pPr>
        <w:jc w:val="both"/>
        <w:rPr>
          <w:sz w:val="22"/>
          <w:szCs w:val="22"/>
          <w:lang w:val="en-GB"/>
        </w:rPr>
      </w:pPr>
    </w:p>
    <w:p w14:paraId="793B9AB3" w14:textId="77777777" w:rsidR="00DF0333" w:rsidRPr="00DF0333" w:rsidRDefault="00DF0333" w:rsidP="00DF0333">
      <w:pPr>
        <w:jc w:val="both"/>
        <w:rPr>
          <w:sz w:val="22"/>
          <w:szCs w:val="22"/>
          <w:lang w:val="en-GB"/>
        </w:rPr>
      </w:pPr>
      <w:r w:rsidRPr="00DF0333">
        <w:rPr>
          <w:sz w:val="22"/>
          <w:szCs w:val="22"/>
          <w:lang w:val="en-GB"/>
        </w:rPr>
        <w:t>To improve its capital structure and regain some financial stability, Greentown did several things: In late 2011, it sold six projects to raise ¥6 billion.</w:t>
      </w:r>
      <w:r w:rsidRPr="00DF0333">
        <w:rPr>
          <w:sz w:val="22"/>
          <w:szCs w:val="22"/>
          <w:vertAlign w:val="superscript"/>
          <w:lang w:val="en-GB"/>
        </w:rPr>
        <w:endnoteReference w:id="43"/>
      </w:r>
      <w:r w:rsidRPr="00DF0333">
        <w:rPr>
          <w:sz w:val="22"/>
          <w:szCs w:val="22"/>
          <w:lang w:val="en-GB"/>
        </w:rPr>
        <w:t xml:space="preserve"> In June 2012, Greentown issued 400 million new shares, which accounted for 24.6 per cent of the company on a fully diluted basis, to Hong Kong–based real estate group the Wharf Holdings Limited (Wharf), for HK$1.7 billion.</w:t>
      </w:r>
      <w:r w:rsidRPr="00DF0333">
        <w:rPr>
          <w:sz w:val="22"/>
          <w:szCs w:val="22"/>
          <w:vertAlign w:val="superscript"/>
          <w:lang w:val="en-GB"/>
        </w:rPr>
        <w:endnoteReference w:id="44"/>
      </w:r>
      <w:r w:rsidRPr="00DF0333">
        <w:rPr>
          <w:sz w:val="22"/>
          <w:szCs w:val="22"/>
          <w:lang w:val="en-GB"/>
        </w:rPr>
        <w:t xml:space="preserve"> Greentown also raised a further HK$3.4 billion through convertible bonds issued to Wharf. If Wharf were to exercise its conversion option, it would have become the single largest shareholder, with over 35 per cent ownership. After the new share issue, the stakes of Song’s family and </w:t>
      </w:r>
      <w:proofErr w:type="spellStart"/>
      <w:r w:rsidRPr="00DF0333">
        <w:rPr>
          <w:sz w:val="22"/>
          <w:szCs w:val="22"/>
          <w:lang w:val="en-GB"/>
        </w:rPr>
        <w:t>Shou</w:t>
      </w:r>
      <w:proofErr w:type="spellEnd"/>
      <w:r w:rsidRPr="00DF0333">
        <w:rPr>
          <w:sz w:val="22"/>
          <w:szCs w:val="22"/>
          <w:lang w:val="en-GB"/>
        </w:rPr>
        <w:t xml:space="preserve"> were diluted to 25.4 per cent and 18.1 per cent, from 33.0 per cent and 23.4 per cent, respectively. Most importantly, the company’s leverage also fell to around 50 per cent, below the industry average. “Cooperation is a vital impetus for the future of Greentown,” Song said at the press conference announcing the deal with Wharf. “The company’s era of being burdened by debt is gone.”</w:t>
      </w:r>
      <w:r w:rsidRPr="00DF0333">
        <w:rPr>
          <w:sz w:val="22"/>
          <w:szCs w:val="22"/>
          <w:vertAlign w:val="superscript"/>
          <w:lang w:val="en-GB"/>
        </w:rPr>
        <w:endnoteReference w:id="45"/>
      </w:r>
    </w:p>
    <w:p w14:paraId="7EAABBC9" w14:textId="77777777" w:rsidR="00DF0333" w:rsidRPr="00DF0333" w:rsidRDefault="00DF0333" w:rsidP="00DF0333">
      <w:pPr>
        <w:jc w:val="both"/>
        <w:rPr>
          <w:sz w:val="22"/>
          <w:szCs w:val="22"/>
          <w:lang w:val="en-GB"/>
        </w:rPr>
      </w:pPr>
    </w:p>
    <w:p w14:paraId="76F30A79" w14:textId="77777777" w:rsidR="00DF0333" w:rsidRPr="00DF0333" w:rsidRDefault="00DF0333" w:rsidP="00DF0333">
      <w:pPr>
        <w:jc w:val="both"/>
        <w:rPr>
          <w:sz w:val="22"/>
          <w:szCs w:val="22"/>
          <w:lang w:val="en-GB"/>
        </w:rPr>
      </w:pPr>
      <w:r w:rsidRPr="00DF0333">
        <w:rPr>
          <w:sz w:val="22"/>
          <w:szCs w:val="22"/>
          <w:lang w:val="en-GB"/>
        </w:rPr>
        <w:t xml:space="preserve">Efforts to counter the company’s financial risks continued after the deals with Wharf. In fact, two weeks later, Greentown formed a 50:50 project joint venture (JV) in Shanghai with Hong Kong–listed developer </w:t>
      </w:r>
      <w:proofErr w:type="spellStart"/>
      <w:r w:rsidRPr="00DF0333">
        <w:rPr>
          <w:sz w:val="22"/>
          <w:szCs w:val="22"/>
          <w:lang w:val="en-GB"/>
        </w:rPr>
        <w:t>Sunac</w:t>
      </w:r>
      <w:proofErr w:type="spellEnd"/>
      <w:r w:rsidRPr="00DF0333">
        <w:rPr>
          <w:sz w:val="22"/>
          <w:szCs w:val="22"/>
          <w:lang w:val="en-GB"/>
        </w:rPr>
        <w:t xml:space="preserve"> China Holdings Limited (</w:t>
      </w:r>
      <w:proofErr w:type="spellStart"/>
      <w:r w:rsidRPr="00DF0333">
        <w:rPr>
          <w:sz w:val="22"/>
          <w:szCs w:val="22"/>
          <w:lang w:val="en-GB"/>
        </w:rPr>
        <w:t>Sunac</w:t>
      </w:r>
      <w:proofErr w:type="spellEnd"/>
      <w:r w:rsidRPr="00DF0333">
        <w:rPr>
          <w:sz w:val="22"/>
          <w:szCs w:val="22"/>
          <w:lang w:val="en-GB"/>
        </w:rPr>
        <w:t xml:space="preserve">). Greentown injected a significant number of projects and land into the JV, and </w:t>
      </w:r>
      <w:proofErr w:type="spellStart"/>
      <w:r w:rsidRPr="00DF0333">
        <w:rPr>
          <w:sz w:val="22"/>
          <w:szCs w:val="22"/>
          <w:lang w:val="en-GB"/>
        </w:rPr>
        <w:t>Sunac</w:t>
      </w:r>
      <w:proofErr w:type="spellEnd"/>
      <w:r w:rsidRPr="00DF0333">
        <w:rPr>
          <w:sz w:val="22"/>
          <w:szCs w:val="22"/>
          <w:lang w:val="en-GB"/>
        </w:rPr>
        <w:t xml:space="preserve"> contributed ¥3.3 billion in cash.</w:t>
      </w:r>
      <w:r w:rsidRPr="00DF0333">
        <w:rPr>
          <w:sz w:val="22"/>
          <w:szCs w:val="22"/>
          <w:vertAlign w:val="superscript"/>
          <w:lang w:val="en-GB"/>
        </w:rPr>
        <w:endnoteReference w:id="46"/>
      </w:r>
      <w:r w:rsidRPr="00DF0333">
        <w:rPr>
          <w:sz w:val="22"/>
          <w:szCs w:val="22"/>
          <w:lang w:val="en-GB"/>
        </w:rPr>
        <w:t xml:space="preserve"> This allowed </w:t>
      </w:r>
      <w:proofErr w:type="spellStart"/>
      <w:r w:rsidRPr="00DF0333">
        <w:rPr>
          <w:sz w:val="22"/>
          <w:szCs w:val="22"/>
          <w:lang w:val="en-GB"/>
        </w:rPr>
        <w:t>Sunac</w:t>
      </w:r>
      <w:proofErr w:type="spellEnd"/>
      <w:r w:rsidRPr="00DF0333">
        <w:rPr>
          <w:sz w:val="22"/>
          <w:szCs w:val="22"/>
          <w:lang w:val="en-GB"/>
        </w:rPr>
        <w:t xml:space="preserve"> to gain a much-sought-after entry into Shanghai and allowed </w:t>
      </w:r>
      <w:proofErr w:type="spellStart"/>
      <w:r w:rsidRPr="00DF0333">
        <w:rPr>
          <w:sz w:val="22"/>
          <w:szCs w:val="22"/>
          <w:lang w:val="en-GB"/>
        </w:rPr>
        <w:t>Sunac’s</w:t>
      </w:r>
      <w:proofErr w:type="spellEnd"/>
      <w:r w:rsidRPr="00DF0333">
        <w:rPr>
          <w:sz w:val="22"/>
          <w:szCs w:val="22"/>
          <w:lang w:val="en-GB"/>
        </w:rPr>
        <w:t xml:space="preserve"> founder and controlling shareholder, Sun Hongbin, to help Greentown. Sun had faced similar liquidity issues before: he had had to sell his first property business due to liquidity issues arising from overexpansion.</w:t>
      </w:r>
      <w:r w:rsidRPr="00DF0333">
        <w:rPr>
          <w:sz w:val="22"/>
          <w:szCs w:val="22"/>
          <w:vertAlign w:val="superscript"/>
          <w:lang w:val="en-GB"/>
        </w:rPr>
        <w:endnoteReference w:id="47"/>
      </w:r>
      <w:r w:rsidRPr="00DF0333">
        <w:rPr>
          <w:sz w:val="22"/>
          <w:szCs w:val="22"/>
          <w:lang w:val="en-GB"/>
        </w:rPr>
        <w:t xml:space="preserve"> </w:t>
      </w:r>
    </w:p>
    <w:p w14:paraId="64E5B8EB" w14:textId="77777777" w:rsidR="00DF0333" w:rsidRPr="00DF0333" w:rsidRDefault="00DF0333" w:rsidP="00DF0333">
      <w:pPr>
        <w:jc w:val="both"/>
        <w:rPr>
          <w:sz w:val="22"/>
          <w:szCs w:val="22"/>
          <w:lang w:val="en-GB"/>
        </w:rPr>
      </w:pPr>
    </w:p>
    <w:p w14:paraId="5BF3FE0A" w14:textId="77777777" w:rsidR="00DF0333" w:rsidRPr="006136D1" w:rsidRDefault="00DF0333" w:rsidP="00DF0333">
      <w:pPr>
        <w:jc w:val="both"/>
        <w:rPr>
          <w:spacing w:val="-2"/>
          <w:sz w:val="22"/>
          <w:szCs w:val="22"/>
          <w:lang w:val="en-GB"/>
        </w:rPr>
      </w:pPr>
      <w:r w:rsidRPr="006136D1">
        <w:rPr>
          <w:spacing w:val="-2"/>
          <w:sz w:val="22"/>
          <w:szCs w:val="22"/>
          <w:lang w:val="en-GB"/>
        </w:rPr>
        <w:t>By 2012, the improvement in Greentown’s financial situation led its weighted average cost of capital (WACC) to go from 14 per cent to less than 9 per cent.</w:t>
      </w:r>
      <w:r w:rsidRPr="006136D1">
        <w:rPr>
          <w:spacing w:val="-2"/>
          <w:sz w:val="22"/>
          <w:szCs w:val="22"/>
          <w:vertAlign w:val="superscript"/>
          <w:lang w:val="en-GB"/>
        </w:rPr>
        <w:endnoteReference w:id="48"/>
      </w:r>
      <w:r w:rsidRPr="006136D1">
        <w:rPr>
          <w:spacing w:val="-2"/>
          <w:sz w:val="22"/>
          <w:szCs w:val="22"/>
          <w:lang w:val="en-GB"/>
        </w:rPr>
        <w:t xml:space="preserve"> Greentown also slowed its land acquisitions, changed its sales strategy, and adopted a partnership strategy to control land costs. By 2013, Greentown had exceeded its annual sales target and recorded a total revenue of ¥29 billion. By March 2014, Greentown’s financial situation had improved to the point where </w:t>
      </w:r>
      <w:proofErr w:type="spellStart"/>
      <w:r w:rsidRPr="006136D1">
        <w:rPr>
          <w:spacing w:val="-2"/>
          <w:sz w:val="22"/>
          <w:szCs w:val="22"/>
          <w:lang w:val="en-GB"/>
        </w:rPr>
        <w:t>its</w:t>
      </w:r>
      <w:proofErr w:type="spellEnd"/>
      <w:r w:rsidRPr="006136D1">
        <w:rPr>
          <w:spacing w:val="-2"/>
          <w:sz w:val="22"/>
          <w:szCs w:val="22"/>
          <w:lang w:val="en-GB"/>
        </w:rPr>
        <w:t xml:space="preserve"> WACC was 6.88 per cent (see Exhibit 5).</w:t>
      </w:r>
      <w:r w:rsidRPr="006136D1">
        <w:rPr>
          <w:spacing w:val="-2"/>
          <w:sz w:val="22"/>
          <w:szCs w:val="22"/>
          <w:vertAlign w:val="superscript"/>
          <w:lang w:val="en-GB"/>
        </w:rPr>
        <w:endnoteReference w:id="49"/>
      </w:r>
    </w:p>
    <w:p w14:paraId="3A65AA56" w14:textId="77777777" w:rsidR="00DF0333" w:rsidRPr="00DF0333" w:rsidRDefault="00DF0333" w:rsidP="00DF0333">
      <w:pPr>
        <w:jc w:val="both"/>
        <w:rPr>
          <w:sz w:val="22"/>
          <w:szCs w:val="22"/>
          <w:lang w:val="en-GB"/>
        </w:rPr>
      </w:pPr>
    </w:p>
    <w:p w14:paraId="694483E0" w14:textId="77777777" w:rsidR="00DF0333" w:rsidRPr="00DF0333" w:rsidRDefault="00DF0333" w:rsidP="00DF0333">
      <w:pPr>
        <w:jc w:val="both"/>
        <w:rPr>
          <w:sz w:val="22"/>
          <w:szCs w:val="22"/>
          <w:lang w:val="en-GB"/>
        </w:rPr>
      </w:pPr>
    </w:p>
    <w:p w14:paraId="04841207" w14:textId="77777777" w:rsidR="00DF0333" w:rsidRPr="00DF0333" w:rsidRDefault="00DF0333" w:rsidP="00DF0333">
      <w:pPr>
        <w:jc w:val="both"/>
        <w:rPr>
          <w:rFonts w:ascii="Arial" w:hAnsi="Arial" w:cs="Arial"/>
          <w:b/>
          <w:caps/>
          <w:lang w:val="en-GB"/>
        </w:rPr>
      </w:pPr>
      <w:r w:rsidRPr="00DF0333">
        <w:rPr>
          <w:rFonts w:ascii="Arial" w:hAnsi="Arial" w:cs="Arial"/>
          <w:b/>
          <w:caps/>
          <w:lang w:val="en-GB"/>
        </w:rPr>
        <w:t>A LACK OF SUCCESSION PLANNING</w:t>
      </w:r>
    </w:p>
    <w:p w14:paraId="59B44E5D" w14:textId="77777777" w:rsidR="00DF0333" w:rsidRPr="00DF0333" w:rsidRDefault="00DF0333" w:rsidP="00DF0333">
      <w:pPr>
        <w:jc w:val="both"/>
        <w:rPr>
          <w:sz w:val="22"/>
          <w:szCs w:val="22"/>
          <w:lang w:val="en-GB"/>
        </w:rPr>
      </w:pPr>
    </w:p>
    <w:p w14:paraId="752F2BFC" w14:textId="77777777" w:rsidR="00DF0333" w:rsidRPr="00DF0333" w:rsidRDefault="00DF0333" w:rsidP="00DF0333">
      <w:pPr>
        <w:jc w:val="both"/>
        <w:rPr>
          <w:sz w:val="22"/>
          <w:szCs w:val="22"/>
          <w:lang w:val="en-GB"/>
        </w:rPr>
      </w:pPr>
      <w:r w:rsidRPr="00DF0333">
        <w:rPr>
          <w:sz w:val="22"/>
          <w:szCs w:val="22"/>
          <w:lang w:val="en-GB"/>
        </w:rPr>
        <w:t xml:space="preserve">It was clear that Song was the heart and soul of Greentown. In 2014, the board of directors at Greentown consisted of Song, </w:t>
      </w:r>
      <w:proofErr w:type="spellStart"/>
      <w:r w:rsidRPr="00DF0333">
        <w:rPr>
          <w:sz w:val="22"/>
          <w:szCs w:val="22"/>
          <w:lang w:val="en-GB"/>
        </w:rPr>
        <w:t>Shou</w:t>
      </w:r>
      <w:proofErr w:type="spellEnd"/>
      <w:r w:rsidRPr="00DF0333">
        <w:rPr>
          <w:sz w:val="22"/>
          <w:szCs w:val="22"/>
          <w:lang w:val="en-GB"/>
        </w:rPr>
        <w:t>, three other executive directors from Greentown, two non-executive directors from Wharf, and four non-executive independent directors.</w:t>
      </w:r>
      <w:r w:rsidRPr="00DF0333">
        <w:rPr>
          <w:sz w:val="22"/>
          <w:szCs w:val="22"/>
          <w:vertAlign w:val="superscript"/>
          <w:lang w:val="en-GB"/>
        </w:rPr>
        <w:endnoteReference w:id="50"/>
      </w:r>
      <w:r w:rsidRPr="00DF0333">
        <w:rPr>
          <w:sz w:val="22"/>
          <w:szCs w:val="22"/>
          <w:lang w:val="en-GB"/>
        </w:rPr>
        <w:t xml:space="preserve"> Luo </w:t>
      </w:r>
      <w:proofErr w:type="spellStart"/>
      <w:r w:rsidRPr="00DF0333">
        <w:rPr>
          <w:sz w:val="22"/>
          <w:szCs w:val="22"/>
          <w:lang w:val="en-GB"/>
        </w:rPr>
        <w:t>Zhaoming</w:t>
      </w:r>
      <w:proofErr w:type="spellEnd"/>
      <w:r w:rsidRPr="00DF0333">
        <w:rPr>
          <w:sz w:val="22"/>
          <w:szCs w:val="22"/>
          <w:lang w:val="en-GB"/>
        </w:rPr>
        <w:t>, 48, was the vice-chair responsible for Greentown’s customer relations and landscape service system construction.</w:t>
      </w:r>
      <w:r w:rsidRPr="00DF0333">
        <w:rPr>
          <w:sz w:val="22"/>
          <w:szCs w:val="22"/>
          <w:vertAlign w:val="superscript"/>
          <w:lang w:val="en-GB"/>
        </w:rPr>
        <w:endnoteReference w:id="51"/>
      </w:r>
      <w:r w:rsidRPr="00DF0333">
        <w:rPr>
          <w:sz w:val="22"/>
          <w:szCs w:val="22"/>
          <w:lang w:val="en-GB"/>
        </w:rPr>
        <w:t xml:space="preserve"> Luo joined Greentown after a share placement in 2009, and he still owned 5.23 per cent of Greentown. Guo </w:t>
      </w:r>
      <w:proofErr w:type="spellStart"/>
      <w:r w:rsidRPr="00DF0333">
        <w:rPr>
          <w:sz w:val="22"/>
          <w:szCs w:val="22"/>
          <w:lang w:val="en-GB"/>
        </w:rPr>
        <w:t>Jianfeng</w:t>
      </w:r>
      <w:proofErr w:type="spellEnd"/>
      <w:r w:rsidRPr="00DF0333">
        <w:rPr>
          <w:sz w:val="22"/>
          <w:szCs w:val="22"/>
          <w:lang w:val="en-GB"/>
        </w:rPr>
        <w:t xml:space="preserve">, 49, was the executive general manager responsible for property development projects. He had been with Greentown since 2000. Cao </w:t>
      </w:r>
      <w:proofErr w:type="spellStart"/>
      <w:r w:rsidRPr="00DF0333">
        <w:rPr>
          <w:sz w:val="22"/>
          <w:szCs w:val="22"/>
          <w:lang w:val="en-GB"/>
        </w:rPr>
        <w:t>Zhounan</w:t>
      </w:r>
      <w:proofErr w:type="spellEnd"/>
      <w:r w:rsidRPr="00DF0333">
        <w:rPr>
          <w:sz w:val="22"/>
          <w:szCs w:val="22"/>
          <w:lang w:val="en-GB"/>
        </w:rPr>
        <w:t xml:space="preserve">, 45, managed the overall operations and the construction </w:t>
      </w:r>
      <w:r w:rsidRPr="00DF0333">
        <w:rPr>
          <w:sz w:val="22"/>
          <w:szCs w:val="22"/>
          <w:lang w:val="en-GB"/>
        </w:rPr>
        <w:lastRenderedPageBreak/>
        <w:t xml:space="preserve">management business. Cao was a government official at the provincial finance bureau before joining Greentown in 2009. </w:t>
      </w:r>
    </w:p>
    <w:p w14:paraId="2DB75976" w14:textId="77777777" w:rsidR="00DF0333" w:rsidRPr="00DF0333" w:rsidRDefault="00DF0333" w:rsidP="00DF0333">
      <w:pPr>
        <w:jc w:val="both"/>
        <w:rPr>
          <w:sz w:val="22"/>
          <w:szCs w:val="22"/>
          <w:lang w:val="en-GB"/>
        </w:rPr>
      </w:pPr>
    </w:p>
    <w:p w14:paraId="6DEFC188" w14:textId="77777777" w:rsidR="00DF0333" w:rsidRPr="00DF0333" w:rsidRDefault="00DF0333" w:rsidP="00DF0333">
      <w:pPr>
        <w:jc w:val="both"/>
        <w:rPr>
          <w:sz w:val="22"/>
          <w:szCs w:val="22"/>
          <w:lang w:val="en-GB"/>
        </w:rPr>
      </w:pPr>
    </w:p>
    <w:p w14:paraId="21E06B0E" w14:textId="77777777" w:rsidR="00DF0333" w:rsidRPr="00DF0333" w:rsidRDefault="00DF0333" w:rsidP="00DF0333">
      <w:pPr>
        <w:jc w:val="both"/>
        <w:rPr>
          <w:rFonts w:ascii="Arial" w:hAnsi="Arial" w:cs="Arial"/>
          <w:b/>
          <w:caps/>
          <w:lang w:val="en-GB"/>
        </w:rPr>
      </w:pPr>
      <w:r w:rsidRPr="00DF0333">
        <w:rPr>
          <w:rFonts w:ascii="Arial" w:hAnsi="Arial" w:cs="Arial"/>
          <w:b/>
          <w:caps/>
          <w:lang w:val="en-GB"/>
        </w:rPr>
        <w:t>RELATIONSHIPS WITH STRATEGIC PARTNERS</w:t>
      </w:r>
    </w:p>
    <w:p w14:paraId="3977BA19" w14:textId="77777777" w:rsidR="00DF0333" w:rsidRPr="00DF0333" w:rsidRDefault="00DF0333" w:rsidP="00DF0333">
      <w:pPr>
        <w:jc w:val="both"/>
        <w:rPr>
          <w:sz w:val="22"/>
          <w:szCs w:val="22"/>
          <w:lang w:val="en-GB"/>
        </w:rPr>
      </w:pPr>
    </w:p>
    <w:p w14:paraId="412B2BE5" w14:textId="77777777" w:rsidR="00DF0333" w:rsidRPr="00DF0333" w:rsidRDefault="00DF0333" w:rsidP="00DF0333">
      <w:pPr>
        <w:jc w:val="both"/>
        <w:rPr>
          <w:sz w:val="22"/>
          <w:szCs w:val="22"/>
          <w:lang w:val="en-GB"/>
        </w:rPr>
      </w:pPr>
      <w:r w:rsidRPr="00DF0333">
        <w:rPr>
          <w:sz w:val="22"/>
          <w:szCs w:val="22"/>
          <w:lang w:val="en-GB"/>
        </w:rPr>
        <w:t>Controlled by the family of Hong Kong billionaire Peter Woo, Wharf was among Hong Kong’s biggest landlords. Investment property income contributed one-third of its revenue of HK$32 billion and almost three-quarters of its operating profit in 2013.</w:t>
      </w:r>
      <w:r w:rsidRPr="00DF0333">
        <w:rPr>
          <w:sz w:val="22"/>
          <w:szCs w:val="22"/>
          <w:vertAlign w:val="superscript"/>
          <w:lang w:val="en-GB"/>
        </w:rPr>
        <w:endnoteReference w:id="52"/>
      </w:r>
      <w:r w:rsidRPr="00DF0333">
        <w:rPr>
          <w:sz w:val="22"/>
          <w:szCs w:val="22"/>
          <w:lang w:val="en-GB"/>
        </w:rPr>
        <w:t xml:space="preserve"> The partnership with Greentown was a beneficial and opportunistic move that gave Wharf sought-after opportunities to enter the mainland China property market. Wharf now had a </w:t>
      </w:r>
      <w:bookmarkStart w:id="4" w:name="_Hlk1461024"/>
      <w:r w:rsidRPr="00DF0333">
        <w:rPr>
          <w:sz w:val="22"/>
          <w:szCs w:val="22"/>
          <w:lang w:val="en-GB"/>
        </w:rPr>
        <w:t xml:space="preserve">market-savvy </w:t>
      </w:r>
      <w:bookmarkEnd w:id="4"/>
      <w:r w:rsidRPr="00DF0333">
        <w:rPr>
          <w:sz w:val="22"/>
          <w:szCs w:val="22"/>
          <w:lang w:val="en-GB"/>
        </w:rPr>
        <w:t xml:space="preserve">local partner to work with on high-quality projects in China. Wharf’s managers had stated that they were not seeking to control or buy out Greentown but would rather adopt a hands-off approach, leaving the day-to-day operations in the hands of Song and </w:t>
      </w:r>
      <w:proofErr w:type="spellStart"/>
      <w:r w:rsidRPr="00DF0333">
        <w:rPr>
          <w:sz w:val="22"/>
          <w:szCs w:val="22"/>
          <w:lang w:val="en-GB"/>
        </w:rPr>
        <w:t>Shou</w:t>
      </w:r>
      <w:proofErr w:type="spellEnd"/>
      <w:r w:rsidRPr="00DF0333">
        <w:rPr>
          <w:sz w:val="22"/>
          <w:szCs w:val="22"/>
          <w:lang w:val="en-GB"/>
        </w:rPr>
        <w:t>.</w:t>
      </w:r>
      <w:r w:rsidRPr="00DF0333">
        <w:rPr>
          <w:sz w:val="22"/>
          <w:szCs w:val="22"/>
          <w:vertAlign w:val="superscript"/>
          <w:lang w:val="en-GB"/>
        </w:rPr>
        <w:endnoteReference w:id="53"/>
      </w:r>
      <w:r w:rsidRPr="00DF0333">
        <w:rPr>
          <w:sz w:val="22"/>
          <w:szCs w:val="22"/>
          <w:lang w:val="en-GB"/>
        </w:rPr>
        <w:t xml:space="preserve"> </w:t>
      </w:r>
    </w:p>
    <w:p w14:paraId="303FCFBA" w14:textId="77777777" w:rsidR="00DF0333" w:rsidRPr="00DF0333" w:rsidRDefault="00DF0333" w:rsidP="00DF0333">
      <w:pPr>
        <w:jc w:val="both"/>
        <w:rPr>
          <w:sz w:val="22"/>
          <w:szCs w:val="22"/>
          <w:lang w:val="en-GB"/>
        </w:rPr>
      </w:pPr>
    </w:p>
    <w:p w14:paraId="1B10DCC0" w14:textId="77777777" w:rsidR="00DF0333" w:rsidRPr="00DF0333" w:rsidRDefault="00DF0333" w:rsidP="00DF0333">
      <w:pPr>
        <w:jc w:val="both"/>
        <w:rPr>
          <w:sz w:val="22"/>
          <w:szCs w:val="22"/>
          <w:lang w:val="en-GB"/>
        </w:rPr>
      </w:pPr>
      <w:r w:rsidRPr="00DF0333">
        <w:rPr>
          <w:sz w:val="22"/>
          <w:szCs w:val="22"/>
          <w:lang w:val="en-GB"/>
        </w:rPr>
        <w:t>Despite its hands-off approach, Wharf would not support Song when he tried to use Greentown’s assets to develop some of his outside projects. While Wharf was focused on the current business model and its synergies with Wharf, in recent years, Song had become interested in construction management and agriculture, as well as building the best seniors’ housing and elderly care services company in China, where the population was aging.</w:t>
      </w:r>
      <w:r w:rsidRPr="00DF0333">
        <w:rPr>
          <w:sz w:val="22"/>
          <w:szCs w:val="22"/>
          <w:vertAlign w:val="superscript"/>
          <w:lang w:val="en-GB"/>
        </w:rPr>
        <w:endnoteReference w:id="54"/>
      </w:r>
      <w:r w:rsidRPr="00DF0333">
        <w:rPr>
          <w:sz w:val="22"/>
          <w:szCs w:val="22"/>
          <w:lang w:val="en-GB"/>
        </w:rPr>
        <w:t xml:space="preserve"> </w:t>
      </w:r>
    </w:p>
    <w:p w14:paraId="70F184D8" w14:textId="77777777" w:rsidR="00DF0333" w:rsidRPr="00DF0333" w:rsidRDefault="00DF0333" w:rsidP="00DF0333">
      <w:pPr>
        <w:jc w:val="both"/>
        <w:rPr>
          <w:sz w:val="22"/>
          <w:szCs w:val="22"/>
          <w:lang w:val="en-GB"/>
        </w:rPr>
      </w:pPr>
    </w:p>
    <w:p w14:paraId="7C823D2A" w14:textId="77777777" w:rsidR="00DF0333" w:rsidRPr="00DF0333" w:rsidRDefault="00DF0333" w:rsidP="00DF0333">
      <w:pPr>
        <w:jc w:val="both"/>
        <w:rPr>
          <w:sz w:val="22"/>
          <w:szCs w:val="22"/>
          <w:lang w:val="en-GB"/>
        </w:rPr>
      </w:pPr>
      <w:r w:rsidRPr="00DF0333">
        <w:rPr>
          <w:sz w:val="22"/>
          <w:szCs w:val="22"/>
          <w:lang w:val="en-GB"/>
        </w:rPr>
        <w:t>On the other hand, both Sun and Song had taken significant risks to get where they were today.</w:t>
      </w:r>
      <w:r w:rsidRPr="00DF0333">
        <w:rPr>
          <w:sz w:val="22"/>
          <w:szCs w:val="22"/>
          <w:vertAlign w:val="superscript"/>
          <w:lang w:val="en-GB"/>
        </w:rPr>
        <w:endnoteReference w:id="55"/>
      </w:r>
      <w:r w:rsidRPr="00DF0333">
        <w:rPr>
          <w:sz w:val="22"/>
          <w:szCs w:val="22"/>
          <w:lang w:val="en-GB"/>
        </w:rPr>
        <w:t xml:space="preserve"> Known as a legendary entrepreneur, Sun had graduated from China’s prestigious Tsinghua University. He was jailed in 1992 on charges of misappropriating funds while working at Chinese computer manufacturer Lenovo Group. The conviction was overturned in 2003, and after Sun was released, Lenovo founder Liu </w:t>
      </w:r>
      <w:proofErr w:type="spellStart"/>
      <w:r w:rsidRPr="00DF0333">
        <w:rPr>
          <w:sz w:val="22"/>
          <w:szCs w:val="22"/>
          <w:lang w:val="en-GB"/>
        </w:rPr>
        <w:t>Chuanzhi</w:t>
      </w:r>
      <w:proofErr w:type="spellEnd"/>
      <w:r w:rsidRPr="00DF0333">
        <w:rPr>
          <w:sz w:val="22"/>
          <w:szCs w:val="22"/>
          <w:lang w:val="en-GB"/>
        </w:rPr>
        <w:t xml:space="preserve"> lent him ¥500,000 to start a property business. However, due to overexpansion, Sun had to sell the company. He used the proceeds to create the company that later became </w:t>
      </w:r>
      <w:proofErr w:type="spellStart"/>
      <w:r w:rsidRPr="00DF0333">
        <w:rPr>
          <w:sz w:val="22"/>
          <w:szCs w:val="22"/>
          <w:lang w:val="en-GB"/>
        </w:rPr>
        <w:t>Sunac</w:t>
      </w:r>
      <w:proofErr w:type="spellEnd"/>
      <w:r w:rsidRPr="00DF0333">
        <w:rPr>
          <w:sz w:val="22"/>
          <w:szCs w:val="22"/>
          <w:lang w:val="en-GB"/>
        </w:rPr>
        <w:t>.</w:t>
      </w:r>
      <w:r w:rsidRPr="00DF0333">
        <w:rPr>
          <w:sz w:val="22"/>
          <w:szCs w:val="22"/>
          <w:vertAlign w:val="superscript"/>
          <w:lang w:val="en-GB"/>
        </w:rPr>
        <w:endnoteReference w:id="56"/>
      </w:r>
      <w:r w:rsidRPr="00DF0333">
        <w:rPr>
          <w:sz w:val="22"/>
          <w:szCs w:val="22"/>
          <w:lang w:val="en-GB"/>
        </w:rPr>
        <w:t xml:space="preserve"> </w:t>
      </w:r>
    </w:p>
    <w:p w14:paraId="2B716746" w14:textId="77777777" w:rsidR="00DF0333" w:rsidRPr="00DF0333" w:rsidRDefault="00DF0333" w:rsidP="00DF0333">
      <w:pPr>
        <w:jc w:val="both"/>
        <w:rPr>
          <w:sz w:val="22"/>
          <w:szCs w:val="22"/>
          <w:lang w:val="en-GB"/>
        </w:rPr>
      </w:pPr>
    </w:p>
    <w:p w14:paraId="3893BB60" w14:textId="77777777" w:rsidR="00DF0333" w:rsidRPr="00DF0333" w:rsidRDefault="00DF0333" w:rsidP="00DF0333">
      <w:pPr>
        <w:jc w:val="both"/>
        <w:rPr>
          <w:sz w:val="22"/>
          <w:szCs w:val="22"/>
          <w:lang w:val="en-GB"/>
        </w:rPr>
      </w:pPr>
      <w:r w:rsidRPr="00DF0333">
        <w:rPr>
          <w:sz w:val="22"/>
          <w:szCs w:val="22"/>
          <w:lang w:val="en-GB"/>
        </w:rPr>
        <w:t xml:space="preserve">Listed in Hong Kong in 2010, </w:t>
      </w:r>
      <w:proofErr w:type="spellStart"/>
      <w:r w:rsidRPr="00DF0333">
        <w:rPr>
          <w:sz w:val="22"/>
          <w:szCs w:val="22"/>
          <w:lang w:val="en-GB"/>
        </w:rPr>
        <w:t>Sunac</w:t>
      </w:r>
      <w:proofErr w:type="spellEnd"/>
      <w:r w:rsidRPr="00DF0333">
        <w:rPr>
          <w:sz w:val="22"/>
          <w:szCs w:val="22"/>
          <w:lang w:val="en-GB"/>
        </w:rPr>
        <w:t xml:space="preserve"> was an integrated residential and commercial property developer, with projects mainly in northern Chinese cities such as Tianjin and Beijing. It developed a wide range of properties, including high-rise and mid-rise residences, detached villas, townhouses, retail properties, offices, and car parks. At the end of 2013, it owned 59 projects and had a land bank of 21.1 million m</w:t>
      </w:r>
      <w:r w:rsidRPr="00DF0333">
        <w:rPr>
          <w:sz w:val="22"/>
          <w:szCs w:val="22"/>
          <w:vertAlign w:val="superscript"/>
          <w:lang w:val="en-GB"/>
        </w:rPr>
        <w:t>2</w:t>
      </w:r>
      <w:r w:rsidRPr="00DF0333">
        <w:rPr>
          <w:sz w:val="22"/>
          <w:szCs w:val="22"/>
          <w:lang w:val="en-GB"/>
        </w:rPr>
        <w:t xml:space="preserve">. </w:t>
      </w:r>
      <w:proofErr w:type="spellStart"/>
      <w:r w:rsidRPr="00DF0333">
        <w:rPr>
          <w:sz w:val="22"/>
          <w:szCs w:val="22"/>
          <w:lang w:val="en-GB"/>
        </w:rPr>
        <w:t>Sunac</w:t>
      </w:r>
      <w:proofErr w:type="spellEnd"/>
      <w:r w:rsidRPr="00DF0333">
        <w:rPr>
          <w:sz w:val="22"/>
          <w:szCs w:val="22"/>
          <w:lang w:val="en-GB"/>
        </w:rPr>
        <w:t xml:space="preserve"> was also positioned as a high-end developer, though its average selling price was significantly lower than Greentown’s, at ¥17,517 per m</w:t>
      </w:r>
      <w:r w:rsidRPr="00DF0333">
        <w:rPr>
          <w:sz w:val="22"/>
          <w:szCs w:val="22"/>
          <w:vertAlign w:val="superscript"/>
          <w:lang w:val="en-GB"/>
        </w:rPr>
        <w:t>2</w:t>
      </w:r>
      <w:r w:rsidRPr="00DF0333">
        <w:rPr>
          <w:sz w:val="22"/>
          <w:szCs w:val="22"/>
          <w:lang w:val="en-GB"/>
        </w:rPr>
        <w:t>.</w:t>
      </w:r>
      <w:r w:rsidRPr="00DF0333">
        <w:rPr>
          <w:sz w:val="22"/>
          <w:szCs w:val="22"/>
          <w:vertAlign w:val="superscript"/>
          <w:lang w:val="en-GB"/>
        </w:rPr>
        <w:endnoteReference w:id="57"/>
      </w:r>
    </w:p>
    <w:p w14:paraId="16882EA4" w14:textId="77777777" w:rsidR="00DF0333" w:rsidRPr="00DF0333" w:rsidRDefault="00DF0333" w:rsidP="00DF0333">
      <w:pPr>
        <w:jc w:val="both"/>
        <w:rPr>
          <w:sz w:val="22"/>
          <w:szCs w:val="22"/>
          <w:lang w:val="en-GB"/>
        </w:rPr>
      </w:pPr>
    </w:p>
    <w:p w14:paraId="0171F81D" w14:textId="77777777" w:rsidR="00DF0333" w:rsidRPr="00DF0333" w:rsidRDefault="00DF0333" w:rsidP="00DF0333">
      <w:pPr>
        <w:jc w:val="both"/>
        <w:rPr>
          <w:sz w:val="22"/>
          <w:szCs w:val="22"/>
          <w:lang w:val="en-GB"/>
        </w:rPr>
      </w:pPr>
      <w:proofErr w:type="spellStart"/>
      <w:r w:rsidRPr="00DF0333">
        <w:rPr>
          <w:sz w:val="22"/>
          <w:szCs w:val="22"/>
          <w:lang w:val="en-GB"/>
        </w:rPr>
        <w:t>Sunac</w:t>
      </w:r>
      <w:proofErr w:type="spellEnd"/>
      <w:r w:rsidRPr="00DF0333">
        <w:rPr>
          <w:sz w:val="22"/>
          <w:szCs w:val="22"/>
          <w:lang w:val="en-GB"/>
        </w:rPr>
        <w:t xml:space="preserve"> was proud of its strong execution, sales force, and cost management. At </w:t>
      </w:r>
      <w:proofErr w:type="spellStart"/>
      <w:r w:rsidRPr="00DF0333">
        <w:rPr>
          <w:sz w:val="22"/>
          <w:szCs w:val="22"/>
          <w:lang w:val="en-GB"/>
        </w:rPr>
        <w:t>Sunac</w:t>
      </w:r>
      <w:proofErr w:type="spellEnd"/>
      <w:r w:rsidRPr="00DF0333">
        <w:rPr>
          <w:sz w:val="22"/>
          <w:szCs w:val="22"/>
          <w:lang w:val="en-GB"/>
        </w:rPr>
        <w:t xml:space="preserve">, everything was results oriented and sales driven. Unlike Song, who was determined to wow the market with projects of the highest standards, Sun believed the most important thing was to provide customers with what they wanted. Each </w:t>
      </w:r>
      <w:proofErr w:type="spellStart"/>
      <w:r w:rsidRPr="00DF0333">
        <w:rPr>
          <w:sz w:val="22"/>
          <w:szCs w:val="22"/>
          <w:lang w:val="en-GB"/>
        </w:rPr>
        <w:t>Sunac</w:t>
      </w:r>
      <w:proofErr w:type="spellEnd"/>
      <w:r w:rsidRPr="00DF0333">
        <w:rPr>
          <w:sz w:val="22"/>
          <w:szCs w:val="22"/>
          <w:lang w:val="en-GB"/>
        </w:rPr>
        <w:t xml:space="preserve"> project was designed after careful market research. The development and sales teams followed a “5-9-12” timeline, meaning development had to commence within five months of the land acquisition, sales had to start within nine months, and the shareholders’ loan on the project had to be returned within 12 months. This strong sales turnover supported </w:t>
      </w:r>
      <w:proofErr w:type="spellStart"/>
      <w:r w:rsidRPr="00DF0333">
        <w:rPr>
          <w:sz w:val="22"/>
          <w:szCs w:val="22"/>
          <w:lang w:val="en-GB"/>
        </w:rPr>
        <w:t>Sunac’s</w:t>
      </w:r>
      <w:proofErr w:type="spellEnd"/>
      <w:r w:rsidRPr="00DF0333">
        <w:rPr>
          <w:sz w:val="22"/>
          <w:szCs w:val="22"/>
          <w:lang w:val="en-GB"/>
        </w:rPr>
        <w:t xml:space="preserve"> growth with a solid cash flow and led to strong financial results.</w:t>
      </w:r>
      <w:r w:rsidRPr="00DF0333" w:rsidDel="000D7770">
        <w:rPr>
          <w:sz w:val="22"/>
          <w:szCs w:val="22"/>
          <w:vertAlign w:val="superscript"/>
          <w:lang w:val="en-GB"/>
        </w:rPr>
        <w:t xml:space="preserve"> </w:t>
      </w:r>
      <w:r w:rsidRPr="00DF0333">
        <w:rPr>
          <w:sz w:val="22"/>
          <w:szCs w:val="22"/>
          <w:vertAlign w:val="superscript"/>
          <w:lang w:val="en-GB"/>
        </w:rPr>
        <w:endnoteReference w:id="58"/>
      </w:r>
    </w:p>
    <w:p w14:paraId="0C481C4C" w14:textId="77777777" w:rsidR="00DF0333" w:rsidRPr="00DF0333" w:rsidRDefault="00DF0333" w:rsidP="00DF0333">
      <w:pPr>
        <w:jc w:val="both"/>
        <w:rPr>
          <w:sz w:val="22"/>
          <w:szCs w:val="22"/>
          <w:lang w:val="en-GB"/>
        </w:rPr>
      </w:pPr>
    </w:p>
    <w:p w14:paraId="45724615" w14:textId="77777777" w:rsidR="00DF0333" w:rsidRPr="006136D1" w:rsidRDefault="00DF0333" w:rsidP="00DF0333">
      <w:pPr>
        <w:jc w:val="both"/>
        <w:rPr>
          <w:spacing w:val="-2"/>
          <w:sz w:val="22"/>
          <w:szCs w:val="22"/>
          <w:lang w:val="en-GB"/>
        </w:rPr>
      </w:pPr>
      <w:r w:rsidRPr="006136D1">
        <w:rPr>
          <w:spacing w:val="-2"/>
          <w:sz w:val="22"/>
          <w:szCs w:val="22"/>
          <w:lang w:val="en-GB"/>
        </w:rPr>
        <w:t xml:space="preserve">The strategic partnership with Greentown opened a fast track for </w:t>
      </w:r>
      <w:proofErr w:type="spellStart"/>
      <w:r w:rsidRPr="006136D1">
        <w:rPr>
          <w:spacing w:val="-2"/>
          <w:sz w:val="22"/>
          <w:szCs w:val="22"/>
          <w:lang w:val="en-GB"/>
        </w:rPr>
        <w:t>Sunac’s</w:t>
      </w:r>
      <w:proofErr w:type="spellEnd"/>
      <w:r w:rsidRPr="006136D1">
        <w:rPr>
          <w:spacing w:val="-2"/>
          <w:sz w:val="22"/>
          <w:szCs w:val="22"/>
          <w:lang w:val="en-GB"/>
        </w:rPr>
        <w:t xml:space="preserve"> entry into Yangtze River Delta cities such as Shanghai and Hangzhou. The JV did not let either of the parties down. In 2013, sales from the JV alone reached ¥150 billion in Shanghai—the largest among property brands in the city.</w:t>
      </w:r>
      <w:r w:rsidRPr="006136D1">
        <w:rPr>
          <w:spacing w:val="-2"/>
          <w:sz w:val="22"/>
          <w:szCs w:val="22"/>
          <w:vertAlign w:val="superscript"/>
          <w:lang w:val="en-GB"/>
        </w:rPr>
        <w:endnoteReference w:id="59"/>
      </w:r>
      <w:r w:rsidRPr="006136D1">
        <w:rPr>
          <w:spacing w:val="-2"/>
          <w:sz w:val="22"/>
          <w:szCs w:val="22"/>
          <w:lang w:val="en-GB"/>
        </w:rPr>
        <w:t xml:space="preserve"> The JV also allowed </w:t>
      </w:r>
      <w:proofErr w:type="spellStart"/>
      <w:r w:rsidRPr="006136D1">
        <w:rPr>
          <w:spacing w:val="-2"/>
          <w:sz w:val="22"/>
          <w:szCs w:val="22"/>
          <w:lang w:val="en-GB"/>
        </w:rPr>
        <w:t>Sunac’s</w:t>
      </w:r>
      <w:proofErr w:type="spellEnd"/>
      <w:r w:rsidRPr="006136D1">
        <w:rPr>
          <w:spacing w:val="-2"/>
          <w:sz w:val="22"/>
          <w:szCs w:val="22"/>
          <w:lang w:val="en-GB"/>
        </w:rPr>
        <w:t xml:space="preserve"> much tighter financial controls to improve efficiency at Greentown, although this was not always viewed positively by Greentown’s senior management. Nevertheless, it was expected that (a) the improved financial controls would allow Greentown to decrease its working capital from 100 per cent of </w:t>
      </w:r>
      <w:r w:rsidRPr="006136D1">
        <w:rPr>
          <w:spacing w:val="-2"/>
          <w:sz w:val="22"/>
          <w:szCs w:val="22"/>
          <w:lang w:val="en-GB"/>
        </w:rPr>
        <w:lastRenderedPageBreak/>
        <w:t>sales in 2014 to 90 per cent by 2018, (b) the level of depreciation would stabilize to the average of the past three years, and (c) the level of capital expenditure would decline to 1 per cent within five years.</w:t>
      </w:r>
      <w:r w:rsidRPr="006136D1">
        <w:rPr>
          <w:spacing w:val="-2"/>
          <w:sz w:val="22"/>
          <w:szCs w:val="22"/>
          <w:vertAlign w:val="superscript"/>
          <w:lang w:val="en-GB"/>
        </w:rPr>
        <w:endnoteReference w:id="60"/>
      </w:r>
    </w:p>
    <w:p w14:paraId="4BF77AFE" w14:textId="77777777" w:rsidR="00DF0333" w:rsidRPr="00DE08B9" w:rsidRDefault="00DF0333" w:rsidP="00DF0333">
      <w:pPr>
        <w:jc w:val="both"/>
        <w:rPr>
          <w:sz w:val="18"/>
          <w:szCs w:val="18"/>
          <w:lang w:val="en-GB"/>
        </w:rPr>
      </w:pPr>
    </w:p>
    <w:p w14:paraId="70363EF5" w14:textId="77777777" w:rsidR="00DF0333" w:rsidRPr="00DE08B9" w:rsidRDefault="00DF0333" w:rsidP="00DF0333">
      <w:pPr>
        <w:jc w:val="both"/>
        <w:rPr>
          <w:sz w:val="18"/>
          <w:szCs w:val="18"/>
          <w:lang w:val="en-GB"/>
        </w:rPr>
      </w:pPr>
    </w:p>
    <w:p w14:paraId="6C1A314A" w14:textId="77777777" w:rsidR="00DF0333" w:rsidRPr="00DF0333" w:rsidRDefault="00DF0333" w:rsidP="00DF0333">
      <w:pPr>
        <w:jc w:val="both"/>
        <w:rPr>
          <w:rFonts w:ascii="Arial" w:hAnsi="Arial" w:cs="Arial"/>
          <w:b/>
          <w:caps/>
          <w:lang w:val="en-GB"/>
        </w:rPr>
      </w:pPr>
      <w:r w:rsidRPr="00DF0333">
        <w:rPr>
          <w:rFonts w:ascii="Arial" w:hAnsi="Arial" w:cs="Arial"/>
          <w:b/>
          <w:caps/>
          <w:lang w:val="en-GB"/>
        </w:rPr>
        <w:t>Mergers and acquisitions ACTIVITIES IN the CHINese PROPERTY MARKET</w:t>
      </w:r>
    </w:p>
    <w:p w14:paraId="43E1E07D" w14:textId="77777777" w:rsidR="00DF0333" w:rsidRPr="00DE08B9" w:rsidRDefault="00DF0333" w:rsidP="00DF0333">
      <w:pPr>
        <w:jc w:val="both"/>
        <w:rPr>
          <w:sz w:val="18"/>
          <w:szCs w:val="18"/>
          <w:lang w:val="en-GB"/>
        </w:rPr>
      </w:pPr>
    </w:p>
    <w:p w14:paraId="4B6DF7F2" w14:textId="77777777" w:rsidR="00DF0333" w:rsidRPr="00DF0333" w:rsidRDefault="00DF0333" w:rsidP="00DF0333">
      <w:pPr>
        <w:jc w:val="both"/>
        <w:rPr>
          <w:sz w:val="22"/>
          <w:szCs w:val="22"/>
          <w:lang w:val="en-GB"/>
        </w:rPr>
      </w:pPr>
      <w:r w:rsidRPr="00DF0333">
        <w:rPr>
          <w:sz w:val="22"/>
          <w:szCs w:val="22"/>
          <w:lang w:val="en-GB"/>
        </w:rPr>
        <w:t xml:space="preserve">Mergers and acquisitions were an important tool for expanding real estate companies. In China, such deals involved small and medium-sized developers being acquired by larger players. Two high profile deals took place in 2006. In August of that year, China Vanke Company Ltd. (Vanke) acquired 60 per cent of Zhejiang-based, privately held </w:t>
      </w:r>
      <w:proofErr w:type="spellStart"/>
      <w:r w:rsidRPr="00DF0333">
        <w:rPr>
          <w:sz w:val="22"/>
          <w:szCs w:val="22"/>
          <w:lang w:val="en-GB"/>
        </w:rPr>
        <w:t>Nandu</w:t>
      </w:r>
      <w:proofErr w:type="spellEnd"/>
      <w:r w:rsidRPr="00DF0333">
        <w:rPr>
          <w:sz w:val="22"/>
          <w:szCs w:val="22"/>
          <w:lang w:val="en-GB"/>
        </w:rPr>
        <w:t xml:space="preserve"> Property Group Co. Ltd. (</w:t>
      </w:r>
      <w:proofErr w:type="spellStart"/>
      <w:r w:rsidRPr="00DF0333">
        <w:rPr>
          <w:sz w:val="22"/>
          <w:szCs w:val="22"/>
          <w:lang w:val="en-GB"/>
        </w:rPr>
        <w:t>Nandu</w:t>
      </w:r>
      <w:proofErr w:type="spellEnd"/>
      <w:r w:rsidRPr="00DF0333">
        <w:rPr>
          <w:sz w:val="22"/>
          <w:szCs w:val="22"/>
          <w:lang w:val="en-GB"/>
        </w:rPr>
        <w:t>) for ¥1.85 billion, fulfilling its ambition to enter the local market.</w:t>
      </w:r>
      <w:r w:rsidRPr="00DF0333">
        <w:rPr>
          <w:sz w:val="22"/>
          <w:szCs w:val="22"/>
          <w:vertAlign w:val="superscript"/>
          <w:lang w:val="en-GB"/>
        </w:rPr>
        <w:endnoteReference w:id="61"/>
      </w:r>
      <w:r w:rsidRPr="00DF0333">
        <w:rPr>
          <w:sz w:val="22"/>
          <w:szCs w:val="22"/>
          <w:lang w:val="en-GB"/>
        </w:rPr>
        <w:t xml:space="preserve"> The 12 </w:t>
      </w:r>
      <w:proofErr w:type="spellStart"/>
      <w:r w:rsidRPr="00DF0333">
        <w:rPr>
          <w:sz w:val="22"/>
          <w:szCs w:val="22"/>
          <w:lang w:val="en-GB"/>
        </w:rPr>
        <w:t>Nandu</w:t>
      </w:r>
      <w:proofErr w:type="spellEnd"/>
      <w:r w:rsidRPr="00DF0333">
        <w:rPr>
          <w:sz w:val="22"/>
          <w:szCs w:val="22"/>
          <w:lang w:val="en-GB"/>
        </w:rPr>
        <w:t xml:space="preserve"> projects associated with this deal were valued at ¥12.5 billion.</w:t>
      </w:r>
      <w:r w:rsidRPr="00DF0333">
        <w:rPr>
          <w:sz w:val="22"/>
          <w:szCs w:val="22"/>
          <w:vertAlign w:val="superscript"/>
          <w:lang w:val="en-GB"/>
        </w:rPr>
        <w:endnoteReference w:id="62"/>
      </w:r>
      <w:r w:rsidRPr="00DF0333">
        <w:rPr>
          <w:sz w:val="22"/>
          <w:szCs w:val="22"/>
          <w:lang w:val="en-GB"/>
        </w:rPr>
        <w:t xml:space="preserve"> The other deal was the sale of Sun’s private business, </w:t>
      </w:r>
      <w:proofErr w:type="spellStart"/>
      <w:r w:rsidRPr="00DF0333">
        <w:rPr>
          <w:sz w:val="22"/>
          <w:szCs w:val="22"/>
          <w:lang w:val="en-GB"/>
        </w:rPr>
        <w:t>Sunco</w:t>
      </w:r>
      <w:proofErr w:type="spellEnd"/>
      <w:r w:rsidRPr="00DF0333">
        <w:rPr>
          <w:sz w:val="22"/>
          <w:szCs w:val="22"/>
          <w:lang w:val="en-GB"/>
        </w:rPr>
        <w:t>, to Road King Infrastructure Limited (Road King); Road King paid ¥1.28 billion for a 55.0 per cent stake in September 2006 and a further ¥1.3 billion for another 39.7 per cent four months later.</w:t>
      </w:r>
      <w:r w:rsidRPr="00DF0333">
        <w:rPr>
          <w:sz w:val="22"/>
          <w:szCs w:val="22"/>
          <w:vertAlign w:val="superscript"/>
          <w:lang w:val="en-GB"/>
        </w:rPr>
        <w:endnoteReference w:id="63"/>
      </w:r>
      <w:r w:rsidRPr="00DF0333">
        <w:rPr>
          <w:sz w:val="22"/>
          <w:szCs w:val="22"/>
          <w:lang w:val="en-GB"/>
        </w:rPr>
        <w:t xml:space="preserve">  </w:t>
      </w:r>
    </w:p>
    <w:p w14:paraId="54CDE544" w14:textId="77777777" w:rsidR="00DF0333" w:rsidRPr="00DE08B9" w:rsidRDefault="00DF0333" w:rsidP="00DF0333">
      <w:pPr>
        <w:jc w:val="both"/>
        <w:rPr>
          <w:sz w:val="18"/>
          <w:szCs w:val="18"/>
          <w:lang w:val="en-GB"/>
        </w:rPr>
      </w:pPr>
    </w:p>
    <w:p w14:paraId="79E1402F" w14:textId="6A07CF4A" w:rsidR="00DF0333" w:rsidRPr="006136D1" w:rsidRDefault="00DF0333" w:rsidP="00DF0333">
      <w:pPr>
        <w:jc w:val="both"/>
        <w:rPr>
          <w:spacing w:val="-2"/>
          <w:sz w:val="22"/>
          <w:szCs w:val="22"/>
          <w:lang w:val="en-GB"/>
        </w:rPr>
      </w:pPr>
      <w:r w:rsidRPr="006136D1">
        <w:rPr>
          <w:spacing w:val="-2"/>
          <w:sz w:val="22"/>
          <w:szCs w:val="22"/>
          <w:lang w:val="en-GB"/>
        </w:rPr>
        <w:t xml:space="preserve">Since late 2013, insurance companies had been acquiring large positions in real estate companies through the secondary market. During the market downturn, real estate companies with solid property assets became attractive targets for institutional investors, especially insurers. For example, in April 2014, privately held life insurer Sino Life Insurance Company Limited emerged as the largest shareholder of Shanghai-listed </w:t>
      </w:r>
      <w:proofErr w:type="spellStart"/>
      <w:r w:rsidRPr="006136D1">
        <w:rPr>
          <w:spacing w:val="-2"/>
          <w:sz w:val="22"/>
          <w:szCs w:val="22"/>
          <w:lang w:val="en-GB"/>
        </w:rPr>
        <w:t>Gemdale</w:t>
      </w:r>
      <w:proofErr w:type="spellEnd"/>
      <w:r w:rsidRPr="006136D1">
        <w:rPr>
          <w:spacing w:val="-2"/>
          <w:sz w:val="22"/>
          <w:szCs w:val="22"/>
          <w:lang w:val="en-GB"/>
        </w:rPr>
        <w:t xml:space="preserve"> Corporation, having accumulated a 24.82 per cent stake from the market over the previous year.</w:t>
      </w:r>
      <w:r w:rsidRPr="006136D1">
        <w:rPr>
          <w:spacing w:val="-2"/>
          <w:sz w:val="22"/>
          <w:szCs w:val="22"/>
          <w:vertAlign w:val="superscript"/>
          <w:lang w:val="en-GB"/>
        </w:rPr>
        <w:endnoteReference w:id="64"/>
      </w:r>
      <w:r w:rsidRPr="006136D1">
        <w:rPr>
          <w:spacing w:val="-2"/>
          <w:sz w:val="22"/>
          <w:szCs w:val="22"/>
          <w:lang w:val="en-GB"/>
        </w:rPr>
        <w:t xml:space="preserve"> In the same month, </w:t>
      </w:r>
      <w:proofErr w:type="spellStart"/>
      <w:r w:rsidRPr="006136D1">
        <w:rPr>
          <w:spacing w:val="-2"/>
          <w:sz w:val="22"/>
          <w:szCs w:val="22"/>
          <w:lang w:val="en-GB"/>
        </w:rPr>
        <w:t>Anbang</w:t>
      </w:r>
      <w:proofErr w:type="spellEnd"/>
      <w:r w:rsidRPr="006136D1">
        <w:rPr>
          <w:spacing w:val="-2"/>
          <w:sz w:val="22"/>
          <w:szCs w:val="22"/>
          <w:lang w:val="en-GB"/>
        </w:rPr>
        <w:t xml:space="preserve"> Insurance Group Co. Ltd. also acquired 5 per cent of Vanke.</w:t>
      </w:r>
      <w:r w:rsidRPr="006136D1">
        <w:rPr>
          <w:spacing w:val="-2"/>
          <w:sz w:val="22"/>
          <w:szCs w:val="22"/>
          <w:vertAlign w:val="superscript"/>
          <w:lang w:val="en-GB"/>
        </w:rPr>
        <w:endnoteReference w:id="65"/>
      </w:r>
      <w:r w:rsidRPr="006136D1">
        <w:rPr>
          <w:spacing w:val="-2"/>
          <w:sz w:val="22"/>
          <w:szCs w:val="22"/>
          <w:lang w:val="en-GB"/>
        </w:rPr>
        <w:t xml:space="preserve"> There was a very active market for the acquisition of shares in real estate firms through both negotiated block sales and gradual acquisitions through the market. These deals influenced the stock price of Greentown (see Exhibit </w:t>
      </w:r>
      <w:r w:rsidR="00B5266D" w:rsidRPr="006136D1">
        <w:rPr>
          <w:spacing w:val="-2"/>
          <w:sz w:val="22"/>
          <w:szCs w:val="22"/>
          <w:lang w:val="en-GB"/>
        </w:rPr>
        <w:t>4</w:t>
      </w:r>
      <w:r w:rsidRPr="006136D1">
        <w:rPr>
          <w:spacing w:val="-2"/>
          <w:sz w:val="22"/>
          <w:szCs w:val="22"/>
          <w:lang w:val="en-GB"/>
        </w:rPr>
        <w:t>) and affected the valuations of firms in the real estate industry (see Exhibit 5).</w:t>
      </w:r>
    </w:p>
    <w:p w14:paraId="51684D26" w14:textId="77777777" w:rsidR="00DF0333" w:rsidRPr="00DE08B9" w:rsidRDefault="00DF0333" w:rsidP="00DF0333">
      <w:pPr>
        <w:jc w:val="both"/>
        <w:rPr>
          <w:sz w:val="18"/>
          <w:szCs w:val="18"/>
          <w:lang w:val="en-GB"/>
        </w:rPr>
      </w:pPr>
    </w:p>
    <w:p w14:paraId="2964913C" w14:textId="77777777" w:rsidR="00DF0333" w:rsidRPr="00DE08B9" w:rsidRDefault="00DF0333" w:rsidP="00DF0333">
      <w:pPr>
        <w:jc w:val="both"/>
        <w:rPr>
          <w:sz w:val="18"/>
          <w:szCs w:val="18"/>
          <w:lang w:val="en-GB"/>
        </w:rPr>
      </w:pPr>
    </w:p>
    <w:p w14:paraId="122469E4" w14:textId="77777777" w:rsidR="00DF0333" w:rsidRPr="00DF0333" w:rsidRDefault="00DF0333" w:rsidP="00DF0333">
      <w:pPr>
        <w:jc w:val="both"/>
        <w:rPr>
          <w:rFonts w:ascii="Arial" w:hAnsi="Arial" w:cs="Arial"/>
          <w:b/>
          <w:caps/>
          <w:lang w:val="en-GB"/>
        </w:rPr>
      </w:pPr>
      <w:r w:rsidRPr="00DF0333">
        <w:rPr>
          <w:rFonts w:ascii="Arial" w:hAnsi="Arial" w:cs="Arial"/>
          <w:b/>
          <w:caps/>
          <w:lang w:val="en-GB"/>
        </w:rPr>
        <w:t>DECISION</w:t>
      </w:r>
    </w:p>
    <w:p w14:paraId="19FF010F" w14:textId="77777777" w:rsidR="00DF0333" w:rsidRPr="00DE08B9" w:rsidRDefault="00DF0333" w:rsidP="00DF0333">
      <w:pPr>
        <w:jc w:val="both"/>
        <w:rPr>
          <w:sz w:val="18"/>
          <w:szCs w:val="18"/>
          <w:lang w:val="en-GB"/>
        </w:rPr>
      </w:pPr>
    </w:p>
    <w:p w14:paraId="66D85CE3" w14:textId="77777777" w:rsidR="00DF0333" w:rsidRPr="00DF0333" w:rsidRDefault="00DF0333" w:rsidP="00DF0333">
      <w:pPr>
        <w:jc w:val="both"/>
        <w:rPr>
          <w:sz w:val="22"/>
          <w:szCs w:val="22"/>
          <w:lang w:val="en-GB"/>
        </w:rPr>
      </w:pPr>
      <w:r w:rsidRPr="00DF0333">
        <w:rPr>
          <w:sz w:val="22"/>
          <w:szCs w:val="22"/>
          <w:lang w:val="en-GB"/>
        </w:rPr>
        <w:t xml:space="preserve">Facing challenges from the macro economy, Song had to decide what to do in response to the current state of the Chinese real estate market. While his real estate empire was currently worth almost HK$17 billion, there were challenges ahead. As a result, Song had several questions to consider: Should he maintain control over the company? Should he remain as the controlling shareholder but relinquish his management position? Should he sell some or all of his position? If he decided to sell, he would have to consider the role played by different potential buyers or partners, such as Greentown’s current significant shareholder, Wharf, and its JV partner, </w:t>
      </w:r>
      <w:proofErr w:type="spellStart"/>
      <w:r w:rsidRPr="00DF0333">
        <w:rPr>
          <w:sz w:val="22"/>
          <w:szCs w:val="22"/>
          <w:lang w:val="en-GB"/>
        </w:rPr>
        <w:t>Sunco</w:t>
      </w:r>
      <w:proofErr w:type="spellEnd"/>
      <w:r w:rsidRPr="00DF0333">
        <w:rPr>
          <w:sz w:val="22"/>
          <w:szCs w:val="22"/>
          <w:lang w:val="en-GB"/>
        </w:rPr>
        <w:t>. He could also sell his shares on the open market. Were there other potential partners who could better achieve Song’s goals for the firm?</w:t>
      </w:r>
    </w:p>
    <w:p w14:paraId="15705266" w14:textId="77777777" w:rsidR="00DF0333" w:rsidRPr="00DE08B9" w:rsidRDefault="00DF0333" w:rsidP="00DF0333">
      <w:pPr>
        <w:jc w:val="both"/>
        <w:rPr>
          <w:sz w:val="18"/>
          <w:szCs w:val="18"/>
          <w:lang w:val="en-GB"/>
        </w:rPr>
      </w:pPr>
    </w:p>
    <w:p w14:paraId="1115D60B" w14:textId="5D180408" w:rsidR="00DF0333" w:rsidRPr="00DF0333" w:rsidRDefault="00DF0333" w:rsidP="00DF0333">
      <w:pPr>
        <w:jc w:val="both"/>
        <w:rPr>
          <w:sz w:val="22"/>
          <w:szCs w:val="22"/>
          <w:lang w:val="en-GB"/>
        </w:rPr>
      </w:pPr>
      <w:r w:rsidRPr="00DF0333">
        <w:rPr>
          <w:sz w:val="22"/>
          <w:szCs w:val="22"/>
          <w:lang w:val="en-GB"/>
        </w:rPr>
        <w:t xml:space="preserve">To determine the best alternative involving a </w:t>
      </w:r>
      <w:proofErr w:type="gramStart"/>
      <w:r w:rsidRPr="00DF0333">
        <w:rPr>
          <w:sz w:val="22"/>
          <w:szCs w:val="22"/>
          <w:lang w:val="en-GB"/>
        </w:rPr>
        <w:t>potential sales of shares</w:t>
      </w:r>
      <w:proofErr w:type="gramEnd"/>
      <w:r w:rsidRPr="00DF0333">
        <w:rPr>
          <w:sz w:val="22"/>
          <w:szCs w:val="22"/>
          <w:lang w:val="en-GB"/>
        </w:rPr>
        <w:t xml:space="preserve">, it was important to evaluate the trade-offs regarding the price he could get for his shares based on the buyer and the level of control given to the buyer. Evaluating the different alternatives required the performance of several valuations to determine the fair market price for Greentown under different scenarios. The most common valuation ratio for real estate firms was market value to net asset value (the usual discount in the industry was a market value of 30 per cent less than the net asset value). These valuations could be performed using comparative values of other Chinese real estate companies (see Exhibit 5) and market forecasts using different multiples. </w:t>
      </w:r>
    </w:p>
    <w:p w14:paraId="4286976D" w14:textId="7D5F9C77" w:rsidR="00DE08B9" w:rsidRPr="00DE08B9" w:rsidRDefault="00DE08B9" w:rsidP="00DF0333">
      <w:pPr>
        <w:spacing w:after="200" w:line="276" w:lineRule="auto"/>
        <w:rPr>
          <w:sz w:val="18"/>
          <w:szCs w:val="18"/>
          <w:lang w:val="en-GB"/>
        </w:rPr>
      </w:pPr>
      <w:r w:rsidRPr="00DE08B9">
        <w:rPr>
          <w:noProof/>
          <w:sz w:val="18"/>
          <w:szCs w:val="18"/>
          <w:lang w:val="en-GB"/>
        </w:rPr>
        <mc:AlternateContent>
          <mc:Choice Requires="wps">
            <w:drawing>
              <wp:anchor distT="45720" distB="45720" distL="114300" distR="114300" simplePos="0" relativeHeight="251658752" behindDoc="0" locked="0" layoutInCell="1" allowOverlap="1" wp14:anchorId="3C7BFB57" wp14:editId="771A8A38">
                <wp:simplePos x="0" y="0"/>
                <wp:positionH relativeFrom="column">
                  <wp:posOffset>349250</wp:posOffset>
                </wp:positionH>
                <wp:positionV relativeFrom="paragraph">
                  <wp:posOffset>128905</wp:posOffset>
                </wp:positionV>
                <wp:extent cx="5219700" cy="140462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1A4EA3E4" w14:textId="2367568B" w:rsidR="00DE08B9" w:rsidRPr="00DE08B9" w:rsidRDefault="00DE08B9">
                            <w:pPr>
                              <w:rPr>
                                <w:rFonts w:ascii="Arial" w:hAnsi="Arial" w:cs="Arial"/>
                                <w:sz w:val="18"/>
                                <w:szCs w:val="18"/>
                              </w:rPr>
                            </w:pPr>
                            <w:r w:rsidRPr="00DE08B9">
                              <w:rPr>
                                <w:rFonts w:ascii="Arial" w:hAnsi="Arial" w:cs="Arial"/>
                                <w:sz w:val="18"/>
                                <w:szCs w:val="18"/>
                              </w:rPr>
                              <w:t>The Ivey Business School gratefully acknowle</w:t>
                            </w:r>
                            <w:r>
                              <w:rPr>
                                <w:rFonts w:ascii="Arial" w:hAnsi="Arial" w:cs="Arial"/>
                                <w:sz w:val="18"/>
                                <w:szCs w:val="18"/>
                              </w:rPr>
                              <w:t>d</w:t>
                            </w:r>
                            <w:r w:rsidRPr="00DE08B9">
                              <w:rPr>
                                <w:rFonts w:ascii="Arial" w:hAnsi="Arial" w:cs="Arial"/>
                                <w:sz w:val="18"/>
                                <w:szCs w:val="18"/>
                              </w:rPr>
                              <w:t>ges the generous support of Dr. Henry Cheng and Dr. Simon Cua through the Ivey Case Center (Asia)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7BFB57" id="_x0000_t202" coordsize="21600,21600" o:spt="202" path="m,l,21600r21600,l21600,xe">
                <v:stroke joinstyle="miter"/>
                <v:path gradientshapeok="t" o:connecttype="rect"/>
              </v:shapetype>
              <v:shape id="Text Box 2" o:spid="_x0000_s1026" type="#_x0000_t202" style="position:absolute;margin-left:27.5pt;margin-top:10.15pt;width:411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TaJA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">
                <v:textbox style="mso-fit-shape-to-text:t">
                  <w:txbxContent>
                    <w:p w14:paraId="1A4EA3E4" w14:textId="2367568B" w:rsidR="00DE08B9" w:rsidRPr="00DE08B9" w:rsidRDefault="00DE08B9">
                      <w:pPr>
                        <w:rPr>
                          <w:rFonts w:ascii="Arial" w:hAnsi="Arial" w:cs="Arial"/>
                          <w:sz w:val="18"/>
                          <w:szCs w:val="18"/>
                        </w:rPr>
                      </w:pPr>
                      <w:r w:rsidRPr="00DE08B9">
                        <w:rPr>
                          <w:rFonts w:ascii="Arial" w:hAnsi="Arial" w:cs="Arial"/>
                          <w:sz w:val="18"/>
                          <w:szCs w:val="18"/>
                        </w:rPr>
                        <w:t>The Ivey Business School gratefully acknowle</w:t>
                      </w:r>
                      <w:r>
                        <w:rPr>
                          <w:rFonts w:ascii="Arial" w:hAnsi="Arial" w:cs="Arial"/>
                          <w:sz w:val="18"/>
                          <w:szCs w:val="18"/>
                        </w:rPr>
                        <w:t>d</w:t>
                      </w:r>
                      <w:r w:rsidRPr="00DE08B9">
                        <w:rPr>
                          <w:rFonts w:ascii="Arial" w:hAnsi="Arial" w:cs="Arial"/>
                          <w:sz w:val="18"/>
                          <w:szCs w:val="18"/>
                        </w:rPr>
                        <w:t>ges the generous support of Dr. Henry Cheng and Dr. Simon Cua through the Ivey Case Center (Asia) in the development of this case.</w:t>
                      </w:r>
                    </w:p>
                  </w:txbxContent>
                </v:textbox>
                <w10:wrap type="square"/>
              </v:shape>
            </w:pict>
          </mc:Fallback>
        </mc:AlternateContent>
      </w:r>
    </w:p>
    <w:p w14:paraId="0DC12650" w14:textId="3105B1E6" w:rsidR="00DF0333" w:rsidRPr="00DF0333" w:rsidRDefault="00DF0333" w:rsidP="00DF0333">
      <w:pPr>
        <w:spacing w:after="200" w:line="276" w:lineRule="auto"/>
        <w:rPr>
          <w:sz w:val="22"/>
          <w:szCs w:val="22"/>
          <w:lang w:val="en-GB"/>
        </w:rPr>
      </w:pPr>
      <w:r w:rsidRPr="00DF0333">
        <w:rPr>
          <w:lang w:val="en-GB"/>
        </w:rPr>
        <w:br w:type="page"/>
      </w:r>
    </w:p>
    <w:p w14:paraId="45E77506" w14:textId="77777777" w:rsidR="00DF0333" w:rsidRPr="00DF0333" w:rsidRDefault="00DF0333" w:rsidP="00DF0333">
      <w:pPr>
        <w:jc w:val="center"/>
        <w:rPr>
          <w:rFonts w:ascii="Arial" w:hAnsi="Arial" w:cs="Arial"/>
          <w:b/>
          <w:caps/>
          <w:lang w:val="en-GB"/>
        </w:rPr>
      </w:pPr>
      <w:r w:rsidRPr="00DF0333">
        <w:rPr>
          <w:rFonts w:ascii="Arial" w:hAnsi="Arial" w:cs="Arial"/>
          <w:b/>
          <w:caps/>
          <w:lang w:val="en-GB"/>
        </w:rPr>
        <w:lastRenderedPageBreak/>
        <w:t>Exhibit 1: GREENTOWN SHAREHOLDING STRUCTURE IN APRIL 2014</w:t>
      </w:r>
    </w:p>
    <w:p w14:paraId="5B81363A" w14:textId="77777777" w:rsidR="00DF0333" w:rsidRPr="00DF0333" w:rsidRDefault="00DF0333" w:rsidP="0056619B">
      <w:pPr>
        <w:pStyle w:val="BodyTextMain"/>
        <w:rPr>
          <w:lang w:val="en-GB"/>
        </w:rPr>
      </w:pPr>
      <w:r w:rsidRPr="00DF0333">
        <w:rPr>
          <w:noProof/>
          <w:lang w:val="en-GB" w:eastAsia="en-GB"/>
        </w:rPr>
        <w:drawing>
          <wp:anchor distT="0" distB="0" distL="114300" distR="114300" simplePos="0" relativeHeight="251661312" behindDoc="1" locked="0" layoutInCell="1" allowOverlap="1" wp14:anchorId="237719C8" wp14:editId="2B24DC68">
            <wp:simplePos x="0" y="0"/>
            <wp:positionH relativeFrom="column">
              <wp:posOffset>45720</wp:posOffset>
            </wp:positionH>
            <wp:positionV relativeFrom="paragraph">
              <wp:posOffset>135255</wp:posOffset>
            </wp:positionV>
            <wp:extent cx="5882640" cy="1676400"/>
            <wp:effectExtent l="0" t="0" r="0" b="0"/>
            <wp:wrapTight wrapText="bothSides">
              <wp:wrapPolygon edited="0">
                <wp:start x="2588" y="1964"/>
                <wp:lineTo x="2588" y="2700"/>
                <wp:lineTo x="3078" y="6382"/>
                <wp:lineTo x="0" y="7118"/>
                <wp:lineTo x="70" y="10309"/>
                <wp:lineTo x="1049" y="10309"/>
                <wp:lineTo x="630" y="12764"/>
                <wp:lineTo x="839" y="16936"/>
                <wp:lineTo x="4197" y="18164"/>
                <wp:lineTo x="8394" y="18164"/>
                <wp:lineTo x="8464" y="19145"/>
                <wp:lineTo x="11681" y="19636"/>
                <wp:lineTo x="12171" y="19636"/>
                <wp:lineTo x="12311" y="18655"/>
                <wp:lineTo x="11611" y="18164"/>
                <wp:lineTo x="10772" y="18164"/>
                <wp:lineTo x="20495" y="17182"/>
                <wp:lineTo x="20355" y="14236"/>
                <wp:lineTo x="20845" y="13745"/>
                <wp:lineTo x="20984" y="10309"/>
                <wp:lineTo x="20705" y="9327"/>
                <wp:lineTo x="12241" y="6382"/>
                <wp:lineTo x="12661" y="4173"/>
                <wp:lineTo x="12731" y="2700"/>
                <wp:lineTo x="12381" y="1964"/>
                <wp:lineTo x="2588" y="196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2640"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A411D" w14:textId="77777777" w:rsidR="00DF0333" w:rsidRPr="00DF0333" w:rsidRDefault="00DF0333" w:rsidP="0056619B">
      <w:pPr>
        <w:pStyle w:val="BodyTextMain"/>
        <w:rPr>
          <w:lang w:val="en-GB"/>
        </w:rPr>
      </w:pPr>
    </w:p>
    <w:p w14:paraId="2F70BA8C" w14:textId="77777777" w:rsidR="00DF0333" w:rsidRPr="00DF0333" w:rsidRDefault="00DF0333" w:rsidP="0056619B">
      <w:pPr>
        <w:pStyle w:val="BodyTextMain"/>
        <w:rPr>
          <w:lang w:val="en-GB"/>
        </w:rPr>
      </w:pPr>
    </w:p>
    <w:p w14:paraId="12B14B81" w14:textId="77777777" w:rsidR="00DF0333" w:rsidRPr="00DF0333" w:rsidRDefault="00DF0333" w:rsidP="0056619B">
      <w:pPr>
        <w:pStyle w:val="BodyTextMain"/>
        <w:rPr>
          <w:lang w:val="en-GB"/>
        </w:rPr>
      </w:pPr>
    </w:p>
    <w:p w14:paraId="36AA41A5" w14:textId="77777777" w:rsidR="00DF0333" w:rsidRPr="00DF0333" w:rsidRDefault="00DF0333" w:rsidP="00DF0333">
      <w:pPr>
        <w:tabs>
          <w:tab w:val="left" w:pos="-1440"/>
          <w:tab w:val="left" w:pos="-720"/>
          <w:tab w:val="left" w:pos="1"/>
          <w:tab w:val="right" w:pos="9000"/>
        </w:tabs>
        <w:jc w:val="both"/>
        <w:rPr>
          <w:rFonts w:ascii="Arial" w:hAnsi="Arial" w:cs="Arial"/>
          <w:iCs/>
          <w:sz w:val="17"/>
          <w:szCs w:val="17"/>
          <w:lang w:val="en-GB"/>
        </w:rPr>
      </w:pPr>
    </w:p>
    <w:p w14:paraId="3CA5301B" w14:textId="77777777" w:rsidR="00DF0333" w:rsidRPr="00DF0333" w:rsidRDefault="00DF0333" w:rsidP="0056619B">
      <w:pPr>
        <w:pStyle w:val="BodyTextMain"/>
        <w:rPr>
          <w:lang w:val="en-GB"/>
        </w:rPr>
      </w:pPr>
    </w:p>
    <w:p w14:paraId="28335B7E" w14:textId="77777777" w:rsidR="00DF0333" w:rsidRPr="00DF0333" w:rsidRDefault="00DF0333" w:rsidP="0056619B">
      <w:pPr>
        <w:pStyle w:val="BodyTextMain"/>
        <w:rPr>
          <w:lang w:val="en-GB"/>
        </w:rPr>
      </w:pPr>
    </w:p>
    <w:p w14:paraId="5549C8E3" w14:textId="77777777" w:rsidR="00DF0333" w:rsidRPr="00DF0333" w:rsidRDefault="00DF0333" w:rsidP="0056619B">
      <w:pPr>
        <w:pStyle w:val="BodyTextMain"/>
        <w:rPr>
          <w:lang w:val="en-GB"/>
        </w:rPr>
      </w:pPr>
    </w:p>
    <w:p w14:paraId="327B5ABE" w14:textId="77777777" w:rsidR="0056619B" w:rsidRDefault="0056619B" w:rsidP="00DF0333">
      <w:pPr>
        <w:jc w:val="both"/>
        <w:rPr>
          <w:rFonts w:ascii="Arial" w:hAnsi="Arial" w:cs="Arial"/>
          <w:sz w:val="17"/>
          <w:szCs w:val="17"/>
          <w:lang w:val="en-GB"/>
        </w:rPr>
      </w:pPr>
    </w:p>
    <w:p w14:paraId="0AAC9DAF" w14:textId="77777777" w:rsidR="00DF0333" w:rsidRPr="00DF0333" w:rsidRDefault="00DF0333" w:rsidP="00DF0333">
      <w:pPr>
        <w:jc w:val="both"/>
        <w:rPr>
          <w:rFonts w:ascii="Arial" w:hAnsi="Arial" w:cs="Arial"/>
          <w:sz w:val="17"/>
          <w:szCs w:val="17"/>
          <w:lang w:val="en-GB"/>
        </w:rPr>
      </w:pPr>
      <w:r w:rsidRPr="00DF0333">
        <w:rPr>
          <w:rFonts w:ascii="Arial" w:hAnsi="Arial" w:cs="Arial"/>
          <w:sz w:val="17"/>
          <w:szCs w:val="17"/>
          <w:lang w:val="en-GB"/>
        </w:rPr>
        <w:t xml:space="preserve">Source: Created by the case author using data from Greentown China Holdings Limited, Conditional Sale of Shares; Proposed Resignation of Executive Directors; Proposed Appointment of Co-chairmen, Executive Director and Non-executive Director; Proposed Change of Composition of the Nomination Committee (announcement), accessed November 11, 2018, </w:t>
      </w:r>
      <w:hyperlink r:id="rId10" w:history="1">
        <w:r w:rsidRPr="00DF0333">
          <w:rPr>
            <w:rFonts w:ascii="Arial" w:hAnsi="Arial" w:cs="Arial"/>
            <w:sz w:val="17"/>
            <w:szCs w:val="17"/>
            <w:lang w:val="en-GB"/>
          </w:rPr>
          <w:t>http://www3.hkexnews.hk/listedco/listconews/SEHK/2014/0522/LTN20140522779.pdf</w:t>
        </w:r>
      </w:hyperlink>
      <w:r w:rsidRPr="00DF0333">
        <w:rPr>
          <w:rFonts w:ascii="Arial" w:hAnsi="Arial" w:cs="Arial"/>
          <w:sz w:val="17"/>
          <w:szCs w:val="17"/>
          <w:lang w:val="en-GB"/>
        </w:rPr>
        <w:t>.</w:t>
      </w:r>
    </w:p>
    <w:p w14:paraId="1B2A07A9" w14:textId="77777777" w:rsidR="00DF0333" w:rsidRPr="00DF0333" w:rsidRDefault="00DF0333" w:rsidP="0056619B">
      <w:pPr>
        <w:pStyle w:val="BodyTextMain"/>
        <w:rPr>
          <w:lang w:val="en-GB"/>
        </w:rPr>
      </w:pPr>
    </w:p>
    <w:p w14:paraId="3674A401" w14:textId="77777777" w:rsidR="00DF0333" w:rsidRPr="00DF0333" w:rsidRDefault="00DF0333" w:rsidP="0056619B">
      <w:pPr>
        <w:pStyle w:val="BodyTextMain"/>
        <w:rPr>
          <w:lang w:val="en-GB"/>
        </w:rPr>
      </w:pPr>
    </w:p>
    <w:p w14:paraId="33C48A63" w14:textId="77777777" w:rsidR="00DF0333" w:rsidRPr="00DF0333" w:rsidRDefault="00DF0333" w:rsidP="00DF0333">
      <w:pPr>
        <w:jc w:val="center"/>
        <w:rPr>
          <w:rFonts w:ascii="Arial" w:hAnsi="Arial" w:cs="Arial"/>
          <w:b/>
          <w:caps/>
          <w:lang w:val="en-GB" w:eastAsia="zh-CN"/>
        </w:rPr>
      </w:pPr>
      <w:r w:rsidRPr="00DF0333">
        <w:rPr>
          <w:rFonts w:ascii="Arial" w:hAnsi="Arial" w:cs="Arial"/>
          <w:b/>
          <w:caps/>
          <w:lang w:val="en-GB"/>
        </w:rPr>
        <w:t>Exhibit 2: OVERVIEW OF RESIDENTIAL PROPERTY MARKET IN CHINA IN 2014</w:t>
      </w:r>
      <w:r w:rsidRPr="00DF0333">
        <w:rPr>
          <w:rFonts w:ascii="Arial" w:hAnsi="Arial" w:cs="Arial"/>
          <w:b/>
          <w:caps/>
          <w:lang w:val="en-GB" w:eastAsia="zh-CN"/>
        </w:rPr>
        <w:t xml:space="preserve"> </w:t>
      </w:r>
    </w:p>
    <w:p w14:paraId="15FDD182" w14:textId="77777777" w:rsidR="00DF0333" w:rsidRPr="00DF0333" w:rsidRDefault="00DF0333" w:rsidP="00DF0333">
      <w:pPr>
        <w:jc w:val="both"/>
        <w:rPr>
          <w:sz w:val="22"/>
          <w:szCs w:val="22"/>
          <w:lang w:val="en-GB" w:eastAsia="zh-CN"/>
        </w:rPr>
      </w:pPr>
    </w:p>
    <w:p w14:paraId="455B1E06" w14:textId="77777777" w:rsidR="00DF0333" w:rsidRPr="0056619B" w:rsidRDefault="00DF0333" w:rsidP="0056619B">
      <w:pPr>
        <w:pStyle w:val="BodyTextMain"/>
      </w:pPr>
      <w:r w:rsidRPr="0056619B">
        <w:rPr>
          <w:noProof/>
          <w:lang w:val="en-GB" w:eastAsia="en-GB"/>
        </w:rPr>
        <w:drawing>
          <wp:anchor distT="0" distB="0" distL="114300" distR="114300" simplePos="0" relativeHeight="251660288" behindDoc="1" locked="0" layoutInCell="1" allowOverlap="1" wp14:anchorId="402857F3" wp14:editId="66C2DAC5">
            <wp:simplePos x="0" y="0"/>
            <wp:positionH relativeFrom="column">
              <wp:posOffset>3284220</wp:posOffset>
            </wp:positionH>
            <wp:positionV relativeFrom="paragraph">
              <wp:posOffset>27940</wp:posOffset>
            </wp:positionV>
            <wp:extent cx="2682240" cy="1874520"/>
            <wp:effectExtent l="0" t="0" r="22860" b="11430"/>
            <wp:wrapTight wrapText="bothSides">
              <wp:wrapPolygon edited="0">
                <wp:start x="0" y="0"/>
                <wp:lineTo x="0" y="21512"/>
                <wp:lineTo x="21631" y="21512"/>
                <wp:lineTo x="21631"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Pr="0056619B">
        <w:rPr>
          <w:noProof/>
          <w:lang w:val="en-GB" w:eastAsia="en-GB"/>
        </w:rPr>
        <w:drawing>
          <wp:anchor distT="0" distB="0" distL="114300" distR="114300" simplePos="0" relativeHeight="251659264" behindDoc="1" locked="0" layoutInCell="1" allowOverlap="1" wp14:anchorId="5C4F9B12" wp14:editId="74FCE3C4">
            <wp:simplePos x="0" y="0"/>
            <wp:positionH relativeFrom="column">
              <wp:posOffset>251460</wp:posOffset>
            </wp:positionH>
            <wp:positionV relativeFrom="paragraph">
              <wp:posOffset>27940</wp:posOffset>
            </wp:positionV>
            <wp:extent cx="2865120" cy="1866900"/>
            <wp:effectExtent l="0" t="0" r="11430" b="19050"/>
            <wp:wrapTight wrapText="bothSides">
              <wp:wrapPolygon edited="0">
                <wp:start x="0" y="0"/>
                <wp:lineTo x="0" y="21600"/>
                <wp:lineTo x="21543" y="21600"/>
                <wp:lineTo x="21543"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759164FD" w14:textId="77777777" w:rsidR="0056619B" w:rsidRDefault="0056619B" w:rsidP="0056619B">
      <w:pPr>
        <w:pStyle w:val="BodyTextMain"/>
        <w:rPr>
          <w:lang w:val="en-GB"/>
        </w:rPr>
      </w:pPr>
    </w:p>
    <w:p w14:paraId="65DC3844" w14:textId="77777777" w:rsidR="0056619B" w:rsidRDefault="0056619B" w:rsidP="0056619B">
      <w:pPr>
        <w:pStyle w:val="BodyTextMain"/>
        <w:rPr>
          <w:lang w:val="en-GB"/>
        </w:rPr>
      </w:pPr>
    </w:p>
    <w:p w14:paraId="4C677A5E" w14:textId="77777777" w:rsidR="0056619B" w:rsidRDefault="0056619B" w:rsidP="0056619B">
      <w:pPr>
        <w:pStyle w:val="BodyTextMain"/>
        <w:rPr>
          <w:lang w:val="en-GB"/>
        </w:rPr>
      </w:pPr>
    </w:p>
    <w:p w14:paraId="539BB60D" w14:textId="77777777" w:rsidR="00DF0333" w:rsidRPr="0056619B" w:rsidRDefault="00DF0333" w:rsidP="00DF0333">
      <w:pPr>
        <w:jc w:val="both"/>
        <w:rPr>
          <w:rFonts w:ascii="Arial" w:hAnsi="Arial" w:cs="Arial"/>
          <w:spacing w:val="-4"/>
          <w:sz w:val="17"/>
          <w:szCs w:val="17"/>
          <w:lang w:val="en-GB"/>
        </w:rPr>
      </w:pPr>
      <w:r w:rsidRPr="0056619B">
        <w:rPr>
          <w:rFonts w:ascii="Arial" w:hAnsi="Arial" w:cs="Arial"/>
          <w:spacing w:val="-4"/>
          <w:sz w:val="17"/>
          <w:szCs w:val="17"/>
          <w:lang w:val="en-GB"/>
        </w:rPr>
        <w:t xml:space="preserve">Source: Created by the case author using data from Alexander Cooper and Arianna Cowling, “China’s Property Sector,” </w:t>
      </w:r>
      <w:r w:rsidRPr="0056619B">
        <w:rPr>
          <w:rFonts w:ascii="Arial" w:hAnsi="Arial" w:cs="Arial"/>
          <w:i/>
          <w:spacing w:val="-4"/>
          <w:sz w:val="17"/>
          <w:szCs w:val="17"/>
          <w:lang w:val="en-GB"/>
        </w:rPr>
        <w:t>Reserve Bank of Australia Bulletin</w:t>
      </w:r>
      <w:r w:rsidRPr="0056619B">
        <w:rPr>
          <w:rFonts w:ascii="Arial" w:hAnsi="Arial" w:cs="Arial"/>
          <w:spacing w:val="-4"/>
          <w:sz w:val="17"/>
          <w:szCs w:val="17"/>
          <w:lang w:val="en-GB"/>
        </w:rPr>
        <w:t xml:space="preserve">, March 2015, accessed August 8, 2018, www.rba.gov.au/publications/bulletin/2015/mar/pdf/bu-0315-5.pdf. </w:t>
      </w:r>
    </w:p>
    <w:p w14:paraId="17A403D1" w14:textId="77777777" w:rsidR="00DF0333" w:rsidRPr="00DF0333" w:rsidRDefault="00DF0333" w:rsidP="00DF0333">
      <w:pPr>
        <w:jc w:val="both"/>
        <w:rPr>
          <w:sz w:val="22"/>
          <w:szCs w:val="22"/>
          <w:lang w:val="en-GB"/>
        </w:rPr>
      </w:pPr>
    </w:p>
    <w:p w14:paraId="0A331C68" w14:textId="77777777" w:rsidR="00DF0333" w:rsidRPr="00DF0333" w:rsidRDefault="00DF0333" w:rsidP="00DF0333">
      <w:pPr>
        <w:jc w:val="both"/>
        <w:rPr>
          <w:sz w:val="22"/>
          <w:szCs w:val="22"/>
          <w:lang w:val="en-GB"/>
        </w:rPr>
      </w:pPr>
    </w:p>
    <w:p w14:paraId="65D56D16" w14:textId="77777777" w:rsidR="00DF0333" w:rsidRPr="00DF0333" w:rsidRDefault="00DF0333" w:rsidP="00DF0333">
      <w:pPr>
        <w:jc w:val="both"/>
        <w:rPr>
          <w:sz w:val="22"/>
          <w:szCs w:val="22"/>
          <w:lang w:val="en-GB"/>
        </w:rPr>
      </w:pPr>
      <w:r w:rsidRPr="00DF0333">
        <w:rPr>
          <w:sz w:val="22"/>
          <w:szCs w:val="22"/>
          <w:lang w:val="en-GB"/>
        </w:rPr>
        <w:br w:type="page"/>
      </w:r>
    </w:p>
    <w:p w14:paraId="47C6E4BF" w14:textId="77777777" w:rsidR="00DF0333" w:rsidRPr="00DF0333" w:rsidRDefault="00DF0333" w:rsidP="00DF0333">
      <w:pPr>
        <w:jc w:val="center"/>
        <w:rPr>
          <w:rFonts w:ascii="Arial" w:hAnsi="Arial" w:cs="Arial"/>
          <w:b/>
          <w:caps/>
          <w:lang w:val="en-GB"/>
        </w:rPr>
      </w:pPr>
      <w:r w:rsidRPr="00DF0333">
        <w:rPr>
          <w:rFonts w:ascii="Arial" w:hAnsi="Arial" w:cs="Arial"/>
          <w:b/>
          <w:caps/>
          <w:lang w:val="en-GB"/>
        </w:rPr>
        <w:lastRenderedPageBreak/>
        <w:t>Exhibit 3: GREENTOWN FINANCIAL STATEMENTS (in ¥ Millions)</w:t>
      </w:r>
    </w:p>
    <w:p w14:paraId="3442419D" w14:textId="77777777" w:rsidR="00DF0333" w:rsidRPr="00DF0333" w:rsidRDefault="00DF0333" w:rsidP="00DF0333">
      <w:pPr>
        <w:jc w:val="both"/>
        <w:rPr>
          <w:sz w:val="18"/>
          <w:szCs w:val="18"/>
          <w:lang w:val="en-GB"/>
        </w:rPr>
      </w:pPr>
    </w:p>
    <w:tbl>
      <w:tblPr>
        <w:tblStyle w:val="TableGrid1"/>
        <w:tblW w:w="9362" w:type="dxa"/>
        <w:jc w:val="center"/>
        <w:tblLook w:val="04A0" w:firstRow="1" w:lastRow="0" w:firstColumn="1" w:lastColumn="0" w:noHBand="0" w:noVBand="1"/>
      </w:tblPr>
      <w:tblGrid>
        <w:gridCol w:w="4739"/>
        <w:gridCol w:w="1541"/>
        <w:gridCol w:w="1541"/>
        <w:gridCol w:w="1541"/>
      </w:tblGrid>
      <w:tr w:rsidR="00DF0333" w:rsidRPr="00DF0333" w14:paraId="50F58933" w14:textId="77777777" w:rsidTr="00E7337F">
        <w:trPr>
          <w:trHeight w:val="230"/>
          <w:jc w:val="center"/>
        </w:trPr>
        <w:tc>
          <w:tcPr>
            <w:tcW w:w="4739" w:type="dxa"/>
            <w:noWrap/>
            <w:hideMark/>
          </w:tcPr>
          <w:p w14:paraId="6CDBEFC9"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Income Statement</w:t>
            </w:r>
          </w:p>
        </w:tc>
        <w:tc>
          <w:tcPr>
            <w:tcW w:w="1537" w:type="dxa"/>
            <w:noWrap/>
            <w:hideMark/>
          </w:tcPr>
          <w:p w14:paraId="4C8AE45C" w14:textId="77777777" w:rsidR="00DF0333" w:rsidRPr="00DF0333" w:rsidRDefault="00DF0333" w:rsidP="00DF0333">
            <w:pPr>
              <w:jc w:val="both"/>
              <w:rPr>
                <w:rFonts w:ascii="Arial" w:hAnsi="Arial" w:cs="Arial"/>
                <w:b/>
                <w:bCs/>
                <w:sz w:val="18"/>
                <w:szCs w:val="18"/>
                <w:lang w:val="en-GB"/>
              </w:rPr>
            </w:pPr>
            <w:r w:rsidRPr="00DF0333">
              <w:rPr>
                <w:rFonts w:ascii="Arial" w:hAnsi="Arial" w:cs="Arial"/>
                <w:b/>
                <w:bCs/>
                <w:sz w:val="18"/>
                <w:szCs w:val="18"/>
                <w:lang w:val="en-GB"/>
              </w:rPr>
              <w:t> </w:t>
            </w:r>
          </w:p>
        </w:tc>
        <w:tc>
          <w:tcPr>
            <w:tcW w:w="1537" w:type="dxa"/>
            <w:noWrap/>
            <w:hideMark/>
          </w:tcPr>
          <w:p w14:paraId="07677E4F" w14:textId="77777777" w:rsidR="00DF0333" w:rsidRPr="00DF0333" w:rsidRDefault="00DF0333" w:rsidP="00DF0333">
            <w:pPr>
              <w:jc w:val="both"/>
              <w:rPr>
                <w:rFonts w:ascii="Arial" w:hAnsi="Arial" w:cs="Arial"/>
                <w:b/>
                <w:bCs/>
                <w:sz w:val="18"/>
                <w:szCs w:val="18"/>
                <w:lang w:val="en-GB"/>
              </w:rPr>
            </w:pPr>
            <w:r w:rsidRPr="00DF0333">
              <w:rPr>
                <w:rFonts w:ascii="Arial" w:hAnsi="Arial" w:cs="Arial"/>
                <w:b/>
                <w:bCs/>
                <w:sz w:val="18"/>
                <w:szCs w:val="18"/>
                <w:lang w:val="en-GB"/>
              </w:rPr>
              <w:t> </w:t>
            </w:r>
          </w:p>
        </w:tc>
        <w:tc>
          <w:tcPr>
            <w:tcW w:w="1537" w:type="dxa"/>
            <w:noWrap/>
            <w:hideMark/>
          </w:tcPr>
          <w:p w14:paraId="28654ADB" w14:textId="77777777" w:rsidR="00DF0333" w:rsidRPr="00DF0333" w:rsidRDefault="00DF0333" w:rsidP="00DF0333">
            <w:pPr>
              <w:jc w:val="both"/>
              <w:rPr>
                <w:rFonts w:ascii="Arial" w:hAnsi="Arial" w:cs="Arial"/>
                <w:b/>
                <w:bCs/>
                <w:sz w:val="18"/>
                <w:szCs w:val="18"/>
                <w:lang w:val="en-GB"/>
              </w:rPr>
            </w:pPr>
            <w:r w:rsidRPr="00DF0333">
              <w:rPr>
                <w:rFonts w:ascii="Arial" w:hAnsi="Arial" w:cs="Arial"/>
                <w:b/>
                <w:bCs/>
                <w:sz w:val="18"/>
                <w:szCs w:val="18"/>
                <w:lang w:val="en-GB"/>
              </w:rPr>
              <w:t> </w:t>
            </w:r>
          </w:p>
        </w:tc>
      </w:tr>
      <w:tr w:rsidR="00DF0333" w:rsidRPr="00DF0333" w14:paraId="3DC28B91" w14:textId="77777777" w:rsidTr="00E7337F">
        <w:trPr>
          <w:trHeight w:val="230"/>
          <w:jc w:val="center"/>
        </w:trPr>
        <w:tc>
          <w:tcPr>
            <w:tcW w:w="4739" w:type="dxa"/>
            <w:hideMark/>
          </w:tcPr>
          <w:p w14:paraId="769D5AF7"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For the Fiscal Period Ending</w:t>
            </w:r>
          </w:p>
        </w:tc>
        <w:tc>
          <w:tcPr>
            <w:tcW w:w="1537" w:type="dxa"/>
            <w:hideMark/>
          </w:tcPr>
          <w:p w14:paraId="0DB7B616" w14:textId="77777777" w:rsidR="00DF0333" w:rsidRPr="00DF0333" w:rsidRDefault="00DF0333" w:rsidP="00240B1D">
            <w:pPr>
              <w:jc w:val="center"/>
              <w:rPr>
                <w:rFonts w:ascii="Arial" w:hAnsi="Arial" w:cs="Arial"/>
                <w:b/>
                <w:bCs/>
                <w:sz w:val="18"/>
                <w:szCs w:val="18"/>
                <w:lang w:val="en-GB"/>
              </w:rPr>
            </w:pPr>
            <w:r w:rsidRPr="00DF0333">
              <w:rPr>
                <w:rFonts w:ascii="Arial" w:hAnsi="Arial" w:cs="Arial"/>
                <w:b/>
                <w:bCs/>
                <w:sz w:val="18"/>
                <w:szCs w:val="18"/>
                <w:lang w:val="en-GB"/>
              </w:rPr>
              <w:t>Dec-31-2011</w:t>
            </w:r>
          </w:p>
        </w:tc>
        <w:tc>
          <w:tcPr>
            <w:tcW w:w="1537" w:type="dxa"/>
            <w:hideMark/>
          </w:tcPr>
          <w:p w14:paraId="5BD12350" w14:textId="77777777" w:rsidR="00DF0333" w:rsidRPr="00DF0333" w:rsidRDefault="00DF0333" w:rsidP="00240B1D">
            <w:pPr>
              <w:jc w:val="center"/>
              <w:rPr>
                <w:rFonts w:ascii="Arial" w:hAnsi="Arial" w:cs="Arial"/>
                <w:b/>
                <w:bCs/>
                <w:sz w:val="18"/>
                <w:szCs w:val="18"/>
                <w:lang w:val="en-GB"/>
              </w:rPr>
            </w:pPr>
            <w:r w:rsidRPr="00DF0333">
              <w:rPr>
                <w:rFonts w:ascii="Arial" w:hAnsi="Arial" w:cs="Arial"/>
                <w:b/>
                <w:bCs/>
                <w:sz w:val="18"/>
                <w:szCs w:val="18"/>
                <w:lang w:val="en-GB"/>
              </w:rPr>
              <w:t>Dec-31-2012</w:t>
            </w:r>
          </w:p>
        </w:tc>
        <w:tc>
          <w:tcPr>
            <w:tcW w:w="1537" w:type="dxa"/>
            <w:hideMark/>
          </w:tcPr>
          <w:p w14:paraId="01448C2F" w14:textId="77777777" w:rsidR="00DF0333" w:rsidRPr="00DF0333" w:rsidRDefault="00DF0333" w:rsidP="00240B1D">
            <w:pPr>
              <w:jc w:val="center"/>
              <w:rPr>
                <w:rFonts w:ascii="Arial" w:hAnsi="Arial" w:cs="Arial"/>
                <w:b/>
                <w:bCs/>
                <w:sz w:val="18"/>
                <w:szCs w:val="18"/>
                <w:lang w:val="en-GB"/>
              </w:rPr>
            </w:pPr>
            <w:r w:rsidRPr="00DF0333">
              <w:rPr>
                <w:rFonts w:ascii="Arial" w:hAnsi="Arial" w:cs="Arial"/>
                <w:b/>
                <w:bCs/>
                <w:sz w:val="18"/>
                <w:szCs w:val="18"/>
                <w:lang w:val="en-GB"/>
              </w:rPr>
              <w:t>Dec-31-2013</w:t>
            </w:r>
          </w:p>
        </w:tc>
      </w:tr>
      <w:tr w:rsidR="00DF0333" w:rsidRPr="00DF0333" w14:paraId="35923F47" w14:textId="77777777" w:rsidTr="00E7337F">
        <w:trPr>
          <w:trHeight w:val="230"/>
          <w:jc w:val="center"/>
        </w:trPr>
        <w:tc>
          <w:tcPr>
            <w:tcW w:w="4739" w:type="dxa"/>
            <w:hideMark/>
          </w:tcPr>
          <w:p w14:paraId="6B70FEC2" w14:textId="77777777" w:rsidR="00DF0333" w:rsidRPr="00DF0333" w:rsidRDefault="00DF0333" w:rsidP="00DF0333">
            <w:pPr>
              <w:rPr>
                <w:rFonts w:ascii="Arial" w:hAnsi="Arial" w:cs="Arial"/>
                <w:b/>
                <w:bCs/>
                <w:i/>
                <w:iCs/>
                <w:sz w:val="18"/>
                <w:szCs w:val="18"/>
                <w:lang w:val="en-GB"/>
              </w:rPr>
            </w:pPr>
            <w:r w:rsidRPr="00DF0333">
              <w:rPr>
                <w:rFonts w:ascii="Arial" w:hAnsi="Arial" w:cs="Arial"/>
                <w:b/>
                <w:bCs/>
                <w:i/>
                <w:iCs/>
                <w:sz w:val="18"/>
                <w:szCs w:val="18"/>
                <w:lang w:val="en-GB"/>
              </w:rPr>
              <w:t>Currency</w:t>
            </w:r>
          </w:p>
        </w:tc>
        <w:tc>
          <w:tcPr>
            <w:tcW w:w="1537" w:type="dxa"/>
            <w:hideMark/>
          </w:tcPr>
          <w:p w14:paraId="68EA4FE9" w14:textId="77777777" w:rsidR="00DF0333" w:rsidRPr="00DF0333" w:rsidRDefault="00DF0333" w:rsidP="00DF0333">
            <w:pPr>
              <w:jc w:val="right"/>
              <w:rPr>
                <w:rFonts w:ascii="Arial" w:hAnsi="Arial" w:cs="Arial"/>
                <w:b/>
                <w:bCs/>
                <w:i/>
                <w:iCs/>
                <w:sz w:val="18"/>
                <w:szCs w:val="18"/>
                <w:lang w:val="en-GB"/>
              </w:rPr>
            </w:pPr>
            <w:r w:rsidRPr="00DF0333">
              <w:rPr>
                <w:rFonts w:ascii="Arial" w:hAnsi="Arial" w:cs="Arial"/>
                <w:b/>
                <w:bCs/>
                <w:i/>
                <w:iCs/>
                <w:sz w:val="18"/>
                <w:szCs w:val="18"/>
                <w:lang w:val="en-GB"/>
              </w:rPr>
              <w:t>CNY</w:t>
            </w:r>
          </w:p>
        </w:tc>
        <w:tc>
          <w:tcPr>
            <w:tcW w:w="1537" w:type="dxa"/>
            <w:hideMark/>
          </w:tcPr>
          <w:p w14:paraId="00088C05" w14:textId="77777777" w:rsidR="00DF0333" w:rsidRPr="00DF0333" w:rsidRDefault="00DF0333" w:rsidP="00DF0333">
            <w:pPr>
              <w:jc w:val="right"/>
              <w:rPr>
                <w:rFonts w:ascii="Arial" w:hAnsi="Arial" w:cs="Arial"/>
                <w:b/>
                <w:bCs/>
                <w:i/>
                <w:iCs/>
                <w:sz w:val="18"/>
                <w:szCs w:val="18"/>
                <w:lang w:val="en-GB"/>
              </w:rPr>
            </w:pPr>
            <w:r w:rsidRPr="00DF0333">
              <w:rPr>
                <w:rFonts w:ascii="Arial" w:hAnsi="Arial" w:cs="Arial"/>
                <w:b/>
                <w:bCs/>
                <w:i/>
                <w:iCs/>
                <w:sz w:val="18"/>
                <w:szCs w:val="18"/>
                <w:lang w:val="en-GB"/>
              </w:rPr>
              <w:t>CNY</w:t>
            </w:r>
          </w:p>
        </w:tc>
        <w:tc>
          <w:tcPr>
            <w:tcW w:w="1537" w:type="dxa"/>
            <w:hideMark/>
          </w:tcPr>
          <w:p w14:paraId="62F03E48" w14:textId="77777777" w:rsidR="00DF0333" w:rsidRPr="00DF0333" w:rsidRDefault="00DF0333" w:rsidP="00DF0333">
            <w:pPr>
              <w:jc w:val="right"/>
              <w:rPr>
                <w:rFonts w:ascii="Arial" w:hAnsi="Arial" w:cs="Arial"/>
                <w:b/>
                <w:bCs/>
                <w:i/>
                <w:iCs/>
                <w:sz w:val="18"/>
                <w:szCs w:val="18"/>
                <w:lang w:val="en-GB"/>
              </w:rPr>
            </w:pPr>
            <w:r w:rsidRPr="00DF0333">
              <w:rPr>
                <w:rFonts w:ascii="Arial" w:hAnsi="Arial" w:cs="Arial"/>
                <w:b/>
                <w:bCs/>
                <w:i/>
                <w:iCs/>
                <w:sz w:val="18"/>
                <w:szCs w:val="18"/>
                <w:lang w:val="en-GB"/>
              </w:rPr>
              <w:t>CNY</w:t>
            </w:r>
          </w:p>
        </w:tc>
      </w:tr>
      <w:tr w:rsidR="00DF0333" w:rsidRPr="00DF0333" w14:paraId="1EA170AB" w14:textId="77777777" w:rsidTr="00E7337F">
        <w:trPr>
          <w:trHeight w:val="230"/>
          <w:jc w:val="center"/>
        </w:trPr>
        <w:tc>
          <w:tcPr>
            <w:tcW w:w="4739" w:type="dxa"/>
            <w:noWrap/>
            <w:hideMark/>
          </w:tcPr>
          <w:p w14:paraId="46925638"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 xml:space="preserve"> </w:t>
            </w:r>
          </w:p>
        </w:tc>
        <w:tc>
          <w:tcPr>
            <w:tcW w:w="1537" w:type="dxa"/>
            <w:noWrap/>
            <w:hideMark/>
          </w:tcPr>
          <w:p w14:paraId="77026A7F" w14:textId="77777777" w:rsidR="00DF0333" w:rsidRPr="00DF0333" w:rsidRDefault="00DF0333" w:rsidP="00DF0333">
            <w:pPr>
              <w:jc w:val="right"/>
              <w:rPr>
                <w:rFonts w:ascii="Arial" w:hAnsi="Arial" w:cs="Arial"/>
                <w:b/>
                <w:bCs/>
                <w:sz w:val="18"/>
                <w:szCs w:val="18"/>
                <w:lang w:val="en-GB"/>
              </w:rPr>
            </w:pPr>
          </w:p>
        </w:tc>
        <w:tc>
          <w:tcPr>
            <w:tcW w:w="1537" w:type="dxa"/>
            <w:noWrap/>
            <w:hideMark/>
          </w:tcPr>
          <w:p w14:paraId="32BC8745" w14:textId="77777777" w:rsidR="00DF0333" w:rsidRPr="00DF0333" w:rsidRDefault="00DF0333" w:rsidP="00DF0333">
            <w:pPr>
              <w:jc w:val="right"/>
              <w:rPr>
                <w:rFonts w:ascii="Arial" w:hAnsi="Arial" w:cs="Arial"/>
                <w:sz w:val="18"/>
                <w:szCs w:val="18"/>
                <w:lang w:val="en-GB"/>
              </w:rPr>
            </w:pPr>
          </w:p>
        </w:tc>
        <w:tc>
          <w:tcPr>
            <w:tcW w:w="1537" w:type="dxa"/>
            <w:noWrap/>
            <w:hideMark/>
          </w:tcPr>
          <w:p w14:paraId="059E2295" w14:textId="77777777" w:rsidR="00DF0333" w:rsidRPr="00DF0333" w:rsidRDefault="00DF0333" w:rsidP="00DF0333">
            <w:pPr>
              <w:jc w:val="right"/>
              <w:rPr>
                <w:rFonts w:ascii="Arial" w:hAnsi="Arial" w:cs="Arial"/>
                <w:sz w:val="18"/>
                <w:szCs w:val="18"/>
                <w:lang w:val="en-GB"/>
              </w:rPr>
            </w:pPr>
          </w:p>
        </w:tc>
      </w:tr>
      <w:tr w:rsidR="00DF0333" w:rsidRPr="00DF0333" w14:paraId="47188D91" w14:textId="77777777" w:rsidTr="00E7337F">
        <w:trPr>
          <w:trHeight w:val="230"/>
          <w:jc w:val="center"/>
        </w:trPr>
        <w:tc>
          <w:tcPr>
            <w:tcW w:w="4739" w:type="dxa"/>
            <w:noWrap/>
            <w:hideMark/>
          </w:tcPr>
          <w:p w14:paraId="326C0EFD"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Revenue</w:t>
            </w:r>
          </w:p>
        </w:tc>
        <w:tc>
          <w:tcPr>
            <w:tcW w:w="1537" w:type="dxa"/>
            <w:hideMark/>
          </w:tcPr>
          <w:p w14:paraId="7687C298"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21,963.7 </w:t>
            </w:r>
          </w:p>
        </w:tc>
        <w:tc>
          <w:tcPr>
            <w:tcW w:w="1537" w:type="dxa"/>
            <w:hideMark/>
          </w:tcPr>
          <w:p w14:paraId="51413462"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35,392.5 </w:t>
            </w:r>
          </w:p>
        </w:tc>
        <w:tc>
          <w:tcPr>
            <w:tcW w:w="1537" w:type="dxa"/>
            <w:hideMark/>
          </w:tcPr>
          <w:p w14:paraId="4D83747C"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28,990.6 </w:t>
            </w:r>
          </w:p>
        </w:tc>
      </w:tr>
      <w:tr w:rsidR="00DF0333" w:rsidRPr="00DF0333" w14:paraId="1FE816CD" w14:textId="77777777" w:rsidTr="00E7337F">
        <w:trPr>
          <w:trHeight w:val="230"/>
          <w:jc w:val="center"/>
        </w:trPr>
        <w:tc>
          <w:tcPr>
            <w:tcW w:w="4739" w:type="dxa"/>
            <w:noWrap/>
            <w:hideMark/>
          </w:tcPr>
          <w:p w14:paraId="13FBC952"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Cost of Goods Sold</w:t>
            </w:r>
          </w:p>
        </w:tc>
        <w:tc>
          <w:tcPr>
            <w:tcW w:w="1537" w:type="dxa"/>
            <w:hideMark/>
          </w:tcPr>
          <w:p w14:paraId="3D6719D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14,555.4 </w:t>
            </w:r>
          </w:p>
        </w:tc>
        <w:tc>
          <w:tcPr>
            <w:tcW w:w="1537" w:type="dxa"/>
            <w:hideMark/>
          </w:tcPr>
          <w:p w14:paraId="375833A3"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24,678.8 </w:t>
            </w:r>
          </w:p>
        </w:tc>
        <w:tc>
          <w:tcPr>
            <w:tcW w:w="1537" w:type="dxa"/>
            <w:hideMark/>
          </w:tcPr>
          <w:p w14:paraId="4DC1D3D3"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20,215.2 </w:t>
            </w:r>
          </w:p>
        </w:tc>
      </w:tr>
      <w:tr w:rsidR="00DF0333" w:rsidRPr="00DF0333" w14:paraId="75AF5381" w14:textId="77777777" w:rsidTr="00E7337F">
        <w:trPr>
          <w:trHeight w:val="230"/>
          <w:jc w:val="center"/>
        </w:trPr>
        <w:tc>
          <w:tcPr>
            <w:tcW w:w="4739" w:type="dxa"/>
            <w:noWrap/>
            <w:hideMark/>
          </w:tcPr>
          <w:p w14:paraId="25BF8573"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 xml:space="preserve">  Gross Profit</w:t>
            </w:r>
          </w:p>
        </w:tc>
        <w:tc>
          <w:tcPr>
            <w:tcW w:w="1537" w:type="dxa"/>
            <w:hideMark/>
          </w:tcPr>
          <w:p w14:paraId="3F6F517D"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7,408.4 </w:t>
            </w:r>
          </w:p>
        </w:tc>
        <w:tc>
          <w:tcPr>
            <w:tcW w:w="1537" w:type="dxa"/>
            <w:hideMark/>
          </w:tcPr>
          <w:p w14:paraId="2C95F18B"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10,713.7 </w:t>
            </w:r>
          </w:p>
        </w:tc>
        <w:tc>
          <w:tcPr>
            <w:tcW w:w="1537" w:type="dxa"/>
            <w:hideMark/>
          </w:tcPr>
          <w:p w14:paraId="0F601FC4"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8,775.4 </w:t>
            </w:r>
          </w:p>
        </w:tc>
      </w:tr>
      <w:tr w:rsidR="00DF0333" w:rsidRPr="00DF0333" w14:paraId="4D94CB02" w14:textId="77777777" w:rsidTr="00E7337F">
        <w:trPr>
          <w:trHeight w:val="230"/>
          <w:jc w:val="center"/>
        </w:trPr>
        <w:tc>
          <w:tcPr>
            <w:tcW w:w="4739" w:type="dxa"/>
            <w:noWrap/>
            <w:hideMark/>
          </w:tcPr>
          <w:p w14:paraId="622369A2" w14:textId="77777777" w:rsidR="00DF0333" w:rsidRPr="00DF0333" w:rsidRDefault="00DF0333" w:rsidP="00DF0333">
            <w:pPr>
              <w:rPr>
                <w:rFonts w:ascii="Arial" w:hAnsi="Arial" w:cs="Arial"/>
                <w:b/>
                <w:bCs/>
                <w:sz w:val="18"/>
                <w:szCs w:val="18"/>
                <w:lang w:val="en-GB"/>
              </w:rPr>
            </w:pPr>
          </w:p>
        </w:tc>
        <w:tc>
          <w:tcPr>
            <w:tcW w:w="1537" w:type="dxa"/>
            <w:noWrap/>
            <w:hideMark/>
          </w:tcPr>
          <w:p w14:paraId="039849BE" w14:textId="77777777" w:rsidR="00DF0333" w:rsidRPr="00DF0333" w:rsidRDefault="00DF0333" w:rsidP="00DF0333">
            <w:pPr>
              <w:jc w:val="right"/>
              <w:rPr>
                <w:rFonts w:ascii="Arial" w:hAnsi="Arial" w:cs="Arial"/>
                <w:sz w:val="18"/>
                <w:szCs w:val="18"/>
                <w:lang w:val="en-GB"/>
              </w:rPr>
            </w:pPr>
          </w:p>
        </w:tc>
        <w:tc>
          <w:tcPr>
            <w:tcW w:w="1537" w:type="dxa"/>
            <w:noWrap/>
            <w:hideMark/>
          </w:tcPr>
          <w:p w14:paraId="0451A1FE" w14:textId="77777777" w:rsidR="00DF0333" w:rsidRPr="00DF0333" w:rsidRDefault="00DF0333" w:rsidP="00DF0333">
            <w:pPr>
              <w:jc w:val="right"/>
              <w:rPr>
                <w:rFonts w:ascii="Arial" w:hAnsi="Arial" w:cs="Arial"/>
                <w:sz w:val="18"/>
                <w:szCs w:val="18"/>
                <w:lang w:val="en-GB"/>
              </w:rPr>
            </w:pPr>
          </w:p>
        </w:tc>
        <w:tc>
          <w:tcPr>
            <w:tcW w:w="1537" w:type="dxa"/>
            <w:noWrap/>
            <w:hideMark/>
          </w:tcPr>
          <w:p w14:paraId="4AC047F1" w14:textId="77777777" w:rsidR="00DF0333" w:rsidRPr="00DF0333" w:rsidRDefault="00DF0333" w:rsidP="00DF0333">
            <w:pPr>
              <w:jc w:val="right"/>
              <w:rPr>
                <w:rFonts w:ascii="Arial" w:hAnsi="Arial" w:cs="Arial"/>
                <w:sz w:val="18"/>
                <w:szCs w:val="18"/>
                <w:lang w:val="en-GB"/>
              </w:rPr>
            </w:pPr>
          </w:p>
        </w:tc>
      </w:tr>
      <w:tr w:rsidR="00DF0333" w:rsidRPr="00DF0333" w14:paraId="78BD69D2" w14:textId="77777777" w:rsidTr="00E7337F">
        <w:trPr>
          <w:trHeight w:val="230"/>
          <w:jc w:val="center"/>
        </w:trPr>
        <w:tc>
          <w:tcPr>
            <w:tcW w:w="4739" w:type="dxa"/>
            <w:noWrap/>
            <w:hideMark/>
          </w:tcPr>
          <w:p w14:paraId="603CD920"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Selling General &amp; Administrative Expenses</w:t>
            </w:r>
          </w:p>
        </w:tc>
        <w:tc>
          <w:tcPr>
            <w:tcW w:w="1537" w:type="dxa"/>
            <w:hideMark/>
          </w:tcPr>
          <w:p w14:paraId="196292D2"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1,919.9 </w:t>
            </w:r>
          </w:p>
        </w:tc>
        <w:tc>
          <w:tcPr>
            <w:tcW w:w="1537" w:type="dxa"/>
            <w:hideMark/>
          </w:tcPr>
          <w:p w14:paraId="75A72ED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2,069.0 </w:t>
            </w:r>
          </w:p>
        </w:tc>
        <w:tc>
          <w:tcPr>
            <w:tcW w:w="1537" w:type="dxa"/>
            <w:hideMark/>
          </w:tcPr>
          <w:p w14:paraId="29BDFDC6"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2,340.3 </w:t>
            </w:r>
          </w:p>
        </w:tc>
      </w:tr>
      <w:tr w:rsidR="00DF0333" w:rsidRPr="00DF0333" w14:paraId="669CED8E" w14:textId="77777777" w:rsidTr="00E7337F">
        <w:trPr>
          <w:trHeight w:val="230"/>
          <w:jc w:val="center"/>
        </w:trPr>
        <w:tc>
          <w:tcPr>
            <w:tcW w:w="4739" w:type="dxa"/>
            <w:noWrap/>
            <w:hideMark/>
          </w:tcPr>
          <w:p w14:paraId="159195C7"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Depreciation &amp; Amortization</w:t>
            </w:r>
          </w:p>
        </w:tc>
        <w:tc>
          <w:tcPr>
            <w:tcW w:w="1537" w:type="dxa"/>
            <w:hideMark/>
          </w:tcPr>
          <w:p w14:paraId="0D2BA9C5"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147.6 </w:t>
            </w:r>
          </w:p>
        </w:tc>
        <w:tc>
          <w:tcPr>
            <w:tcW w:w="1537" w:type="dxa"/>
            <w:hideMark/>
          </w:tcPr>
          <w:p w14:paraId="5F1CA010"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169.4 </w:t>
            </w:r>
          </w:p>
        </w:tc>
        <w:tc>
          <w:tcPr>
            <w:tcW w:w="1537" w:type="dxa"/>
            <w:hideMark/>
          </w:tcPr>
          <w:p w14:paraId="68357A2D"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158.6 </w:t>
            </w:r>
          </w:p>
        </w:tc>
      </w:tr>
      <w:tr w:rsidR="00DF0333" w:rsidRPr="00DF0333" w14:paraId="2F35C63C" w14:textId="77777777" w:rsidTr="00E7337F">
        <w:trPr>
          <w:trHeight w:val="230"/>
          <w:jc w:val="center"/>
        </w:trPr>
        <w:tc>
          <w:tcPr>
            <w:tcW w:w="4739" w:type="dxa"/>
            <w:noWrap/>
            <w:hideMark/>
          </w:tcPr>
          <w:p w14:paraId="2D525F4B"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Other Operating Expense/(Income)</w:t>
            </w:r>
          </w:p>
        </w:tc>
        <w:tc>
          <w:tcPr>
            <w:tcW w:w="1537" w:type="dxa"/>
            <w:hideMark/>
          </w:tcPr>
          <w:p w14:paraId="4C1E79A4"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w:t>
            </w:r>
          </w:p>
        </w:tc>
        <w:tc>
          <w:tcPr>
            <w:tcW w:w="1537" w:type="dxa"/>
            <w:hideMark/>
          </w:tcPr>
          <w:p w14:paraId="482D67A9"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w:t>
            </w:r>
          </w:p>
        </w:tc>
        <w:tc>
          <w:tcPr>
            <w:tcW w:w="1537" w:type="dxa"/>
            <w:hideMark/>
          </w:tcPr>
          <w:p w14:paraId="10EEAB7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w:t>
            </w:r>
          </w:p>
        </w:tc>
      </w:tr>
      <w:tr w:rsidR="00DF0333" w:rsidRPr="00DF0333" w14:paraId="25D18DCD" w14:textId="77777777" w:rsidTr="00E7337F">
        <w:trPr>
          <w:trHeight w:val="230"/>
          <w:jc w:val="center"/>
        </w:trPr>
        <w:tc>
          <w:tcPr>
            <w:tcW w:w="4739" w:type="dxa"/>
            <w:noWrap/>
            <w:hideMark/>
          </w:tcPr>
          <w:p w14:paraId="3D02ADE2"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 xml:space="preserve">  Other Operating Expense, Total</w:t>
            </w:r>
          </w:p>
        </w:tc>
        <w:tc>
          <w:tcPr>
            <w:tcW w:w="1537" w:type="dxa"/>
            <w:hideMark/>
          </w:tcPr>
          <w:p w14:paraId="2AD598E2"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2,067.5 </w:t>
            </w:r>
          </w:p>
        </w:tc>
        <w:tc>
          <w:tcPr>
            <w:tcW w:w="1537" w:type="dxa"/>
            <w:hideMark/>
          </w:tcPr>
          <w:p w14:paraId="5F56F183"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2,238.4 </w:t>
            </w:r>
          </w:p>
        </w:tc>
        <w:tc>
          <w:tcPr>
            <w:tcW w:w="1537" w:type="dxa"/>
            <w:hideMark/>
          </w:tcPr>
          <w:p w14:paraId="257C1F82"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2,498.9 </w:t>
            </w:r>
          </w:p>
        </w:tc>
      </w:tr>
      <w:tr w:rsidR="00DF0333" w:rsidRPr="00DF0333" w14:paraId="39E66A90" w14:textId="77777777" w:rsidTr="00E7337F">
        <w:trPr>
          <w:trHeight w:val="230"/>
          <w:jc w:val="center"/>
        </w:trPr>
        <w:tc>
          <w:tcPr>
            <w:tcW w:w="4739" w:type="dxa"/>
            <w:noWrap/>
            <w:hideMark/>
          </w:tcPr>
          <w:p w14:paraId="7339C790" w14:textId="77777777" w:rsidR="00DF0333" w:rsidRPr="00DF0333" w:rsidRDefault="00DF0333" w:rsidP="00DF0333">
            <w:pPr>
              <w:rPr>
                <w:rFonts w:ascii="Arial" w:hAnsi="Arial" w:cs="Arial"/>
                <w:b/>
                <w:bCs/>
                <w:sz w:val="18"/>
                <w:szCs w:val="18"/>
                <w:lang w:val="en-GB"/>
              </w:rPr>
            </w:pPr>
          </w:p>
        </w:tc>
        <w:tc>
          <w:tcPr>
            <w:tcW w:w="1537" w:type="dxa"/>
            <w:noWrap/>
            <w:hideMark/>
          </w:tcPr>
          <w:p w14:paraId="0AA9D434" w14:textId="77777777" w:rsidR="00DF0333" w:rsidRPr="00DF0333" w:rsidRDefault="00DF0333" w:rsidP="00DF0333">
            <w:pPr>
              <w:jc w:val="right"/>
              <w:rPr>
                <w:rFonts w:ascii="Arial" w:hAnsi="Arial" w:cs="Arial"/>
                <w:sz w:val="18"/>
                <w:szCs w:val="18"/>
                <w:lang w:val="en-GB"/>
              </w:rPr>
            </w:pPr>
          </w:p>
        </w:tc>
        <w:tc>
          <w:tcPr>
            <w:tcW w:w="1537" w:type="dxa"/>
            <w:noWrap/>
            <w:hideMark/>
          </w:tcPr>
          <w:p w14:paraId="303E9028" w14:textId="77777777" w:rsidR="00DF0333" w:rsidRPr="00DF0333" w:rsidRDefault="00DF0333" w:rsidP="00DF0333">
            <w:pPr>
              <w:jc w:val="right"/>
              <w:rPr>
                <w:rFonts w:ascii="Arial" w:hAnsi="Arial" w:cs="Arial"/>
                <w:sz w:val="18"/>
                <w:szCs w:val="18"/>
                <w:lang w:val="en-GB"/>
              </w:rPr>
            </w:pPr>
          </w:p>
        </w:tc>
        <w:tc>
          <w:tcPr>
            <w:tcW w:w="1537" w:type="dxa"/>
            <w:noWrap/>
            <w:hideMark/>
          </w:tcPr>
          <w:p w14:paraId="6B2D0A06" w14:textId="77777777" w:rsidR="00DF0333" w:rsidRPr="00DF0333" w:rsidRDefault="00DF0333" w:rsidP="00DF0333">
            <w:pPr>
              <w:jc w:val="right"/>
              <w:rPr>
                <w:rFonts w:ascii="Arial" w:hAnsi="Arial" w:cs="Arial"/>
                <w:sz w:val="18"/>
                <w:szCs w:val="18"/>
                <w:lang w:val="en-GB"/>
              </w:rPr>
            </w:pPr>
          </w:p>
        </w:tc>
      </w:tr>
      <w:tr w:rsidR="00DF0333" w:rsidRPr="00DF0333" w14:paraId="50310256" w14:textId="77777777" w:rsidTr="00E7337F">
        <w:trPr>
          <w:trHeight w:val="230"/>
          <w:jc w:val="center"/>
        </w:trPr>
        <w:tc>
          <w:tcPr>
            <w:tcW w:w="4739" w:type="dxa"/>
            <w:noWrap/>
            <w:hideMark/>
          </w:tcPr>
          <w:p w14:paraId="5792DCD2"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 xml:space="preserve">  Operating Income</w:t>
            </w:r>
          </w:p>
        </w:tc>
        <w:tc>
          <w:tcPr>
            <w:tcW w:w="1537" w:type="dxa"/>
            <w:hideMark/>
          </w:tcPr>
          <w:p w14:paraId="382E3B35"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5,340.9 </w:t>
            </w:r>
          </w:p>
        </w:tc>
        <w:tc>
          <w:tcPr>
            <w:tcW w:w="1537" w:type="dxa"/>
            <w:hideMark/>
          </w:tcPr>
          <w:p w14:paraId="60A22EB4"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8,475.3 </w:t>
            </w:r>
          </w:p>
        </w:tc>
        <w:tc>
          <w:tcPr>
            <w:tcW w:w="1537" w:type="dxa"/>
            <w:hideMark/>
          </w:tcPr>
          <w:p w14:paraId="48E6900C"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6,276.4 </w:t>
            </w:r>
          </w:p>
        </w:tc>
      </w:tr>
      <w:tr w:rsidR="00DF0333" w:rsidRPr="00DF0333" w14:paraId="2D50255C" w14:textId="77777777" w:rsidTr="00E7337F">
        <w:trPr>
          <w:trHeight w:val="230"/>
          <w:jc w:val="center"/>
        </w:trPr>
        <w:tc>
          <w:tcPr>
            <w:tcW w:w="4739" w:type="dxa"/>
            <w:noWrap/>
            <w:hideMark/>
          </w:tcPr>
          <w:p w14:paraId="03337F41" w14:textId="77777777" w:rsidR="00DF0333" w:rsidRPr="00DF0333" w:rsidRDefault="00DF0333" w:rsidP="00DF0333">
            <w:pPr>
              <w:rPr>
                <w:rFonts w:ascii="Arial" w:hAnsi="Arial" w:cs="Arial"/>
                <w:b/>
                <w:bCs/>
                <w:sz w:val="18"/>
                <w:szCs w:val="18"/>
                <w:lang w:val="en-GB"/>
              </w:rPr>
            </w:pPr>
          </w:p>
        </w:tc>
        <w:tc>
          <w:tcPr>
            <w:tcW w:w="1537" w:type="dxa"/>
            <w:noWrap/>
            <w:hideMark/>
          </w:tcPr>
          <w:p w14:paraId="69A58434" w14:textId="77777777" w:rsidR="00DF0333" w:rsidRPr="00DF0333" w:rsidRDefault="00DF0333" w:rsidP="00DF0333">
            <w:pPr>
              <w:jc w:val="right"/>
              <w:rPr>
                <w:rFonts w:ascii="Arial" w:hAnsi="Arial" w:cs="Arial"/>
                <w:sz w:val="18"/>
                <w:szCs w:val="18"/>
                <w:lang w:val="en-GB"/>
              </w:rPr>
            </w:pPr>
          </w:p>
        </w:tc>
        <w:tc>
          <w:tcPr>
            <w:tcW w:w="1537" w:type="dxa"/>
            <w:noWrap/>
            <w:hideMark/>
          </w:tcPr>
          <w:p w14:paraId="0DCDA373" w14:textId="77777777" w:rsidR="00DF0333" w:rsidRPr="00DF0333" w:rsidRDefault="00DF0333" w:rsidP="00DF0333">
            <w:pPr>
              <w:jc w:val="right"/>
              <w:rPr>
                <w:rFonts w:ascii="Arial" w:hAnsi="Arial" w:cs="Arial"/>
                <w:sz w:val="18"/>
                <w:szCs w:val="18"/>
                <w:lang w:val="en-GB"/>
              </w:rPr>
            </w:pPr>
          </w:p>
        </w:tc>
        <w:tc>
          <w:tcPr>
            <w:tcW w:w="1537" w:type="dxa"/>
            <w:noWrap/>
            <w:hideMark/>
          </w:tcPr>
          <w:p w14:paraId="2504341E" w14:textId="77777777" w:rsidR="00DF0333" w:rsidRPr="00DF0333" w:rsidRDefault="00DF0333" w:rsidP="00DF0333">
            <w:pPr>
              <w:jc w:val="right"/>
              <w:rPr>
                <w:rFonts w:ascii="Arial" w:hAnsi="Arial" w:cs="Arial"/>
                <w:sz w:val="18"/>
                <w:szCs w:val="18"/>
                <w:lang w:val="en-GB"/>
              </w:rPr>
            </w:pPr>
          </w:p>
        </w:tc>
      </w:tr>
      <w:tr w:rsidR="00DF0333" w:rsidRPr="00DF0333" w14:paraId="3459DB0F" w14:textId="77777777" w:rsidTr="00E7337F">
        <w:trPr>
          <w:trHeight w:val="230"/>
          <w:jc w:val="center"/>
        </w:trPr>
        <w:tc>
          <w:tcPr>
            <w:tcW w:w="4739" w:type="dxa"/>
            <w:noWrap/>
            <w:hideMark/>
          </w:tcPr>
          <w:p w14:paraId="76B618AE"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Interest Expense</w:t>
            </w:r>
          </w:p>
        </w:tc>
        <w:tc>
          <w:tcPr>
            <w:tcW w:w="1537" w:type="dxa"/>
            <w:hideMark/>
          </w:tcPr>
          <w:p w14:paraId="42DDB862"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(415.7)  </w:t>
            </w:r>
          </w:p>
        </w:tc>
        <w:tc>
          <w:tcPr>
            <w:tcW w:w="1537" w:type="dxa"/>
            <w:hideMark/>
          </w:tcPr>
          <w:p w14:paraId="4EF7541A"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(564.1)  </w:t>
            </w:r>
          </w:p>
        </w:tc>
        <w:tc>
          <w:tcPr>
            <w:tcW w:w="1537" w:type="dxa"/>
            <w:hideMark/>
          </w:tcPr>
          <w:p w14:paraId="016254BF"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(506.8)  </w:t>
            </w:r>
          </w:p>
        </w:tc>
      </w:tr>
      <w:tr w:rsidR="00DF0333" w:rsidRPr="00DF0333" w14:paraId="4F05C78B" w14:textId="77777777" w:rsidTr="00E7337F">
        <w:trPr>
          <w:trHeight w:val="230"/>
          <w:jc w:val="center"/>
        </w:trPr>
        <w:tc>
          <w:tcPr>
            <w:tcW w:w="4739" w:type="dxa"/>
            <w:noWrap/>
            <w:hideMark/>
          </w:tcPr>
          <w:p w14:paraId="7635A6B7"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Interest and Investment Income</w:t>
            </w:r>
          </w:p>
        </w:tc>
        <w:tc>
          <w:tcPr>
            <w:tcW w:w="1537" w:type="dxa"/>
            <w:hideMark/>
          </w:tcPr>
          <w:p w14:paraId="03499EC7"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376.2 </w:t>
            </w:r>
          </w:p>
        </w:tc>
        <w:tc>
          <w:tcPr>
            <w:tcW w:w="1537" w:type="dxa"/>
            <w:hideMark/>
          </w:tcPr>
          <w:p w14:paraId="3A5CDD62"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700.5 </w:t>
            </w:r>
          </w:p>
        </w:tc>
        <w:tc>
          <w:tcPr>
            <w:tcW w:w="1537" w:type="dxa"/>
            <w:hideMark/>
          </w:tcPr>
          <w:p w14:paraId="17A5CF13"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494.9 </w:t>
            </w:r>
          </w:p>
        </w:tc>
      </w:tr>
      <w:tr w:rsidR="00DF0333" w:rsidRPr="00DF0333" w14:paraId="46B1DA9B" w14:textId="77777777" w:rsidTr="00E7337F">
        <w:trPr>
          <w:trHeight w:val="230"/>
          <w:jc w:val="center"/>
        </w:trPr>
        <w:tc>
          <w:tcPr>
            <w:tcW w:w="4739" w:type="dxa"/>
            <w:noWrap/>
            <w:hideMark/>
          </w:tcPr>
          <w:p w14:paraId="2BC50FD1"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 xml:space="preserve">  Net Interest Expenses</w:t>
            </w:r>
          </w:p>
        </w:tc>
        <w:tc>
          <w:tcPr>
            <w:tcW w:w="1537" w:type="dxa"/>
            <w:hideMark/>
          </w:tcPr>
          <w:p w14:paraId="41FC831E"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(39.5)  </w:t>
            </w:r>
          </w:p>
        </w:tc>
        <w:tc>
          <w:tcPr>
            <w:tcW w:w="1537" w:type="dxa"/>
            <w:hideMark/>
          </w:tcPr>
          <w:p w14:paraId="0F3EE699"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136.4 </w:t>
            </w:r>
          </w:p>
        </w:tc>
        <w:tc>
          <w:tcPr>
            <w:tcW w:w="1537" w:type="dxa"/>
            <w:hideMark/>
          </w:tcPr>
          <w:p w14:paraId="7B21471B"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(11.9)  </w:t>
            </w:r>
          </w:p>
        </w:tc>
      </w:tr>
      <w:tr w:rsidR="00DF0333" w:rsidRPr="00DF0333" w14:paraId="6ABD99A8" w14:textId="77777777" w:rsidTr="00E7337F">
        <w:trPr>
          <w:trHeight w:val="230"/>
          <w:jc w:val="center"/>
        </w:trPr>
        <w:tc>
          <w:tcPr>
            <w:tcW w:w="4739" w:type="dxa"/>
            <w:noWrap/>
            <w:hideMark/>
          </w:tcPr>
          <w:p w14:paraId="301C59A1" w14:textId="77777777" w:rsidR="00DF0333" w:rsidRPr="00DF0333" w:rsidRDefault="00DF0333" w:rsidP="00DF0333">
            <w:pPr>
              <w:rPr>
                <w:rFonts w:ascii="Arial" w:hAnsi="Arial" w:cs="Arial"/>
                <w:b/>
                <w:bCs/>
                <w:sz w:val="18"/>
                <w:szCs w:val="18"/>
                <w:lang w:val="en-GB"/>
              </w:rPr>
            </w:pPr>
          </w:p>
        </w:tc>
        <w:tc>
          <w:tcPr>
            <w:tcW w:w="1537" w:type="dxa"/>
            <w:noWrap/>
            <w:hideMark/>
          </w:tcPr>
          <w:p w14:paraId="4AA74FDA" w14:textId="77777777" w:rsidR="00DF0333" w:rsidRPr="00DF0333" w:rsidRDefault="00DF0333" w:rsidP="00DF0333">
            <w:pPr>
              <w:jc w:val="right"/>
              <w:rPr>
                <w:rFonts w:ascii="Arial" w:hAnsi="Arial" w:cs="Arial"/>
                <w:sz w:val="18"/>
                <w:szCs w:val="18"/>
                <w:lang w:val="en-GB"/>
              </w:rPr>
            </w:pPr>
          </w:p>
        </w:tc>
        <w:tc>
          <w:tcPr>
            <w:tcW w:w="1537" w:type="dxa"/>
            <w:noWrap/>
            <w:hideMark/>
          </w:tcPr>
          <w:p w14:paraId="0FAF3A49" w14:textId="77777777" w:rsidR="00DF0333" w:rsidRPr="00DF0333" w:rsidRDefault="00DF0333" w:rsidP="00DF0333">
            <w:pPr>
              <w:jc w:val="right"/>
              <w:rPr>
                <w:rFonts w:ascii="Arial" w:hAnsi="Arial" w:cs="Arial"/>
                <w:sz w:val="18"/>
                <w:szCs w:val="18"/>
                <w:lang w:val="en-GB"/>
              </w:rPr>
            </w:pPr>
          </w:p>
        </w:tc>
        <w:tc>
          <w:tcPr>
            <w:tcW w:w="1537" w:type="dxa"/>
            <w:noWrap/>
            <w:hideMark/>
          </w:tcPr>
          <w:p w14:paraId="505BBF10" w14:textId="77777777" w:rsidR="00DF0333" w:rsidRPr="00DF0333" w:rsidRDefault="00DF0333" w:rsidP="00DF0333">
            <w:pPr>
              <w:jc w:val="right"/>
              <w:rPr>
                <w:rFonts w:ascii="Arial" w:hAnsi="Arial" w:cs="Arial"/>
                <w:sz w:val="18"/>
                <w:szCs w:val="18"/>
                <w:lang w:val="en-GB"/>
              </w:rPr>
            </w:pPr>
          </w:p>
        </w:tc>
      </w:tr>
      <w:tr w:rsidR="00DF0333" w:rsidRPr="00DF0333" w14:paraId="76F0D0E9" w14:textId="77777777" w:rsidTr="00E7337F">
        <w:trPr>
          <w:trHeight w:val="230"/>
          <w:jc w:val="center"/>
        </w:trPr>
        <w:tc>
          <w:tcPr>
            <w:tcW w:w="4739" w:type="dxa"/>
            <w:noWrap/>
            <w:hideMark/>
          </w:tcPr>
          <w:p w14:paraId="06BCC1DD"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Income/(Loss) from Affiliates</w:t>
            </w:r>
          </w:p>
        </w:tc>
        <w:tc>
          <w:tcPr>
            <w:tcW w:w="1537" w:type="dxa"/>
            <w:hideMark/>
          </w:tcPr>
          <w:p w14:paraId="1265EA1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833.2 </w:t>
            </w:r>
          </w:p>
        </w:tc>
        <w:tc>
          <w:tcPr>
            <w:tcW w:w="1537" w:type="dxa"/>
            <w:hideMark/>
          </w:tcPr>
          <w:p w14:paraId="6AD34887"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513.5 </w:t>
            </w:r>
          </w:p>
        </w:tc>
        <w:tc>
          <w:tcPr>
            <w:tcW w:w="1537" w:type="dxa"/>
            <w:hideMark/>
          </w:tcPr>
          <w:p w14:paraId="469255C2"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1,570.0 </w:t>
            </w:r>
          </w:p>
        </w:tc>
      </w:tr>
      <w:tr w:rsidR="00DF0333" w:rsidRPr="00DF0333" w14:paraId="024C1095" w14:textId="77777777" w:rsidTr="00E7337F">
        <w:trPr>
          <w:trHeight w:val="230"/>
          <w:jc w:val="center"/>
        </w:trPr>
        <w:tc>
          <w:tcPr>
            <w:tcW w:w="4739" w:type="dxa"/>
            <w:noWrap/>
            <w:hideMark/>
          </w:tcPr>
          <w:p w14:paraId="0F8B67E5"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Currency Exchange Gains (Loss)</w:t>
            </w:r>
          </w:p>
        </w:tc>
        <w:tc>
          <w:tcPr>
            <w:tcW w:w="1537" w:type="dxa"/>
            <w:hideMark/>
          </w:tcPr>
          <w:p w14:paraId="721D6938"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196.5 </w:t>
            </w:r>
          </w:p>
        </w:tc>
        <w:tc>
          <w:tcPr>
            <w:tcW w:w="1537" w:type="dxa"/>
            <w:hideMark/>
          </w:tcPr>
          <w:p w14:paraId="6D5A8FEA"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26.1 </w:t>
            </w:r>
          </w:p>
        </w:tc>
        <w:tc>
          <w:tcPr>
            <w:tcW w:w="1537" w:type="dxa"/>
            <w:hideMark/>
          </w:tcPr>
          <w:p w14:paraId="464FE68A"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140.1 </w:t>
            </w:r>
          </w:p>
        </w:tc>
      </w:tr>
      <w:tr w:rsidR="00DF0333" w:rsidRPr="00DF0333" w14:paraId="67DB53B1" w14:textId="77777777" w:rsidTr="00E7337F">
        <w:trPr>
          <w:trHeight w:val="230"/>
          <w:jc w:val="center"/>
        </w:trPr>
        <w:tc>
          <w:tcPr>
            <w:tcW w:w="4739" w:type="dxa"/>
            <w:noWrap/>
            <w:hideMark/>
          </w:tcPr>
          <w:p w14:paraId="3B24CC71"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Other Non-operating Income (Expenses)</w:t>
            </w:r>
          </w:p>
        </w:tc>
        <w:tc>
          <w:tcPr>
            <w:tcW w:w="1537" w:type="dxa"/>
            <w:hideMark/>
          </w:tcPr>
          <w:p w14:paraId="0DC3DA41"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279.5 </w:t>
            </w:r>
          </w:p>
        </w:tc>
        <w:tc>
          <w:tcPr>
            <w:tcW w:w="1537" w:type="dxa"/>
            <w:hideMark/>
          </w:tcPr>
          <w:p w14:paraId="2D98B9D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356.5 </w:t>
            </w:r>
          </w:p>
        </w:tc>
        <w:tc>
          <w:tcPr>
            <w:tcW w:w="1537" w:type="dxa"/>
            <w:hideMark/>
          </w:tcPr>
          <w:p w14:paraId="571F53B6"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143.2 </w:t>
            </w:r>
          </w:p>
        </w:tc>
      </w:tr>
      <w:tr w:rsidR="00DF0333" w:rsidRPr="00DF0333" w14:paraId="0EE6FFEB" w14:textId="77777777" w:rsidTr="00E7337F">
        <w:trPr>
          <w:trHeight w:val="230"/>
          <w:jc w:val="center"/>
        </w:trPr>
        <w:tc>
          <w:tcPr>
            <w:tcW w:w="4739" w:type="dxa"/>
            <w:noWrap/>
            <w:hideMark/>
          </w:tcPr>
          <w:p w14:paraId="6426A0B0"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 xml:space="preserve">  EBT Excluding Unusual Items</w:t>
            </w:r>
          </w:p>
        </w:tc>
        <w:tc>
          <w:tcPr>
            <w:tcW w:w="1537" w:type="dxa"/>
            <w:hideMark/>
          </w:tcPr>
          <w:p w14:paraId="38EF75A7"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6,758.0 </w:t>
            </w:r>
          </w:p>
        </w:tc>
        <w:tc>
          <w:tcPr>
            <w:tcW w:w="1537" w:type="dxa"/>
            <w:hideMark/>
          </w:tcPr>
          <w:p w14:paraId="558148DB"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9,677.1 </w:t>
            </w:r>
          </w:p>
        </w:tc>
        <w:tc>
          <w:tcPr>
            <w:tcW w:w="1537" w:type="dxa"/>
            <w:hideMark/>
          </w:tcPr>
          <w:p w14:paraId="5BD4D472"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8,276.4 </w:t>
            </w:r>
          </w:p>
        </w:tc>
      </w:tr>
      <w:tr w:rsidR="00DF0333" w:rsidRPr="00DF0333" w14:paraId="667F0F5E" w14:textId="77777777" w:rsidTr="00E7337F">
        <w:trPr>
          <w:trHeight w:val="230"/>
          <w:jc w:val="center"/>
        </w:trPr>
        <w:tc>
          <w:tcPr>
            <w:tcW w:w="4739" w:type="dxa"/>
            <w:noWrap/>
            <w:hideMark/>
          </w:tcPr>
          <w:p w14:paraId="4EF4A06E" w14:textId="77777777" w:rsidR="00DF0333" w:rsidRPr="00DF0333" w:rsidRDefault="00DF0333" w:rsidP="00DF0333">
            <w:pPr>
              <w:rPr>
                <w:rFonts w:ascii="Arial" w:hAnsi="Arial" w:cs="Arial"/>
                <w:b/>
                <w:bCs/>
                <w:sz w:val="18"/>
                <w:szCs w:val="18"/>
                <w:lang w:val="en-GB"/>
              </w:rPr>
            </w:pPr>
          </w:p>
        </w:tc>
        <w:tc>
          <w:tcPr>
            <w:tcW w:w="1537" w:type="dxa"/>
            <w:noWrap/>
            <w:hideMark/>
          </w:tcPr>
          <w:p w14:paraId="19BB6F6F" w14:textId="77777777" w:rsidR="00DF0333" w:rsidRPr="00DF0333" w:rsidRDefault="00DF0333" w:rsidP="00DF0333">
            <w:pPr>
              <w:jc w:val="right"/>
              <w:rPr>
                <w:rFonts w:ascii="Arial" w:hAnsi="Arial" w:cs="Arial"/>
                <w:sz w:val="18"/>
                <w:szCs w:val="18"/>
                <w:lang w:val="en-GB"/>
              </w:rPr>
            </w:pPr>
          </w:p>
        </w:tc>
        <w:tc>
          <w:tcPr>
            <w:tcW w:w="1537" w:type="dxa"/>
            <w:noWrap/>
            <w:hideMark/>
          </w:tcPr>
          <w:p w14:paraId="46AEB623" w14:textId="77777777" w:rsidR="00DF0333" w:rsidRPr="00DF0333" w:rsidRDefault="00DF0333" w:rsidP="00DF0333">
            <w:pPr>
              <w:jc w:val="right"/>
              <w:rPr>
                <w:rFonts w:ascii="Arial" w:hAnsi="Arial" w:cs="Arial"/>
                <w:sz w:val="18"/>
                <w:szCs w:val="18"/>
                <w:lang w:val="en-GB"/>
              </w:rPr>
            </w:pPr>
          </w:p>
        </w:tc>
        <w:tc>
          <w:tcPr>
            <w:tcW w:w="1537" w:type="dxa"/>
            <w:noWrap/>
            <w:hideMark/>
          </w:tcPr>
          <w:p w14:paraId="378E3B20" w14:textId="77777777" w:rsidR="00DF0333" w:rsidRPr="00DF0333" w:rsidRDefault="00DF0333" w:rsidP="00DF0333">
            <w:pPr>
              <w:jc w:val="right"/>
              <w:rPr>
                <w:rFonts w:ascii="Arial" w:hAnsi="Arial" w:cs="Arial"/>
                <w:sz w:val="18"/>
                <w:szCs w:val="18"/>
                <w:lang w:val="en-GB"/>
              </w:rPr>
            </w:pPr>
          </w:p>
        </w:tc>
      </w:tr>
      <w:tr w:rsidR="00DF0333" w:rsidRPr="00DF0333" w14:paraId="78C18588" w14:textId="77777777" w:rsidTr="00E7337F">
        <w:trPr>
          <w:trHeight w:val="230"/>
          <w:jc w:val="center"/>
        </w:trPr>
        <w:tc>
          <w:tcPr>
            <w:tcW w:w="4739" w:type="dxa"/>
            <w:noWrap/>
            <w:hideMark/>
          </w:tcPr>
          <w:p w14:paraId="337D73B3"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Impairment of Goodwill</w:t>
            </w:r>
          </w:p>
        </w:tc>
        <w:tc>
          <w:tcPr>
            <w:tcW w:w="1537" w:type="dxa"/>
            <w:hideMark/>
          </w:tcPr>
          <w:p w14:paraId="6ECC58BD"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w:t>
            </w:r>
          </w:p>
        </w:tc>
        <w:tc>
          <w:tcPr>
            <w:tcW w:w="1537" w:type="dxa"/>
            <w:hideMark/>
          </w:tcPr>
          <w:p w14:paraId="30754C23"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3.4 </w:t>
            </w:r>
          </w:p>
        </w:tc>
        <w:tc>
          <w:tcPr>
            <w:tcW w:w="1537" w:type="dxa"/>
            <w:hideMark/>
          </w:tcPr>
          <w:p w14:paraId="1EF6AFC3"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704.1 </w:t>
            </w:r>
          </w:p>
        </w:tc>
      </w:tr>
      <w:tr w:rsidR="00DF0333" w:rsidRPr="00DF0333" w14:paraId="5880506E" w14:textId="77777777" w:rsidTr="00E7337F">
        <w:trPr>
          <w:trHeight w:val="230"/>
          <w:jc w:val="center"/>
        </w:trPr>
        <w:tc>
          <w:tcPr>
            <w:tcW w:w="4739" w:type="dxa"/>
            <w:noWrap/>
            <w:hideMark/>
          </w:tcPr>
          <w:p w14:paraId="332CAD5D"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Gain (Loss) on Sale of Investments</w:t>
            </w:r>
          </w:p>
        </w:tc>
        <w:tc>
          <w:tcPr>
            <w:tcW w:w="1537" w:type="dxa"/>
            <w:hideMark/>
          </w:tcPr>
          <w:p w14:paraId="5403A578"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106.1 </w:t>
            </w:r>
          </w:p>
        </w:tc>
        <w:tc>
          <w:tcPr>
            <w:tcW w:w="1537" w:type="dxa"/>
            <w:hideMark/>
          </w:tcPr>
          <w:p w14:paraId="2AEFE0E2"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107.9 </w:t>
            </w:r>
          </w:p>
        </w:tc>
        <w:tc>
          <w:tcPr>
            <w:tcW w:w="1537" w:type="dxa"/>
            <w:hideMark/>
          </w:tcPr>
          <w:p w14:paraId="4F931458"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3.9 </w:t>
            </w:r>
          </w:p>
        </w:tc>
      </w:tr>
      <w:tr w:rsidR="00DF0333" w:rsidRPr="00DF0333" w14:paraId="5CF5275E" w14:textId="77777777" w:rsidTr="00E7337F">
        <w:trPr>
          <w:trHeight w:val="230"/>
          <w:jc w:val="center"/>
        </w:trPr>
        <w:tc>
          <w:tcPr>
            <w:tcW w:w="4739" w:type="dxa"/>
            <w:noWrap/>
            <w:hideMark/>
          </w:tcPr>
          <w:p w14:paraId="4D9A6B58"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Gain (Loss) on Sale of Assets</w:t>
            </w:r>
          </w:p>
        </w:tc>
        <w:tc>
          <w:tcPr>
            <w:tcW w:w="1537" w:type="dxa"/>
            <w:hideMark/>
          </w:tcPr>
          <w:p w14:paraId="3814F193"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24.6 </w:t>
            </w:r>
          </w:p>
        </w:tc>
        <w:tc>
          <w:tcPr>
            <w:tcW w:w="1537" w:type="dxa"/>
            <w:hideMark/>
          </w:tcPr>
          <w:p w14:paraId="16846FB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549.7 </w:t>
            </w:r>
          </w:p>
        </w:tc>
        <w:tc>
          <w:tcPr>
            <w:tcW w:w="1537" w:type="dxa"/>
            <w:hideMark/>
          </w:tcPr>
          <w:p w14:paraId="71BF8F9B"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w:t>
            </w:r>
          </w:p>
        </w:tc>
      </w:tr>
      <w:tr w:rsidR="00DF0333" w:rsidRPr="00DF0333" w14:paraId="01ACB454" w14:textId="77777777" w:rsidTr="00E7337F">
        <w:trPr>
          <w:trHeight w:val="230"/>
          <w:jc w:val="center"/>
        </w:trPr>
        <w:tc>
          <w:tcPr>
            <w:tcW w:w="4739" w:type="dxa"/>
            <w:noWrap/>
            <w:hideMark/>
          </w:tcPr>
          <w:p w14:paraId="43F416F1"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 xml:space="preserve">Asset </w:t>
            </w:r>
            <w:proofErr w:type="spellStart"/>
            <w:r w:rsidRPr="00DF0333">
              <w:rPr>
                <w:rFonts w:ascii="Arial" w:hAnsi="Arial" w:cs="Arial"/>
                <w:sz w:val="18"/>
                <w:szCs w:val="18"/>
                <w:lang w:val="en-GB"/>
              </w:rPr>
              <w:t>Writedown</w:t>
            </w:r>
            <w:proofErr w:type="spellEnd"/>
          </w:p>
        </w:tc>
        <w:tc>
          <w:tcPr>
            <w:tcW w:w="1537" w:type="dxa"/>
            <w:hideMark/>
          </w:tcPr>
          <w:p w14:paraId="0620F492"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(188.0)  </w:t>
            </w:r>
          </w:p>
        </w:tc>
        <w:tc>
          <w:tcPr>
            <w:tcW w:w="1537" w:type="dxa"/>
            <w:hideMark/>
          </w:tcPr>
          <w:p w14:paraId="3953306C"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(80.9)  </w:t>
            </w:r>
          </w:p>
        </w:tc>
        <w:tc>
          <w:tcPr>
            <w:tcW w:w="1537" w:type="dxa"/>
            <w:hideMark/>
          </w:tcPr>
          <w:p w14:paraId="47757F98"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161.6 </w:t>
            </w:r>
          </w:p>
        </w:tc>
      </w:tr>
      <w:tr w:rsidR="00DF0333" w:rsidRPr="00DF0333" w14:paraId="360894F9" w14:textId="77777777" w:rsidTr="00E7337F">
        <w:trPr>
          <w:trHeight w:val="230"/>
          <w:jc w:val="center"/>
        </w:trPr>
        <w:tc>
          <w:tcPr>
            <w:tcW w:w="4739" w:type="dxa"/>
            <w:noWrap/>
            <w:hideMark/>
          </w:tcPr>
          <w:p w14:paraId="598EA047"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Other Unusual Items</w:t>
            </w:r>
          </w:p>
        </w:tc>
        <w:tc>
          <w:tcPr>
            <w:tcW w:w="1537" w:type="dxa"/>
            <w:hideMark/>
          </w:tcPr>
          <w:p w14:paraId="4FA7B29D"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w:t>
            </w:r>
          </w:p>
        </w:tc>
        <w:tc>
          <w:tcPr>
            <w:tcW w:w="1537" w:type="dxa"/>
            <w:hideMark/>
          </w:tcPr>
          <w:p w14:paraId="6F7C1450"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w:t>
            </w:r>
          </w:p>
        </w:tc>
        <w:tc>
          <w:tcPr>
            <w:tcW w:w="1537" w:type="dxa"/>
            <w:hideMark/>
          </w:tcPr>
          <w:p w14:paraId="062434C1"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w:t>
            </w:r>
          </w:p>
        </w:tc>
      </w:tr>
      <w:tr w:rsidR="00DF0333" w:rsidRPr="00DF0333" w14:paraId="0BA1C664" w14:textId="77777777" w:rsidTr="00E7337F">
        <w:trPr>
          <w:trHeight w:val="230"/>
          <w:jc w:val="center"/>
        </w:trPr>
        <w:tc>
          <w:tcPr>
            <w:tcW w:w="4739" w:type="dxa"/>
            <w:noWrap/>
            <w:hideMark/>
          </w:tcPr>
          <w:p w14:paraId="0247EB87"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 xml:space="preserve">  EBT Including Unusual Items</w:t>
            </w:r>
          </w:p>
        </w:tc>
        <w:tc>
          <w:tcPr>
            <w:tcW w:w="1537" w:type="dxa"/>
            <w:hideMark/>
          </w:tcPr>
          <w:p w14:paraId="1C235012"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6,700.7 </w:t>
            </w:r>
          </w:p>
        </w:tc>
        <w:tc>
          <w:tcPr>
            <w:tcW w:w="1537" w:type="dxa"/>
            <w:hideMark/>
          </w:tcPr>
          <w:p w14:paraId="11C37499"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10,257.2 </w:t>
            </w:r>
          </w:p>
        </w:tc>
        <w:tc>
          <w:tcPr>
            <w:tcW w:w="1537" w:type="dxa"/>
            <w:hideMark/>
          </w:tcPr>
          <w:p w14:paraId="125CC297"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9,146.1 </w:t>
            </w:r>
          </w:p>
        </w:tc>
      </w:tr>
      <w:tr w:rsidR="00DF0333" w:rsidRPr="00DF0333" w14:paraId="4E1CB19D" w14:textId="77777777" w:rsidTr="00E7337F">
        <w:trPr>
          <w:trHeight w:val="230"/>
          <w:jc w:val="center"/>
        </w:trPr>
        <w:tc>
          <w:tcPr>
            <w:tcW w:w="4739" w:type="dxa"/>
            <w:noWrap/>
            <w:hideMark/>
          </w:tcPr>
          <w:p w14:paraId="5844B242" w14:textId="77777777" w:rsidR="00DF0333" w:rsidRPr="00DF0333" w:rsidRDefault="00DF0333" w:rsidP="00DF0333">
            <w:pPr>
              <w:rPr>
                <w:rFonts w:ascii="Arial" w:hAnsi="Arial" w:cs="Arial"/>
                <w:b/>
                <w:bCs/>
                <w:sz w:val="18"/>
                <w:szCs w:val="18"/>
                <w:lang w:val="en-GB"/>
              </w:rPr>
            </w:pPr>
          </w:p>
        </w:tc>
        <w:tc>
          <w:tcPr>
            <w:tcW w:w="1537" w:type="dxa"/>
            <w:noWrap/>
            <w:hideMark/>
          </w:tcPr>
          <w:p w14:paraId="5E777633" w14:textId="77777777" w:rsidR="00DF0333" w:rsidRPr="00DF0333" w:rsidRDefault="00DF0333" w:rsidP="00DF0333">
            <w:pPr>
              <w:jc w:val="right"/>
              <w:rPr>
                <w:rFonts w:ascii="Arial" w:hAnsi="Arial" w:cs="Arial"/>
                <w:sz w:val="18"/>
                <w:szCs w:val="18"/>
                <w:lang w:val="en-GB"/>
              </w:rPr>
            </w:pPr>
          </w:p>
        </w:tc>
        <w:tc>
          <w:tcPr>
            <w:tcW w:w="1537" w:type="dxa"/>
            <w:noWrap/>
            <w:hideMark/>
          </w:tcPr>
          <w:p w14:paraId="27FE75C5" w14:textId="77777777" w:rsidR="00DF0333" w:rsidRPr="00DF0333" w:rsidRDefault="00DF0333" w:rsidP="00DF0333">
            <w:pPr>
              <w:jc w:val="right"/>
              <w:rPr>
                <w:rFonts w:ascii="Arial" w:hAnsi="Arial" w:cs="Arial"/>
                <w:sz w:val="18"/>
                <w:szCs w:val="18"/>
                <w:lang w:val="en-GB"/>
              </w:rPr>
            </w:pPr>
          </w:p>
        </w:tc>
        <w:tc>
          <w:tcPr>
            <w:tcW w:w="1537" w:type="dxa"/>
            <w:noWrap/>
            <w:hideMark/>
          </w:tcPr>
          <w:p w14:paraId="67F8C7FA" w14:textId="77777777" w:rsidR="00DF0333" w:rsidRPr="00DF0333" w:rsidRDefault="00DF0333" w:rsidP="00DF0333">
            <w:pPr>
              <w:jc w:val="right"/>
              <w:rPr>
                <w:rFonts w:ascii="Arial" w:hAnsi="Arial" w:cs="Arial"/>
                <w:sz w:val="18"/>
                <w:szCs w:val="18"/>
                <w:lang w:val="en-GB"/>
              </w:rPr>
            </w:pPr>
          </w:p>
        </w:tc>
      </w:tr>
      <w:tr w:rsidR="00DF0333" w:rsidRPr="00DF0333" w14:paraId="43139FEB" w14:textId="77777777" w:rsidTr="00E7337F">
        <w:trPr>
          <w:trHeight w:val="230"/>
          <w:jc w:val="center"/>
        </w:trPr>
        <w:tc>
          <w:tcPr>
            <w:tcW w:w="4739" w:type="dxa"/>
            <w:noWrap/>
            <w:hideMark/>
          </w:tcPr>
          <w:p w14:paraId="3DD6AE2D"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Income Tax Expense</w:t>
            </w:r>
          </w:p>
        </w:tc>
        <w:tc>
          <w:tcPr>
            <w:tcW w:w="1537" w:type="dxa"/>
            <w:hideMark/>
          </w:tcPr>
          <w:p w14:paraId="6FE4BB87"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2,582.8 </w:t>
            </w:r>
          </w:p>
        </w:tc>
        <w:tc>
          <w:tcPr>
            <w:tcW w:w="1537" w:type="dxa"/>
            <w:hideMark/>
          </w:tcPr>
          <w:p w14:paraId="34FB1950"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4,204.1 </w:t>
            </w:r>
          </w:p>
        </w:tc>
        <w:tc>
          <w:tcPr>
            <w:tcW w:w="1537" w:type="dxa"/>
            <w:hideMark/>
          </w:tcPr>
          <w:p w14:paraId="2006E1DD"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3,155.9 </w:t>
            </w:r>
          </w:p>
        </w:tc>
      </w:tr>
      <w:tr w:rsidR="00DF0333" w:rsidRPr="00DF0333" w14:paraId="22522D1C" w14:textId="77777777" w:rsidTr="00E7337F">
        <w:trPr>
          <w:trHeight w:val="230"/>
          <w:jc w:val="center"/>
        </w:trPr>
        <w:tc>
          <w:tcPr>
            <w:tcW w:w="4739" w:type="dxa"/>
            <w:noWrap/>
            <w:hideMark/>
          </w:tcPr>
          <w:p w14:paraId="62EAE2E5"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 xml:space="preserve">  Earnings from Continuing Operations</w:t>
            </w:r>
          </w:p>
        </w:tc>
        <w:tc>
          <w:tcPr>
            <w:tcW w:w="1541" w:type="dxa"/>
            <w:hideMark/>
          </w:tcPr>
          <w:p w14:paraId="680F53F0"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4,117.9 </w:t>
            </w:r>
          </w:p>
        </w:tc>
        <w:tc>
          <w:tcPr>
            <w:tcW w:w="1541" w:type="dxa"/>
            <w:hideMark/>
          </w:tcPr>
          <w:p w14:paraId="2F141BD8"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6,053.1 </w:t>
            </w:r>
          </w:p>
        </w:tc>
        <w:tc>
          <w:tcPr>
            <w:tcW w:w="1541" w:type="dxa"/>
            <w:hideMark/>
          </w:tcPr>
          <w:p w14:paraId="317CF866"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5,990.2 </w:t>
            </w:r>
          </w:p>
        </w:tc>
      </w:tr>
      <w:tr w:rsidR="00DF0333" w:rsidRPr="00DF0333" w14:paraId="29E2903A" w14:textId="77777777" w:rsidTr="00E7337F">
        <w:trPr>
          <w:trHeight w:val="230"/>
          <w:jc w:val="center"/>
        </w:trPr>
        <w:tc>
          <w:tcPr>
            <w:tcW w:w="4739" w:type="dxa"/>
            <w:noWrap/>
            <w:hideMark/>
          </w:tcPr>
          <w:p w14:paraId="45994CA9" w14:textId="77777777" w:rsidR="00DF0333" w:rsidRPr="00DF0333" w:rsidRDefault="00DF0333" w:rsidP="00DF0333">
            <w:pPr>
              <w:rPr>
                <w:rFonts w:ascii="Arial" w:hAnsi="Arial" w:cs="Arial"/>
                <w:b/>
                <w:bCs/>
                <w:sz w:val="18"/>
                <w:szCs w:val="18"/>
                <w:lang w:val="en-GB"/>
              </w:rPr>
            </w:pPr>
          </w:p>
        </w:tc>
        <w:tc>
          <w:tcPr>
            <w:tcW w:w="1541" w:type="dxa"/>
            <w:noWrap/>
            <w:hideMark/>
          </w:tcPr>
          <w:p w14:paraId="251EBFCB" w14:textId="77777777" w:rsidR="00DF0333" w:rsidRPr="00DF0333" w:rsidRDefault="00DF0333" w:rsidP="00DF0333">
            <w:pPr>
              <w:jc w:val="right"/>
              <w:rPr>
                <w:rFonts w:ascii="Arial" w:hAnsi="Arial" w:cs="Arial"/>
                <w:sz w:val="18"/>
                <w:szCs w:val="18"/>
                <w:lang w:val="en-GB"/>
              </w:rPr>
            </w:pPr>
          </w:p>
        </w:tc>
        <w:tc>
          <w:tcPr>
            <w:tcW w:w="1541" w:type="dxa"/>
            <w:noWrap/>
            <w:hideMark/>
          </w:tcPr>
          <w:p w14:paraId="27B0A4C4" w14:textId="77777777" w:rsidR="00DF0333" w:rsidRPr="00DF0333" w:rsidRDefault="00DF0333" w:rsidP="00DF0333">
            <w:pPr>
              <w:jc w:val="right"/>
              <w:rPr>
                <w:rFonts w:ascii="Arial" w:hAnsi="Arial" w:cs="Arial"/>
                <w:sz w:val="18"/>
                <w:szCs w:val="18"/>
                <w:lang w:val="en-GB"/>
              </w:rPr>
            </w:pPr>
          </w:p>
        </w:tc>
        <w:tc>
          <w:tcPr>
            <w:tcW w:w="1541" w:type="dxa"/>
            <w:noWrap/>
            <w:hideMark/>
          </w:tcPr>
          <w:p w14:paraId="3EADBAC3" w14:textId="77777777" w:rsidR="00DF0333" w:rsidRPr="00DF0333" w:rsidRDefault="00DF0333" w:rsidP="00DF0333">
            <w:pPr>
              <w:jc w:val="right"/>
              <w:rPr>
                <w:rFonts w:ascii="Arial" w:hAnsi="Arial" w:cs="Arial"/>
                <w:sz w:val="18"/>
                <w:szCs w:val="18"/>
                <w:lang w:val="en-GB"/>
              </w:rPr>
            </w:pPr>
          </w:p>
        </w:tc>
      </w:tr>
      <w:tr w:rsidR="00DF0333" w:rsidRPr="00DF0333" w14:paraId="7C54D8A1" w14:textId="77777777" w:rsidTr="00E7337F">
        <w:trPr>
          <w:trHeight w:val="230"/>
          <w:jc w:val="center"/>
        </w:trPr>
        <w:tc>
          <w:tcPr>
            <w:tcW w:w="4739" w:type="dxa"/>
            <w:noWrap/>
            <w:hideMark/>
          </w:tcPr>
          <w:p w14:paraId="73C3BC30"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Minority Interest in Earnings</w:t>
            </w:r>
          </w:p>
        </w:tc>
        <w:tc>
          <w:tcPr>
            <w:tcW w:w="1541" w:type="dxa"/>
            <w:hideMark/>
          </w:tcPr>
          <w:p w14:paraId="37176357"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(1,543.3)  </w:t>
            </w:r>
          </w:p>
        </w:tc>
        <w:tc>
          <w:tcPr>
            <w:tcW w:w="1541" w:type="dxa"/>
            <w:hideMark/>
          </w:tcPr>
          <w:p w14:paraId="174ADBA5"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(1,201.9)  </w:t>
            </w:r>
          </w:p>
        </w:tc>
        <w:tc>
          <w:tcPr>
            <w:tcW w:w="1541" w:type="dxa"/>
            <w:hideMark/>
          </w:tcPr>
          <w:p w14:paraId="2DD91705"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(1,104.7)  </w:t>
            </w:r>
          </w:p>
        </w:tc>
      </w:tr>
      <w:tr w:rsidR="00DF0333" w:rsidRPr="00DF0333" w14:paraId="08781588" w14:textId="77777777" w:rsidTr="00E7337F">
        <w:trPr>
          <w:trHeight w:val="230"/>
          <w:jc w:val="center"/>
        </w:trPr>
        <w:tc>
          <w:tcPr>
            <w:tcW w:w="4739" w:type="dxa"/>
            <w:noWrap/>
            <w:hideMark/>
          </w:tcPr>
          <w:p w14:paraId="5E079312"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 xml:space="preserve">  Net Income</w:t>
            </w:r>
          </w:p>
        </w:tc>
        <w:tc>
          <w:tcPr>
            <w:tcW w:w="1541" w:type="dxa"/>
            <w:hideMark/>
          </w:tcPr>
          <w:p w14:paraId="63A1F9AC" w14:textId="77777777" w:rsidR="00DF0333" w:rsidRPr="00DF0333" w:rsidRDefault="00DF0333" w:rsidP="00DF0333">
            <w:pPr>
              <w:jc w:val="right"/>
              <w:rPr>
                <w:rFonts w:ascii="Arial" w:hAnsi="Arial" w:cs="Arial"/>
                <w:b/>
                <w:bCs/>
                <w:sz w:val="18"/>
                <w:szCs w:val="18"/>
                <w:u w:val="double"/>
                <w:lang w:val="en-GB"/>
              </w:rPr>
            </w:pPr>
            <w:r w:rsidRPr="00DF0333">
              <w:rPr>
                <w:rFonts w:ascii="Arial" w:hAnsi="Arial" w:cs="Arial"/>
                <w:b/>
                <w:bCs/>
                <w:sz w:val="18"/>
                <w:szCs w:val="18"/>
                <w:u w:val="double"/>
                <w:lang w:val="en-GB"/>
              </w:rPr>
              <w:t xml:space="preserve">  2,574.6 </w:t>
            </w:r>
          </w:p>
        </w:tc>
        <w:tc>
          <w:tcPr>
            <w:tcW w:w="1541" w:type="dxa"/>
            <w:hideMark/>
          </w:tcPr>
          <w:p w14:paraId="57F4170C" w14:textId="77777777" w:rsidR="00DF0333" w:rsidRPr="00DF0333" w:rsidRDefault="00DF0333" w:rsidP="00DF0333">
            <w:pPr>
              <w:jc w:val="right"/>
              <w:rPr>
                <w:rFonts w:ascii="Arial" w:hAnsi="Arial" w:cs="Arial"/>
                <w:b/>
                <w:bCs/>
                <w:sz w:val="18"/>
                <w:szCs w:val="18"/>
                <w:u w:val="double"/>
                <w:lang w:val="en-GB"/>
              </w:rPr>
            </w:pPr>
            <w:r w:rsidRPr="00DF0333">
              <w:rPr>
                <w:rFonts w:ascii="Arial" w:hAnsi="Arial" w:cs="Arial"/>
                <w:b/>
                <w:bCs/>
                <w:sz w:val="18"/>
                <w:szCs w:val="18"/>
                <w:u w:val="double"/>
                <w:lang w:val="en-GB"/>
              </w:rPr>
              <w:t xml:space="preserve">  4,851.1 </w:t>
            </w:r>
          </w:p>
        </w:tc>
        <w:tc>
          <w:tcPr>
            <w:tcW w:w="1541" w:type="dxa"/>
            <w:hideMark/>
          </w:tcPr>
          <w:p w14:paraId="4A24FFD9" w14:textId="77777777" w:rsidR="00DF0333" w:rsidRPr="00DF0333" w:rsidRDefault="00DF0333" w:rsidP="00DF0333">
            <w:pPr>
              <w:jc w:val="right"/>
              <w:rPr>
                <w:rFonts w:ascii="Arial" w:hAnsi="Arial" w:cs="Arial"/>
                <w:b/>
                <w:bCs/>
                <w:sz w:val="18"/>
                <w:szCs w:val="18"/>
                <w:u w:val="double"/>
                <w:lang w:val="en-GB"/>
              </w:rPr>
            </w:pPr>
            <w:r w:rsidRPr="00DF0333">
              <w:rPr>
                <w:rFonts w:ascii="Arial" w:hAnsi="Arial" w:cs="Arial"/>
                <w:b/>
                <w:bCs/>
                <w:sz w:val="18"/>
                <w:szCs w:val="18"/>
                <w:u w:val="double"/>
                <w:lang w:val="en-GB"/>
              </w:rPr>
              <w:t xml:space="preserve">  4,885.5 </w:t>
            </w:r>
          </w:p>
        </w:tc>
      </w:tr>
      <w:tr w:rsidR="00DF0333" w:rsidRPr="00DF0333" w14:paraId="19E58BBF" w14:textId="77777777" w:rsidTr="00E7337F">
        <w:trPr>
          <w:trHeight w:val="230"/>
          <w:jc w:val="center"/>
        </w:trPr>
        <w:tc>
          <w:tcPr>
            <w:tcW w:w="4739" w:type="dxa"/>
            <w:noWrap/>
            <w:hideMark/>
          </w:tcPr>
          <w:p w14:paraId="01DEB2E4" w14:textId="77777777" w:rsidR="00DF0333" w:rsidRPr="00DF0333" w:rsidRDefault="00DF0333" w:rsidP="00DF0333">
            <w:pPr>
              <w:rPr>
                <w:rFonts w:ascii="Arial" w:hAnsi="Arial" w:cs="Arial"/>
                <w:b/>
                <w:bCs/>
                <w:sz w:val="18"/>
                <w:szCs w:val="18"/>
                <w:u w:val="double"/>
                <w:lang w:val="en-GB"/>
              </w:rPr>
            </w:pPr>
          </w:p>
        </w:tc>
        <w:tc>
          <w:tcPr>
            <w:tcW w:w="1541" w:type="dxa"/>
            <w:noWrap/>
            <w:hideMark/>
          </w:tcPr>
          <w:p w14:paraId="578175F2" w14:textId="77777777" w:rsidR="00DF0333" w:rsidRPr="00DF0333" w:rsidRDefault="00DF0333" w:rsidP="00DF0333">
            <w:pPr>
              <w:jc w:val="right"/>
              <w:rPr>
                <w:rFonts w:ascii="Arial" w:hAnsi="Arial" w:cs="Arial"/>
                <w:sz w:val="18"/>
                <w:szCs w:val="18"/>
                <w:lang w:val="en-GB"/>
              </w:rPr>
            </w:pPr>
          </w:p>
        </w:tc>
        <w:tc>
          <w:tcPr>
            <w:tcW w:w="1541" w:type="dxa"/>
            <w:noWrap/>
            <w:hideMark/>
          </w:tcPr>
          <w:p w14:paraId="1C96A9B3" w14:textId="77777777" w:rsidR="00DF0333" w:rsidRPr="00DF0333" w:rsidRDefault="00DF0333" w:rsidP="00DF0333">
            <w:pPr>
              <w:jc w:val="right"/>
              <w:rPr>
                <w:rFonts w:ascii="Arial" w:hAnsi="Arial" w:cs="Arial"/>
                <w:sz w:val="18"/>
                <w:szCs w:val="18"/>
                <w:lang w:val="en-GB"/>
              </w:rPr>
            </w:pPr>
          </w:p>
        </w:tc>
        <w:tc>
          <w:tcPr>
            <w:tcW w:w="1541" w:type="dxa"/>
            <w:noWrap/>
            <w:hideMark/>
          </w:tcPr>
          <w:p w14:paraId="5AF8E7E8" w14:textId="77777777" w:rsidR="00DF0333" w:rsidRPr="00DF0333" w:rsidRDefault="00DF0333" w:rsidP="00DF0333">
            <w:pPr>
              <w:jc w:val="right"/>
              <w:rPr>
                <w:rFonts w:ascii="Arial" w:hAnsi="Arial" w:cs="Arial"/>
                <w:sz w:val="18"/>
                <w:szCs w:val="18"/>
                <w:lang w:val="en-GB"/>
              </w:rPr>
            </w:pPr>
          </w:p>
        </w:tc>
      </w:tr>
      <w:tr w:rsidR="00DF0333" w:rsidRPr="00DF0333" w14:paraId="5F9BD06D" w14:textId="77777777" w:rsidTr="00E7337F">
        <w:trPr>
          <w:trHeight w:val="230"/>
          <w:jc w:val="center"/>
        </w:trPr>
        <w:tc>
          <w:tcPr>
            <w:tcW w:w="4739" w:type="dxa"/>
            <w:noWrap/>
            <w:hideMark/>
          </w:tcPr>
          <w:p w14:paraId="162ED769"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Per Share Items</w:t>
            </w:r>
          </w:p>
        </w:tc>
        <w:tc>
          <w:tcPr>
            <w:tcW w:w="1541" w:type="dxa"/>
            <w:noWrap/>
            <w:hideMark/>
          </w:tcPr>
          <w:p w14:paraId="1E0A9364" w14:textId="77777777" w:rsidR="00DF0333" w:rsidRPr="00DF0333" w:rsidRDefault="00DF0333" w:rsidP="00DF0333">
            <w:pPr>
              <w:jc w:val="right"/>
              <w:rPr>
                <w:rFonts w:ascii="Arial" w:hAnsi="Arial" w:cs="Arial"/>
                <w:b/>
                <w:bCs/>
                <w:sz w:val="18"/>
                <w:szCs w:val="18"/>
                <w:lang w:val="en-GB"/>
              </w:rPr>
            </w:pPr>
          </w:p>
        </w:tc>
        <w:tc>
          <w:tcPr>
            <w:tcW w:w="1541" w:type="dxa"/>
            <w:noWrap/>
            <w:hideMark/>
          </w:tcPr>
          <w:p w14:paraId="16C5184E" w14:textId="77777777" w:rsidR="00DF0333" w:rsidRPr="00DF0333" w:rsidRDefault="00DF0333" w:rsidP="00DF0333">
            <w:pPr>
              <w:jc w:val="right"/>
              <w:rPr>
                <w:rFonts w:ascii="Arial" w:hAnsi="Arial" w:cs="Arial"/>
                <w:sz w:val="18"/>
                <w:szCs w:val="18"/>
                <w:lang w:val="en-GB"/>
              </w:rPr>
            </w:pPr>
          </w:p>
        </w:tc>
        <w:tc>
          <w:tcPr>
            <w:tcW w:w="1541" w:type="dxa"/>
            <w:noWrap/>
            <w:hideMark/>
          </w:tcPr>
          <w:p w14:paraId="22422BEC" w14:textId="77777777" w:rsidR="00DF0333" w:rsidRPr="00DF0333" w:rsidRDefault="00DF0333" w:rsidP="00DF0333">
            <w:pPr>
              <w:jc w:val="right"/>
              <w:rPr>
                <w:rFonts w:ascii="Arial" w:hAnsi="Arial" w:cs="Arial"/>
                <w:sz w:val="18"/>
                <w:szCs w:val="18"/>
                <w:lang w:val="en-GB"/>
              </w:rPr>
            </w:pPr>
          </w:p>
        </w:tc>
      </w:tr>
      <w:tr w:rsidR="00DF0333" w:rsidRPr="00DF0333" w14:paraId="3AA48AA8" w14:textId="77777777" w:rsidTr="00E7337F">
        <w:trPr>
          <w:trHeight w:val="230"/>
          <w:jc w:val="center"/>
        </w:trPr>
        <w:tc>
          <w:tcPr>
            <w:tcW w:w="4739" w:type="dxa"/>
            <w:noWrap/>
            <w:hideMark/>
          </w:tcPr>
          <w:p w14:paraId="7797E1AD"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Basic EPS</w:t>
            </w:r>
          </w:p>
        </w:tc>
        <w:tc>
          <w:tcPr>
            <w:tcW w:w="1541" w:type="dxa"/>
            <w:hideMark/>
          </w:tcPr>
          <w:p w14:paraId="18B9A243"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1.57 </w:t>
            </w:r>
          </w:p>
        </w:tc>
        <w:tc>
          <w:tcPr>
            <w:tcW w:w="1541" w:type="dxa"/>
            <w:hideMark/>
          </w:tcPr>
          <w:p w14:paraId="249293EC"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2.57 </w:t>
            </w:r>
          </w:p>
        </w:tc>
        <w:tc>
          <w:tcPr>
            <w:tcW w:w="1541" w:type="dxa"/>
            <w:hideMark/>
          </w:tcPr>
          <w:p w14:paraId="26418553"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2.18 </w:t>
            </w:r>
          </w:p>
        </w:tc>
      </w:tr>
      <w:tr w:rsidR="00DF0333" w:rsidRPr="00DF0333" w14:paraId="392100A0" w14:textId="77777777" w:rsidTr="00E7337F">
        <w:trPr>
          <w:trHeight w:val="230"/>
          <w:jc w:val="center"/>
        </w:trPr>
        <w:tc>
          <w:tcPr>
            <w:tcW w:w="4739" w:type="dxa"/>
            <w:noWrap/>
            <w:hideMark/>
          </w:tcPr>
          <w:p w14:paraId="55683023"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Diluted EPS</w:t>
            </w:r>
          </w:p>
        </w:tc>
        <w:tc>
          <w:tcPr>
            <w:tcW w:w="1541" w:type="dxa"/>
            <w:hideMark/>
          </w:tcPr>
          <w:p w14:paraId="190B9824"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1.55 </w:t>
            </w:r>
          </w:p>
        </w:tc>
        <w:tc>
          <w:tcPr>
            <w:tcW w:w="1541" w:type="dxa"/>
            <w:hideMark/>
          </w:tcPr>
          <w:p w14:paraId="6CD8665B"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2.37 </w:t>
            </w:r>
          </w:p>
        </w:tc>
        <w:tc>
          <w:tcPr>
            <w:tcW w:w="1541" w:type="dxa"/>
            <w:hideMark/>
          </w:tcPr>
          <w:p w14:paraId="44DBA3A0"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1.94 </w:t>
            </w:r>
          </w:p>
        </w:tc>
      </w:tr>
      <w:tr w:rsidR="00DF0333" w:rsidRPr="00DF0333" w14:paraId="28C26E96" w14:textId="77777777" w:rsidTr="00E7337F">
        <w:trPr>
          <w:trHeight w:val="230"/>
          <w:jc w:val="center"/>
        </w:trPr>
        <w:tc>
          <w:tcPr>
            <w:tcW w:w="4739" w:type="dxa"/>
            <w:noWrap/>
            <w:hideMark/>
          </w:tcPr>
          <w:p w14:paraId="4221C940" w14:textId="77777777" w:rsidR="00DF0333" w:rsidRPr="00DF0333" w:rsidRDefault="00DF0333" w:rsidP="00DF0333">
            <w:pPr>
              <w:rPr>
                <w:rFonts w:ascii="Arial" w:hAnsi="Arial" w:cs="Arial"/>
                <w:sz w:val="18"/>
                <w:szCs w:val="18"/>
                <w:lang w:val="en-GB"/>
              </w:rPr>
            </w:pPr>
          </w:p>
        </w:tc>
        <w:tc>
          <w:tcPr>
            <w:tcW w:w="1541" w:type="dxa"/>
            <w:noWrap/>
            <w:hideMark/>
          </w:tcPr>
          <w:p w14:paraId="25326EE6" w14:textId="77777777" w:rsidR="00DF0333" w:rsidRPr="00DF0333" w:rsidRDefault="00DF0333" w:rsidP="00DF0333">
            <w:pPr>
              <w:jc w:val="right"/>
              <w:rPr>
                <w:rFonts w:ascii="Arial" w:hAnsi="Arial" w:cs="Arial"/>
                <w:sz w:val="18"/>
                <w:szCs w:val="18"/>
                <w:lang w:val="en-GB"/>
              </w:rPr>
            </w:pPr>
          </w:p>
        </w:tc>
        <w:tc>
          <w:tcPr>
            <w:tcW w:w="1541" w:type="dxa"/>
            <w:noWrap/>
            <w:hideMark/>
          </w:tcPr>
          <w:p w14:paraId="1AD52E72" w14:textId="77777777" w:rsidR="00DF0333" w:rsidRPr="00DF0333" w:rsidRDefault="00DF0333" w:rsidP="00DF0333">
            <w:pPr>
              <w:jc w:val="right"/>
              <w:rPr>
                <w:rFonts w:ascii="Arial" w:hAnsi="Arial" w:cs="Arial"/>
                <w:sz w:val="18"/>
                <w:szCs w:val="18"/>
                <w:lang w:val="en-GB"/>
              </w:rPr>
            </w:pPr>
          </w:p>
        </w:tc>
        <w:tc>
          <w:tcPr>
            <w:tcW w:w="1541" w:type="dxa"/>
            <w:noWrap/>
            <w:hideMark/>
          </w:tcPr>
          <w:p w14:paraId="7F638A6D" w14:textId="77777777" w:rsidR="00DF0333" w:rsidRPr="00DF0333" w:rsidRDefault="00DF0333" w:rsidP="00DF0333">
            <w:pPr>
              <w:jc w:val="right"/>
              <w:rPr>
                <w:rFonts w:ascii="Arial" w:hAnsi="Arial" w:cs="Arial"/>
                <w:sz w:val="18"/>
                <w:szCs w:val="18"/>
                <w:lang w:val="en-GB"/>
              </w:rPr>
            </w:pPr>
          </w:p>
        </w:tc>
      </w:tr>
      <w:tr w:rsidR="00DF0333" w:rsidRPr="00DF0333" w14:paraId="1A93444D" w14:textId="77777777" w:rsidTr="00E7337F">
        <w:trPr>
          <w:trHeight w:val="230"/>
          <w:jc w:val="center"/>
        </w:trPr>
        <w:tc>
          <w:tcPr>
            <w:tcW w:w="4739" w:type="dxa"/>
            <w:noWrap/>
            <w:hideMark/>
          </w:tcPr>
          <w:p w14:paraId="4619350D"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Dividends per Share</w:t>
            </w:r>
          </w:p>
        </w:tc>
        <w:tc>
          <w:tcPr>
            <w:tcW w:w="1541" w:type="dxa"/>
            <w:hideMark/>
          </w:tcPr>
          <w:p w14:paraId="50151547"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0.1 </w:t>
            </w:r>
          </w:p>
        </w:tc>
        <w:tc>
          <w:tcPr>
            <w:tcW w:w="1541" w:type="dxa"/>
            <w:hideMark/>
          </w:tcPr>
          <w:p w14:paraId="53DE31AA"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0.5 </w:t>
            </w:r>
          </w:p>
        </w:tc>
        <w:tc>
          <w:tcPr>
            <w:tcW w:w="1541" w:type="dxa"/>
            <w:hideMark/>
          </w:tcPr>
          <w:p w14:paraId="0E241DA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0.43 </w:t>
            </w:r>
          </w:p>
        </w:tc>
      </w:tr>
      <w:tr w:rsidR="00DF0333" w:rsidRPr="00DF0333" w14:paraId="032A412B" w14:textId="77777777" w:rsidTr="00E7337F">
        <w:trPr>
          <w:trHeight w:val="230"/>
          <w:jc w:val="center"/>
        </w:trPr>
        <w:tc>
          <w:tcPr>
            <w:tcW w:w="4739" w:type="dxa"/>
            <w:noWrap/>
            <w:hideMark/>
          </w:tcPr>
          <w:p w14:paraId="1EAFF845" w14:textId="77777777" w:rsidR="00DF0333" w:rsidRPr="00DF0333" w:rsidRDefault="00DF0333" w:rsidP="00DF0333">
            <w:pPr>
              <w:rPr>
                <w:rFonts w:ascii="Arial" w:hAnsi="Arial" w:cs="Arial"/>
                <w:sz w:val="18"/>
                <w:szCs w:val="18"/>
                <w:lang w:val="en-GB"/>
              </w:rPr>
            </w:pPr>
            <w:proofErr w:type="spellStart"/>
            <w:r w:rsidRPr="00DF0333">
              <w:rPr>
                <w:rFonts w:ascii="Arial" w:hAnsi="Arial" w:cs="Arial"/>
                <w:sz w:val="18"/>
                <w:szCs w:val="18"/>
                <w:lang w:val="en-GB"/>
              </w:rPr>
              <w:t>Payout</w:t>
            </w:r>
            <w:proofErr w:type="spellEnd"/>
            <w:r w:rsidRPr="00DF0333">
              <w:rPr>
                <w:rFonts w:ascii="Arial" w:hAnsi="Arial" w:cs="Arial"/>
                <w:sz w:val="18"/>
                <w:szCs w:val="18"/>
                <w:lang w:val="en-GB"/>
              </w:rPr>
              <w:t xml:space="preserve"> Ratio (%)</w:t>
            </w:r>
          </w:p>
        </w:tc>
        <w:tc>
          <w:tcPr>
            <w:tcW w:w="1541" w:type="dxa"/>
            <w:hideMark/>
          </w:tcPr>
          <w:p w14:paraId="5FD42EA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22.9% </w:t>
            </w:r>
          </w:p>
        </w:tc>
        <w:tc>
          <w:tcPr>
            <w:tcW w:w="1541" w:type="dxa"/>
            <w:hideMark/>
          </w:tcPr>
          <w:p w14:paraId="6A0FAB37"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3.4% </w:t>
            </w:r>
          </w:p>
        </w:tc>
        <w:tc>
          <w:tcPr>
            <w:tcW w:w="1541" w:type="dxa"/>
            <w:hideMark/>
          </w:tcPr>
          <w:p w14:paraId="76284D4C"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25.8% </w:t>
            </w:r>
          </w:p>
        </w:tc>
      </w:tr>
      <w:tr w:rsidR="00DF0333" w:rsidRPr="00DF0333" w14:paraId="225D4C6A" w14:textId="77777777" w:rsidTr="00E7337F">
        <w:trPr>
          <w:trHeight w:val="230"/>
          <w:jc w:val="center"/>
        </w:trPr>
        <w:tc>
          <w:tcPr>
            <w:tcW w:w="4739" w:type="dxa"/>
            <w:noWrap/>
            <w:hideMark/>
          </w:tcPr>
          <w:p w14:paraId="0712B8F6" w14:textId="77777777" w:rsidR="00DF0333" w:rsidRPr="00DF0333" w:rsidRDefault="00DF0333" w:rsidP="00DF0333">
            <w:pPr>
              <w:rPr>
                <w:rFonts w:ascii="Arial" w:hAnsi="Arial" w:cs="Arial"/>
                <w:sz w:val="18"/>
                <w:szCs w:val="18"/>
                <w:lang w:val="en-GB"/>
              </w:rPr>
            </w:pPr>
          </w:p>
        </w:tc>
        <w:tc>
          <w:tcPr>
            <w:tcW w:w="1541" w:type="dxa"/>
            <w:noWrap/>
            <w:hideMark/>
          </w:tcPr>
          <w:p w14:paraId="744E5A88" w14:textId="77777777" w:rsidR="00DF0333" w:rsidRPr="00DF0333" w:rsidRDefault="00DF0333" w:rsidP="00DF0333">
            <w:pPr>
              <w:jc w:val="right"/>
              <w:rPr>
                <w:rFonts w:ascii="Arial" w:hAnsi="Arial" w:cs="Arial"/>
                <w:sz w:val="18"/>
                <w:szCs w:val="18"/>
                <w:lang w:val="en-GB"/>
              </w:rPr>
            </w:pPr>
          </w:p>
        </w:tc>
        <w:tc>
          <w:tcPr>
            <w:tcW w:w="1541" w:type="dxa"/>
            <w:noWrap/>
            <w:hideMark/>
          </w:tcPr>
          <w:p w14:paraId="7CF407D5" w14:textId="77777777" w:rsidR="00DF0333" w:rsidRPr="00DF0333" w:rsidRDefault="00DF0333" w:rsidP="00DF0333">
            <w:pPr>
              <w:jc w:val="right"/>
              <w:rPr>
                <w:rFonts w:ascii="Arial" w:hAnsi="Arial" w:cs="Arial"/>
                <w:sz w:val="18"/>
                <w:szCs w:val="18"/>
                <w:lang w:val="en-GB"/>
              </w:rPr>
            </w:pPr>
          </w:p>
        </w:tc>
        <w:tc>
          <w:tcPr>
            <w:tcW w:w="1541" w:type="dxa"/>
            <w:noWrap/>
            <w:hideMark/>
          </w:tcPr>
          <w:p w14:paraId="38DD71A3" w14:textId="77777777" w:rsidR="00DF0333" w:rsidRPr="00DF0333" w:rsidRDefault="00DF0333" w:rsidP="00DF0333">
            <w:pPr>
              <w:jc w:val="right"/>
              <w:rPr>
                <w:rFonts w:ascii="Arial" w:hAnsi="Arial" w:cs="Arial"/>
                <w:sz w:val="18"/>
                <w:szCs w:val="18"/>
                <w:lang w:val="en-GB"/>
              </w:rPr>
            </w:pPr>
          </w:p>
        </w:tc>
      </w:tr>
      <w:tr w:rsidR="00DF0333" w:rsidRPr="00DF0333" w14:paraId="7C88CF65" w14:textId="77777777" w:rsidTr="00E7337F">
        <w:trPr>
          <w:trHeight w:val="230"/>
          <w:jc w:val="center"/>
        </w:trPr>
        <w:tc>
          <w:tcPr>
            <w:tcW w:w="4739" w:type="dxa"/>
            <w:noWrap/>
            <w:hideMark/>
          </w:tcPr>
          <w:p w14:paraId="70493BF2"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Supplemental Items</w:t>
            </w:r>
          </w:p>
        </w:tc>
        <w:tc>
          <w:tcPr>
            <w:tcW w:w="1541" w:type="dxa"/>
            <w:noWrap/>
            <w:hideMark/>
          </w:tcPr>
          <w:p w14:paraId="448DB105" w14:textId="77777777" w:rsidR="00DF0333" w:rsidRPr="00DF0333" w:rsidRDefault="00DF0333" w:rsidP="00DF0333">
            <w:pPr>
              <w:jc w:val="right"/>
              <w:rPr>
                <w:rFonts w:ascii="Arial" w:hAnsi="Arial" w:cs="Arial"/>
                <w:b/>
                <w:bCs/>
                <w:sz w:val="18"/>
                <w:szCs w:val="18"/>
                <w:lang w:val="en-GB"/>
              </w:rPr>
            </w:pPr>
          </w:p>
        </w:tc>
        <w:tc>
          <w:tcPr>
            <w:tcW w:w="1541" w:type="dxa"/>
            <w:noWrap/>
            <w:hideMark/>
          </w:tcPr>
          <w:p w14:paraId="0ACCDB45" w14:textId="77777777" w:rsidR="00DF0333" w:rsidRPr="00DF0333" w:rsidRDefault="00DF0333" w:rsidP="00DF0333">
            <w:pPr>
              <w:jc w:val="right"/>
              <w:rPr>
                <w:rFonts w:ascii="Arial" w:hAnsi="Arial" w:cs="Arial"/>
                <w:sz w:val="18"/>
                <w:szCs w:val="18"/>
                <w:lang w:val="en-GB"/>
              </w:rPr>
            </w:pPr>
          </w:p>
        </w:tc>
        <w:tc>
          <w:tcPr>
            <w:tcW w:w="1541" w:type="dxa"/>
            <w:noWrap/>
            <w:hideMark/>
          </w:tcPr>
          <w:p w14:paraId="7004A05C" w14:textId="77777777" w:rsidR="00DF0333" w:rsidRPr="00DF0333" w:rsidRDefault="00DF0333" w:rsidP="00DF0333">
            <w:pPr>
              <w:jc w:val="right"/>
              <w:rPr>
                <w:rFonts w:ascii="Arial" w:hAnsi="Arial" w:cs="Arial"/>
                <w:sz w:val="18"/>
                <w:szCs w:val="18"/>
                <w:lang w:val="en-GB"/>
              </w:rPr>
            </w:pPr>
          </w:p>
        </w:tc>
      </w:tr>
      <w:tr w:rsidR="00DF0333" w:rsidRPr="00DF0333" w14:paraId="2C8B6C73" w14:textId="77777777" w:rsidTr="00E7337F">
        <w:trPr>
          <w:trHeight w:val="230"/>
          <w:jc w:val="center"/>
        </w:trPr>
        <w:tc>
          <w:tcPr>
            <w:tcW w:w="4739" w:type="dxa"/>
            <w:noWrap/>
            <w:hideMark/>
          </w:tcPr>
          <w:p w14:paraId="27895E23"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EBITDA</w:t>
            </w:r>
          </w:p>
        </w:tc>
        <w:tc>
          <w:tcPr>
            <w:tcW w:w="1541" w:type="dxa"/>
            <w:hideMark/>
          </w:tcPr>
          <w:p w14:paraId="5BED35B6"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5,630.8 </w:t>
            </w:r>
          </w:p>
        </w:tc>
        <w:tc>
          <w:tcPr>
            <w:tcW w:w="1541" w:type="dxa"/>
            <w:hideMark/>
          </w:tcPr>
          <w:p w14:paraId="36326E85"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8,804.9 </w:t>
            </w:r>
          </w:p>
        </w:tc>
        <w:tc>
          <w:tcPr>
            <w:tcW w:w="1541" w:type="dxa"/>
            <w:hideMark/>
          </w:tcPr>
          <w:p w14:paraId="47C6B145"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6,584.1 </w:t>
            </w:r>
          </w:p>
        </w:tc>
      </w:tr>
      <w:tr w:rsidR="00DF0333" w:rsidRPr="00DF0333" w14:paraId="2192FF96" w14:textId="77777777" w:rsidTr="00E7337F">
        <w:trPr>
          <w:trHeight w:val="230"/>
          <w:jc w:val="center"/>
        </w:trPr>
        <w:tc>
          <w:tcPr>
            <w:tcW w:w="4739" w:type="dxa"/>
            <w:noWrap/>
            <w:hideMark/>
          </w:tcPr>
          <w:p w14:paraId="7BCC3D15"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EBIT</w:t>
            </w:r>
          </w:p>
        </w:tc>
        <w:tc>
          <w:tcPr>
            <w:tcW w:w="1541" w:type="dxa"/>
            <w:hideMark/>
          </w:tcPr>
          <w:p w14:paraId="65504F81"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5,488.5 </w:t>
            </w:r>
          </w:p>
        </w:tc>
        <w:tc>
          <w:tcPr>
            <w:tcW w:w="1541" w:type="dxa"/>
            <w:hideMark/>
          </w:tcPr>
          <w:p w14:paraId="5506F1E3"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8,644.7 </w:t>
            </w:r>
          </w:p>
        </w:tc>
        <w:tc>
          <w:tcPr>
            <w:tcW w:w="1541" w:type="dxa"/>
            <w:hideMark/>
          </w:tcPr>
          <w:p w14:paraId="067A6C22"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6,435.0 </w:t>
            </w:r>
          </w:p>
        </w:tc>
      </w:tr>
    </w:tbl>
    <w:p w14:paraId="1F63EFEA" w14:textId="77777777" w:rsidR="00DF0333" w:rsidRPr="00DF0333" w:rsidRDefault="00DF0333" w:rsidP="00DF0333">
      <w:pPr>
        <w:jc w:val="both"/>
        <w:rPr>
          <w:rFonts w:ascii="Arial" w:hAnsi="Arial" w:cs="Arial"/>
          <w:sz w:val="18"/>
          <w:szCs w:val="18"/>
          <w:lang w:val="en-GB"/>
        </w:rPr>
      </w:pPr>
    </w:p>
    <w:p w14:paraId="57F7B65A" w14:textId="77777777" w:rsidR="00DF0333" w:rsidRPr="00DF0333" w:rsidRDefault="00DF0333" w:rsidP="00DF0333">
      <w:pPr>
        <w:spacing w:after="200" w:line="276" w:lineRule="auto"/>
        <w:rPr>
          <w:rFonts w:ascii="Arial" w:hAnsi="Arial" w:cs="Arial"/>
          <w:b/>
          <w:sz w:val="18"/>
          <w:szCs w:val="18"/>
          <w:lang w:val="en-GB"/>
        </w:rPr>
      </w:pPr>
      <w:r w:rsidRPr="00DF0333">
        <w:rPr>
          <w:rFonts w:ascii="Arial" w:hAnsi="Arial" w:cs="Arial"/>
          <w:sz w:val="18"/>
          <w:szCs w:val="18"/>
          <w:lang w:val="en-GB"/>
        </w:rPr>
        <w:br w:type="page"/>
      </w:r>
    </w:p>
    <w:p w14:paraId="551B8C6F" w14:textId="77777777" w:rsidR="00DF0333" w:rsidRPr="00DF0333" w:rsidRDefault="00DF0333" w:rsidP="00DF0333">
      <w:pPr>
        <w:jc w:val="center"/>
        <w:rPr>
          <w:rFonts w:ascii="Arial" w:hAnsi="Arial" w:cs="Arial"/>
          <w:b/>
          <w:caps/>
          <w:sz w:val="18"/>
          <w:szCs w:val="18"/>
          <w:lang w:val="en-GB"/>
        </w:rPr>
      </w:pPr>
      <w:r w:rsidRPr="00DF0333">
        <w:rPr>
          <w:rFonts w:ascii="Arial" w:hAnsi="Arial" w:cs="Arial"/>
          <w:b/>
          <w:caps/>
          <w:lang w:val="en-GB"/>
        </w:rPr>
        <w:lastRenderedPageBreak/>
        <w:t>Exhibit 3 (continued)</w:t>
      </w:r>
    </w:p>
    <w:p w14:paraId="1CE77430" w14:textId="77777777" w:rsidR="00DF0333" w:rsidRPr="00DF0333" w:rsidRDefault="00DF0333" w:rsidP="00DF0333">
      <w:pPr>
        <w:jc w:val="both"/>
        <w:rPr>
          <w:sz w:val="18"/>
          <w:szCs w:val="18"/>
          <w:lang w:val="en-GB"/>
        </w:rPr>
      </w:pPr>
    </w:p>
    <w:tbl>
      <w:tblPr>
        <w:tblStyle w:val="TableGrid1"/>
        <w:tblW w:w="0" w:type="auto"/>
        <w:jc w:val="center"/>
        <w:tblLook w:val="04A0" w:firstRow="1" w:lastRow="0" w:firstColumn="1" w:lastColumn="0" w:noHBand="0" w:noVBand="1"/>
      </w:tblPr>
      <w:tblGrid>
        <w:gridCol w:w="4739"/>
        <w:gridCol w:w="1537"/>
        <w:gridCol w:w="1537"/>
        <w:gridCol w:w="1537"/>
      </w:tblGrid>
      <w:tr w:rsidR="00DF0333" w:rsidRPr="00DF0333" w14:paraId="4E7F94C9" w14:textId="77777777" w:rsidTr="00E7337F">
        <w:trPr>
          <w:trHeight w:val="173"/>
          <w:jc w:val="center"/>
        </w:trPr>
        <w:tc>
          <w:tcPr>
            <w:tcW w:w="4739" w:type="dxa"/>
            <w:hideMark/>
          </w:tcPr>
          <w:p w14:paraId="7661248F" w14:textId="77777777" w:rsidR="00DF0333" w:rsidRPr="00DF0333" w:rsidRDefault="00DF0333" w:rsidP="00DF0333">
            <w:pPr>
              <w:rPr>
                <w:rFonts w:ascii="Arial" w:hAnsi="Arial" w:cs="Arial"/>
                <w:b/>
                <w:bCs/>
                <w:iCs/>
                <w:sz w:val="18"/>
                <w:szCs w:val="18"/>
                <w:lang w:val="en-GB"/>
              </w:rPr>
            </w:pPr>
            <w:r w:rsidRPr="00DF0333">
              <w:rPr>
                <w:rFonts w:ascii="Arial" w:hAnsi="Arial" w:cs="Arial"/>
                <w:b/>
                <w:bCs/>
                <w:iCs/>
                <w:sz w:val="18"/>
                <w:szCs w:val="18"/>
                <w:lang w:val="en-GB"/>
              </w:rPr>
              <w:t>Balance Sheet (as of)</w:t>
            </w:r>
          </w:p>
        </w:tc>
        <w:tc>
          <w:tcPr>
            <w:tcW w:w="1537" w:type="dxa"/>
            <w:hideMark/>
          </w:tcPr>
          <w:p w14:paraId="07C47AF6" w14:textId="77777777" w:rsidR="00DF0333" w:rsidRPr="00DF0333" w:rsidRDefault="00DF0333" w:rsidP="00240B1D">
            <w:pPr>
              <w:jc w:val="center"/>
              <w:rPr>
                <w:rFonts w:ascii="Arial" w:hAnsi="Arial" w:cs="Arial"/>
                <w:b/>
                <w:bCs/>
                <w:iCs/>
                <w:sz w:val="18"/>
                <w:szCs w:val="18"/>
                <w:lang w:val="en-GB"/>
              </w:rPr>
            </w:pPr>
            <w:r w:rsidRPr="00DF0333">
              <w:rPr>
                <w:rFonts w:ascii="Arial" w:hAnsi="Arial" w:cs="Arial"/>
                <w:b/>
                <w:bCs/>
                <w:iCs/>
                <w:sz w:val="18"/>
                <w:szCs w:val="18"/>
                <w:lang w:val="en-GB"/>
              </w:rPr>
              <w:t>Dec-31-2011</w:t>
            </w:r>
          </w:p>
        </w:tc>
        <w:tc>
          <w:tcPr>
            <w:tcW w:w="1537" w:type="dxa"/>
            <w:hideMark/>
          </w:tcPr>
          <w:p w14:paraId="17ADF055" w14:textId="77777777" w:rsidR="00DF0333" w:rsidRPr="00DF0333" w:rsidRDefault="00DF0333" w:rsidP="00240B1D">
            <w:pPr>
              <w:jc w:val="center"/>
              <w:rPr>
                <w:rFonts w:ascii="Arial" w:hAnsi="Arial" w:cs="Arial"/>
                <w:b/>
                <w:bCs/>
                <w:iCs/>
                <w:sz w:val="18"/>
                <w:szCs w:val="18"/>
                <w:lang w:val="en-GB"/>
              </w:rPr>
            </w:pPr>
            <w:r w:rsidRPr="00DF0333">
              <w:rPr>
                <w:rFonts w:ascii="Arial" w:hAnsi="Arial" w:cs="Arial"/>
                <w:b/>
                <w:bCs/>
                <w:iCs/>
                <w:sz w:val="18"/>
                <w:szCs w:val="18"/>
                <w:lang w:val="en-GB"/>
              </w:rPr>
              <w:t>Dec-31-2012</w:t>
            </w:r>
          </w:p>
        </w:tc>
        <w:tc>
          <w:tcPr>
            <w:tcW w:w="1537" w:type="dxa"/>
            <w:hideMark/>
          </w:tcPr>
          <w:p w14:paraId="06E9B2DE" w14:textId="77777777" w:rsidR="00DF0333" w:rsidRPr="00DF0333" w:rsidRDefault="00DF0333" w:rsidP="00240B1D">
            <w:pPr>
              <w:jc w:val="center"/>
              <w:rPr>
                <w:rFonts w:ascii="Arial" w:hAnsi="Arial" w:cs="Arial"/>
                <w:b/>
                <w:bCs/>
                <w:iCs/>
                <w:sz w:val="18"/>
                <w:szCs w:val="18"/>
                <w:lang w:val="en-GB"/>
              </w:rPr>
            </w:pPr>
            <w:r w:rsidRPr="00DF0333">
              <w:rPr>
                <w:rFonts w:ascii="Arial" w:hAnsi="Arial" w:cs="Arial"/>
                <w:b/>
                <w:bCs/>
                <w:iCs/>
                <w:sz w:val="18"/>
                <w:szCs w:val="18"/>
                <w:lang w:val="en-GB"/>
              </w:rPr>
              <w:t>Dec-31-2013</w:t>
            </w:r>
          </w:p>
        </w:tc>
      </w:tr>
      <w:tr w:rsidR="00DF0333" w:rsidRPr="00DF0333" w14:paraId="3F3A0749" w14:textId="77777777" w:rsidTr="00E7337F">
        <w:trPr>
          <w:trHeight w:val="173"/>
          <w:jc w:val="center"/>
        </w:trPr>
        <w:tc>
          <w:tcPr>
            <w:tcW w:w="4739" w:type="dxa"/>
            <w:hideMark/>
          </w:tcPr>
          <w:p w14:paraId="0F7BCE52" w14:textId="77777777" w:rsidR="00DF0333" w:rsidRPr="00DF0333" w:rsidRDefault="00DF0333" w:rsidP="00DF0333">
            <w:pPr>
              <w:rPr>
                <w:rFonts w:ascii="Arial" w:hAnsi="Arial" w:cs="Arial"/>
                <w:b/>
                <w:bCs/>
                <w:i/>
                <w:iCs/>
                <w:sz w:val="18"/>
                <w:szCs w:val="18"/>
                <w:lang w:val="en-GB"/>
              </w:rPr>
            </w:pPr>
            <w:r w:rsidRPr="00DF0333">
              <w:rPr>
                <w:rFonts w:ascii="Arial" w:hAnsi="Arial" w:cs="Arial"/>
                <w:b/>
                <w:bCs/>
                <w:i/>
                <w:iCs/>
                <w:sz w:val="18"/>
                <w:szCs w:val="18"/>
                <w:lang w:val="en-GB"/>
              </w:rPr>
              <w:t>Currency</w:t>
            </w:r>
          </w:p>
        </w:tc>
        <w:tc>
          <w:tcPr>
            <w:tcW w:w="1537" w:type="dxa"/>
            <w:hideMark/>
          </w:tcPr>
          <w:p w14:paraId="1BA6D777" w14:textId="77777777" w:rsidR="00DF0333" w:rsidRPr="00DF0333" w:rsidRDefault="00DF0333" w:rsidP="00DF0333">
            <w:pPr>
              <w:jc w:val="right"/>
              <w:rPr>
                <w:rFonts w:ascii="Arial" w:hAnsi="Arial" w:cs="Arial"/>
                <w:b/>
                <w:bCs/>
                <w:i/>
                <w:iCs/>
                <w:sz w:val="18"/>
                <w:szCs w:val="18"/>
                <w:lang w:val="en-GB"/>
              </w:rPr>
            </w:pPr>
            <w:r w:rsidRPr="00DF0333">
              <w:rPr>
                <w:rFonts w:ascii="Arial" w:hAnsi="Arial" w:cs="Arial"/>
                <w:b/>
                <w:bCs/>
                <w:i/>
                <w:iCs/>
                <w:sz w:val="18"/>
                <w:szCs w:val="18"/>
                <w:lang w:val="en-GB"/>
              </w:rPr>
              <w:t>CNY</w:t>
            </w:r>
          </w:p>
        </w:tc>
        <w:tc>
          <w:tcPr>
            <w:tcW w:w="1537" w:type="dxa"/>
            <w:hideMark/>
          </w:tcPr>
          <w:p w14:paraId="6AA4A221" w14:textId="77777777" w:rsidR="00DF0333" w:rsidRPr="00DF0333" w:rsidRDefault="00DF0333" w:rsidP="00DF0333">
            <w:pPr>
              <w:jc w:val="right"/>
              <w:rPr>
                <w:rFonts w:ascii="Arial" w:hAnsi="Arial" w:cs="Arial"/>
                <w:b/>
                <w:bCs/>
                <w:i/>
                <w:iCs/>
                <w:sz w:val="18"/>
                <w:szCs w:val="18"/>
                <w:lang w:val="en-GB"/>
              </w:rPr>
            </w:pPr>
            <w:r w:rsidRPr="00DF0333">
              <w:rPr>
                <w:rFonts w:ascii="Arial" w:hAnsi="Arial" w:cs="Arial"/>
                <w:b/>
                <w:bCs/>
                <w:i/>
                <w:iCs/>
                <w:sz w:val="18"/>
                <w:szCs w:val="18"/>
                <w:lang w:val="en-GB"/>
              </w:rPr>
              <w:t>CNY</w:t>
            </w:r>
          </w:p>
        </w:tc>
        <w:tc>
          <w:tcPr>
            <w:tcW w:w="1537" w:type="dxa"/>
            <w:hideMark/>
          </w:tcPr>
          <w:p w14:paraId="48ECCB24" w14:textId="77777777" w:rsidR="00DF0333" w:rsidRPr="00DF0333" w:rsidRDefault="00DF0333" w:rsidP="00DF0333">
            <w:pPr>
              <w:jc w:val="right"/>
              <w:rPr>
                <w:rFonts w:ascii="Arial" w:hAnsi="Arial" w:cs="Arial"/>
                <w:b/>
                <w:bCs/>
                <w:i/>
                <w:iCs/>
                <w:sz w:val="18"/>
                <w:szCs w:val="18"/>
                <w:lang w:val="en-GB"/>
              </w:rPr>
            </w:pPr>
            <w:r w:rsidRPr="00DF0333">
              <w:rPr>
                <w:rFonts w:ascii="Arial" w:hAnsi="Arial" w:cs="Arial"/>
                <w:b/>
                <w:bCs/>
                <w:i/>
                <w:iCs/>
                <w:sz w:val="18"/>
                <w:szCs w:val="18"/>
                <w:lang w:val="en-GB"/>
              </w:rPr>
              <w:t>CNY</w:t>
            </w:r>
          </w:p>
        </w:tc>
      </w:tr>
      <w:tr w:rsidR="00DF0333" w:rsidRPr="00DF0333" w14:paraId="172D46DF" w14:textId="77777777" w:rsidTr="00E7337F">
        <w:trPr>
          <w:trHeight w:val="173"/>
          <w:jc w:val="center"/>
        </w:trPr>
        <w:tc>
          <w:tcPr>
            <w:tcW w:w="4739" w:type="dxa"/>
            <w:noWrap/>
            <w:hideMark/>
          </w:tcPr>
          <w:p w14:paraId="303641E1" w14:textId="77777777" w:rsidR="00DF0333" w:rsidRPr="00DF0333" w:rsidRDefault="00DF0333" w:rsidP="00DF0333">
            <w:pPr>
              <w:rPr>
                <w:rFonts w:ascii="Arial" w:hAnsi="Arial" w:cs="Arial"/>
                <w:b/>
                <w:bCs/>
                <w:iCs/>
                <w:sz w:val="18"/>
                <w:szCs w:val="18"/>
                <w:lang w:val="en-GB"/>
              </w:rPr>
            </w:pPr>
            <w:r w:rsidRPr="00DF0333">
              <w:rPr>
                <w:rFonts w:ascii="Arial" w:hAnsi="Arial" w:cs="Arial"/>
                <w:b/>
                <w:bCs/>
                <w:iCs/>
                <w:sz w:val="18"/>
                <w:szCs w:val="18"/>
                <w:lang w:val="en-GB"/>
              </w:rPr>
              <w:t>ASSETS</w:t>
            </w:r>
          </w:p>
        </w:tc>
        <w:tc>
          <w:tcPr>
            <w:tcW w:w="1537" w:type="dxa"/>
            <w:noWrap/>
            <w:hideMark/>
          </w:tcPr>
          <w:p w14:paraId="2C8A1DB8" w14:textId="77777777" w:rsidR="00DF0333" w:rsidRPr="00DF0333" w:rsidRDefault="00DF0333" w:rsidP="00DF0333">
            <w:pPr>
              <w:jc w:val="right"/>
              <w:rPr>
                <w:rFonts w:ascii="Arial" w:hAnsi="Arial" w:cs="Arial"/>
                <w:b/>
                <w:bCs/>
                <w:iCs/>
                <w:sz w:val="18"/>
                <w:szCs w:val="18"/>
                <w:lang w:val="en-GB"/>
              </w:rPr>
            </w:pPr>
          </w:p>
        </w:tc>
        <w:tc>
          <w:tcPr>
            <w:tcW w:w="1537" w:type="dxa"/>
            <w:noWrap/>
            <w:hideMark/>
          </w:tcPr>
          <w:p w14:paraId="49A2F289" w14:textId="77777777" w:rsidR="00DF0333" w:rsidRPr="00DF0333" w:rsidRDefault="00DF0333" w:rsidP="00DF0333">
            <w:pPr>
              <w:jc w:val="right"/>
              <w:rPr>
                <w:rFonts w:ascii="Arial" w:hAnsi="Arial" w:cs="Arial"/>
                <w:iCs/>
                <w:sz w:val="18"/>
                <w:szCs w:val="18"/>
                <w:lang w:val="en-GB"/>
              </w:rPr>
            </w:pPr>
          </w:p>
        </w:tc>
        <w:tc>
          <w:tcPr>
            <w:tcW w:w="1537" w:type="dxa"/>
            <w:noWrap/>
            <w:hideMark/>
          </w:tcPr>
          <w:p w14:paraId="0B3F51AE" w14:textId="77777777" w:rsidR="00DF0333" w:rsidRPr="00DF0333" w:rsidRDefault="00DF0333" w:rsidP="00DF0333">
            <w:pPr>
              <w:jc w:val="right"/>
              <w:rPr>
                <w:rFonts w:ascii="Arial" w:hAnsi="Arial" w:cs="Arial"/>
                <w:iCs/>
                <w:sz w:val="18"/>
                <w:szCs w:val="18"/>
                <w:lang w:val="en-GB"/>
              </w:rPr>
            </w:pPr>
          </w:p>
        </w:tc>
      </w:tr>
      <w:tr w:rsidR="00DF0333" w:rsidRPr="00DF0333" w14:paraId="3C0CF6FE" w14:textId="77777777" w:rsidTr="00E7337F">
        <w:trPr>
          <w:trHeight w:val="173"/>
          <w:jc w:val="center"/>
        </w:trPr>
        <w:tc>
          <w:tcPr>
            <w:tcW w:w="4739" w:type="dxa"/>
            <w:noWrap/>
            <w:hideMark/>
          </w:tcPr>
          <w:p w14:paraId="3F049781"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Cash and Equivalents</w:t>
            </w:r>
          </w:p>
        </w:tc>
        <w:tc>
          <w:tcPr>
            <w:tcW w:w="1537" w:type="dxa"/>
            <w:hideMark/>
          </w:tcPr>
          <w:p w14:paraId="2E34F613"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3,615.1</w:t>
            </w:r>
          </w:p>
        </w:tc>
        <w:tc>
          <w:tcPr>
            <w:tcW w:w="1537" w:type="dxa"/>
            <w:hideMark/>
          </w:tcPr>
          <w:p w14:paraId="40D0F1F2"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6,163.6</w:t>
            </w:r>
          </w:p>
        </w:tc>
        <w:tc>
          <w:tcPr>
            <w:tcW w:w="1537" w:type="dxa"/>
            <w:hideMark/>
          </w:tcPr>
          <w:p w14:paraId="2ADEAFDA"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10,686.0</w:t>
            </w:r>
          </w:p>
        </w:tc>
      </w:tr>
      <w:tr w:rsidR="00DF0333" w:rsidRPr="00DF0333" w14:paraId="7A168F98" w14:textId="77777777" w:rsidTr="00E7337F">
        <w:trPr>
          <w:trHeight w:val="173"/>
          <w:jc w:val="center"/>
        </w:trPr>
        <w:tc>
          <w:tcPr>
            <w:tcW w:w="4739" w:type="dxa"/>
            <w:noWrap/>
            <w:hideMark/>
          </w:tcPr>
          <w:p w14:paraId="586C3BF9"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Short-Term Investments</w:t>
            </w:r>
          </w:p>
        </w:tc>
        <w:tc>
          <w:tcPr>
            <w:tcW w:w="1537" w:type="dxa"/>
            <w:hideMark/>
          </w:tcPr>
          <w:p w14:paraId="4B45A728"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234.7</w:t>
            </w:r>
          </w:p>
        </w:tc>
        <w:tc>
          <w:tcPr>
            <w:tcW w:w="1537" w:type="dxa"/>
            <w:hideMark/>
          </w:tcPr>
          <w:p w14:paraId="4A2A925B"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w:t>
            </w:r>
          </w:p>
        </w:tc>
        <w:tc>
          <w:tcPr>
            <w:tcW w:w="1537" w:type="dxa"/>
            <w:hideMark/>
          </w:tcPr>
          <w:p w14:paraId="5E3D8B51"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w:t>
            </w:r>
          </w:p>
        </w:tc>
      </w:tr>
      <w:tr w:rsidR="00DF0333" w:rsidRPr="00DF0333" w14:paraId="18B65DD2" w14:textId="77777777" w:rsidTr="00E7337F">
        <w:trPr>
          <w:trHeight w:val="173"/>
          <w:jc w:val="center"/>
        </w:trPr>
        <w:tc>
          <w:tcPr>
            <w:tcW w:w="4739" w:type="dxa"/>
            <w:noWrap/>
            <w:hideMark/>
          </w:tcPr>
          <w:p w14:paraId="4E8FAD02" w14:textId="77777777" w:rsidR="00DF0333" w:rsidRPr="00DF0333" w:rsidRDefault="00DF0333" w:rsidP="00DF0333">
            <w:pPr>
              <w:rPr>
                <w:rFonts w:ascii="Arial" w:hAnsi="Arial" w:cs="Arial"/>
                <w:b/>
                <w:bCs/>
                <w:iCs/>
                <w:sz w:val="18"/>
                <w:szCs w:val="18"/>
                <w:lang w:val="en-GB"/>
              </w:rPr>
            </w:pPr>
            <w:r w:rsidRPr="00DF0333">
              <w:rPr>
                <w:rFonts w:ascii="Arial" w:hAnsi="Arial" w:cs="Arial"/>
                <w:b/>
                <w:bCs/>
                <w:iCs/>
                <w:sz w:val="18"/>
                <w:szCs w:val="18"/>
                <w:lang w:val="en-GB"/>
              </w:rPr>
              <w:t>Total Cash &amp; Short-Term Investments</w:t>
            </w:r>
          </w:p>
        </w:tc>
        <w:tc>
          <w:tcPr>
            <w:tcW w:w="1537" w:type="dxa"/>
            <w:hideMark/>
          </w:tcPr>
          <w:p w14:paraId="78ED0A0D"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3,849.9</w:t>
            </w:r>
          </w:p>
        </w:tc>
        <w:tc>
          <w:tcPr>
            <w:tcW w:w="1537" w:type="dxa"/>
            <w:hideMark/>
          </w:tcPr>
          <w:p w14:paraId="38A79D3E"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6,163.6</w:t>
            </w:r>
          </w:p>
        </w:tc>
        <w:tc>
          <w:tcPr>
            <w:tcW w:w="1537" w:type="dxa"/>
            <w:hideMark/>
          </w:tcPr>
          <w:p w14:paraId="11482B6B"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10,686.0</w:t>
            </w:r>
          </w:p>
        </w:tc>
      </w:tr>
      <w:tr w:rsidR="00DF0333" w:rsidRPr="00DF0333" w14:paraId="2DF3622F" w14:textId="77777777" w:rsidTr="00E7337F">
        <w:trPr>
          <w:trHeight w:val="173"/>
          <w:jc w:val="center"/>
        </w:trPr>
        <w:tc>
          <w:tcPr>
            <w:tcW w:w="4739" w:type="dxa"/>
            <w:noWrap/>
            <w:hideMark/>
          </w:tcPr>
          <w:p w14:paraId="273A12BD"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Accounts Receivable</w:t>
            </w:r>
          </w:p>
        </w:tc>
        <w:tc>
          <w:tcPr>
            <w:tcW w:w="1537" w:type="dxa"/>
            <w:hideMark/>
          </w:tcPr>
          <w:p w14:paraId="79EDA124"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15,534.6</w:t>
            </w:r>
          </w:p>
        </w:tc>
        <w:tc>
          <w:tcPr>
            <w:tcW w:w="1537" w:type="dxa"/>
            <w:hideMark/>
          </w:tcPr>
          <w:p w14:paraId="2C4BE308"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22,079.0</w:t>
            </w:r>
          </w:p>
        </w:tc>
        <w:tc>
          <w:tcPr>
            <w:tcW w:w="1537" w:type="dxa"/>
            <w:hideMark/>
          </w:tcPr>
          <w:p w14:paraId="7651749B"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25,393.0</w:t>
            </w:r>
          </w:p>
        </w:tc>
      </w:tr>
      <w:tr w:rsidR="00DF0333" w:rsidRPr="00DF0333" w14:paraId="7CAF76B2" w14:textId="77777777" w:rsidTr="00E7337F">
        <w:trPr>
          <w:trHeight w:val="173"/>
          <w:jc w:val="center"/>
        </w:trPr>
        <w:tc>
          <w:tcPr>
            <w:tcW w:w="4739" w:type="dxa"/>
            <w:noWrap/>
            <w:hideMark/>
          </w:tcPr>
          <w:p w14:paraId="6D0A72EC"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Other Receivables</w:t>
            </w:r>
          </w:p>
        </w:tc>
        <w:tc>
          <w:tcPr>
            <w:tcW w:w="1537" w:type="dxa"/>
            <w:hideMark/>
          </w:tcPr>
          <w:p w14:paraId="44E7BD5F"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1,599.3</w:t>
            </w:r>
          </w:p>
        </w:tc>
        <w:tc>
          <w:tcPr>
            <w:tcW w:w="1537" w:type="dxa"/>
            <w:hideMark/>
          </w:tcPr>
          <w:p w14:paraId="0958C619"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1,402.6</w:t>
            </w:r>
          </w:p>
        </w:tc>
        <w:tc>
          <w:tcPr>
            <w:tcW w:w="1537" w:type="dxa"/>
            <w:hideMark/>
          </w:tcPr>
          <w:p w14:paraId="2DB465BB"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1,176.0</w:t>
            </w:r>
          </w:p>
        </w:tc>
      </w:tr>
      <w:tr w:rsidR="00DF0333" w:rsidRPr="00DF0333" w14:paraId="6A0DDAC2" w14:textId="77777777" w:rsidTr="00E7337F">
        <w:trPr>
          <w:trHeight w:val="173"/>
          <w:jc w:val="center"/>
        </w:trPr>
        <w:tc>
          <w:tcPr>
            <w:tcW w:w="4739" w:type="dxa"/>
            <w:noWrap/>
            <w:hideMark/>
          </w:tcPr>
          <w:p w14:paraId="72697A9B"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Notes Receivable</w:t>
            </w:r>
          </w:p>
        </w:tc>
        <w:tc>
          <w:tcPr>
            <w:tcW w:w="1537" w:type="dxa"/>
            <w:hideMark/>
          </w:tcPr>
          <w:p w14:paraId="53917462"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1,467.2</w:t>
            </w:r>
          </w:p>
        </w:tc>
        <w:tc>
          <w:tcPr>
            <w:tcW w:w="1537" w:type="dxa"/>
            <w:hideMark/>
          </w:tcPr>
          <w:p w14:paraId="0E2AB8FC"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643.6</w:t>
            </w:r>
          </w:p>
        </w:tc>
        <w:tc>
          <w:tcPr>
            <w:tcW w:w="1537" w:type="dxa"/>
            <w:hideMark/>
          </w:tcPr>
          <w:p w14:paraId="180745CF"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522.8</w:t>
            </w:r>
          </w:p>
        </w:tc>
      </w:tr>
      <w:tr w:rsidR="00DF0333" w:rsidRPr="00DF0333" w14:paraId="27E44CE9" w14:textId="77777777" w:rsidTr="00E7337F">
        <w:trPr>
          <w:trHeight w:val="173"/>
          <w:jc w:val="center"/>
        </w:trPr>
        <w:tc>
          <w:tcPr>
            <w:tcW w:w="4739" w:type="dxa"/>
            <w:noWrap/>
            <w:hideMark/>
          </w:tcPr>
          <w:p w14:paraId="308E2609" w14:textId="77777777" w:rsidR="00DF0333" w:rsidRPr="00DF0333" w:rsidRDefault="00DF0333" w:rsidP="00DF0333">
            <w:pPr>
              <w:rPr>
                <w:rFonts w:ascii="Arial" w:hAnsi="Arial" w:cs="Arial"/>
                <w:b/>
                <w:bCs/>
                <w:iCs/>
                <w:sz w:val="18"/>
                <w:szCs w:val="18"/>
                <w:lang w:val="en-GB"/>
              </w:rPr>
            </w:pPr>
            <w:r w:rsidRPr="00DF0333">
              <w:rPr>
                <w:rFonts w:ascii="Arial" w:hAnsi="Arial" w:cs="Arial"/>
                <w:b/>
                <w:bCs/>
                <w:iCs/>
                <w:sz w:val="18"/>
                <w:szCs w:val="18"/>
                <w:lang w:val="en-GB"/>
              </w:rPr>
              <w:t>Total Receivables</w:t>
            </w:r>
          </w:p>
        </w:tc>
        <w:tc>
          <w:tcPr>
            <w:tcW w:w="1537" w:type="dxa"/>
            <w:hideMark/>
          </w:tcPr>
          <w:p w14:paraId="5855EDC7"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18,601.0</w:t>
            </w:r>
          </w:p>
        </w:tc>
        <w:tc>
          <w:tcPr>
            <w:tcW w:w="1537" w:type="dxa"/>
            <w:hideMark/>
          </w:tcPr>
          <w:p w14:paraId="738FC235"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24,125.2</w:t>
            </w:r>
          </w:p>
        </w:tc>
        <w:tc>
          <w:tcPr>
            <w:tcW w:w="1537" w:type="dxa"/>
            <w:hideMark/>
          </w:tcPr>
          <w:p w14:paraId="6D1A6011"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27,091.8</w:t>
            </w:r>
          </w:p>
        </w:tc>
      </w:tr>
      <w:tr w:rsidR="00DF0333" w:rsidRPr="00DF0333" w14:paraId="15349979" w14:textId="77777777" w:rsidTr="00E7337F">
        <w:trPr>
          <w:trHeight w:val="173"/>
          <w:jc w:val="center"/>
        </w:trPr>
        <w:tc>
          <w:tcPr>
            <w:tcW w:w="4739" w:type="dxa"/>
            <w:noWrap/>
            <w:hideMark/>
          </w:tcPr>
          <w:p w14:paraId="7C674D4C"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Inventory</w:t>
            </w:r>
          </w:p>
        </w:tc>
        <w:tc>
          <w:tcPr>
            <w:tcW w:w="1537" w:type="dxa"/>
            <w:hideMark/>
          </w:tcPr>
          <w:p w14:paraId="220D67D4"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84,755.9</w:t>
            </w:r>
          </w:p>
        </w:tc>
        <w:tc>
          <w:tcPr>
            <w:tcW w:w="1537" w:type="dxa"/>
            <w:hideMark/>
          </w:tcPr>
          <w:p w14:paraId="7754F638"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56,563.3</w:t>
            </w:r>
          </w:p>
        </w:tc>
        <w:tc>
          <w:tcPr>
            <w:tcW w:w="1537" w:type="dxa"/>
            <w:hideMark/>
          </w:tcPr>
          <w:p w14:paraId="1176CA1E"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58,412.1</w:t>
            </w:r>
          </w:p>
        </w:tc>
      </w:tr>
      <w:tr w:rsidR="00DF0333" w:rsidRPr="00DF0333" w14:paraId="10699799" w14:textId="77777777" w:rsidTr="00E7337F">
        <w:trPr>
          <w:trHeight w:val="173"/>
          <w:jc w:val="center"/>
        </w:trPr>
        <w:tc>
          <w:tcPr>
            <w:tcW w:w="4739" w:type="dxa"/>
            <w:noWrap/>
            <w:hideMark/>
          </w:tcPr>
          <w:p w14:paraId="1DF06FC1"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Prepaid Expenses</w:t>
            </w:r>
          </w:p>
        </w:tc>
        <w:tc>
          <w:tcPr>
            <w:tcW w:w="1537" w:type="dxa"/>
            <w:hideMark/>
          </w:tcPr>
          <w:p w14:paraId="2BFC0CD1"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2,518.6</w:t>
            </w:r>
          </w:p>
        </w:tc>
        <w:tc>
          <w:tcPr>
            <w:tcW w:w="1537" w:type="dxa"/>
            <w:hideMark/>
          </w:tcPr>
          <w:p w14:paraId="7F846F42"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1,464.7</w:t>
            </w:r>
          </w:p>
        </w:tc>
        <w:tc>
          <w:tcPr>
            <w:tcW w:w="1537" w:type="dxa"/>
            <w:hideMark/>
          </w:tcPr>
          <w:p w14:paraId="16AD462B"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1,262.9</w:t>
            </w:r>
          </w:p>
        </w:tc>
      </w:tr>
      <w:tr w:rsidR="00DF0333" w:rsidRPr="00DF0333" w14:paraId="63152D89" w14:textId="77777777" w:rsidTr="00E7337F">
        <w:trPr>
          <w:trHeight w:val="173"/>
          <w:jc w:val="center"/>
        </w:trPr>
        <w:tc>
          <w:tcPr>
            <w:tcW w:w="4739" w:type="dxa"/>
            <w:noWrap/>
            <w:hideMark/>
          </w:tcPr>
          <w:p w14:paraId="3DE96FFF"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Other Current Assets</w:t>
            </w:r>
          </w:p>
        </w:tc>
        <w:tc>
          <w:tcPr>
            <w:tcW w:w="1537" w:type="dxa"/>
            <w:hideMark/>
          </w:tcPr>
          <w:p w14:paraId="3F7A51F1"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5,489.0</w:t>
            </w:r>
          </w:p>
        </w:tc>
        <w:tc>
          <w:tcPr>
            <w:tcW w:w="1537" w:type="dxa"/>
            <w:hideMark/>
          </w:tcPr>
          <w:p w14:paraId="52A66F41"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5,017.0</w:t>
            </w:r>
          </w:p>
        </w:tc>
        <w:tc>
          <w:tcPr>
            <w:tcW w:w="1537" w:type="dxa"/>
            <w:hideMark/>
          </w:tcPr>
          <w:p w14:paraId="5606EF3F"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4,169.2</w:t>
            </w:r>
          </w:p>
        </w:tc>
      </w:tr>
      <w:tr w:rsidR="00DF0333" w:rsidRPr="00DF0333" w14:paraId="34751755" w14:textId="77777777" w:rsidTr="00E7337F">
        <w:trPr>
          <w:trHeight w:val="173"/>
          <w:jc w:val="center"/>
        </w:trPr>
        <w:tc>
          <w:tcPr>
            <w:tcW w:w="4739" w:type="dxa"/>
            <w:noWrap/>
            <w:hideMark/>
          </w:tcPr>
          <w:p w14:paraId="3E80BEF4" w14:textId="77777777" w:rsidR="00DF0333" w:rsidRPr="00DF0333" w:rsidRDefault="00DF0333" w:rsidP="00DF0333">
            <w:pPr>
              <w:rPr>
                <w:rFonts w:ascii="Arial" w:hAnsi="Arial" w:cs="Arial"/>
                <w:b/>
                <w:bCs/>
                <w:iCs/>
                <w:sz w:val="18"/>
                <w:szCs w:val="18"/>
                <w:lang w:val="en-GB"/>
              </w:rPr>
            </w:pPr>
            <w:r w:rsidRPr="00DF0333">
              <w:rPr>
                <w:rFonts w:ascii="Arial" w:hAnsi="Arial" w:cs="Arial"/>
                <w:b/>
                <w:bCs/>
                <w:iCs/>
                <w:sz w:val="18"/>
                <w:szCs w:val="18"/>
                <w:lang w:val="en-GB"/>
              </w:rPr>
              <w:t>Total Current Assets</w:t>
            </w:r>
          </w:p>
        </w:tc>
        <w:tc>
          <w:tcPr>
            <w:tcW w:w="1537" w:type="dxa"/>
            <w:hideMark/>
          </w:tcPr>
          <w:p w14:paraId="6C2A7CD7"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115,214.4</w:t>
            </w:r>
          </w:p>
        </w:tc>
        <w:tc>
          <w:tcPr>
            <w:tcW w:w="1537" w:type="dxa"/>
            <w:hideMark/>
          </w:tcPr>
          <w:p w14:paraId="35043B05"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93,333.9</w:t>
            </w:r>
          </w:p>
        </w:tc>
        <w:tc>
          <w:tcPr>
            <w:tcW w:w="1537" w:type="dxa"/>
            <w:hideMark/>
          </w:tcPr>
          <w:p w14:paraId="7E58EC7B"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101,622.0</w:t>
            </w:r>
          </w:p>
        </w:tc>
      </w:tr>
      <w:tr w:rsidR="00DF0333" w:rsidRPr="00DF0333" w14:paraId="725B2693" w14:textId="77777777" w:rsidTr="00E7337F">
        <w:trPr>
          <w:trHeight w:val="173"/>
          <w:jc w:val="center"/>
        </w:trPr>
        <w:tc>
          <w:tcPr>
            <w:tcW w:w="4739" w:type="dxa"/>
            <w:noWrap/>
            <w:hideMark/>
          </w:tcPr>
          <w:p w14:paraId="0B0CD9E5" w14:textId="77777777" w:rsidR="00DF0333" w:rsidRPr="00DF0333" w:rsidRDefault="00DF0333" w:rsidP="00DF0333">
            <w:pPr>
              <w:rPr>
                <w:rFonts w:ascii="Arial" w:hAnsi="Arial" w:cs="Arial"/>
                <w:b/>
                <w:bCs/>
                <w:iCs/>
                <w:sz w:val="18"/>
                <w:szCs w:val="18"/>
                <w:lang w:val="en-GB"/>
              </w:rPr>
            </w:pPr>
          </w:p>
        </w:tc>
        <w:tc>
          <w:tcPr>
            <w:tcW w:w="1537" w:type="dxa"/>
            <w:noWrap/>
            <w:hideMark/>
          </w:tcPr>
          <w:p w14:paraId="070FDAA5" w14:textId="77777777" w:rsidR="00DF0333" w:rsidRPr="00DF0333" w:rsidRDefault="00DF0333" w:rsidP="00DF0333">
            <w:pPr>
              <w:jc w:val="right"/>
              <w:rPr>
                <w:rFonts w:ascii="Arial" w:hAnsi="Arial" w:cs="Arial"/>
                <w:iCs/>
                <w:sz w:val="18"/>
                <w:szCs w:val="18"/>
                <w:lang w:val="en-GB"/>
              </w:rPr>
            </w:pPr>
          </w:p>
        </w:tc>
        <w:tc>
          <w:tcPr>
            <w:tcW w:w="1537" w:type="dxa"/>
            <w:noWrap/>
            <w:hideMark/>
          </w:tcPr>
          <w:p w14:paraId="0643A51E" w14:textId="77777777" w:rsidR="00DF0333" w:rsidRPr="00DF0333" w:rsidRDefault="00DF0333" w:rsidP="00DF0333">
            <w:pPr>
              <w:jc w:val="right"/>
              <w:rPr>
                <w:rFonts w:ascii="Arial" w:hAnsi="Arial" w:cs="Arial"/>
                <w:iCs/>
                <w:sz w:val="18"/>
                <w:szCs w:val="18"/>
                <w:lang w:val="en-GB"/>
              </w:rPr>
            </w:pPr>
          </w:p>
        </w:tc>
        <w:tc>
          <w:tcPr>
            <w:tcW w:w="1537" w:type="dxa"/>
            <w:noWrap/>
            <w:hideMark/>
          </w:tcPr>
          <w:p w14:paraId="6C2213B6" w14:textId="77777777" w:rsidR="00DF0333" w:rsidRPr="00DF0333" w:rsidRDefault="00DF0333" w:rsidP="00DF0333">
            <w:pPr>
              <w:jc w:val="right"/>
              <w:rPr>
                <w:rFonts w:ascii="Arial" w:hAnsi="Arial" w:cs="Arial"/>
                <w:iCs/>
                <w:sz w:val="18"/>
                <w:szCs w:val="18"/>
                <w:lang w:val="en-GB"/>
              </w:rPr>
            </w:pPr>
          </w:p>
        </w:tc>
      </w:tr>
      <w:tr w:rsidR="00DF0333" w:rsidRPr="00DF0333" w14:paraId="66C2C3E9" w14:textId="77777777" w:rsidTr="00E7337F">
        <w:trPr>
          <w:trHeight w:val="173"/>
          <w:jc w:val="center"/>
        </w:trPr>
        <w:tc>
          <w:tcPr>
            <w:tcW w:w="4739" w:type="dxa"/>
            <w:noWrap/>
            <w:hideMark/>
          </w:tcPr>
          <w:p w14:paraId="2DE3C02D"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Gross Property, Plant &amp; Equipment</w:t>
            </w:r>
          </w:p>
        </w:tc>
        <w:tc>
          <w:tcPr>
            <w:tcW w:w="1537" w:type="dxa"/>
            <w:hideMark/>
          </w:tcPr>
          <w:p w14:paraId="1550520C"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3,359.5</w:t>
            </w:r>
          </w:p>
        </w:tc>
        <w:tc>
          <w:tcPr>
            <w:tcW w:w="1537" w:type="dxa"/>
            <w:hideMark/>
          </w:tcPr>
          <w:p w14:paraId="456845B7"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4,400.0</w:t>
            </w:r>
          </w:p>
        </w:tc>
        <w:tc>
          <w:tcPr>
            <w:tcW w:w="1537" w:type="dxa"/>
            <w:hideMark/>
          </w:tcPr>
          <w:p w14:paraId="4C474F87"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5,820.2</w:t>
            </w:r>
          </w:p>
        </w:tc>
      </w:tr>
      <w:tr w:rsidR="00DF0333" w:rsidRPr="00DF0333" w14:paraId="4AE91F31" w14:textId="77777777" w:rsidTr="00E7337F">
        <w:trPr>
          <w:trHeight w:val="173"/>
          <w:jc w:val="center"/>
        </w:trPr>
        <w:tc>
          <w:tcPr>
            <w:tcW w:w="4739" w:type="dxa"/>
            <w:noWrap/>
            <w:hideMark/>
          </w:tcPr>
          <w:p w14:paraId="58E2A1A0"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Accumulated Depreciation</w:t>
            </w:r>
          </w:p>
        </w:tc>
        <w:tc>
          <w:tcPr>
            <w:tcW w:w="1537" w:type="dxa"/>
            <w:hideMark/>
          </w:tcPr>
          <w:p w14:paraId="095F6B1E"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(498.3)</w:t>
            </w:r>
          </w:p>
        </w:tc>
        <w:tc>
          <w:tcPr>
            <w:tcW w:w="1537" w:type="dxa"/>
            <w:hideMark/>
          </w:tcPr>
          <w:p w14:paraId="2C9D1845"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(724.7)</w:t>
            </w:r>
          </w:p>
        </w:tc>
        <w:tc>
          <w:tcPr>
            <w:tcW w:w="1537" w:type="dxa"/>
            <w:hideMark/>
          </w:tcPr>
          <w:p w14:paraId="21B8D5A7"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(956.2)</w:t>
            </w:r>
          </w:p>
        </w:tc>
      </w:tr>
      <w:tr w:rsidR="00DF0333" w:rsidRPr="00DF0333" w14:paraId="731AA8F7" w14:textId="77777777" w:rsidTr="00E7337F">
        <w:trPr>
          <w:trHeight w:val="173"/>
          <w:jc w:val="center"/>
        </w:trPr>
        <w:tc>
          <w:tcPr>
            <w:tcW w:w="4739" w:type="dxa"/>
            <w:noWrap/>
            <w:hideMark/>
          </w:tcPr>
          <w:p w14:paraId="6C5E6521" w14:textId="77777777" w:rsidR="00DF0333" w:rsidRPr="00DF0333" w:rsidRDefault="00DF0333" w:rsidP="00DF0333">
            <w:pPr>
              <w:rPr>
                <w:rFonts w:ascii="Arial" w:hAnsi="Arial" w:cs="Arial"/>
                <w:b/>
                <w:bCs/>
                <w:iCs/>
                <w:sz w:val="18"/>
                <w:szCs w:val="18"/>
                <w:lang w:val="en-GB"/>
              </w:rPr>
            </w:pPr>
            <w:r w:rsidRPr="00DF0333">
              <w:rPr>
                <w:rFonts w:ascii="Arial" w:hAnsi="Arial" w:cs="Arial"/>
                <w:b/>
                <w:bCs/>
                <w:iCs/>
                <w:sz w:val="18"/>
                <w:szCs w:val="18"/>
                <w:lang w:val="en-GB"/>
              </w:rPr>
              <w:t>Net Property, Plant &amp; Equipment</w:t>
            </w:r>
          </w:p>
        </w:tc>
        <w:tc>
          <w:tcPr>
            <w:tcW w:w="1537" w:type="dxa"/>
            <w:hideMark/>
          </w:tcPr>
          <w:p w14:paraId="7C5A8404"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2,861.1</w:t>
            </w:r>
          </w:p>
        </w:tc>
        <w:tc>
          <w:tcPr>
            <w:tcW w:w="1537" w:type="dxa"/>
            <w:hideMark/>
          </w:tcPr>
          <w:p w14:paraId="37879659"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3,675.3</w:t>
            </w:r>
          </w:p>
        </w:tc>
        <w:tc>
          <w:tcPr>
            <w:tcW w:w="1537" w:type="dxa"/>
            <w:hideMark/>
          </w:tcPr>
          <w:p w14:paraId="679FA8C6"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4,864.1</w:t>
            </w:r>
          </w:p>
        </w:tc>
      </w:tr>
      <w:tr w:rsidR="00DF0333" w:rsidRPr="00DF0333" w14:paraId="7A410F9F" w14:textId="77777777" w:rsidTr="00E7337F">
        <w:trPr>
          <w:trHeight w:val="173"/>
          <w:jc w:val="center"/>
        </w:trPr>
        <w:tc>
          <w:tcPr>
            <w:tcW w:w="4739" w:type="dxa"/>
            <w:noWrap/>
            <w:hideMark/>
          </w:tcPr>
          <w:p w14:paraId="60D1014B"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Long-Term Investments</w:t>
            </w:r>
          </w:p>
        </w:tc>
        <w:tc>
          <w:tcPr>
            <w:tcW w:w="1537" w:type="dxa"/>
            <w:hideMark/>
          </w:tcPr>
          <w:p w14:paraId="4D2B73EF"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7,230.7</w:t>
            </w:r>
          </w:p>
        </w:tc>
        <w:tc>
          <w:tcPr>
            <w:tcW w:w="1537" w:type="dxa"/>
            <w:hideMark/>
          </w:tcPr>
          <w:p w14:paraId="170B81ED"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7,923.6</w:t>
            </w:r>
          </w:p>
        </w:tc>
        <w:tc>
          <w:tcPr>
            <w:tcW w:w="1537" w:type="dxa"/>
            <w:hideMark/>
          </w:tcPr>
          <w:p w14:paraId="2F841C5E"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12,240.9</w:t>
            </w:r>
          </w:p>
        </w:tc>
      </w:tr>
      <w:tr w:rsidR="00DF0333" w:rsidRPr="00DF0333" w14:paraId="7889DADD" w14:textId="77777777" w:rsidTr="00E7337F">
        <w:trPr>
          <w:trHeight w:val="173"/>
          <w:jc w:val="center"/>
        </w:trPr>
        <w:tc>
          <w:tcPr>
            <w:tcW w:w="4739" w:type="dxa"/>
            <w:noWrap/>
            <w:hideMark/>
          </w:tcPr>
          <w:p w14:paraId="2D013FEC"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Goodwill</w:t>
            </w:r>
          </w:p>
        </w:tc>
        <w:tc>
          <w:tcPr>
            <w:tcW w:w="1537" w:type="dxa"/>
            <w:hideMark/>
          </w:tcPr>
          <w:p w14:paraId="23FE0FA3"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w:t>
            </w:r>
          </w:p>
        </w:tc>
        <w:tc>
          <w:tcPr>
            <w:tcW w:w="1537" w:type="dxa"/>
            <w:hideMark/>
          </w:tcPr>
          <w:p w14:paraId="64AA9DF4"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w:t>
            </w:r>
          </w:p>
        </w:tc>
        <w:tc>
          <w:tcPr>
            <w:tcW w:w="1537" w:type="dxa"/>
            <w:hideMark/>
          </w:tcPr>
          <w:p w14:paraId="007A8D42"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w:t>
            </w:r>
          </w:p>
        </w:tc>
      </w:tr>
      <w:tr w:rsidR="00DF0333" w:rsidRPr="00DF0333" w14:paraId="1501636B" w14:textId="77777777" w:rsidTr="00E7337F">
        <w:trPr>
          <w:trHeight w:val="173"/>
          <w:jc w:val="center"/>
        </w:trPr>
        <w:tc>
          <w:tcPr>
            <w:tcW w:w="4739" w:type="dxa"/>
            <w:noWrap/>
            <w:hideMark/>
          </w:tcPr>
          <w:p w14:paraId="5B9E51D6"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Deferred Tax Assets, Long Term</w:t>
            </w:r>
          </w:p>
        </w:tc>
        <w:tc>
          <w:tcPr>
            <w:tcW w:w="1537" w:type="dxa"/>
            <w:hideMark/>
          </w:tcPr>
          <w:p w14:paraId="63B66637"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728.2</w:t>
            </w:r>
          </w:p>
        </w:tc>
        <w:tc>
          <w:tcPr>
            <w:tcW w:w="1537" w:type="dxa"/>
            <w:hideMark/>
          </w:tcPr>
          <w:p w14:paraId="677C4643"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782.2</w:t>
            </w:r>
          </w:p>
        </w:tc>
        <w:tc>
          <w:tcPr>
            <w:tcW w:w="1537" w:type="dxa"/>
            <w:hideMark/>
          </w:tcPr>
          <w:p w14:paraId="25A062F7"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1,053.2</w:t>
            </w:r>
          </w:p>
        </w:tc>
      </w:tr>
      <w:tr w:rsidR="00DF0333" w:rsidRPr="00DF0333" w14:paraId="274E9157" w14:textId="77777777" w:rsidTr="00E7337F">
        <w:trPr>
          <w:trHeight w:val="173"/>
          <w:jc w:val="center"/>
        </w:trPr>
        <w:tc>
          <w:tcPr>
            <w:tcW w:w="4739" w:type="dxa"/>
            <w:noWrap/>
            <w:hideMark/>
          </w:tcPr>
          <w:p w14:paraId="714FB07F"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Other Long-Term Assets</w:t>
            </w:r>
          </w:p>
        </w:tc>
        <w:tc>
          <w:tcPr>
            <w:tcW w:w="1537" w:type="dxa"/>
            <w:hideMark/>
          </w:tcPr>
          <w:p w14:paraId="1932F3EC"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1,942.1</w:t>
            </w:r>
          </w:p>
        </w:tc>
        <w:tc>
          <w:tcPr>
            <w:tcW w:w="1537" w:type="dxa"/>
            <w:hideMark/>
          </w:tcPr>
          <w:p w14:paraId="52C45AE8"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1,992.3</w:t>
            </w:r>
          </w:p>
        </w:tc>
        <w:tc>
          <w:tcPr>
            <w:tcW w:w="1537" w:type="dxa"/>
            <w:hideMark/>
          </w:tcPr>
          <w:p w14:paraId="51E05CA2"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2,555.4</w:t>
            </w:r>
          </w:p>
        </w:tc>
      </w:tr>
      <w:tr w:rsidR="00DF0333" w:rsidRPr="00DF0333" w14:paraId="0A786512" w14:textId="77777777" w:rsidTr="00E7337F">
        <w:trPr>
          <w:trHeight w:val="173"/>
          <w:jc w:val="center"/>
        </w:trPr>
        <w:tc>
          <w:tcPr>
            <w:tcW w:w="4739" w:type="dxa"/>
            <w:noWrap/>
            <w:hideMark/>
          </w:tcPr>
          <w:p w14:paraId="0C2A6BF5" w14:textId="77777777" w:rsidR="00DF0333" w:rsidRPr="00DF0333" w:rsidRDefault="00DF0333" w:rsidP="00DF0333">
            <w:pPr>
              <w:rPr>
                <w:rFonts w:ascii="Arial" w:hAnsi="Arial" w:cs="Arial"/>
                <w:b/>
                <w:bCs/>
                <w:iCs/>
                <w:sz w:val="18"/>
                <w:szCs w:val="18"/>
                <w:lang w:val="en-GB"/>
              </w:rPr>
            </w:pPr>
            <w:r w:rsidRPr="00DF0333">
              <w:rPr>
                <w:rFonts w:ascii="Arial" w:hAnsi="Arial" w:cs="Arial"/>
                <w:b/>
                <w:bCs/>
                <w:iCs/>
                <w:sz w:val="18"/>
                <w:szCs w:val="18"/>
                <w:lang w:val="en-GB"/>
              </w:rPr>
              <w:t>Total Assets</w:t>
            </w:r>
          </w:p>
        </w:tc>
        <w:tc>
          <w:tcPr>
            <w:tcW w:w="1537" w:type="dxa"/>
            <w:hideMark/>
          </w:tcPr>
          <w:p w14:paraId="527C5611" w14:textId="77777777" w:rsidR="00DF0333" w:rsidRPr="00DF0333" w:rsidRDefault="00DF0333" w:rsidP="00DF0333">
            <w:pPr>
              <w:jc w:val="right"/>
              <w:rPr>
                <w:rFonts w:ascii="Arial" w:hAnsi="Arial" w:cs="Arial"/>
                <w:b/>
                <w:bCs/>
                <w:iCs/>
                <w:sz w:val="18"/>
                <w:szCs w:val="18"/>
                <w:u w:val="double"/>
                <w:lang w:val="en-GB"/>
              </w:rPr>
            </w:pPr>
            <w:r w:rsidRPr="00DF0333">
              <w:rPr>
                <w:rFonts w:ascii="Arial" w:hAnsi="Arial" w:cs="Arial"/>
                <w:b/>
                <w:bCs/>
                <w:iCs/>
                <w:sz w:val="18"/>
                <w:szCs w:val="18"/>
                <w:u w:val="double"/>
                <w:lang w:val="en-GB"/>
              </w:rPr>
              <w:t>127,976.5</w:t>
            </w:r>
          </w:p>
        </w:tc>
        <w:tc>
          <w:tcPr>
            <w:tcW w:w="1537" w:type="dxa"/>
            <w:hideMark/>
          </w:tcPr>
          <w:p w14:paraId="06FEAFA2" w14:textId="77777777" w:rsidR="00DF0333" w:rsidRPr="00DF0333" w:rsidRDefault="00DF0333" w:rsidP="00DF0333">
            <w:pPr>
              <w:jc w:val="right"/>
              <w:rPr>
                <w:rFonts w:ascii="Arial" w:hAnsi="Arial" w:cs="Arial"/>
                <w:b/>
                <w:bCs/>
                <w:iCs/>
                <w:sz w:val="18"/>
                <w:szCs w:val="18"/>
                <w:u w:val="double"/>
                <w:lang w:val="en-GB"/>
              </w:rPr>
            </w:pPr>
            <w:r w:rsidRPr="00DF0333">
              <w:rPr>
                <w:rFonts w:ascii="Arial" w:hAnsi="Arial" w:cs="Arial"/>
                <w:b/>
                <w:bCs/>
                <w:iCs/>
                <w:sz w:val="18"/>
                <w:szCs w:val="18"/>
                <w:u w:val="double"/>
                <w:lang w:val="en-GB"/>
              </w:rPr>
              <w:t>107,707.3</w:t>
            </w:r>
          </w:p>
        </w:tc>
        <w:tc>
          <w:tcPr>
            <w:tcW w:w="1537" w:type="dxa"/>
            <w:hideMark/>
          </w:tcPr>
          <w:p w14:paraId="73A48B14" w14:textId="77777777" w:rsidR="00DF0333" w:rsidRPr="00DF0333" w:rsidRDefault="00DF0333" w:rsidP="00DF0333">
            <w:pPr>
              <w:jc w:val="right"/>
              <w:rPr>
                <w:rFonts w:ascii="Arial" w:hAnsi="Arial" w:cs="Arial"/>
                <w:b/>
                <w:bCs/>
                <w:iCs/>
                <w:sz w:val="18"/>
                <w:szCs w:val="18"/>
                <w:u w:val="double"/>
                <w:lang w:val="en-GB"/>
              </w:rPr>
            </w:pPr>
            <w:r w:rsidRPr="00DF0333">
              <w:rPr>
                <w:rFonts w:ascii="Arial" w:hAnsi="Arial" w:cs="Arial"/>
                <w:b/>
                <w:bCs/>
                <w:iCs/>
                <w:sz w:val="18"/>
                <w:szCs w:val="18"/>
                <w:u w:val="double"/>
                <w:lang w:val="en-GB"/>
              </w:rPr>
              <w:t>122,335.7</w:t>
            </w:r>
          </w:p>
        </w:tc>
      </w:tr>
      <w:tr w:rsidR="00DF0333" w:rsidRPr="00DF0333" w14:paraId="19EE90D1" w14:textId="77777777" w:rsidTr="00E7337F">
        <w:trPr>
          <w:trHeight w:val="173"/>
          <w:jc w:val="center"/>
        </w:trPr>
        <w:tc>
          <w:tcPr>
            <w:tcW w:w="4739" w:type="dxa"/>
            <w:noWrap/>
            <w:hideMark/>
          </w:tcPr>
          <w:p w14:paraId="47CA1F1B" w14:textId="77777777" w:rsidR="00DF0333" w:rsidRPr="00DF0333" w:rsidRDefault="00DF0333" w:rsidP="00DF0333">
            <w:pPr>
              <w:rPr>
                <w:rFonts w:ascii="Arial" w:hAnsi="Arial" w:cs="Arial"/>
                <w:b/>
                <w:bCs/>
                <w:iCs/>
                <w:sz w:val="18"/>
                <w:szCs w:val="18"/>
                <w:u w:val="double"/>
                <w:lang w:val="en-GB"/>
              </w:rPr>
            </w:pPr>
          </w:p>
        </w:tc>
        <w:tc>
          <w:tcPr>
            <w:tcW w:w="1537" w:type="dxa"/>
            <w:noWrap/>
            <w:hideMark/>
          </w:tcPr>
          <w:p w14:paraId="30183829" w14:textId="77777777" w:rsidR="00DF0333" w:rsidRPr="00DF0333" w:rsidRDefault="00DF0333" w:rsidP="00DF0333">
            <w:pPr>
              <w:jc w:val="right"/>
              <w:rPr>
                <w:rFonts w:ascii="Arial" w:hAnsi="Arial" w:cs="Arial"/>
                <w:iCs/>
                <w:sz w:val="18"/>
                <w:szCs w:val="18"/>
                <w:lang w:val="en-GB"/>
              </w:rPr>
            </w:pPr>
          </w:p>
        </w:tc>
        <w:tc>
          <w:tcPr>
            <w:tcW w:w="1537" w:type="dxa"/>
            <w:noWrap/>
            <w:hideMark/>
          </w:tcPr>
          <w:p w14:paraId="2C2F3F35" w14:textId="77777777" w:rsidR="00DF0333" w:rsidRPr="00DF0333" w:rsidRDefault="00DF0333" w:rsidP="00DF0333">
            <w:pPr>
              <w:jc w:val="right"/>
              <w:rPr>
                <w:rFonts w:ascii="Arial" w:hAnsi="Arial" w:cs="Arial"/>
                <w:iCs/>
                <w:sz w:val="18"/>
                <w:szCs w:val="18"/>
                <w:lang w:val="en-GB"/>
              </w:rPr>
            </w:pPr>
          </w:p>
        </w:tc>
        <w:tc>
          <w:tcPr>
            <w:tcW w:w="1537" w:type="dxa"/>
            <w:noWrap/>
            <w:hideMark/>
          </w:tcPr>
          <w:p w14:paraId="2B98A494" w14:textId="77777777" w:rsidR="00DF0333" w:rsidRPr="00DF0333" w:rsidRDefault="00DF0333" w:rsidP="00DF0333">
            <w:pPr>
              <w:jc w:val="right"/>
              <w:rPr>
                <w:rFonts w:ascii="Arial" w:hAnsi="Arial" w:cs="Arial"/>
                <w:iCs/>
                <w:sz w:val="18"/>
                <w:szCs w:val="18"/>
                <w:lang w:val="en-GB"/>
              </w:rPr>
            </w:pPr>
          </w:p>
        </w:tc>
      </w:tr>
      <w:tr w:rsidR="00DF0333" w:rsidRPr="00DF0333" w14:paraId="6CA57ECF" w14:textId="77777777" w:rsidTr="00E7337F">
        <w:trPr>
          <w:trHeight w:val="173"/>
          <w:jc w:val="center"/>
        </w:trPr>
        <w:tc>
          <w:tcPr>
            <w:tcW w:w="4739" w:type="dxa"/>
            <w:noWrap/>
            <w:hideMark/>
          </w:tcPr>
          <w:p w14:paraId="70366D9A" w14:textId="77777777" w:rsidR="00DF0333" w:rsidRPr="00DF0333" w:rsidRDefault="00DF0333" w:rsidP="00DF0333">
            <w:pPr>
              <w:rPr>
                <w:rFonts w:ascii="Arial" w:hAnsi="Arial" w:cs="Arial"/>
                <w:b/>
                <w:bCs/>
                <w:iCs/>
                <w:sz w:val="18"/>
                <w:szCs w:val="18"/>
                <w:lang w:val="en-GB"/>
              </w:rPr>
            </w:pPr>
            <w:r w:rsidRPr="00DF0333">
              <w:rPr>
                <w:rFonts w:ascii="Arial" w:hAnsi="Arial" w:cs="Arial"/>
                <w:b/>
                <w:bCs/>
                <w:iCs/>
                <w:sz w:val="18"/>
                <w:szCs w:val="18"/>
                <w:lang w:val="en-GB"/>
              </w:rPr>
              <w:t>LIABILITIES</w:t>
            </w:r>
          </w:p>
        </w:tc>
        <w:tc>
          <w:tcPr>
            <w:tcW w:w="1537" w:type="dxa"/>
            <w:noWrap/>
            <w:hideMark/>
          </w:tcPr>
          <w:p w14:paraId="73179851" w14:textId="77777777" w:rsidR="00DF0333" w:rsidRPr="00DF0333" w:rsidRDefault="00DF0333" w:rsidP="00DF0333">
            <w:pPr>
              <w:jc w:val="right"/>
              <w:rPr>
                <w:rFonts w:ascii="Arial" w:hAnsi="Arial" w:cs="Arial"/>
                <w:b/>
                <w:bCs/>
                <w:iCs/>
                <w:sz w:val="18"/>
                <w:szCs w:val="18"/>
                <w:lang w:val="en-GB"/>
              </w:rPr>
            </w:pPr>
          </w:p>
        </w:tc>
        <w:tc>
          <w:tcPr>
            <w:tcW w:w="1537" w:type="dxa"/>
            <w:noWrap/>
            <w:hideMark/>
          </w:tcPr>
          <w:p w14:paraId="6B3B4080" w14:textId="77777777" w:rsidR="00DF0333" w:rsidRPr="00DF0333" w:rsidRDefault="00DF0333" w:rsidP="00DF0333">
            <w:pPr>
              <w:jc w:val="right"/>
              <w:rPr>
                <w:rFonts w:ascii="Arial" w:hAnsi="Arial" w:cs="Arial"/>
                <w:iCs/>
                <w:sz w:val="18"/>
                <w:szCs w:val="18"/>
                <w:lang w:val="en-GB"/>
              </w:rPr>
            </w:pPr>
          </w:p>
        </w:tc>
        <w:tc>
          <w:tcPr>
            <w:tcW w:w="1537" w:type="dxa"/>
            <w:noWrap/>
            <w:hideMark/>
          </w:tcPr>
          <w:p w14:paraId="5B26700D" w14:textId="77777777" w:rsidR="00DF0333" w:rsidRPr="00DF0333" w:rsidRDefault="00DF0333" w:rsidP="00DF0333">
            <w:pPr>
              <w:jc w:val="right"/>
              <w:rPr>
                <w:rFonts w:ascii="Arial" w:hAnsi="Arial" w:cs="Arial"/>
                <w:iCs/>
                <w:sz w:val="18"/>
                <w:szCs w:val="18"/>
                <w:lang w:val="en-GB"/>
              </w:rPr>
            </w:pPr>
          </w:p>
        </w:tc>
      </w:tr>
      <w:tr w:rsidR="00DF0333" w:rsidRPr="00DF0333" w14:paraId="2FE5DD83" w14:textId="77777777" w:rsidTr="00E7337F">
        <w:trPr>
          <w:trHeight w:val="173"/>
          <w:jc w:val="center"/>
        </w:trPr>
        <w:tc>
          <w:tcPr>
            <w:tcW w:w="4739" w:type="dxa"/>
            <w:noWrap/>
            <w:hideMark/>
          </w:tcPr>
          <w:p w14:paraId="23FEAE1B"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Accounts Payable</w:t>
            </w:r>
          </w:p>
        </w:tc>
        <w:tc>
          <w:tcPr>
            <w:tcW w:w="1537" w:type="dxa"/>
            <w:hideMark/>
          </w:tcPr>
          <w:p w14:paraId="7C6A12A7"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7,910.9</w:t>
            </w:r>
          </w:p>
        </w:tc>
        <w:tc>
          <w:tcPr>
            <w:tcW w:w="1537" w:type="dxa"/>
            <w:hideMark/>
          </w:tcPr>
          <w:p w14:paraId="0C5A9080"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10,814.7</w:t>
            </w:r>
          </w:p>
        </w:tc>
        <w:tc>
          <w:tcPr>
            <w:tcW w:w="1537" w:type="dxa"/>
            <w:hideMark/>
          </w:tcPr>
          <w:p w14:paraId="09662D55"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10,531.4</w:t>
            </w:r>
          </w:p>
        </w:tc>
      </w:tr>
      <w:tr w:rsidR="00DF0333" w:rsidRPr="00DF0333" w14:paraId="7F476006" w14:textId="77777777" w:rsidTr="00E7337F">
        <w:trPr>
          <w:trHeight w:val="173"/>
          <w:jc w:val="center"/>
        </w:trPr>
        <w:tc>
          <w:tcPr>
            <w:tcW w:w="4739" w:type="dxa"/>
            <w:noWrap/>
            <w:hideMark/>
          </w:tcPr>
          <w:p w14:paraId="206FB6F2"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Accrued Expenses</w:t>
            </w:r>
          </w:p>
        </w:tc>
        <w:tc>
          <w:tcPr>
            <w:tcW w:w="1537" w:type="dxa"/>
            <w:hideMark/>
          </w:tcPr>
          <w:p w14:paraId="78CA18E9"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926.5</w:t>
            </w:r>
          </w:p>
        </w:tc>
        <w:tc>
          <w:tcPr>
            <w:tcW w:w="1537" w:type="dxa"/>
            <w:hideMark/>
          </w:tcPr>
          <w:p w14:paraId="7C2A88EB"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985.1</w:t>
            </w:r>
          </w:p>
        </w:tc>
        <w:tc>
          <w:tcPr>
            <w:tcW w:w="1537" w:type="dxa"/>
            <w:hideMark/>
          </w:tcPr>
          <w:p w14:paraId="06D39D54"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6,744.7</w:t>
            </w:r>
          </w:p>
        </w:tc>
      </w:tr>
      <w:tr w:rsidR="00DF0333" w:rsidRPr="00DF0333" w14:paraId="1DC235C4" w14:textId="77777777" w:rsidTr="00E7337F">
        <w:trPr>
          <w:trHeight w:val="173"/>
          <w:jc w:val="center"/>
        </w:trPr>
        <w:tc>
          <w:tcPr>
            <w:tcW w:w="4739" w:type="dxa"/>
            <w:noWrap/>
            <w:hideMark/>
          </w:tcPr>
          <w:p w14:paraId="703BD571"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Short-Term Borrowings</w:t>
            </w:r>
          </w:p>
        </w:tc>
        <w:tc>
          <w:tcPr>
            <w:tcW w:w="1537" w:type="dxa"/>
            <w:hideMark/>
          </w:tcPr>
          <w:p w14:paraId="42783547"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9,972.8</w:t>
            </w:r>
          </w:p>
        </w:tc>
        <w:tc>
          <w:tcPr>
            <w:tcW w:w="1537" w:type="dxa"/>
            <w:hideMark/>
          </w:tcPr>
          <w:p w14:paraId="18A0CDEC"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3,210.1</w:t>
            </w:r>
          </w:p>
        </w:tc>
        <w:tc>
          <w:tcPr>
            <w:tcW w:w="1537" w:type="dxa"/>
            <w:hideMark/>
          </w:tcPr>
          <w:p w14:paraId="6C088423"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5,266.1</w:t>
            </w:r>
          </w:p>
        </w:tc>
      </w:tr>
      <w:tr w:rsidR="00DF0333" w:rsidRPr="00DF0333" w14:paraId="14127261" w14:textId="77777777" w:rsidTr="00E7337F">
        <w:trPr>
          <w:trHeight w:val="173"/>
          <w:jc w:val="center"/>
        </w:trPr>
        <w:tc>
          <w:tcPr>
            <w:tcW w:w="4739" w:type="dxa"/>
            <w:noWrap/>
            <w:hideMark/>
          </w:tcPr>
          <w:p w14:paraId="3E956E34"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Current Portion of Long-Term Debt</w:t>
            </w:r>
          </w:p>
        </w:tc>
        <w:tc>
          <w:tcPr>
            <w:tcW w:w="1537" w:type="dxa"/>
            <w:hideMark/>
          </w:tcPr>
          <w:p w14:paraId="05B19E1B"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16,063.8</w:t>
            </w:r>
          </w:p>
        </w:tc>
        <w:tc>
          <w:tcPr>
            <w:tcW w:w="1537" w:type="dxa"/>
            <w:hideMark/>
          </w:tcPr>
          <w:p w14:paraId="0A0B23CA"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15,186.3</w:t>
            </w:r>
          </w:p>
        </w:tc>
        <w:tc>
          <w:tcPr>
            <w:tcW w:w="1537" w:type="dxa"/>
            <w:hideMark/>
          </w:tcPr>
          <w:p w14:paraId="6868B5C7"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5,961.4</w:t>
            </w:r>
          </w:p>
        </w:tc>
      </w:tr>
      <w:tr w:rsidR="00DF0333" w:rsidRPr="00DF0333" w14:paraId="15A240EF" w14:textId="77777777" w:rsidTr="00E7337F">
        <w:trPr>
          <w:trHeight w:val="173"/>
          <w:jc w:val="center"/>
        </w:trPr>
        <w:tc>
          <w:tcPr>
            <w:tcW w:w="4739" w:type="dxa"/>
            <w:noWrap/>
            <w:hideMark/>
          </w:tcPr>
          <w:p w14:paraId="22BAB9F9"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Current Income Taxes Payable</w:t>
            </w:r>
          </w:p>
        </w:tc>
        <w:tc>
          <w:tcPr>
            <w:tcW w:w="1537" w:type="dxa"/>
            <w:hideMark/>
          </w:tcPr>
          <w:p w14:paraId="707D4AEA"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2,935.3</w:t>
            </w:r>
          </w:p>
        </w:tc>
        <w:tc>
          <w:tcPr>
            <w:tcW w:w="1537" w:type="dxa"/>
            <w:hideMark/>
          </w:tcPr>
          <w:p w14:paraId="11AFDB76"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5,389.7</w:t>
            </w:r>
          </w:p>
        </w:tc>
        <w:tc>
          <w:tcPr>
            <w:tcW w:w="1537" w:type="dxa"/>
            <w:hideMark/>
          </w:tcPr>
          <w:p w14:paraId="2282F94A"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5,777.8</w:t>
            </w:r>
          </w:p>
        </w:tc>
      </w:tr>
      <w:tr w:rsidR="00DF0333" w:rsidRPr="00DF0333" w14:paraId="6803AA36" w14:textId="77777777" w:rsidTr="00E7337F">
        <w:trPr>
          <w:trHeight w:val="173"/>
          <w:jc w:val="center"/>
        </w:trPr>
        <w:tc>
          <w:tcPr>
            <w:tcW w:w="4739" w:type="dxa"/>
            <w:noWrap/>
            <w:hideMark/>
          </w:tcPr>
          <w:p w14:paraId="0CA1DB62"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Unearned Revenue, Current</w:t>
            </w:r>
          </w:p>
        </w:tc>
        <w:tc>
          <w:tcPr>
            <w:tcW w:w="1537" w:type="dxa"/>
            <w:hideMark/>
          </w:tcPr>
          <w:p w14:paraId="3869E7D0"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45,758.8</w:t>
            </w:r>
          </w:p>
        </w:tc>
        <w:tc>
          <w:tcPr>
            <w:tcW w:w="1537" w:type="dxa"/>
            <w:hideMark/>
          </w:tcPr>
          <w:p w14:paraId="51EEECA8"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28,848.3</w:t>
            </w:r>
          </w:p>
        </w:tc>
        <w:tc>
          <w:tcPr>
            <w:tcW w:w="1537" w:type="dxa"/>
            <w:hideMark/>
          </w:tcPr>
          <w:p w14:paraId="55F9B78E"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23,428.4</w:t>
            </w:r>
          </w:p>
        </w:tc>
      </w:tr>
      <w:tr w:rsidR="00DF0333" w:rsidRPr="00DF0333" w14:paraId="46705297" w14:textId="77777777" w:rsidTr="00E7337F">
        <w:trPr>
          <w:trHeight w:val="173"/>
          <w:jc w:val="center"/>
        </w:trPr>
        <w:tc>
          <w:tcPr>
            <w:tcW w:w="4739" w:type="dxa"/>
            <w:noWrap/>
            <w:hideMark/>
          </w:tcPr>
          <w:p w14:paraId="6FA5BB79"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Other Current Liabilities</w:t>
            </w:r>
          </w:p>
        </w:tc>
        <w:tc>
          <w:tcPr>
            <w:tcW w:w="1537" w:type="dxa"/>
            <w:hideMark/>
          </w:tcPr>
          <w:p w14:paraId="4415F357"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9,290.4</w:t>
            </w:r>
          </w:p>
        </w:tc>
        <w:tc>
          <w:tcPr>
            <w:tcW w:w="1537" w:type="dxa"/>
            <w:hideMark/>
          </w:tcPr>
          <w:p w14:paraId="1925171E"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9,128.3</w:t>
            </w:r>
          </w:p>
        </w:tc>
        <w:tc>
          <w:tcPr>
            <w:tcW w:w="1537" w:type="dxa"/>
            <w:hideMark/>
          </w:tcPr>
          <w:p w14:paraId="3EF48A74"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7,417.6</w:t>
            </w:r>
          </w:p>
        </w:tc>
      </w:tr>
      <w:tr w:rsidR="00DF0333" w:rsidRPr="00DF0333" w14:paraId="37499099" w14:textId="77777777" w:rsidTr="00E7337F">
        <w:trPr>
          <w:trHeight w:val="173"/>
          <w:jc w:val="center"/>
        </w:trPr>
        <w:tc>
          <w:tcPr>
            <w:tcW w:w="4739" w:type="dxa"/>
            <w:noWrap/>
            <w:hideMark/>
          </w:tcPr>
          <w:p w14:paraId="5E1D4B83" w14:textId="77777777" w:rsidR="00DF0333" w:rsidRPr="00DF0333" w:rsidRDefault="00DF0333" w:rsidP="00DF0333">
            <w:pPr>
              <w:rPr>
                <w:rFonts w:ascii="Arial" w:hAnsi="Arial" w:cs="Arial"/>
                <w:b/>
                <w:bCs/>
                <w:iCs/>
                <w:sz w:val="18"/>
                <w:szCs w:val="18"/>
                <w:lang w:val="en-GB"/>
              </w:rPr>
            </w:pPr>
            <w:r w:rsidRPr="00DF0333">
              <w:rPr>
                <w:rFonts w:ascii="Arial" w:hAnsi="Arial" w:cs="Arial"/>
                <w:b/>
                <w:bCs/>
                <w:iCs/>
                <w:sz w:val="18"/>
                <w:szCs w:val="18"/>
                <w:lang w:val="en-GB"/>
              </w:rPr>
              <w:t>Total Current Liabilities</w:t>
            </w:r>
          </w:p>
        </w:tc>
        <w:tc>
          <w:tcPr>
            <w:tcW w:w="1537" w:type="dxa"/>
            <w:hideMark/>
          </w:tcPr>
          <w:p w14:paraId="24E6C692"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92,858.4</w:t>
            </w:r>
          </w:p>
        </w:tc>
        <w:tc>
          <w:tcPr>
            <w:tcW w:w="1537" w:type="dxa"/>
            <w:hideMark/>
          </w:tcPr>
          <w:p w14:paraId="445C8AAF"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73,562.5</w:t>
            </w:r>
          </w:p>
        </w:tc>
        <w:tc>
          <w:tcPr>
            <w:tcW w:w="1537" w:type="dxa"/>
            <w:hideMark/>
          </w:tcPr>
          <w:p w14:paraId="2D412588"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65,127.4</w:t>
            </w:r>
          </w:p>
        </w:tc>
      </w:tr>
      <w:tr w:rsidR="00DF0333" w:rsidRPr="00DF0333" w14:paraId="5D7D1EB9" w14:textId="77777777" w:rsidTr="00E7337F">
        <w:trPr>
          <w:trHeight w:val="173"/>
          <w:jc w:val="center"/>
        </w:trPr>
        <w:tc>
          <w:tcPr>
            <w:tcW w:w="4739" w:type="dxa"/>
            <w:noWrap/>
            <w:hideMark/>
          </w:tcPr>
          <w:p w14:paraId="1C3D0E48" w14:textId="77777777" w:rsidR="00DF0333" w:rsidRPr="00DF0333" w:rsidRDefault="00DF0333" w:rsidP="00DF0333">
            <w:pPr>
              <w:rPr>
                <w:rFonts w:ascii="Arial" w:hAnsi="Arial" w:cs="Arial"/>
                <w:b/>
                <w:bCs/>
                <w:iCs/>
                <w:sz w:val="18"/>
                <w:szCs w:val="18"/>
                <w:lang w:val="en-GB"/>
              </w:rPr>
            </w:pPr>
          </w:p>
        </w:tc>
        <w:tc>
          <w:tcPr>
            <w:tcW w:w="1537" w:type="dxa"/>
            <w:noWrap/>
            <w:hideMark/>
          </w:tcPr>
          <w:p w14:paraId="6D59ABAE" w14:textId="77777777" w:rsidR="00DF0333" w:rsidRPr="00DF0333" w:rsidRDefault="00DF0333" w:rsidP="00DF0333">
            <w:pPr>
              <w:jc w:val="right"/>
              <w:rPr>
                <w:rFonts w:ascii="Arial" w:hAnsi="Arial" w:cs="Arial"/>
                <w:iCs/>
                <w:sz w:val="18"/>
                <w:szCs w:val="18"/>
                <w:lang w:val="en-GB"/>
              </w:rPr>
            </w:pPr>
          </w:p>
        </w:tc>
        <w:tc>
          <w:tcPr>
            <w:tcW w:w="1537" w:type="dxa"/>
            <w:noWrap/>
            <w:hideMark/>
          </w:tcPr>
          <w:p w14:paraId="241C3603" w14:textId="77777777" w:rsidR="00DF0333" w:rsidRPr="00DF0333" w:rsidRDefault="00DF0333" w:rsidP="00DF0333">
            <w:pPr>
              <w:jc w:val="right"/>
              <w:rPr>
                <w:rFonts w:ascii="Arial" w:hAnsi="Arial" w:cs="Arial"/>
                <w:iCs/>
                <w:sz w:val="18"/>
                <w:szCs w:val="18"/>
                <w:lang w:val="en-GB"/>
              </w:rPr>
            </w:pPr>
          </w:p>
        </w:tc>
        <w:tc>
          <w:tcPr>
            <w:tcW w:w="1537" w:type="dxa"/>
            <w:noWrap/>
            <w:hideMark/>
          </w:tcPr>
          <w:p w14:paraId="6950D80B" w14:textId="77777777" w:rsidR="00DF0333" w:rsidRPr="00DF0333" w:rsidRDefault="00DF0333" w:rsidP="00DF0333">
            <w:pPr>
              <w:jc w:val="right"/>
              <w:rPr>
                <w:rFonts w:ascii="Arial" w:hAnsi="Arial" w:cs="Arial"/>
                <w:iCs/>
                <w:sz w:val="18"/>
                <w:szCs w:val="18"/>
                <w:lang w:val="en-GB"/>
              </w:rPr>
            </w:pPr>
          </w:p>
        </w:tc>
      </w:tr>
      <w:tr w:rsidR="00DF0333" w:rsidRPr="00DF0333" w14:paraId="40D43291" w14:textId="77777777" w:rsidTr="00E7337F">
        <w:trPr>
          <w:trHeight w:val="173"/>
          <w:jc w:val="center"/>
        </w:trPr>
        <w:tc>
          <w:tcPr>
            <w:tcW w:w="4739" w:type="dxa"/>
            <w:noWrap/>
            <w:hideMark/>
          </w:tcPr>
          <w:p w14:paraId="24107B4C"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Long-Term Debt</w:t>
            </w:r>
          </w:p>
        </w:tc>
        <w:tc>
          <w:tcPr>
            <w:tcW w:w="1537" w:type="dxa"/>
            <w:hideMark/>
          </w:tcPr>
          <w:p w14:paraId="2756CF27"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16,048.1</w:t>
            </w:r>
          </w:p>
        </w:tc>
        <w:tc>
          <w:tcPr>
            <w:tcW w:w="1537" w:type="dxa"/>
            <w:hideMark/>
          </w:tcPr>
          <w:p w14:paraId="4855DC04"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6,117.8</w:t>
            </w:r>
          </w:p>
        </w:tc>
        <w:tc>
          <w:tcPr>
            <w:tcW w:w="1537" w:type="dxa"/>
            <w:hideMark/>
          </w:tcPr>
          <w:p w14:paraId="20E65EEB"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24,493.6</w:t>
            </w:r>
          </w:p>
        </w:tc>
      </w:tr>
      <w:tr w:rsidR="00DF0333" w:rsidRPr="00DF0333" w14:paraId="6E4E85CC" w14:textId="77777777" w:rsidTr="00E7337F">
        <w:trPr>
          <w:trHeight w:val="173"/>
          <w:jc w:val="center"/>
        </w:trPr>
        <w:tc>
          <w:tcPr>
            <w:tcW w:w="4739" w:type="dxa"/>
            <w:noWrap/>
            <w:hideMark/>
          </w:tcPr>
          <w:p w14:paraId="27A4AC4F"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Deferred Tax Liability, Non-Current</w:t>
            </w:r>
          </w:p>
        </w:tc>
        <w:tc>
          <w:tcPr>
            <w:tcW w:w="1537" w:type="dxa"/>
            <w:hideMark/>
          </w:tcPr>
          <w:p w14:paraId="73731F0C"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434.5</w:t>
            </w:r>
          </w:p>
        </w:tc>
        <w:tc>
          <w:tcPr>
            <w:tcW w:w="1537" w:type="dxa"/>
            <w:hideMark/>
          </w:tcPr>
          <w:p w14:paraId="227B1316"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538.9</w:t>
            </w:r>
          </w:p>
        </w:tc>
        <w:tc>
          <w:tcPr>
            <w:tcW w:w="1537" w:type="dxa"/>
            <w:hideMark/>
          </w:tcPr>
          <w:p w14:paraId="6697F2E7"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703.7</w:t>
            </w:r>
          </w:p>
        </w:tc>
      </w:tr>
      <w:tr w:rsidR="00DF0333" w:rsidRPr="00DF0333" w14:paraId="4B02F3CE" w14:textId="77777777" w:rsidTr="00E7337F">
        <w:trPr>
          <w:trHeight w:val="173"/>
          <w:jc w:val="center"/>
        </w:trPr>
        <w:tc>
          <w:tcPr>
            <w:tcW w:w="4739" w:type="dxa"/>
            <w:noWrap/>
            <w:hideMark/>
          </w:tcPr>
          <w:p w14:paraId="556FC2F1"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Other Non-Current Liabilities</w:t>
            </w:r>
          </w:p>
        </w:tc>
        <w:tc>
          <w:tcPr>
            <w:tcW w:w="1537" w:type="dxa"/>
            <w:hideMark/>
          </w:tcPr>
          <w:p w14:paraId="3B967DAE"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992.2</w:t>
            </w:r>
          </w:p>
        </w:tc>
        <w:tc>
          <w:tcPr>
            <w:tcW w:w="1537" w:type="dxa"/>
            <w:hideMark/>
          </w:tcPr>
          <w:p w14:paraId="176045CB"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w:t>
            </w:r>
          </w:p>
        </w:tc>
        <w:tc>
          <w:tcPr>
            <w:tcW w:w="1537" w:type="dxa"/>
            <w:hideMark/>
          </w:tcPr>
          <w:p w14:paraId="63623E75"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w:t>
            </w:r>
          </w:p>
        </w:tc>
      </w:tr>
      <w:tr w:rsidR="00DF0333" w:rsidRPr="00DF0333" w14:paraId="7A9BAB28" w14:textId="77777777" w:rsidTr="00E7337F">
        <w:trPr>
          <w:trHeight w:val="173"/>
          <w:jc w:val="center"/>
        </w:trPr>
        <w:tc>
          <w:tcPr>
            <w:tcW w:w="4739" w:type="dxa"/>
            <w:noWrap/>
            <w:hideMark/>
          </w:tcPr>
          <w:p w14:paraId="4B5015DA" w14:textId="77777777" w:rsidR="00DF0333" w:rsidRPr="00DF0333" w:rsidRDefault="00DF0333" w:rsidP="00DF0333">
            <w:pPr>
              <w:rPr>
                <w:rFonts w:ascii="Arial" w:hAnsi="Arial" w:cs="Arial"/>
                <w:b/>
                <w:bCs/>
                <w:iCs/>
                <w:sz w:val="18"/>
                <w:szCs w:val="18"/>
                <w:lang w:val="en-GB"/>
              </w:rPr>
            </w:pPr>
            <w:r w:rsidRPr="00DF0333">
              <w:rPr>
                <w:rFonts w:ascii="Arial" w:hAnsi="Arial" w:cs="Arial"/>
                <w:b/>
                <w:bCs/>
                <w:iCs/>
                <w:sz w:val="18"/>
                <w:szCs w:val="18"/>
                <w:lang w:val="en-GB"/>
              </w:rPr>
              <w:t>Total Liabilities</w:t>
            </w:r>
          </w:p>
        </w:tc>
        <w:tc>
          <w:tcPr>
            <w:tcW w:w="1537" w:type="dxa"/>
            <w:hideMark/>
          </w:tcPr>
          <w:p w14:paraId="5A633B3D"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110,333.2</w:t>
            </w:r>
          </w:p>
        </w:tc>
        <w:tc>
          <w:tcPr>
            <w:tcW w:w="1537" w:type="dxa"/>
            <w:hideMark/>
          </w:tcPr>
          <w:p w14:paraId="2BE47458"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80,219.2</w:t>
            </w:r>
          </w:p>
        </w:tc>
        <w:tc>
          <w:tcPr>
            <w:tcW w:w="1537" w:type="dxa"/>
            <w:hideMark/>
          </w:tcPr>
          <w:p w14:paraId="76501DFF"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90,324.7</w:t>
            </w:r>
          </w:p>
        </w:tc>
      </w:tr>
      <w:tr w:rsidR="00DF0333" w:rsidRPr="00DF0333" w14:paraId="373D7884" w14:textId="77777777" w:rsidTr="00E7337F">
        <w:trPr>
          <w:trHeight w:val="173"/>
          <w:jc w:val="center"/>
        </w:trPr>
        <w:tc>
          <w:tcPr>
            <w:tcW w:w="4739" w:type="dxa"/>
            <w:noWrap/>
            <w:hideMark/>
          </w:tcPr>
          <w:p w14:paraId="4102108C"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Common Stock</w:t>
            </w:r>
          </w:p>
        </w:tc>
        <w:tc>
          <w:tcPr>
            <w:tcW w:w="1537" w:type="dxa"/>
            <w:hideMark/>
          </w:tcPr>
          <w:p w14:paraId="07419DCF"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166.4</w:t>
            </w:r>
          </w:p>
        </w:tc>
        <w:tc>
          <w:tcPr>
            <w:tcW w:w="1537" w:type="dxa"/>
            <w:hideMark/>
          </w:tcPr>
          <w:p w14:paraId="7B4FC498"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207.4</w:t>
            </w:r>
          </w:p>
        </w:tc>
        <w:tc>
          <w:tcPr>
            <w:tcW w:w="1537" w:type="dxa"/>
            <w:hideMark/>
          </w:tcPr>
          <w:p w14:paraId="3E35F67A"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208.7</w:t>
            </w:r>
          </w:p>
        </w:tc>
      </w:tr>
      <w:tr w:rsidR="00DF0333" w:rsidRPr="00DF0333" w14:paraId="57890E81" w14:textId="77777777" w:rsidTr="00E7337F">
        <w:trPr>
          <w:trHeight w:val="173"/>
          <w:jc w:val="center"/>
        </w:trPr>
        <w:tc>
          <w:tcPr>
            <w:tcW w:w="4739" w:type="dxa"/>
            <w:noWrap/>
            <w:hideMark/>
          </w:tcPr>
          <w:p w14:paraId="4C4543C2"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Additional Paid in Capital</w:t>
            </w:r>
          </w:p>
        </w:tc>
        <w:tc>
          <w:tcPr>
            <w:tcW w:w="1537" w:type="dxa"/>
            <w:hideMark/>
          </w:tcPr>
          <w:p w14:paraId="18454138"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6,299.7</w:t>
            </w:r>
          </w:p>
        </w:tc>
        <w:tc>
          <w:tcPr>
            <w:tcW w:w="1537" w:type="dxa"/>
            <w:hideMark/>
          </w:tcPr>
          <w:p w14:paraId="33E3CFB8"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8,395.8</w:t>
            </w:r>
          </w:p>
        </w:tc>
        <w:tc>
          <w:tcPr>
            <w:tcW w:w="1537" w:type="dxa"/>
            <w:hideMark/>
          </w:tcPr>
          <w:p w14:paraId="45A49F88"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8,530.3</w:t>
            </w:r>
          </w:p>
        </w:tc>
      </w:tr>
      <w:tr w:rsidR="00DF0333" w:rsidRPr="00DF0333" w14:paraId="2E665007" w14:textId="77777777" w:rsidTr="00E7337F">
        <w:trPr>
          <w:trHeight w:val="173"/>
          <w:jc w:val="center"/>
        </w:trPr>
        <w:tc>
          <w:tcPr>
            <w:tcW w:w="4739" w:type="dxa"/>
            <w:noWrap/>
            <w:hideMark/>
          </w:tcPr>
          <w:p w14:paraId="3FFE4C7F"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Retained Earnings</w:t>
            </w:r>
          </w:p>
        </w:tc>
        <w:tc>
          <w:tcPr>
            <w:tcW w:w="1537" w:type="dxa"/>
            <w:hideMark/>
          </w:tcPr>
          <w:p w14:paraId="19C9719D"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5,719.1</w:t>
            </w:r>
          </w:p>
        </w:tc>
        <w:tc>
          <w:tcPr>
            <w:tcW w:w="1537" w:type="dxa"/>
            <w:hideMark/>
          </w:tcPr>
          <w:p w14:paraId="601866D4"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10,597.5</w:t>
            </w:r>
          </w:p>
        </w:tc>
        <w:tc>
          <w:tcPr>
            <w:tcW w:w="1537" w:type="dxa"/>
            <w:hideMark/>
          </w:tcPr>
          <w:p w14:paraId="232DC835"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14,222.8</w:t>
            </w:r>
          </w:p>
        </w:tc>
      </w:tr>
      <w:tr w:rsidR="00DF0333" w:rsidRPr="00DF0333" w14:paraId="0617D203" w14:textId="77777777" w:rsidTr="00E7337F">
        <w:trPr>
          <w:trHeight w:val="173"/>
          <w:jc w:val="center"/>
        </w:trPr>
        <w:tc>
          <w:tcPr>
            <w:tcW w:w="4739" w:type="dxa"/>
            <w:noWrap/>
            <w:hideMark/>
          </w:tcPr>
          <w:p w14:paraId="2618EDEB"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Comprehensive Income and Other</w:t>
            </w:r>
          </w:p>
        </w:tc>
        <w:tc>
          <w:tcPr>
            <w:tcW w:w="1537" w:type="dxa"/>
            <w:hideMark/>
          </w:tcPr>
          <w:p w14:paraId="256C0DE4"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(245.4)</w:t>
            </w:r>
          </w:p>
        </w:tc>
        <w:tc>
          <w:tcPr>
            <w:tcW w:w="1537" w:type="dxa"/>
            <w:hideMark/>
          </w:tcPr>
          <w:p w14:paraId="3D5D9C2D"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1,941.5</w:t>
            </w:r>
          </w:p>
        </w:tc>
        <w:tc>
          <w:tcPr>
            <w:tcW w:w="1537" w:type="dxa"/>
            <w:hideMark/>
          </w:tcPr>
          <w:p w14:paraId="4B3D349A"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1,985.6</w:t>
            </w:r>
          </w:p>
        </w:tc>
      </w:tr>
      <w:tr w:rsidR="00DF0333" w:rsidRPr="00DF0333" w14:paraId="784C70C0" w14:textId="77777777" w:rsidTr="00E7337F">
        <w:trPr>
          <w:trHeight w:val="173"/>
          <w:jc w:val="center"/>
        </w:trPr>
        <w:tc>
          <w:tcPr>
            <w:tcW w:w="4739" w:type="dxa"/>
            <w:noWrap/>
            <w:hideMark/>
          </w:tcPr>
          <w:p w14:paraId="5AE07D4D" w14:textId="77777777" w:rsidR="00DF0333" w:rsidRPr="00DF0333" w:rsidRDefault="00DF0333" w:rsidP="00DF0333">
            <w:pPr>
              <w:rPr>
                <w:rFonts w:ascii="Arial" w:hAnsi="Arial" w:cs="Arial"/>
                <w:b/>
                <w:bCs/>
                <w:iCs/>
                <w:sz w:val="18"/>
                <w:szCs w:val="18"/>
                <w:lang w:val="en-GB"/>
              </w:rPr>
            </w:pPr>
            <w:r w:rsidRPr="00DF0333">
              <w:rPr>
                <w:rFonts w:ascii="Arial" w:hAnsi="Arial" w:cs="Arial"/>
                <w:b/>
                <w:bCs/>
                <w:iCs/>
                <w:sz w:val="18"/>
                <w:szCs w:val="18"/>
                <w:lang w:val="en-GB"/>
              </w:rPr>
              <w:t>Total Common Equity</w:t>
            </w:r>
          </w:p>
        </w:tc>
        <w:tc>
          <w:tcPr>
            <w:tcW w:w="1537" w:type="dxa"/>
            <w:hideMark/>
          </w:tcPr>
          <w:p w14:paraId="7133E65C"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11,939.9</w:t>
            </w:r>
          </w:p>
        </w:tc>
        <w:tc>
          <w:tcPr>
            <w:tcW w:w="1537" w:type="dxa"/>
            <w:hideMark/>
          </w:tcPr>
          <w:p w14:paraId="6F194D22"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21,142.2</w:t>
            </w:r>
          </w:p>
        </w:tc>
        <w:tc>
          <w:tcPr>
            <w:tcW w:w="1537" w:type="dxa"/>
            <w:hideMark/>
          </w:tcPr>
          <w:p w14:paraId="38B0F8FA" w14:textId="77777777" w:rsidR="00DF0333" w:rsidRPr="00DF0333" w:rsidRDefault="00DF0333" w:rsidP="00DF0333">
            <w:pPr>
              <w:jc w:val="right"/>
              <w:rPr>
                <w:rFonts w:ascii="Arial" w:hAnsi="Arial" w:cs="Arial"/>
                <w:b/>
                <w:bCs/>
                <w:iCs/>
                <w:sz w:val="18"/>
                <w:szCs w:val="18"/>
                <w:lang w:val="en-GB"/>
              </w:rPr>
            </w:pPr>
            <w:r w:rsidRPr="00DF0333">
              <w:rPr>
                <w:rFonts w:ascii="Arial" w:hAnsi="Arial" w:cs="Arial"/>
                <w:b/>
                <w:bCs/>
                <w:iCs/>
                <w:sz w:val="18"/>
                <w:szCs w:val="18"/>
                <w:lang w:val="en-GB"/>
              </w:rPr>
              <w:t>24,947.3</w:t>
            </w:r>
          </w:p>
        </w:tc>
      </w:tr>
      <w:tr w:rsidR="00DF0333" w:rsidRPr="00DF0333" w14:paraId="6FF72F6E" w14:textId="77777777" w:rsidTr="00E7337F">
        <w:trPr>
          <w:trHeight w:val="173"/>
          <w:jc w:val="center"/>
        </w:trPr>
        <w:tc>
          <w:tcPr>
            <w:tcW w:w="4739" w:type="dxa"/>
            <w:noWrap/>
            <w:hideMark/>
          </w:tcPr>
          <w:p w14:paraId="278E5F1A" w14:textId="77777777" w:rsidR="00DF0333" w:rsidRPr="00DF0333" w:rsidRDefault="00DF0333" w:rsidP="00DF0333">
            <w:pPr>
              <w:rPr>
                <w:rFonts w:ascii="Arial" w:hAnsi="Arial" w:cs="Arial"/>
                <w:b/>
                <w:bCs/>
                <w:iCs/>
                <w:sz w:val="18"/>
                <w:szCs w:val="18"/>
                <w:lang w:val="en-GB"/>
              </w:rPr>
            </w:pPr>
          </w:p>
        </w:tc>
        <w:tc>
          <w:tcPr>
            <w:tcW w:w="1537" w:type="dxa"/>
            <w:noWrap/>
            <w:hideMark/>
          </w:tcPr>
          <w:p w14:paraId="1BE32AC2" w14:textId="77777777" w:rsidR="00DF0333" w:rsidRPr="00DF0333" w:rsidRDefault="00DF0333" w:rsidP="00DF0333">
            <w:pPr>
              <w:jc w:val="right"/>
              <w:rPr>
                <w:rFonts w:ascii="Arial" w:hAnsi="Arial" w:cs="Arial"/>
                <w:iCs/>
                <w:sz w:val="18"/>
                <w:szCs w:val="18"/>
                <w:lang w:val="en-GB"/>
              </w:rPr>
            </w:pPr>
          </w:p>
        </w:tc>
        <w:tc>
          <w:tcPr>
            <w:tcW w:w="1537" w:type="dxa"/>
            <w:noWrap/>
            <w:hideMark/>
          </w:tcPr>
          <w:p w14:paraId="74EC24CC" w14:textId="77777777" w:rsidR="00DF0333" w:rsidRPr="00DF0333" w:rsidRDefault="00DF0333" w:rsidP="00DF0333">
            <w:pPr>
              <w:jc w:val="right"/>
              <w:rPr>
                <w:rFonts w:ascii="Arial" w:hAnsi="Arial" w:cs="Arial"/>
                <w:iCs/>
                <w:sz w:val="18"/>
                <w:szCs w:val="18"/>
                <w:lang w:val="en-GB"/>
              </w:rPr>
            </w:pPr>
          </w:p>
        </w:tc>
        <w:tc>
          <w:tcPr>
            <w:tcW w:w="1537" w:type="dxa"/>
            <w:noWrap/>
            <w:hideMark/>
          </w:tcPr>
          <w:p w14:paraId="224C9B86" w14:textId="77777777" w:rsidR="00DF0333" w:rsidRPr="00DF0333" w:rsidRDefault="00DF0333" w:rsidP="00DF0333">
            <w:pPr>
              <w:jc w:val="right"/>
              <w:rPr>
                <w:rFonts w:ascii="Arial" w:hAnsi="Arial" w:cs="Arial"/>
                <w:iCs/>
                <w:sz w:val="18"/>
                <w:szCs w:val="18"/>
                <w:lang w:val="en-GB"/>
              </w:rPr>
            </w:pPr>
          </w:p>
        </w:tc>
      </w:tr>
      <w:tr w:rsidR="00DF0333" w:rsidRPr="00DF0333" w14:paraId="6F00DC9C" w14:textId="77777777" w:rsidTr="00E7337F">
        <w:trPr>
          <w:trHeight w:val="173"/>
          <w:jc w:val="center"/>
        </w:trPr>
        <w:tc>
          <w:tcPr>
            <w:tcW w:w="4739" w:type="dxa"/>
            <w:noWrap/>
            <w:hideMark/>
          </w:tcPr>
          <w:p w14:paraId="78E3814C"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Minority Interest</w:t>
            </w:r>
          </w:p>
        </w:tc>
        <w:tc>
          <w:tcPr>
            <w:tcW w:w="1537" w:type="dxa"/>
            <w:hideMark/>
          </w:tcPr>
          <w:p w14:paraId="4AE447DB"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5,703.4</w:t>
            </w:r>
          </w:p>
        </w:tc>
        <w:tc>
          <w:tcPr>
            <w:tcW w:w="1537" w:type="dxa"/>
            <w:hideMark/>
          </w:tcPr>
          <w:p w14:paraId="32A57127"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6,345.9</w:t>
            </w:r>
          </w:p>
        </w:tc>
        <w:tc>
          <w:tcPr>
            <w:tcW w:w="1537" w:type="dxa"/>
            <w:hideMark/>
          </w:tcPr>
          <w:p w14:paraId="0FF2C1C8"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7,063.6</w:t>
            </w:r>
          </w:p>
        </w:tc>
      </w:tr>
      <w:tr w:rsidR="00DF0333" w:rsidRPr="00DF0333" w14:paraId="13C31529" w14:textId="77777777" w:rsidTr="00E7337F">
        <w:trPr>
          <w:trHeight w:val="173"/>
          <w:jc w:val="center"/>
        </w:trPr>
        <w:tc>
          <w:tcPr>
            <w:tcW w:w="4739" w:type="dxa"/>
            <w:noWrap/>
            <w:hideMark/>
          </w:tcPr>
          <w:p w14:paraId="0F1C4D67" w14:textId="77777777" w:rsidR="00DF0333" w:rsidRPr="00DF0333" w:rsidRDefault="00DF0333" w:rsidP="00DF0333">
            <w:pPr>
              <w:rPr>
                <w:rFonts w:ascii="Arial" w:hAnsi="Arial" w:cs="Arial"/>
                <w:b/>
                <w:bCs/>
                <w:iCs/>
                <w:sz w:val="18"/>
                <w:szCs w:val="18"/>
                <w:lang w:val="en-GB"/>
              </w:rPr>
            </w:pPr>
            <w:r w:rsidRPr="00DF0333">
              <w:rPr>
                <w:rFonts w:ascii="Arial" w:hAnsi="Arial" w:cs="Arial"/>
                <w:b/>
                <w:bCs/>
                <w:iCs/>
                <w:sz w:val="18"/>
                <w:szCs w:val="18"/>
                <w:lang w:val="en-GB"/>
              </w:rPr>
              <w:t>Total Equity</w:t>
            </w:r>
          </w:p>
        </w:tc>
        <w:tc>
          <w:tcPr>
            <w:tcW w:w="1537" w:type="dxa"/>
            <w:hideMark/>
          </w:tcPr>
          <w:p w14:paraId="4BD21E24" w14:textId="77777777" w:rsidR="00DF0333" w:rsidRPr="00DF0333" w:rsidRDefault="00DF0333" w:rsidP="00DF0333">
            <w:pPr>
              <w:jc w:val="right"/>
              <w:rPr>
                <w:rFonts w:ascii="Arial" w:hAnsi="Arial" w:cs="Arial"/>
                <w:b/>
                <w:bCs/>
                <w:iCs/>
                <w:sz w:val="18"/>
                <w:szCs w:val="18"/>
                <w:u w:val="single"/>
                <w:lang w:val="en-GB"/>
              </w:rPr>
            </w:pPr>
            <w:r w:rsidRPr="00DF0333">
              <w:rPr>
                <w:rFonts w:ascii="Arial" w:hAnsi="Arial" w:cs="Arial"/>
                <w:b/>
                <w:bCs/>
                <w:iCs/>
                <w:sz w:val="18"/>
                <w:szCs w:val="18"/>
                <w:u w:val="single"/>
                <w:lang w:val="en-GB"/>
              </w:rPr>
              <w:t>17,643.3</w:t>
            </w:r>
          </w:p>
        </w:tc>
        <w:tc>
          <w:tcPr>
            <w:tcW w:w="1537" w:type="dxa"/>
            <w:hideMark/>
          </w:tcPr>
          <w:p w14:paraId="56DB2DFB" w14:textId="77777777" w:rsidR="00DF0333" w:rsidRPr="00DF0333" w:rsidRDefault="00DF0333" w:rsidP="00DF0333">
            <w:pPr>
              <w:jc w:val="right"/>
              <w:rPr>
                <w:rFonts w:ascii="Arial" w:hAnsi="Arial" w:cs="Arial"/>
                <w:b/>
                <w:bCs/>
                <w:iCs/>
                <w:sz w:val="18"/>
                <w:szCs w:val="18"/>
                <w:u w:val="single"/>
                <w:lang w:val="en-GB"/>
              </w:rPr>
            </w:pPr>
            <w:r w:rsidRPr="00DF0333">
              <w:rPr>
                <w:rFonts w:ascii="Arial" w:hAnsi="Arial" w:cs="Arial"/>
                <w:b/>
                <w:bCs/>
                <w:iCs/>
                <w:sz w:val="18"/>
                <w:szCs w:val="18"/>
                <w:u w:val="single"/>
                <w:lang w:val="en-GB"/>
              </w:rPr>
              <w:t>27,488.1</w:t>
            </w:r>
          </w:p>
        </w:tc>
        <w:tc>
          <w:tcPr>
            <w:tcW w:w="1537" w:type="dxa"/>
            <w:hideMark/>
          </w:tcPr>
          <w:p w14:paraId="317FED65" w14:textId="77777777" w:rsidR="00DF0333" w:rsidRPr="00DF0333" w:rsidRDefault="00DF0333" w:rsidP="00DF0333">
            <w:pPr>
              <w:jc w:val="right"/>
              <w:rPr>
                <w:rFonts w:ascii="Arial" w:hAnsi="Arial" w:cs="Arial"/>
                <w:b/>
                <w:bCs/>
                <w:iCs/>
                <w:sz w:val="18"/>
                <w:szCs w:val="18"/>
                <w:u w:val="single"/>
                <w:lang w:val="en-GB"/>
              </w:rPr>
            </w:pPr>
            <w:r w:rsidRPr="00DF0333">
              <w:rPr>
                <w:rFonts w:ascii="Arial" w:hAnsi="Arial" w:cs="Arial"/>
                <w:b/>
                <w:bCs/>
                <w:iCs/>
                <w:sz w:val="18"/>
                <w:szCs w:val="18"/>
                <w:u w:val="single"/>
                <w:lang w:val="en-GB"/>
              </w:rPr>
              <w:t>32,011.0</w:t>
            </w:r>
          </w:p>
        </w:tc>
      </w:tr>
      <w:tr w:rsidR="00DF0333" w:rsidRPr="00DF0333" w14:paraId="2D3A5540" w14:textId="77777777" w:rsidTr="00E7337F">
        <w:trPr>
          <w:trHeight w:val="173"/>
          <w:jc w:val="center"/>
        </w:trPr>
        <w:tc>
          <w:tcPr>
            <w:tcW w:w="4739" w:type="dxa"/>
            <w:noWrap/>
            <w:hideMark/>
          </w:tcPr>
          <w:p w14:paraId="3E0F74BA" w14:textId="77777777" w:rsidR="00DF0333" w:rsidRPr="00DF0333" w:rsidRDefault="00DF0333" w:rsidP="00DF0333">
            <w:pPr>
              <w:rPr>
                <w:rFonts w:ascii="Arial" w:hAnsi="Arial" w:cs="Arial"/>
                <w:b/>
                <w:bCs/>
                <w:iCs/>
                <w:sz w:val="18"/>
                <w:szCs w:val="18"/>
                <w:u w:val="single"/>
                <w:lang w:val="en-GB"/>
              </w:rPr>
            </w:pPr>
          </w:p>
        </w:tc>
        <w:tc>
          <w:tcPr>
            <w:tcW w:w="1537" w:type="dxa"/>
            <w:noWrap/>
            <w:hideMark/>
          </w:tcPr>
          <w:p w14:paraId="71FDCB33" w14:textId="77777777" w:rsidR="00DF0333" w:rsidRPr="00DF0333" w:rsidRDefault="00DF0333" w:rsidP="00DF0333">
            <w:pPr>
              <w:jc w:val="right"/>
              <w:rPr>
                <w:rFonts w:ascii="Arial" w:hAnsi="Arial" w:cs="Arial"/>
                <w:iCs/>
                <w:sz w:val="18"/>
                <w:szCs w:val="18"/>
                <w:lang w:val="en-GB"/>
              </w:rPr>
            </w:pPr>
          </w:p>
        </w:tc>
        <w:tc>
          <w:tcPr>
            <w:tcW w:w="1537" w:type="dxa"/>
            <w:noWrap/>
            <w:hideMark/>
          </w:tcPr>
          <w:p w14:paraId="3069563E" w14:textId="77777777" w:rsidR="00DF0333" w:rsidRPr="00DF0333" w:rsidRDefault="00DF0333" w:rsidP="00DF0333">
            <w:pPr>
              <w:jc w:val="right"/>
              <w:rPr>
                <w:rFonts w:ascii="Arial" w:hAnsi="Arial" w:cs="Arial"/>
                <w:iCs/>
                <w:sz w:val="18"/>
                <w:szCs w:val="18"/>
                <w:lang w:val="en-GB"/>
              </w:rPr>
            </w:pPr>
          </w:p>
        </w:tc>
        <w:tc>
          <w:tcPr>
            <w:tcW w:w="1537" w:type="dxa"/>
            <w:noWrap/>
            <w:hideMark/>
          </w:tcPr>
          <w:p w14:paraId="541E65F5" w14:textId="77777777" w:rsidR="00DF0333" w:rsidRPr="00DF0333" w:rsidRDefault="00DF0333" w:rsidP="00DF0333">
            <w:pPr>
              <w:jc w:val="right"/>
              <w:rPr>
                <w:rFonts w:ascii="Arial" w:hAnsi="Arial" w:cs="Arial"/>
                <w:iCs/>
                <w:sz w:val="18"/>
                <w:szCs w:val="18"/>
                <w:lang w:val="en-GB"/>
              </w:rPr>
            </w:pPr>
          </w:p>
        </w:tc>
      </w:tr>
      <w:tr w:rsidR="00DF0333" w:rsidRPr="00DF0333" w14:paraId="5CEB3ABD" w14:textId="77777777" w:rsidTr="00E7337F">
        <w:trPr>
          <w:trHeight w:val="173"/>
          <w:jc w:val="center"/>
        </w:trPr>
        <w:tc>
          <w:tcPr>
            <w:tcW w:w="4739" w:type="dxa"/>
            <w:noWrap/>
            <w:hideMark/>
          </w:tcPr>
          <w:p w14:paraId="31E54BA5" w14:textId="77777777" w:rsidR="00DF0333" w:rsidRPr="00DF0333" w:rsidRDefault="00DF0333" w:rsidP="00DF0333">
            <w:pPr>
              <w:rPr>
                <w:rFonts w:ascii="Arial" w:hAnsi="Arial" w:cs="Arial"/>
                <w:b/>
                <w:bCs/>
                <w:iCs/>
                <w:sz w:val="18"/>
                <w:szCs w:val="18"/>
                <w:lang w:val="en-GB"/>
              </w:rPr>
            </w:pPr>
            <w:r w:rsidRPr="00DF0333">
              <w:rPr>
                <w:rFonts w:ascii="Arial" w:hAnsi="Arial" w:cs="Arial"/>
                <w:b/>
                <w:bCs/>
                <w:iCs/>
                <w:sz w:val="18"/>
                <w:szCs w:val="18"/>
                <w:lang w:val="en-GB"/>
              </w:rPr>
              <w:t>Total Liabilities and Equity</w:t>
            </w:r>
          </w:p>
        </w:tc>
        <w:tc>
          <w:tcPr>
            <w:tcW w:w="1537" w:type="dxa"/>
            <w:hideMark/>
          </w:tcPr>
          <w:p w14:paraId="4493D926" w14:textId="77777777" w:rsidR="00DF0333" w:rsidRPr="00DF0333" w:rsidRDefault="00DF0333" w:rsidP="00DF0333">
            <w:pPr>
              <w:jc w:val="right"/>
              <w:rPr>
                <w:rFonts w:ascii="Arial" w:hAnsi="Arial" w:cs="Arial"/>
                <w:b/>
                <w:bCs/>
                <w:iCs/>
                <w:sz w:val="18"/>
                <w:szCs w:val="18"/>
                <w:u w:val="double"/>
                <w:lang w:val="en-GB"/>
              </w:rPr>
            </w:pPr>
            <w:r w:rsidRPr="00DF0333">
              <w:rPr>
                <w:rFonts w:ascii="Arial" w:hAnsi="Arial" w:cs="Arial"/>
                <w:b/>
                <w:bCs/>
                <w:iCs/>
                <w:sz w:val="18"/>
                <w:szCs w:val="18"/>
                <w:u w:val="double"/>
                <w:lang w:val="en-GB"/>
              </w:rPr>
              <w:t>127,976.5</w:t>
            </w:r>
          </w:p>
        </w:tc>
        <w:tc>
          <w:tcPr>
            <w:tcW w:w="1537" w:type="dxa"/>
            <w:hideMark/>
          </w:tcPr>
          <w:p w14:paraId="76FE6955" w14:textId="77777777" w:rsidR="00DF0333" w:rsidRPr="00DF0333" w:rsidRDefault="00DF0333" w:rsidP="00DF0333">
            <w:pPr>
              <w:jc w:val="right"/>
              <w:rPr>
                <w:rFonts w:ascii="Arial" w:hAnsi="Arial" w:cs="Arial"/>
                <w:b/>
                <w:bCs/>
                <w:iCs/>
                <w:sz w:val="18"/>
                <w:szCs w:val="18"/>
                <w:u w:val="double"/>
                <w:lang w:val="en-GB"/>
              </w:rPr>
            </w:pPr>
            <w:r w:rsidRPr="00DF0333">
              <w:rPr>
                <w:rFonts w:ascii="Arial" w:hAnsi="Arial" w:cs="Arial"/>
                <w:b/>
                <w:bCs/>
                <w:iCs/>
                <w:sz w:val="18"/>
                <w:szCs w:val="18"/>
                <w:u w:val="double"/>
                <w:lang w:val="en-GB"/>
              </w:rPr>
              <w:t>107,707.3</w:t>
            </w:r>
          </w:p>
        </w:tc>
        <w:tc>
          <w:tcPr>
            <w:tcW w:w="1537" w:type="dxa"/>
            <w:hideMark/>
          </w:tcPr>
          <w:p w14:paraId="191BDC9D" w14:textId="77777777" w:rsidR="00DF0333" w:rsidRPr="00DF0333" w:rsidRDefault="00DF0333" w:rsidP="00DF0333">
            <w:pPr>
              <w:jc w:val="right"/>
              <w:rPr>
                <w:rFonts w:ascii="Arial" w:hAnsi="Arial" w:cs="Arial"/>
                <w:b/>
                <w:bCs/>
                <w:iCs/>
                <w:sz w:val="18"/>
                <w:szCs w:val="18"/>
                <w:u w:val="double"/>
                <w:lang w:val="en-GB"/>
              </w:rPr>
            </w:pPr>
            <w:r w:rsidRPr="00DF0333">
              <w:rPr>
                <w:rFonts w:ascii="Arial" w:hAnsi="Arial" w:cs="Arial"/>
                <w:b/>
                <w:bCs/>
                <w:iCs/>
                <w:sz w:val="18"/>
                <w:szCs w:val="18"/>
                <w:u w:val="double"/>
                <w:lang w:val="en-GB"/>
              </w:rPr>
              <w:t>122,335.7</w:t>
            </w:r>
          </w:p>
        </w:tc>
      </w:tr>
      <w:tr w:rsidR="00DF0333" w:rsidRPr="00DF0333" w14:paraId="5F3B6105" w14:textId="77777777" w:rsidTr="00E7337F">
        <w:trPr>
          <w:trHeight w:val="173"/>
          <w:jc w:val="center"/>
        </w:trPr>
        <w:tc>
          <w:tcPr>
            <w:tcW w:w="4739" w:type="dxa"/>
            <w:noWrap/>
            <w:hideMark/>
          </w:tcPr>
          <w:p w14:paraId="47395E58" w14:textId="77777777" w:rsidR="00DF0333" w:rsidRPr="00DF0333" w:rsidRDefault="00DF0333" w:rsidP="00DF0333">
            <w:pPr>
              <w:rPr>
                <w:rFonts w:ascii="Arial" w:hAnsi="Arial" w:cs="Arial"/>
                <w:b/>
                <w:bCs/>
                <w:iCs/>
                <w:sz w:val="18"/>
                <w:szCs w:val="18"/>
                <w:u w:val="double"/>
                <w:lang w:val="en-GB"/>
              </w:rPr>
            </w:pPr>
          </w:p>
        </w:tc>
        <w:tc>
          <w:tcPr>
            <w:tcW w:w="1537" w:type="dxa"/>
            <w:noWrap/>
            <w:hideMark/>
          </w:tcPr>
          <w:p w14:paraId="7EE52F34" w14:textId="77777777" w:rsidR="00DF0333" w:rsidRPr="00DF0333" w:rsidRDefault="00DF0333" w:rsidP="00DF0333">
            <w:pPr>
              <w:jc w:val="right"/>
              <w:rPr>
                <w:rFonts w:ascii="Arial" w:hAnsi="Arial" w:cs="Arial"/>
                <w:iCs/>
                <w:sz w:val="18"/>
                <w:szCs w:val="18"/>
                <w:lang w:val="en-GB"/>
              </w:rPr>
            </w:pPr>
          </w:p>
        </w:tc>
        <w:tc>
          <w:tcPr>
            <w:tcW w:w="1537" w:type="dxa"/>
            <w:noWrap/>
            <w:hideMark/>
          </w:tcPr>
          <w:p w14:paraId="3950EAE8" w14:textId="77777777" w:rsidR="00DF0333" w:rsidRPr="00DF0333" w:rsidRDefault="00DF0333" w:rsidP="00DF0333">
            <w:pPr>
              <w:jc w:val="right"/>
              <w:rPr>
                <w:rFonts w:ascii="Arial" w:hAnsi="Arial" w:cs="Arial"/>
                <w:iCs/>
                <w:sz w:val="18"/>
                <w:szCs w:val="18"/>
                <w:lang w:val="en-GB"/>
              </w:rPr>
            </w:pPr>
          </w:p>
        </w:tc>
        <w:tc>
          <w:tcPr>
            <w:tcW w:w="1537" w:type="dxa"/>
            <w:noWrap/>
            <w:hideMark/>
          </w:tcPr>
          <w:p w14:paraId="70509A46" w14:textId="77777777" w:rsidR="00DF0333" w:rsidRPr="00DF0333" w:rsidRDefault="00DF0333" w:rsidP="00DF0333">
            <w:pPr>
              <w:jc w:val="right"/>
              <w:rPr>
                <w:rFonts w:ascii="Arial" w:hAnsi="Arial" w:cs="Arial"/>
                <w:iCs/>
                <w:sz w:val="18"/>
                <w:szCs w:val="18"/>
                <w:lang w:val="en-GB"/>
              </w:rPr>
            </w:pPr>
          </w:p>
        </w:tc>
      </w:tr>
      <w:tr w:rsidR="00DF0333" w:rsidRPr="00DF0333" w14:paraId="09972F19" w14:textId="77777777" w:rsidTr="00E7337F">
        <w:trPr>
          <w:trHeight w:val="173"/>
          <w:jc w:val="center"/>
        </w:trPr>
        <w:tc>
          <w:tcPr>
            <w:tcW w:w="4739" w:type="dxa"/>
            <w:noWrap/>
            <w:hideMark/>
          </w:tcPr>
          <w:p w14:paraId="0405E4BF" w14:textId="77777777" w:rsidR="00DF0333" w:rsidRPr="00DF0333" w:rsidRDefault="00DF0333" w:rsidP="00DF0333">
            <w:pPr>
              <w:rPr>
                <w:rFonts w:ascii="Arial" w:hAnsi="Arial" w:cs="Arial"/>
                <w:b/>
                <w:bCs/>
                <w:iCs/>
                <w:sz w:val="18"/>
                <w:szCs w:val="18"/>
                <w:lang w:val="en-GB"/>
              </w:rPr>
            </w:pPr>
            <w:r w:rsidRPr="00DF0333">
              <w:rPr>
                <w:rFonts w:ascii="Arial" w:hAnsi="Arial" w:cs="Arial"/>
                <w:b/>
                <w:bCs/>
                <w:iCs/>
                <w:sz w:val="18"/>
                <w:szCs w:val="18"/>
                <w:lang w:val="en-GB"/>
              </w:rPr>
              <w:t>Supplemental Items</w:t>
            </w:r>
          </w:p>
        </w:tc>
        <w:tc>
          <w:tcPr>
            <w:tcW w:w="1537" w:type="dxa"/>
            <w:noWrap/>
            <w:hideMark/>
          </w:tcPr>
          <w:p w14:paraId="71252463" w14:textId="77777777" w:rsidR="00DF0333" w:rsidRPr="00DF0333" w:rsidRDefault="00DF0333" w:rsidP="00DF0333">
            <w:pPr>
              <w:jc w:val="right"/>
              <w:rPr>
                <w:rFonts w:ascii="Arial" w:hAnsi="Arial" w:cs="Arial"/>
                <w:b/>
                <w:bCs/>
                <w:iCs/>
                <w:sz w:val="18"/>
                <w:szCs w:val="18"/>
                <w:lang w:val="en-GB"/>
              </w:rPr>
            </w:pPr>
          </w:p>
        </w:tc>
        <w:tc>
          <w:tcPr>
            <w:tcW w:w="1537" w:type="dxa"/>
            <w:noWrap/>
            <w:hideMark/>
          </w:tcPr>
          <w:p w14:paraId="38F1E23A" w14:textId="77777777" w:rsidR="00DF0333" w:rsidRPr="00DF0333" w:rsidRDefault="00DF0333" w:rsidP="00DF0333">
            <w:pPr>
              <w:jc w:val="right"/>
              <w:rPr>
                <w:rFonts w:ascii="Arial" w:hAnsi="Arial" w:cs="Arial"/>
                <w:iCs/>
                <w:sz w:val="18"/>
                <w:szCs w:val="18"/>
                <w:lang w:val="en-GB"/>
              </w:rPr>
            </w:pPr>
          </w:p>
        </w:tc>
        <w:tc>
          <w:tcPr>
            <w:tcW w:w="1537" w:type="dxa"/>
            <w:noWrap/>
            <w:hideMark/>
          </w:tcPr>
          <w:p w14:paraId="32809314" w14:textId="77777777" w:rsidR="00DF0333" w:rsidRPr="00DF0333" w:rsidRDefault="00DF0333" w:rsidP="00DF0333">
            <w:pPr>
              <w:jc w:val="right"/>
              <w:rPr>
                <w:rFonts w:ascii="Arial" w:hAnsi="Arial" w:cs="Arial"/>
                <w:iCs/>
                <w:sz w:val="18"/>
                <w:szCs w:val="18"/>
                <w:lang w:val="en-GB"/>
              </w:rPr>
            </w:pPr>
          </w:p>
        </w:tc>
      </w:tr>
      <w:tr w:rsidR="00DF0333" w:rsidRPr="00DF0333" w14:paraId="0C22CE3E" w14:textId="77777777" w:rsidTr="00E7337F">
        <w:trPr>
          <w:trHeight w:val="173"/>
          <w:jc w:val="center"/>
        </w:trPr>
        <w:tc>
          <w:tcPr>
            <w:tcW w:w="4739" w:type="dxa"/>
            <w:noWrap/>
            <w:hideMark/>
          </w:tcPr>
          <w:p w14:paraId="07F69AD7" w14:textId="56002A45" w:rsidR="00DF0333" w:rsidRPr="00DF0333" w:rsidRDefault="00DF0333" w:rsidP="00B5266D">
            <w:pPr>
              <w:rPr>
                <w:rFonts w:ascii="Arial" w:hAnsi="Arial" w:cs="Arial"/>
                <w:iCs/>
                <w:sz w:val="18"/>
                <w:szCs w:val="18"/>
                <w:lang w:val="en-GB"/>
              </w:rPr>
            </w:pPr>
            <w:r w:rsidRPr="00DF0333">
              <w:rPr>
                <w:rFonts w:ascii="Arial" w:hAnsi="Arial" w:cs="Arial"/>
                <w:iCs/>
                <w:sz w:val="18"/>
                <w:szCs w:val="18"/>
                <w:lang w:val="en-GB"/>
              </w:rPr>
              <w:t>Total Shares Outstanding on Balance Sheet</w:t>
            </w:r>
          </w:p>
        </w:tc>
        <w:tc>
          <w:tcPr>
            <w:tcW w:w="1537" w:type="dxa"/>
            <w:hideMark/>
          </w:tcPr>
          <w:p w14:paraId="1A9EEBE5"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1,640.0</w:t>
            </w:r>
          </w:p>
        </w:tc>
        <w:tc>
          <w:tcPr>
            <w:tcW w:w="1537" w:type="dxa"/>
            <w:hideMark/>
          </w:tcPr>
          <w:p w14:paraId="5DCC7619"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2,143.2</w:t>
            </w:r>
          </w:p>
        </w:tc>
        <w:tc>
          <w:tcPr>
            <w:tcW w:w="1537" w:type="dxa"/>
            <w:hideMark/>
          </w:tcPr>
          <w:p w14:paraId="07DB88FC" w14:textId="77777777" w:rsidR="00DF0333" w:rsidRPr="00DF0333" w:rsidRDefault="00DF0333" w:rsidP="00DF0333">
            <w:pPr>
              <w:jc w:val="right"/>
              <w:rPr>
                <w:rFonts w:ascii="Arial" w:hAnsi="Arial" w:cs="Arial"/>
                <w:iCs/>
                <w:sz w:val="18"/>
                <w:szCs w:val="18"/>
                <w:lang w:val="en-GB"/>
              </w:rPr>
            </w:pPr>
            <w:r w:rsidRPr="00DF0333">
              <w:rPr>
                <w:rFonts w:ascii="Arial" w:hAnsi="Arial" w:cs="Arial"/>
                <w:iCs/>
                <w:sz w:val="18"/>
                <w:szCs w:val="18"/>
                <w:lang w:val="en-GB"/>
              </w:rPr>
              <w:t>2,158.5</w:t>
            </w:r>
          </w:p>
        </w:tc>
      </w:tr>
      <w:tr w:rsidR="00DF0333" w:rsidRPr="00DF0333" w14:paraId="78064A83" w14:textId="77777777" w:rsidTr="00E7337F">
        <w:trPr>
          <w:trHeight w:val="173"/>
          <w:jc w:val="center"/>
        </w:trPr>
        <w:tc>
          <w:tcPr>
            <w:tcW w:w="4739" w:type="dxa"/>
            <w:noWrap/>
          </w:tcPr>
          <w:p w14:paraId="2E4ED7D2"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Net Asset Value</w:t>
            </w:r>
          </w:p>
        </w:tc>
        <w:tc>
          <w:tcPr>
            <w:tcW w:w="1537" w:type="dxa"/>
            <w:vAlign w:val="bottom"/>
          </w:tcPr>
          <w:p w14:paraId="21BA6F14" w14:textId="77777777" w:rsidR="00DF0333" w:rsidRPr="00DF0333" w:rsidRDefault="00DF0333" w:rsidP="00DF0333">
            <w:pPr>
              <w:jc w:val="right"/>
              <w:rPr>
                <w:rFonts w:ascii="Arial" w:hAnsi="Arial" w:cs="Arial"/>
                <w:iCs/>
                <w:sz w:val="18"/>
                <w:szCs w:val="18"/>
                <w:lang w:val="en-GB"/>
              </w:rPr>
            </w:pPr>
            <w:r w:rsidRPr="00DF0333">
              <w:rPr>
                <w:rFonts w:ascii="Arial" w:hAnsi="Arial" w:cs="Arial"/>
                <w:color w:val="000000"/>
                <w:sz w:val="18"/>
                <w:szCs w:val="18"/>
                <w:lang w:val="en-GB"/>
              </w:rPr>
              <w:t>64,112.20</w:t>
            </w:r>
          </w:p>
        </w:tc>
        <w:tc>
          <w:tcPr>
            <w:tcW w:w="1537" w:type="dxa"/>
            <w:vAlign w:val="bottom"/>
          </w:tcPr>
          <w:p w14:paraId="0844194D" w14:textId="77777777" w:rsidR="00DF0333" w:rsidRPr="00DF0333" w:rsidRDefault="00DF0333" w:rsidP="00DF0333">
            <w:pPr>
              <w:jc w:val="right"/>
              <w:rPr>
                <w:rFonts w:ascii="Arial" w:hAnsi="Arial" w:cs="Arial"/>
                <w:iCs/>
                <w:sz w:val="18"/>
                <w:szCs w:val="18"/>
                <w:lang w:val="en-GB"/>
              </w:rPr>
            </w:pPr>
            <w:r w:rsidRPr="00DF0333">
              <w:rPr>
                <w:rFonts w:ascii="Arial" w:hAnsi="Arial" w:cs="Arial"/>
                <w:color w:val="000000"/>
                <w:sz w:val="18"/>
                <w:szCs w:val="18"/>
                <w:lang w:val="en-GB"/>
              </w:rPr>
              <w:t>54,976.70</w:t>
            </w:r>
          </w:p>
        </w:tc>
        <w:tc>
          <w:tcPr>
            <w:tcW w:w="1537" w:type="dxa"/>
            <w:vAlign w:val="bottom"/>
          </w:tcPr>
          <w:p w14:paraId="378B59F1" w14:textId="77777777" w:rsidR="00DF0333" w:rsidRPr="00DF0333" w:rsidRDefault="00DF0333" w:rsidP="00DF0333">
            <w:pPr>
              <w:jc w:val="right"/>
              <w:rPr>
                <w:rFonts w:ascii="Arial" w:hAnsi="Arial" w:cs="Arial"/>
                <w:iCs/>
                <w:sz w:val="18"/>
                <w:szCs w:val="18"/>
                <w:lang w:val="en-GB"/>
              </w:rPr>
            </w:pPr>
            <w:r w:rsidRPr="00DF0333">
              <w:rPr>
                <w:rFonts w:ascii="Arial" w:hAnsi="Arial" w:cs="Arial"/>
                <w:color w:val="000000"/>
                <w:sz w:val="18"/>
                <w:szCs w:val="18"/>
                <w:lang w:val="en-GB"/>
              </w:rPr>
              <w:t>44,515.70</w:t>
            </w:r>
          </w:p>
        </w:tc>
      </w:tr>
      <w:tr w:rsidR="00DF0333" w:rsidRPr="00DF0333" w14:paraId="5C91E533" w14:textId="77777777" w:rsidTr="00E7337F">
        <w:trPr>
          <w:trHeight w:val="173"/>
          <w:jc w:val="center"/>
        </w:trPr>
        <w:tc>
          <w:tcPr>
            <w:tcW w:w="4739" w:type="dxa"/>
            <w:noWrap/>
          </w:tcPr>
          <w:p w14:paraId="24658D3C" w14:textId="77777777" w:rsidR="00DF0333" w:rsidRPr="00DF0333" w:rsidRDefault="00DF0333" w:rsidP="00DF0333">
            <w:pPr>
              <w:rPr>
                <w:rFonts w:ascii="Arial" w:hAnsi="Arial" w:cs="Arial"/>
                <w:iCs/>
                <w:sz w:val="18"/>
                <w:szCs w:val="18"/>
                <w:lang w:val="en-GB"/>
              </w:rPr>
            </w:pPr>
            <w:r w:rsidRPr="00DF0333">
              <w:rPr>
                <w:rFonts w:ascii="Arial" w:hAnsi="Arial" w:cs="Arial"/>
                <w:iCs/>
                <w:sz w:val="18"/>
                <w:szCs w:val="18"/>
                <w:lang w:val="en-GB"/>
              </w:rPr>
              <w:t>Net Asset Value per Share</w:t>
            </w:r>
          </w:p>
        </w:tc>
        <w:tc>
          <w:tcPr>
            <w:tcW w:w="1537" w:type="dxa"/>
            <w:vAlign w:val="bottom"/>
          </w:tcPr>
          <w:p w14:paraId="66E80432" w14:textId="77777777" w:rsidR="00DF0333" w:rsidRPr="00DF0333" w:rsidRDefault="00DF0333" w:rsidP="00DF0333">
            <w:pPr>
              <w:jc w:val="right"/>
              <w:rPr>
                <w:rFonts w:ascii="Arial" w:hAnsi="Arial" w:cs="Arial"/>
                <w:color w:val="000000"/>
                <w:sz w:val="18"/>
                <w:szCs w:val="18"/>
                <w:lang w:val="en-GB"/>
              </w:rPr>
            </w:pPr>
            <w:r w:rsidRPr="00DF0333">
              <w:rPr>
                <w:rFonts w:ascii="Arial" w:hAnsi="Arial" w:cs="Arial"/>
                <w:color w:val="000000"/>
                <w:sz w:val="18"/>
                <w:szCs w:val="18"/>
                <w:lang w:val="en-GB"/>
              </w:rPr>
              <w:t>39.09</w:t>
            </w:r>
          </w:p>
        </w:tc>
        <w:tc>
          <w:tcPr>
            <w:tcW w:w="1537" w:type="dxa"/>
            <w:vAlign w:val="bottom"/>
          </w:tcPr>
          <w:p w14:paraId="6DF5E45A" w14:textId="77777777" w:rsidR="00DF0333" w:rsidRPr="00DF0333" w:rsidRDefault="00DF0333" w:rsidP="00DF0333">
            <w:pPr>
              <w:jc w:val="right"/>
              <w:rPr>
                <w:rFonts w:ascii="Arial" w:hAnsi="Arial" w:cs="Arial"/>
                <w:color w:val="000000"/>
                <w:sz w:val="18"/>
                <w:szCs w:val="18"/>
                <w:lang w:val="en-GB"/>
              </w:rPr>
            </w:pPr>
            <w:r w:rsidRPr="00DF0333">
              <w:rPr>
                <w:rFonts w:ascii="Arial" w:hAnsi="Arial" w:cs="Arial"/>
                <w:color w:val="000000"/>
                <w:sz w:val="18"/>
                <w:szCs w:val="18"/>
                <w:lang w:val="en-GB"/>
              </w:rPr>
              <w:t>25.65</w:t>
            </w:r>
          </w:p>
        </w:tc>
        <w:tc>
          <w:tcPr>
            <w:tcW w:w="1537" w:type="dxa"/>
            <w:vAlign w:val="bottom"/>
          </w:tcPr>
          <w:p w14:paraId="0D464A02" w14:textId="77777777" w:rsidR="00DF0333" w:rsidRPr="00DF0333" w:rsidRDefault="00DF0333" w:rsidP="00DF0333">
            <w:pPr>
              <w:jc w:val="right"/>
              <w:rPr>
                <w:rFonts w:ascii="Arial" w:hAnsi="Arial" w:cs="Arial"/>
                <w:color w:val="000000"/>
                <w:sz w:val="18"/>
                <w:szCs w:val="18"/>
                <w:lang w:val="en-GB"/>
              </w:rPr>
            </w:pPr>
            <w:r w:rsidRPr="00DF0333">
              <w:rPr>
                <w:rFonts w:ascii="Arial" w:hAnsi="Arial" w:cs="Arial"/>
                <w:color w:val="000000"/>
                <w:sz w:val="18"/>
                <w:szCs w:val="18"/>
                <w:lang w:val="en-GB"/>
              </w:rPr>
              <w:t>20.62</w:t>
            </w:r>
          </w:p>
        </w:tc>
      </w:tr>
    </w:tbl>
    <w:p w14:paraId="6412B163" w14:textId="77777777" w:rsidR="00DF0333" w:rsidRPr="00DF0333" w:rsidRDefault="00DF0333" w:rsidP="00DF0333">
      <w:pPr>
        <w:tabs>
          <w:tab w:val="left" w:pos="-1440"/>
          <w:tab w:val="left" w:pos="-720"/>
          <w:tab w:val="left" w:pos="1"/>
          <w:tab w:val="right" w:pos="9000"/>
        </w:tabs>
        <w:jc w:val="both"/>
        <w:rPr>
          <w:rFonts w:ascii="Arial" w:hAnsi="Arial" w:cs="Arial"/>
          <w:iCs/>
          <w:sz w:val="17"/>
          <w:szCs w:val="17"/>
          <w:lang w:val="en-GB"/>
        </w:rPr>
      </w:pPr>
    </w:p>
    <w:p w14:paraId="3C2C1754" w14:textId="77777777" w:rsidR="00DF0333" w:rsidRPr="00DF0333" w:rsidRDefault="00DF0333" w:rsidP="00DF0333">
      <w:pPr>
        <w:jc w:val="both"/>
        <w:rPr>
          <w:rFonts w:ascii="Arial" w:hAnsi="Arial" w:cs="Arial"/>
          <w:sz w:val="17"/>
          <w:szCs w:val="17"/>
          <w:lang w:val="en-GB"/>
        </w:rPr>
      </w:pPr>
      <w:r w:rsidRPr="00DF0333">
        <w:rPr>
          <w:rFonts w:ascii="Arial" w:hAnsi="Arial" w:cs="Arial"/>
          <w:sz w:val="17"/>
          <w:szCs w:val="17"/>
          <w:lang w:val="en-GB"/>
        </w:rPr>
        <w:br w:type="page"/>
      </w:r>
    </w:p>
    <w:p w14:paraId="0287CEBB" w14:textId="77777777" w:rsidR="00DF0333" w:rsidRPr="00DF0333" w:rsidRDefault="00DF0333" w:rsidP="00DF0333">
      <w:pPr>
        <w:jc w:val="center"/>
        <w:rPr>
          <w:rFonts w:ascii="Arial" w:hAnsi="Arial" w:cs="Arial"/>
          <w:b/>
          <w:caps/>
          <w:sz w:val="18"/>
          <w:szCs w:val="18"/>
          <w:lang w:val="en-GB"/>
        </w:rPr>
      </w:pPr>
      <w:r w:rsidRPr="00DF0333">
        <w:rPr>
          <w:rFonts w:ascii="Arial" w:hAnsi="Arial" w:cs="Arial"/>
          <w:b/>
          <w:caps/>
          <w:lang w:val="en-GB"/>
        </w:rPr>
        <w:lastRenderedPageBreak/>
        <w:t>Exhibit 3 (continued)</w:t>
      </w:r>
    </w:p>
    <w:p w14:paraId="2F128DEA" w14:textId="77777777" w:rsidR="00DF0333" w:rsidRPr="00DF0333" w:rsidRDefault="00DF0333" w:rsidP="00DF0333">
      <w:pPr>
        <w:jc w:val="both"/>
        <w:rPr>
          <w:sz w:val="18"/>
          <w:szCs w:val="18"/>
          <w:lang w:val="en-GB"/>
        </w:rPr>
      </w:pPr>
    </w:p>
    <w:tbl>
      <w:tblPr>
        <w:tblStyle w:val="TableGrid1"/>
        <w:tblW w:w="0" w:type="auto"/>
        <w:jc w:val="center"/>
        <w:tblLook w:val="04A0" w:firstRow="1" w:lastRow="0" w:firstColumn="1" w:lastColumn="0" w:noHBand="0" w:noVBand="1"/>
      </w:tblPr>
      <w:tblGrid>
        <w:gridCol w:w="4739"/>
        <w:gridCol w:w="1537"/>
        <w:gridCol w:w="1537"/>
        <w:gridCol w:w="1537"/>
      </w:tblGrid>
      <w:tr w:rsidR="00DF0333" w:rsidRPr="00DF0333" w14:paraId="01C3A935" w14:textId="77777777" w:rsidTr="00E7337F">
        <w:trPr>
          <w:trHeight w:val="20"/>
          <w:jc w:val="center"/>
        </w:trPr>
        <w:tc>
          <w:tcPr>
            <w:tcW w:w="4739" w:type="dxa"/>
            <w:noWrap/>
            <w:vAlign w:val="center"/>
            <w:hideMark/>
          </w:tcPr>
          <w:p w14:paraId="75DB0367"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Cash Flow</w:t>
            </w:r>
          </w:p>
        </w:tc>
        <w:tc>
          <w:tcPr>
            <w:tcW w:w="1537" w:type="dxa"/>
            <w:noWrap/>
            <w:hideMark/>
          </w:tcPr>
          <w:p w14:paraId="6E1E7C81"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 </w:t>
            </w:r>
          </w:p>
        </w:tc>
        <w:tc>
          <w:tcPr>
            <w:tcW w:w="1537" w:type="dxa"/>
            <w:noWrap/>
            <w:hideMark/>
          </w:tcPr>
          <w:p w14:paraId="229B44E5"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 </w:t>
            </w:r>
          </w:p>
        </w:tc>
        <w:tc>
          <w:tcPr>
            <w:tcW w:w="1537" w:type="dxa"/>
            <w:noWrap/>
            <w:hideMark/>
          </w:tcPr>
          <w:p w14:paraId="39AECB8D"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 </w:t>
            </w:r>
          </w:p>
        </w:tc>
      </w:tr>
      <w:tr w:rsidR="00DF0333" w:rsidRPr="00DF0333" w14:paraId="5FA32460" w14:textId="77777777" w:rsidTr="00E7337F">
        <w:trPr>
          <w:trHeight w:val="20"/>
          <w:jc w:val="center"/>
        </w:trPr>
        <w:tc>
          <w:tcPr>
            <w:tcW w:w="4739" w:type="dxa"/>
            <w:vAlign w:val="center"/>
            <w:hideMark/>
          </w:tcPr>
          <w:p w14:paraId="4A3F0695"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For the Fiscal Period Ending</w:t>
            </w:r>
          </w:p>
        </w:tc>
        <w:tc>
          <w:tcPr>
            <w:tcW w:w="1537" w:type="dxa"/>
            <w:hideMark/>
          </w:tcPr>
          <w:p w14:paraId="6EEC6209" w14:textId="77777777" w:rsidR="00DF0333" w:rsidRPr="00DF0333" w:rsidRDefault="00DF0333" w:rsidP="00240B1D">
            <w:pPr>
              <w:jc w:val="center"/>
              <w:rPr>
                <w:rFonts w:ascii="Arial" w:hAnsi="Arial" w:cs="Arial"/>
                <w:b/>
                <w:bCs/>
                <w:sz w:val="18"/>
                <w:szCs w:val="18"/>
                <w:lang w:val="en-GB"/>
              </w:rPr>
            </w:pPr>
            <w:r w:rsidRPr="00DF0333">
              <w:rPr>
                <w:rFonts w:ascii="Arial" w:hAnsi="Arial" w:cs="Arial"/>
                <w:b/>
                <w:bCs/>
                <w:sz w:val="18"/>
                <w:szCs w:val="18"/>
                <w:lang w:val="en-GB"/>
              </w:rPr>
              <w:t>Dec-31-2011</w:t>
            </w:r>
          </w:p>
        </w:tc>
        <w:tc>
          <w:tcPr>
            <w:tcW w:w="1537" w:type="dxa"/>
            <w:hideMark/>
          </w:tcPr>
          <w:p w14:paraId="7D79F74A" w14:textId="77777777" w:rsidR="00DF0333" w:rsidRPr="00DF0333" w:rsidRDefault="00DF0333" w:rsidP="00240B1D">
            <w:pPr>
              <w:jc w:val="center"/>
              <w:rPr>
                <w:rFonts w:ascii="Arial" w:hAnsi="Arial" w:cs="Arial"/>
                <w:b/>
                <w:bCs/>
                <w:sz w:val="18"/>
                <w:szCs w:val="18"/>
                <w:lang w:val="en-GB"/>
              </w:rPr>
            </w:pPr>
            <w:r w:rsidRPr="00DF0333">
              <w:rPr>
                <w:rFonts w:ascii="Arial" w:hAnsi="Arial" w:cs="Arial"/>
                <w:b/>
                <w:bCs/>
                <w:sz w:val="18"/>
                <w:szCs w:val="18"/>
                <w:lang w:val="en-GB"/>
              </w:rPr>
              <w:t>Dec-31-2012</w:t>
            </w:r>
          </w:p>
        </w:tc>
        <w:tc>
          <w:tcPr>
            <w:tcW w:w="1537" w:type="dxa"/>
            <w:hideMark/>
          </w:tcPr>
          <w:p w14:paraId="4B10D408" w14:textId="77777777" w:rsidR="00DF0333" w:rsidRPr="00DF0333" w:rsidRDefault="00DF0333" w:rsidP="00240B1D">
            <w:pPr>
              <w:jc w:val="center"/>
              <w:rPr>
                <w:rFonts w:ascii="Arial" w:hAnsi="Arial" w:cs="Arial"/>
                <w:b/>
                <w:bCs/>
                <w:sz w:val="18"/>
                <w:szCs w:val="18"/>
                <w:lang w:val="en-GB"/>
              </w:rPr>
            </w:pPr>
            <w:r w:rsidRPr="00DF0333">
              <w:rPr>
                <w:rFonts w:ascii="Arial" w:hAnsi="Arial" w:cs="Arial"/>
                <w:b/>
                <w:bCs/>
                <w:sz w:val="18"/>
                <w:szCs w:val="18"/>
                <w:lang w:val="en-GB"/>
              </w:rPr>
              <w:t>Dec-31-2013</w:t>
            </w:r>
          </w:p>
        </w:tc>
      </w:tr>
      <w:tr w:rsidR="00DF0333" w:rsidRPr="00DF0333" w14:paraId="21193352" w14:textId="77777777" w:rsidTr="00E7337F">
        <w:trPr>
          <w:trHeight w:val="20"/>
          <w:jc w:val="center"/>
        </w:trPr>
        <w:tc>
          <w:tcPr>
            <w:tcW w:w="4739" w:type="dxa"/>
            <w:vAlign w:val="center"/>
            <w:hideMark/>
          </w:tcPr>
          <w:p w14:paraId="10B75F2E" w14:textId="77777777" w:rsidR="00DF0333" w:rsidRPr="00DF0333" w:rsidRDefault="00DF0333" w:rsidP="00DF0333">
            <w:pPr>
              <w:rPr>
                <w:rFonts w:ascii="Arial" w:hAnsi="Arial" w:cs="Arial"/>
                <w:b/>
                <w:bCs/>
                <w:i/>
                <w:iCs/>
                <w:sz w:val="18"/>
                <w:szCs w:val="18"/>
                <w:lang w:val="en-GB"/>
              </w:rPr>
            </w:pPr>
            <w:r w:rsidRPr="00DF0333">
              <w:rPr>
                <w:rFonts w:ascii="Arial" w:hAnsi="Arial" w:cs="Arial"/>
                <w:b/>
                <w:bCs/>
                <w:i/>
                <w:iCs/>
                <w:sz w:val="18"/>
                <w:szCs w:val="18"/>
                <w:lang w:val="en-GB"/>
              </w:rPr>
              <w:t>Currency</w:t>
            </w:r>
          </w:p>
        </w:tc>
        <w:tc>
          <w:tcPr>
            <w:tcW w:w="1537" w:type="dxa"/>
            <w:hideMark/>
          </w:tcPr>
          <w:p w14:paraId="65CB1531" w14:textId="77777777" w:rsidR="00DF0333" w:rsidRPr="00DF0333" w:rsidRDefault="00DF0333" w:rsidP="00DF0333">
            <w:pPr>
              <w:jc w:val="right"/>
              <w:rPr>
                <w:rFonts w:ascii="Arial" w:hAnsi="Arial" w:cs="Arial"/>
                <w:b/>
                <w:bCs/>
                <w:i/>
                <w:iCs/>
                <w:sz w:val="18"/>
                <w:szCs w:val="18"/>
                <w:lang w:val="en-GB"/>
              </w:rPr>
            </w:pPr>
            <w:r w:rsidRPr="00DF0333">
              <w:rPr>
                <w:rFonts w:ascii="Arial" w:hAnsi="Arial" w:cs="Arial"/>
                <w:b/>
                <w:bCs/>
                <w:i/>
                <w:iCs/>
                <w:sz w:val="18"/>
                <w:szCs w:val="18"/>
                <w:lang w:val="en-GB"/>
              </w:rPr>
              <w:t>CNY</w:t>
            </w:r>
          </w:p>
        </w:tc>
        <w:tc>
          <w:tcPr>
            <w:tcW w:w="1537" w:type="dxa"/>
            <w:hideMark/>
          </w:tcPr>
          <w:p w14:paraId="3AF8DC75" w14:textId="77777777" w:rsidR="00DF0333" w:rsidRPr="00DF0333" w:rsidRDefault="00DF0333" w:rsidP="00DF0333">
            <w:pPr>
              <w:jc w:val="right"/>
              <w:rPr>
                <w:rFonts w:ascii="Arial" w:hAnsi="Arial" w:cs="Arial"/>
                <w:b/>
                <w:bCs/>
                <w:i/>
                <w:iCs/>
                <w:sz w:val="18"/>
                <w:szCs w:val="18"/>
                <w:lang w:val="en-GB"/>
              </w:rPr>
            </w:pPr>
            <w:r w:rsidRPr="00DF0333">
              <w:rPr>
                <w:rFonts w:ascii="Arial" w:hAnsi="Arial" w:cs="Arial"/>
                <w:b/>
                <w:bCs/>
                <w:i/>
                <w:iCs/>
                <w:sz w:val="18"/>
                <w:szCs w:val="18"/>
                <w:lang w:val="en-GB"/>
              </w:rPr>
              <w:t>CNY</w:t>
            </w:r>
          </w:p>
        </w:tc>
        <w:tc>
          <w:tcPr>
            <w:tcW w:w="1537" w:type="dxa"/>
            <w:hideMark/>
          </w:tcPr>
          <w:p w14:paraId="782E3E4E" w14:textId="77777777" w:rsidR="00DF0333" w:rsidRPr="00DF0333" w:rsidRDefault="00DF0333" w:rsidP="00DF0333">
            <w:pPr>
              <w:jc w:val="right"/>
              <w:rPr>
                <w:rFonts w:ascii="Arial" w:hAnsi="Arial" w:cs="Arial"/>
                <w:b/>
                <w:bCs/>
                <w:i/>
                <w:iCs/>
                <w:sz w:val="18"/>
                <w:szCs w:val="18"/>
                <w:lang w:val="en-GB"/>
              </w:rPr>
            </w:pPr>
            <w:r w:rsidRPr="00DF0333">
              <w:rPr>
                <w:rFonts w:ascii="Arial" w:hAnsi="Arial" w:cs="Arial"/>
                <w:b/>
                <w:bCs/>
                <w:i/>
                <w:iCs/>
                <w:sz w:val="18"/>
                <w:szCs w:val="18"/>
                <w:lang w:val="en-GB"/>
              </w:rPr>
              <w:t>CNY</w:t>
            </w:r>
          </w:p>
        </w:tc>
      </w:tr>
      <w:tr w:rsidR="00DF0333" w:rsidRPr="00DF0333" w14:paraId="785F8DC8" w14:textId="77777777" w:rsidTr="00E7337F">
        <w:trPr>
          <w:trHeight w:val="20"/>
          <w:jc w:val="center"/>
        </w:trPr>
        <w:tc>
          <w:tcPr>
            <w:tcW w:w="4739" w:type="dxa"/>
            <w:noWrap/>
            <w:vAlign w:val="center"/>
            <w:hideMark/>
          </w:tcPr>
          <w:p w14:paraId="5ED2835D" w14:textId="77777777" w:rsidR="00DF0333" w:rsidRPr="00DF0333" w:rsidRDefault="00DF0333" w:rsidP="00DF0333">
            <w:pPr>
              <w:rPr>
                <w:rFonts w:ascii="Arial" w:hAnsi="Arial" w:cs="Arial"/>
                <w:b/>
                <w:bCs/>
                <w:sz w:val="16"/>
                <w:szCs w:val="16"/>
                <w:lang w:val="en-GB"/>
              </w:rPr>
            </w:pPr>
            <w:r w:rsidRPr="00DF0333">
              <w:rPr>
                <w:rFonts w:ascii="Arial" w:hAnsi="Arial" w:cs="Arial"/>
                <w:b/>
                <w:bCs/>
                <w:sz w:val="16"/>
                <w:szCs w:val="16"/>
                <w:lang w:val="en-GB"/>
              </w:rPr>
              <w:t xml:space="preserve"> </w:t>
            </w:r>
          </w:p>
        </w:tc>
        <w:tc>
          <w:tcPr>
            <w:tcW w:w="1537" w:type="dxa"/>
            <w:noWrap/>
            <w:hideMark/>
          </w:tcPr>
          <w:p w14:paraId="4D0677ED" w14:textId="77777777" w:rsidR="00DF0333" w:rsidRPr="00DF0333" w:rsidRDefault="00DF0333" w:rsidP="00DF0333">
            <w:pPr>
              <w:jc w:val="right"/>
              <w:rPr>
                <w:rFonts w:ascii="Arial" w:hAnsi="Arial" w:cs="Arial"/>
                <w:b/>
                <w:bCs/>
                <w:sz w:val="16"/>
                <w:szCs w:val="16"/>
                <w:lang w:val="en-GB"/>
              </w:rPr>
            </w:pPr>
          </w:p>
        </w:tc>
        <w:tc>
          <w:tcPr>
            <w:tcW w:w="1537" w:type="dxa"/>
            <w:noWrap/>
            <w:hideMark/>
          </w:tcPr>
          <w:p w14:paraId="0C33A394" w14:textId="77777777" w:rsidR="00DF0333" w:rsidRPr="00DF0333" w:rsidRDefault="00DF0333" w:rsidP="00DF0333">
            <w:pPr>
              <w:jc w:val="right"/>
              <w:rPr>
                <w:rFonts w:ascii="Arial" w:hAnsi="Arial" w:cs="Arial"/>
                <w:sz w:val="16"/>
                <w:szCs w:val="16"/>
                <w:lang w:val="en-GB"/>
              </w:rPr>
            </w:pPr>
          </w:p>
        </w:tc>
        <w:tc>
          <w:tcPr>
            <w:tcW w:w="1537" w:type="dxa"/>
            <w:noWrap/>
            <w:hideMark/>
          </w:tcPr>
          <w:p w14:paraId="34172E7F" w14:textId="77777777" w:rsidR="00DF0333" w:rsidRPr="00DF0333" w:rsidRDefault="00DF0333" w:rsidP="00DF0333">
            <w:pPr>
              <w:jc w:val="right"/>
              <w:rPr>
                <w:rFonts w:ascii="Arial" w:hAnsi="Arial" w:cs="Arial"/>
                <w:sz w:val="16"/>
                <w:szCs w:val="16"/>
                <w:lang w:val="en-GB"/>
              </w:rPr>
            </w:pPr>
          </w:p>
        </w:tc>
      </w:tr>
      <w:tr w:rsidR="00DF0333" w:rsidRPr="00DF0333" w14:paraId="510FB42C" w14:textId="77777777" w:rsidTr="00E7337F">
        <w:trPr>
          <w:trHeight w:val="20"/>
          <w:jc w:val="center"/>
        </w:trPr>
        <w:tc>
          <w:tcPr>
            <w:tcW w:w="4739" w:type="dxa"/>
            <w:noWrap/>
            <w:vAlign w:val="center"/>
            <w:hideMark/>
          </w:tcPr>
          <w:p w14:paraId="04CF3516"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Net Income</w:t>
            </w:r>
          </w:p>
        </w:tc>
        <w:tc>
          <w:tcPr>
            <w:tcW w:w="1537" w:type="dxa"/>
            <w:hideMark/>
          </w:tcPr>
          <w:p w14:paraId="1C343109"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2,574.6 </w:t>
            </w:r>
          </w:p>
        </w:tc>
        <w:tc>
          <w:tcPr>
            <w:tcW w:w="1537" w:type="dxa"/>
            <w:hideMark/>
          </w:tcPr>
          <w:p w14:paraId="1949E7E9"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4,851.1 </w:t>
            </w:r>
          </w:p>
        </w:tc>
        <w:tc>
          <w:tcPr>
            <w:tcW w:w="1537" w:type="dxa"/>
            <w:hideMark/>
          </w:tcPr>
          <w:p w14:paraId="43528D9E"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4,885.5 </w:t>
            </w:r>
          </w:p>
        </w:tc>
      </w:tr>
      <w:tr w:rsidR="00DF0333" w:rsidRPr="00DF0333" w14:paraId="1843A58B" w14:textId="77777777" w:rsidTr="00E7337F">
        <w:trPr>
          <w:trHeight w:val="20"/>
          <w:jc w:val="center"/>
        </w:trPr>
        <w:tc>
          <w:tcPr>
            <w:tcW w:w="4739" w:type="dxa"/>
            <w:noWrap/>
            <w:vAlign w:val="center"/>
            <w:hideMark/>
          </w:tcPr>
          <w:p w14:paraId="627FEAA7"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Depreciation &amp; Amortization</w:t>
            </w:r>
          </w:p>
        </w:tc>
        <w:tc>
          <w:tcPr>
            <w:tcW w:w="1537" w:type="dxa"/>
            <w:hideMark/>
          </w:tcPr>
          <w:p w14:paraId="6059ED5F"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142.3 </w:t>
            </w:r>
          </w:p>
        </w:tc>
        <w:tc>
          <w:tcPr>
            <w:tcW w:w="1537" w:type="dxa"/>
            <w:hideMark/>
          </w:tcPr>
          <w:p w14:paraId="74F43425"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160.3 </w:t>
            </w:r>
          </w:p>
        </w:tc>
        <w:tc>
          <w:tcPr>
            <w:tcW w:w="1537" w:type="dxa"/>
            <w:hideMark/>
          </w:tcPr>
          <w:p w14:paraId="57815917"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149.0 </w:t>
            </w:r>
          </w:p>
        </w:tc>
      </w:tr>
      <w:tr w:rsidR="00DF0333" w:rsidRPr="00DF0333" w14:paraId="15C67AC3" w14:textId="77777777" w:rsidTr="00E7337F">
        <w:trPr>
          <w:trHeight w:val="20"/>
          <w:jc w:val="center"/>
        </w:trPr>
        <w:tc>
          <w:tcPr>
            <w:tcW w:w="4739" w:type="dxa"/>
            <w:noWrap/>
            <w:vAlign w:val="center"/>
            <w:hideMark/>
          </w:tcPr>
          <w:p w14:paraId="76328555"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Depreciation &amp; Amortization, Total</w:t>
            </w:r>
          </w:p>
        </w:tc>
        <w:tc>
          <w:tcPr>
            <w:tcW w:w="1537" w:type="dxa"/>
            <w:hideMark/>
          </w:tcPr>
          <w:p w14:paraId="0B3204CB"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142.3 </w:t>
            </w:r>
          </w:p>
        </w:tc>
        <w:tc>
          <w:tcPr>
            <w:tcW w:w="1537" w:type="dxa"/>
            <w:hideMark/>
          </w:tcPr>
          <w:p w14:paraId="18EE9D6A"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160.3 </w:t>
            </w:r>
          </w:p>
        </w:tc>
        <w:tc>
          <w:tcPr>
            <w:tcW w:w="1537" w:type="dxa"/>
            <w:hideMark/>
          </w:tcPr>
          <w:p w14:paraId="1519B1CB"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149.0 </w:t>
            </w:r>
          </w:p>
        </w:tc>
      </w:tr>
      <w:tr w:rsidR="00DF0333" w:rsidRPr="00DF0333" w14:paraId="110B1F84" w14:textId="77777777" w:rsidTr="00E7337F">
        <w:trPr>
          <w:trHeight w:val="20"/>
          <w:jc w:val="center"/>
        </w:trPr>
        <w:tc>
          <w:tcPr>
            <w:tcW w:w="4739" w:type="dxa"/>
            <w:noWrap/>
            <w:vAlign w:val="center"/>
            <w:hideMark/>
          </w:tcPr>
          <w:p w14:paraId="7A603F49" w14:textId="77777777" w:rsidR="00DF0333" w:rsidRPr="00DF0333" w:rsidRDefault="00DF0333" w:rsidP="00DF0333">
            <w:pPr>
              <w:rPr>
                <w:rFonts w:ascii="Arial" w:hAnsi="Arial" w:cs="Arial"/>
                <w:b/>
                <w:bCs/>
                <w:sz w:val="18"/>
                <w:szCs w:val="18"/>
                <w:lang w:val="en-GB"/>
              </w:rPr>
            </w:pPr>
          </w:p>
        </w:tc>
        <w:tc>
          <w:tcPr>
            <w:tcW w:w="1537" w:type="dxa"/>
            <w:noWrap/>
            <w:hideMark/>
          </w:tcPr>
          <w:p w14:paraId="5968D96A" w14:textId="77777777" w:rsidR="00DF0333" w:rsidRPr="00DF0333" w:rsidRDefault="00DF0333" w:rsidP="00DF0333">
            <w:pPr>
              <w:jc w:val="right"/>
              <w:rPr>
                <w:rFonts w:ascii="Arial" w:hAnsi="Arial" w:cs="Arial"/>
                <w:sz w:val="18"/>
                <w:szCs w:val="18"/>
                <w:lang w:val="en-GB"/>
              </w:rPr>
            </w:pPr>
          </w:p>
        </w:tc>
        <w:tc>
          <w:tcPr>
            <w:tcW w:w="1537" w:type="dxa"/>
            <w:noWrap/>
            <w:hideMark/>
          </w:tcPr>
          <w:p w14:paraId="2669A820" w14:textId="77777777" w:rsidR="00DF0333" w:rsidRPr="00DF0333" w:rsidRDefault="00DF0333" w:rsidP="00DF0333">
            <w:pPr>
              <w:jc w:val="right"/>
              <w:rPr>
                <w:rFonts w:ascii="Arial" w:hAnsi="Arial" w:cs="Arial"/>
                <w:sz w:val="18"/>
                <w:szCs w:val="18"/>
                <w:lang w:val="en-GB"/>
              </w:rPr>
            </w:pPr>
          </w:p>
        </w:tc>
        <w:tc>
          <w:tcPr>
            <w:tcW w:w="1537" w:type="dxa"/>
            <w:noWrap/>
            <w:hideMark/>
          </w:tcPr>
          <w:p w14:paraId="3E63ADB0" w14:textId="77777777" w:rsidR="00DF0333" w:rsidRPr="00DF0333" w:rsidRDefault="00DF0333" w:rsidP="00DF0333">
            <w:pPr>
              <w:jc w:val="right"/>
              <w:rPr>
                <w:rFonts w:ascii="Arial" w:hAnsi="Arial" w:cs="Arial"/>
                <w:sz w:val="18"/>
                <w:szCs w:val="18"/>
                <w:lang w:val="en-GB"/>
              </w:rPr>
            </w:pPr>
          </w:p>
        </w:tc>
      </w:tr>
      <w:tr w:rsidR="00DF0333" w:rsidRPr="00DF0333" w14:paraId="12D75339" w14:textId="77777777" w:rsidTr="00E7337F">
        <w:trPr>
          <w:trHeight w:val="20"/>
          <w:jc w:val="center"/>
        </w:trPr>
        <w:tc>
          <w:tcPr>
            <w:tcW w:w="4739" w:type="dxa"/>
            <w:noWrap/>
            <w:vAlign w:val="center"/>
            <w:hideMark/>
          </w:tcPr>
          <w:p w14:paraId="72C4D7FA"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Other Amortization</w:t>
            </w:r>
          </w:p>
        </w:tc>
        <w:tc>
          <w:tcPr>
            <w:tcW w:w="1537" w:type="dxa"/>
            <w:hideMark/>
          </w:tcPr>
          <w:p w14:paraId="049E8789"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5.3 </w:t>
            </w:r>
          </w:p>
        </w:tc>
        <w:tc>
          <w:tcPr>
            <w:tcW w:w="1537" w:type="dxa"/>
            <w:hideMark/>
          </w:tcPr>
          <w:p w14:paraId="50C25408"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9.1 </w:t>
            </w:r>
          </w:p>
        </w:tc>
        <w:tc>
          <w:tcPr>
            <w:tcW w:w="1537" w:type="dxa"/>
            <w:hideMark/>
          </w:tcPr>
          <w:p w14:paraId="4A1E98C3"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9.6 </w:t>
            </w:r>
          </w:p>
        </w:tc>
      </w:tr>
      <w:tr w:rsidR="00DF0333" w:rsidRPr="00DF0333" w14:paraId="1751AB6D" w14:textId="77777777" w:rsidTr="00E7337F">
        <w:trPr>
          <w:trHeight w:val="20"/>
          <w:jc w:val="center"/>
        </w:trPr>
        <w:tc>
          <w:tcPr>
            <w:tcW w:w="4739" w:type="dxa"/>
            <w:noWrap/>
            <w:vAlign w:val="center"/>
            <w:hideMark/>
          </w:tcPr>
          <w:p w14:paraId="69A07823"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(Gain) Loss from Sale of Assets</w:t>
            </w:r>
          </w:p>
        </w:tc>
        <w:tc>
          <w:tcPr>
            <w:tcW w:w="1537" w:type="dxa"/>
            <w:hideMark/>
          </w:tcPr>
          <w:p w14:paraId="4C2DCD07"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(24.5)  </w:t>
            </w:r>
          </w:p>
        </w:tc>
        <w:tc>
          <w:tcPr>
            <w:tcW w:w="1537" w:type="dxa"/>
            <w:hideMark/>
          </w:tcPr>
          <w:p w14:paraId="141F581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(550.5)  </w:t>
            </w:r>
          </w:p>
        </w:tc>
        <w:tc>
          <w:tcPr>
            <w:tcW w:w="1537" w:type="dxa"/>
            <w:hideMark/>
          </w:tcPr>
          <w:p w14:paraId="118430D2"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(1.4)  </w:t>
            </w:r>
          </w:p>
        </w:tc>
      </w:tr>
      <w:tr w:rsidR="00DF0333" w:rsidRPr="00DF0333" w14:paraId="210498C7" w14:textId="77777777" w:rsidTr="00E7337F">
        <w:trPr>
          <w:trHeight w:val="20"/>
          <w:jc w:val="center"/>
        </w:trPr>
        <w:tc>
          <w:tcPr>
            <w:tcW w:w="4739" w:type="dxa"/>
            <w:noWrap/>
            <w:vAlign w:val="center"/>
            <w:hideMark/>
          </w:tcPr>
          <w:p w14:paraId="332A44D9"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(Gain) Loss on Sale of Investments</w:t>
            </w:r>
          </w:p>
        </w:tc>
        <w:tc>
          <w:tcPr>
            <w:tcW w:w="1537" w:type="dxa"/>
            <w:hideMark/>
          </w:tcPr>
          <w:p w14:paraId="77A000E9"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(106.1)  </w:t>
            </w:r>
          </w:p>
        </w:tc>
        <w:tc>
          <w:tcPr>
            <w:tcW w:w="1537" w:type="dxa"/>
            <w:hideMark/>
          </w:tcPr>
          <w:p w14:paraId="504FE0C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(111.3)  </w:t>
            </w:r>
          </w:p>
        </w:tc>
        <w:tc>
          <w:tcPr>
            <w:tcW w:w="1537" w:type="dxa"/>
            <w:hideMark/>
          </w:tcPr>
          <w:p w14:paraId="237029E9"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(3.9)  </w:t>
            </w:r>
          </w:p>
        </w:tc>
      </w:tr>
      <w:tr w:rsidR="00DF0333" w:rsidRPr="00DF0333" w14:paraId="7857A4AA" w14:textId="77777777" w:rsidTr="00E7337F">
        <w:trPr>
          <w:trHeight w:val="20"/>
          <w:jc w:val="center"/>
        </w:trPr>
        <w:tc>
          <w:tcPr>
            <w:tcW w:w="4739" w:type="dxa"/>
            <w:noWrap/>
            <w:vAlign w:val="center"/>
            <w:hideMark/>
          </w:tcPr>
          <w:p w14:paraId="4865C88F"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 xml:space="preserve">Asset </w:t>
            </w:r>
            <w:proofErr w:type="spellStart"/>
            <w:r w:rsidRPr="00DF0333">
              <w:rPr>
                <w:rFonts w:ascii="Arial" w:hAnsi="Arial" w:cs="Arial"/>
                <w:sz w:val="18"/>
                <w:szCs w:val="18"/>
                <w:lang w:val="en-GB"/>
              </w:rPr>
              <w:t>Writedown</w:t>
            </w:r>
            <w:proofErr w:type="spellEnd"/>
            <w:r w:rsidRPr="00DF0333">
              <w:rPr>
                <w:rFonts w:ascii="Arial" w:hAnsi="Arial" w:cs="Arial"/>
                <w:sz w:val="18"/>
                <w:szCs w:val="18"/>
                <w:lang w:val="en-GB"/>
              </w:rPr>
              <w:t xml:space="preserve"> &amp; Restructuring Costs</w:t>
            </w:r>
          </w:p>
        </w:tc>
        <w:tc>
          <w:tcPr>
            <w:tcW w:w="1537" w:type="dxa"/>
            <w:hideMark/>
          </w:tcPr>
          <w:p w14:paraId="03CBED9F"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(18.1)  </w:t>
            </w:r>
          </w:p>
        </w:tc>
        <w:tc>
          <w:tcPr>
            <w:tcW w:w="1537" w:type="dxa"/>
            <w:hideMark/>
          </w:tcPr>
          <w:p w14:paraId="41678DC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80.9 </w:t>
            </w:r>
          </w:p>
        </w:tc>
        <w:tc>
          <w:tcPr>
            <w:tcW w:w="1537" w:type="dxa"/>
            <w:hideMark/>
          </w:tcPr>
          <w:p w14:paraId="3CB7F5A6"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(865.7)  </w:t>
            </w:r>
          </w:p>
        </w:tc>
      </w:tr>
      <w:tr w:rsidR="00DF0333" w:rsidRPr="00DF0333" w14:paraId="7452FA53" w14:textId="77777777" w:rsidTr="00E7337F">
        <w:trPr>
          <w:trHeight w:val="20"/>
          <w:jc w:val="center"/>
        </w:trPr>
        <w:tc>
          <w:tcPr>
            <w:tcW w:w="4739" w:type="dxa"/>
            <w:noWrap/>
            <w:vAlign w:val="center"/>
            <w:hideMark/>
          </w:tcPr>
          <w:p w14:paraId="5554F2E9"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(Income) Loss on Equity Investments</w:t>
            </w:r>
          </w:p>
        </w:tc>
        <w:tc>
          <w:tcPr>
            <w:tcW w:w="1537" w:type="dxa"/>
            <w:hideMark/>
          </w:tcPr>
          <w:p w14:paraId="36F7B6BA"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(833.2)  </w:t>
            </w:r>
          </w:p>
        </w:tc>
        <w:tc>
          <w:tcPr>
            <w:tcW w:w="1537" w:type="dxa"/>
            <w:hideMark/>
          </w:tcPr>
          <w:p w14:paraId="5829CE7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(513.5)  </w:t>
            </w:r>
          </w:p>
        </w:tc>
        <w:tc>
          <w:tcPr>
            <w:tcW w:w="1537" w:type="dxa"/>
            <w:hideMark/>
          </w:tcPr>
          <w:p w14:paraId="56E39834"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(1,570.0)  </w:t>
            </w:r>
          </w:p>
        </w:tc>
      </w:tr>
      <w:tr w:rsidR="00DF0333" w:rsidRPr="00DF0333" w14:paraId="235B2E60" w14:textId="77777777" w:rsidTr="00E7337F">
        <w:trPr>
          <w:trHeight w:val="20"/>
          <w:jc w:val="center"/>
        </w:trPr>
        <w:tc>
          <w:tcPr>
            <w:tcW w:w="4739" w:type="dxa"/>
            <w:noWrap/>
            <w:vAlign w:val="center"/>
            <w:hideMark/>
          </w:tcPr>
          <w:p w14:paraId="2E5A3086"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Stock-Based Compensation</w:t>
            </w:r>
          </w:p>
        </w:tc>
        <w:tc>
          <w:tcPr>
            <w:tcW w:w="1537" w:type="dxa"/>
            <w:hideMark/>
          </w:tcPr>
          <w:p w14:paraId="55044D95"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11.9 </w:t>
            </w:r>
          </w:p>
        </w:tc>
        <w:tc>
          <w:tcPr>
            <w:tcW w:w="1537" w:type="dxa"/>
            <w:hideMark/>
          </w:tcPr>
          <w:p w14:paraId="21214338"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1.2 </w:t>
            </w:r>
          </w:p>
        </w:tc>
        <w:tc>
          <w:tcPr>
            <w:tcW w:w="1537" w:type="dxa"/>
            <w:hideMark/>
          </w:tcPr>
          <w:p w14:paraId="141C7903"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w:t>
            </w:r>
          </w:p>
        </w:tc>
      </w:tr>
      <w:tr w:rsidR="00DF0333" w:rsidRPr="00DF0333" w14:paraId="0AC48FC3" w14:textId="77777777" w:rsidTr="00E7337F">
        <w:trPr>
          <w:trHeight w:val="20"/>
          <w:jc w:val="center"/>
        </w:trPr>
        <w:tc>
          <w:tcPr>
            <w:tcW w:w="4739" w:type="dxa"/>
            <w:noWrap/>
            <w:vAlign w:val="center"/>
            <w:hideMark/>
          </w:tcPr>
          <w:p w14:paraId="7C0EDAE2"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Other Operating Activities</w:t>
            </w:r>
          </w:p>
        </w:tc>
        <w:tc>
          <w:tcPr>
            <w:tcW w:w="1537" w:type="dxa"/>
            <w:hideMark/>
          </w:tcPr>
          <w:p w14:paraId="60F01147"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2,363.2 </w:t>
            </w:r>
          </w:p>
        </w:tc>
        <w:tc>
          <w:tcPr>
            <w:tcW w:w="1537" w:type="dxa"/>
            <w:hideMark/>
          </w:tcPr>
          <w:p w14:paraId="74D3B053"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3,946.0 </w:t>
            </w:r>
          </w:p>
        </w:tc>
        <w:tc>
          <w:tcPr>
            <w:tcW w:w="1537" w:type="dxa"/>
            <w:hideMark/>
          </w:tcPr>
          <w:p w14:paraId="782050B1"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961.0 </w:t>
            </w:r>
          </w:p>
        </w:tc>
      </w:tr>
      <w:tr w:rsidR="00DF0333" w:rsidRPr="00DF0333" w14:paraId="5340382A" w14:textId="77777777" w:rsidTr="00E7337F">
        <w:trPr>
          <w:trHeight w:val="20"/>
          <w:jc w:val="center"/>
        </w:trPr>
        <w:tc>
          <w:tcPr>
            <w:tcW w:w="4739" w:type="dxa"/>
            <w:noWrap/>
            <w:vAlign w:val="center"/>
            <w:hideMark/>
          </w:tcPr>
          <w:p w14:paraId="31CBF040"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Change in Accounts Receivable</w:t>
            </w:r>
          </w:p>
        </w:tc>
        <w:tc>
          <w:tcPr>
            <w:tcW w:w="1537" w:type="dxa"/>
            <w:hideMark/>
          </w:tcPr>
          <w:p w14:paraId="77CC9AD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70.4 </w:t>
            </w:r>
          </w:p>
        </w:tc>
        <w:tc>
          <w:tcPr>
            <w:tcW w:w="1537" w:type="dxa"/>
            <w:hideMark/>
          </w:tcPr>
          <w:p w14:paraId="7F5E2BC2"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(745.4)  </w:t>
            </w:r>
          </w:p>
        </w:tc>
        <w:tc>
          <w:tcPr>
            <w:tcW w:w="1537" w:type="dxa"/>
            <w:hideMark/>
          </w:tcPr>
          <w:p w14:paraId="5AC1AE15"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336.7 </w:t>
            </w:r>
          </w:p>
        </w:tc>
      </w:tr>
      <w:tr w:rsidR="00DF0333" w:rsidRPr="00DF0333" w14:paraId="1502FDBC" w14:textId="77777777" w:rsidTr="00E7337F">
        <w:trPr>
          <w:trHeight w:val="20"/>
          <w:jc w:val="center"/>
        </w:trPr>
        <w:tc>
          <w:tcPr>
            <w:tcW w:w="4739" w:type="dxa"/>
            <w:noWrap/>
            <w:vAlign w:val="center"/>
            <w:hideMark/>
          </w:tcPr>
          <w:p w14:paraId="61B7899C"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Change in Inventories</w:t>
            </w:r>
          </w:p>
        </w:tc>
        <w:tc>
          <w:tcPr>
            <w:tcW w:w="1537" w:type="dxa"/>
            <w:hideMark/>
          </w:tcPr>
          <w:p w14:paraId="59270428"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(7,651.3)  </w:t>
            </w:r>
          </w:p>
        </w:tc>
        <w:tc>
          <w:tcPr>
            <w:tcW w:w="1537" w:type="dxa"/>
            <w:hideMark/>
          </w:tcPr>
          <w:p w14:paraId="48D74E3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5,538.0 </w:t>
            </w:r>
          </w:p>
        </w:tc>
        <w:tc>
          <w:tcPr>
            <w:tcW w:w="1537" w:type="dxa"/>
            <w:hideMark/>
          </w:tcPr>
          <w:p w14:paraId="06E186F4"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1,213.2 </w:t>
            </w:r>
          </w:p>
        </w:tc>
      </w:tr>
      <w:tr w:rsidR="00DF0333" w:rsidRPr="00DF0333" w14:paraId="7F32B0C6" w14:textId="77777777" w:rsidTr="00E7337F">
        <w:trPr>
          <w:trHeight w:val="20"/>
          <w:jc w:val="center"/>
        </w:trPr>
        <w:tc>
          <w:tcPr>
            <w:tcW w:w="4739" w:type="dxa"/>
            <w:noWrap/>
            <w:vAlign w:val="center"/>
            <w:hideMark/>
          </w:tcPr>
          <w:p w14:paraId="2ECCC687"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Change in Accounts Payable</w:t>
            </w:r>
          </w:p>
        </w:tc>
        <w:tc>
          <w:tcPr>
            <w:tcW w:w="1537" w:type="dxa"/>
            <w:hideMark/>
          </w:tcPr>
          <w:p w14:paraId="00E8E97C"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4,754.1 </w:t>
            </w:r>
          </w:p>
        </w:tc>
        <w:tc>
          <w:tcPr>
            <w:tcW w:w="1537" w:type="dxa"/>
            <w:hideMark/>
          </w:tcPr>
          <w:p w14:paraId="0251F59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5,148.0 </w:t>
            </w:r>
          </w:p>
        </w:tc>
        <w:tc>
          <w:tcPr>
            <w:tcW w:w="1537" w:type="dxa"/>
            <w:hideMark/>
          </w:tcPr>
          <w:p w14:paraId="1D487163"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1,338.8 </w:t>
            </w:r>
          </w:p>
        </w:tc>
      </w:tr>
      <w:tr w:rsidR="00DF0333" w:rsidRPr="00DF0333" w14:paraId="6B5AA6D9" w14:textId="77777777" w:rsidTr="00E7337F">
        <w:trPr>
          <w:trHeight w:val="20"/>
          <w:jc w:val="center"/>
        </w:trPr>
        <w:tc>
          <w:tcPr>
            <w:tcW w:w="4739" w:type="dxa"/>
            <w:noWrap/>
            <w:vAlign w:val="center"/>
            <w:hideMark/>
          </w:tcPr>
          <w:p w14:paraId="56B48A43"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Change in Unearned Revenue</w:t>
            </w:r>
          </w:p>
        </w:tc>
        <w:tc>
          <w:tcPr>
            <w:tcW w:w="1537" w:type="dxa"/>
            <w:hideMark/>
          </w:tcPr>
          <w:p w14:paraId="672904D4"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(444.0)  </w:t>
            </w:r>
          </w:p>
        </w:tc>
        <w:tc>
          <w:tcPr>
            <w:tcW w:w="1537" w:type="dxa"/>
            <w:hideMark/>
          </w:tcPr>
          <w:p w14:paraId="2BAB26B6"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(14,148.1)  </w:t>
            </w:r>
          </w:p>
        </w:tc>
        <w:tc>
          <w:tcPr>
            <w:tcW w:w="1537" w:type="dxa"/>
            <w:hideMark/>
          </w:tcPr>
          <w:p w14:paraId="5FF8EAF5"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(5,624.5)  </w:t>
            </w:r>
          </w:p>
        </w:tc>
      </w:tr>
      <w:tr w:rsidR="00DF0333" w:rsidRPr="00DF0333" w14:paraId="70D09F31" w14:textId="77777777" w:rsidTr="00E7337F">
        <w:trPr>
          <w:trHeight w:val="20"/>
          <w:jc w:val="center"/>
        </w:trPr>
        <w:tc>
          <w:tcPr>
            <w:tcW w:w="4739" w:type="dxa"/>
            <w:noWrap/>
            <w:vAlign w:val="center"/>
            <w:hideMark/>
          </w:tcPr>
          <w:p w14:paraId="0FBFB79D"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Change in Other Net Operating Assets</w:t>
            </w:r>
          </w:p>
        </w:tc>
        <w:tc>
          <w:tcPr>
            <w:tcW w:w="1537" w:type="dxa"/>
            <w:hideMark/>
          </w:tcPr>
          <w:p w14:paraId="48F3C159"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(969.7)  </w:t>
            </w:r>
          </w:p>
        </w:tc>
        <w:tc>
          <w:tcPr>
            <w:tcW w:w="1537" w:type="dxa"/>
            <w:hideMark/>
          </w:tcPr>
          <w:p w14:paraId="4A4D5FD4"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1,033.9 </w:t>
            </w:r>
          </w:p>
        </w:tc>
        <w:tc>
          <w:tcPr>
            <w:tcW w:w="1537" w:type="dxa"/>
            <w:hideMark/>
          </w:tcPr>
          <w:p w14:paraId="15622275"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445.6 </w:t>
            </w:r>
          </w:p>
        </w:tc>
      </w:tr>
      <w:tr w:rsidR="00DF0333" w:rsidRPr="00DF0333" w14:paraId="74A39825" w14:textId="77777777" w:rsidTr="00E7337F">
        <w:trPr>
          <w:trHeight w:val="20"/>
          <w:jc w:val="center"/>
        </w:trPr>
        <w:tc>
          <w:tcPr>
            <w:tcW w:w="4739" w:type="dxa"/>
            <w:noWrap/>
            <w:vAlign w:val="center"/>
            <w:hideMark/>
          </w:tcPr>
          <w:p w14:paraId="0E781FF4"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 xml:space="preserve">  Cash from Operations</w:t>
            </w:r>
          </w:p>
        </w:tc>
        <w:tc>
          <w:tcPr>
            <w:tcW w:w="1537" w:type="dxa"/>
            <w:hideMark/>
          </w:tcPr>
          <w:p w14:paraId="316E7E93"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(124.9)  </w:t>
            </w:r>
          </w:p>
        </w:tc>
        <w:tc>
          <w:tcPr>
            <w:tcW w:w="1537" w:type="dxa"/>
            <w:hideMark/>
          </w:tcPr>
          <w:p w14:paraId="76FAAA4F"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4,699.8 </w:t>
            </w:r>
          </w:p>
        </w:tc>
        <w:tc>
          <w:tcPr>
            <w:tcW w:w="1537" w:type="dxa"/>
            <w:hideMark/>
          </w:tcPr>
          <w:p w14:paraId="0964A1E6"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1,273.8 </w:t>
            </w:r>
          </w:p>
        </w:tc>
      </w:tr>
      <w:tr w:rsidR="00DF0333" w:rsidRPr="00DF0333" w14:paraId="5104FC3F" w14:textId="77777777" w:rsidTr="00E7337F">
        <w:trPr>
          <w:trHeight w:val="20"/>
          <w:jc w:val="center"/>
        </w:trPr>
        <w:tc>
          <w:tcPr>
            <w:tcW w:w="4739" w:type="dxa"/>
            <w:noWrap/>
            <w:vAlign w:val="center"/>
            <w:hideMark/>
          </w:tcPr>
          <w:p w14:paraId="4310A7FF" w14:textId="77777777" w:rsidR="00DF0333" w:rsidRPr="00DF0333" w:rsidRDefault="00DF0333" w:rsidP="00DF0333">
            <w:pPr>
              <w:rPr>
                <w:rFonts w:ascii="Arial" w:hAnsi="Arial" w:cs="Arial"/>
                <w:b/>
                <w:bCs/>
                <w:sz w:val="18"/>
                <w:szCs w:val="18"/>
                <w:lang w:val="en-GB"/>
              </w:rPr>
            </w:pPr>
          </w:p>
        </w:tc>
        <w:tc>
          <w:tcPr>
            <w:tcW w:w="1537" w:type="dxa"/>
            <w:noWrap/>
            <w:hideMark/>
          </w:tcPr>
          <w:p w14:paraId="7109B255" w14:textId="77777777" w:rsidR="00DF0333" w:rsidRPr="00DF0333" w:rsidRDefault="00DF0333" w:rsidP="00DF0333">
            <w:pPr>
              <w:jc w:val="right"/>
              <w:rPr>
                <w:rFonts w:ascii="Arial" w:hAnsi="Arial" w:cs="Arial"/>
                <w:sz w:val="18"/>
                <w:szCs w:val="18"/>
                <w:lang w:val="en-GB"/>
              </w:rPr>
            </w:pPr>
          </w:p>
        </w:tc>
        <w:tc>
          <w:tcPr>
            <w:tcW w:w="1537" w:type="dxa"/>
            <w:noWrap/>
            <w:hideMark/>
          </w:tcPr>
          <w:p w14:paraId="1C0B58C6" w14:textId="77777777" w:rsidR="00DF0333" w:rsidRPr="00DF0333" w:rsidRDefault="00DF0333" w:rsidP="00DF0333">
            <w:pPr>
              <w:jc w:val="right"/>
              <w:rPr>
                <w:rFonts w:ascii="Arial" w:hAnsi="Arial" w:cs="Arial"/>
                <w:sz w:val="18"/>
                <w:szCs w:val="18"/>
                <w:lang w:val="en-GB"/>
              </w:rPr>
            </w:pPr>
          </w:p>
        </w:tc>
        <w:tc>
          <w:tcPr>
            <w:tcW w:w="1537" w:type="dxa"/>
            <w:noWrap/>
            <w:hideMark/>
          </w:tcPr>
          <w:p w14:paraId="7A595B00" w14:textId="77777777" w:rsidR="00DF0333" w:rsidRPr="00DF0333" w:rsidRDefault="00DF0333" w:rsidP="00DF0333">
            <w:pPr>
              <w:jc w:val="right"/>
              <w:rPr>
                <w:rFonts w:ascii="Arial" w:hAnsi="Arial" w:cs="Arial"/>
                <w:sz w:val="18"/>
                <w:szCs w:val="18"/>
                <w:lang w:val="en-GB"/>
              </w:rPr>
            </w:pPr>
          </w:p>
        </w:tc>
      </w:tr>
      <w:tr w:rsidR="00DF0333" w:rsidRPr="00DF0333" w14:paraId="127D18D2" w14:textId="77777777" w:rsidTr="00E7337F">
        <w:trPr>
          <w:trHeight w:val="20"/>
          <w:jc w:val="center"/>
        </w:trPr>
        <w:tc>
          <w:tcPr>
            <w:tcW w:w="4739" w:type="dxa"/>
            <w:noWrap/>
            <w:vAlign w:val="center"/>
            <w:hideMark/>
          </w:tcPr>
          <w:p w14:paraId="474DD048"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Capital Expenditure</w:t>
            </w:r>
          </w:p>
        </w:tc>
        <w:tc>
          <w:tcPr>
            <w:tcW w:w="1537" w:type="dxa"/>
            <w:hideMark/>
          </w:tcPr>
          <w:p w14:paraId="0F3C3A5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(569.2)  </w:t>
            </w:r>
          </w:p>
        </w:tc>
        <w:tc>
          <w:tcPr>
            <w:tcW w:w="1537" w:type="dxa"/>
            <w:hideMark/>
          </w:tcPr>
          <w:p w14:paraId="1497E452"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(1,077.7)  </w:t>
            </w:r>
          </w:p>
        </w:tc>
        <w:tc>
          <w:tcPr>
            <w:tcW w:w="1537" w:type="dxa"/>
            <w:hideMark/>
          </w:tcPr>
          <w:p w14:paraId="221ECBCC"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(1,384.7)  </w:t>
            </w:r>
          </w:p>
        </w:tc>
      </w:tr>
      <w:tr w:rsidR="00DF0333" w:rsidRPr="00DF0333" w14:paraId="5A45EC9C" w14:textId="77777777" w:rsidTr="00E7337F">
        <w:trPr>
          <w:trHeight w:val="20"/>
          <w:jc w:val="center"/>
        </w:trPr>
        <w:tc>
          <w:tcPr>
            <w:tcW w:w="4739" w:type="dxa"/>
            <w:noWrap/>
            <w:vAlign w:val="center"/>
            <w:hideMark/>
          </w:tcPr>
          <w:p w14:paraId="642DDD3F"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Sale of Property, Plant &amp; Equipment</w:t>
            </w:r>
          </w:p>
        </w:tc>
        <w:tc>
          <w:tcPr>
            <w:tcW w:w="1537" w:type="dxa"/>
            <w:hideMark/>
          </w:tcPr>
          <w:p w14:paraId="4E8D9320"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6.4 </w:t>
            </w:r>
          </w:p>
        </w:tc>
        <w:tc>
          <w:tcPr>
            <w:tcW w:w="1537" w:type="dxa"/>
            <w:hideMark/>
          </w:tcPr>
          <w:p w14:paraId="28521947"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4.8 </w:t>
            </w:r>
          </w:p>
        </w:tc>
        <w:tc>
          <w:tcPr>
            <w:tcW w:w="1537" w:type="dxa"/>
            <w:hideMark/>
          </w:tcPr>
          <w:p w14:paraId="70A08CC9"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3.1 </w:t>
            </w:r>
          </w:p>
        </w:tc>
      </w:tr>
      <w:tr w:rsidR="00DF0333" w:rsidRPr="00DF0333" w14:paraId="687F4DF6" w14:textId="77777777" w:rsidTr="00E7337F">
        <w:trPr>
          <w:trHeight w:val="20"/>
          <w:jc w:val="center"/>
        </w:trPr>
        <w:tc>
          <w:tcPr>
            <w:tcW w:w="4739" w:type="dxa"/>
            <w:noWrap/>
            <w:vAlign w:val="center"/>
            <w:hideMark/>
          </w:tcPr>
          <w:p w14:paraId="47930499"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Cash Acquisitions</w:t>
            </w:r>
          </w:p>
        </w:tc>
        <w:tc>
          <w:tcPr>
            <w:tcW w:w="1537" w:type="dxa"/>
            <w:hideMark/>
          </w:tcPr>
          <w:p w14:paraId="6E2438F2"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(20.0)  </w:t>
            </w:r>
          </w:p>
        </w:tc>
        <w:tc>
          <w:tcPr>
            <w:tcW w:w="1537" w:type="dxa"/>
            <w:hideMark/>
          </w:tcPr>
          <w:p w14:paraId="7EA9942C"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121.9 </w:t>
            </w:r>
          </w:p>
        </w:tc>
        <w:tc>
          <w:tcPr>
            <w:tcW w:w="1537" w:type="dxa"/>
            <w:hideMark/>
          </w:tcPr>
          <w:p w14:paraId="4AA64A5A"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(90.2)  </w:t>
            </w:r>
          </w:p>
        </w:tc>
      </w:tr>
      <w:tr w:rsidR="00DF0333" w:rsidRPr="00DF0333" w14:paraId="0F4B10F9" w14:textId="77777777" w:rsidTr="00E7337F">
        <w:trPr>
          <w:trHeight w:val="20"/>
          <w:jc w:val="center"/>
        </w:trPr>
        <w:tc>
          <w:tcPr>
            <w:tcW w:w="4739" w:type="dxa"/>
            <w:noWrap/>
            <w:vAlign w:val="center"/>
            <w:hideMark/>
          </w:tcPr>
          <w:p w14:paraId="76DECC73"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Divestitures</w:t>
            </w:r>
          </w:p>
        </w:tc>
        <w:tc>
          <w:tcPr>
            <w:tcW w:w="1537" w:type="dxa"/>
            <w:hideMark/>
          </w:tcPr>
          <w:p w14:paraId="5C56622B"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304.7 </w:t>
            </w:r>
          </w:p>
        </w:tc>
        <w:tc>
          <w:tcPr>
            <w:tcW w:w="1537" w:type="dxa"/>
            <w:hideMark/>
          </w:tcPr>
          <w:p w14:paraId="7900F857"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7,597.1 </w:t>
            </w:r>
          </w:p>
        </w:tc>
        <w:tc>
          <w:tcPr>
            <w:tcW w:w="1537" w:type="dxa"/>
            <w:hideMark/>
          </w:tcPr>
          <w:p w14:paraId="354410F3"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323.6 </w:t>
            </w:r>
          </w:p>
        </w:tc>
      </w:tr>
      <w:tr w:rsidR="00DF0333" w:rsidRPr="00DF0333" w14:paraId="1240A2B6" w14:textId="77777777" w:rsidTr="00E7337F">
        <w:trPr>
          <w:trHeight w:val="20"/>
          <w:jc w:val="center"/>
        </w:trPr>
        <w:tc>
          <w:tcPr>
            <w:tcW w:w="4739" w:type="dxa"/>
            <w:noWrap/>
            <w:vAlign w:val="center"/>
            <w:hideMark/>
          </w:tcPr>
          <w:p w14:paraId="4DD6DA00"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Investments in Marketable &amp; Equity Securities</w:t>
            </w:r>
          </w:p>
        </w:tc>
        <w:tc>
          <w:tcPr>
            <w:tcW w:w="1537" w:type="dxa"/>
            <w:hideMark/>
          </w:tcPr>
          <w:p w14:paraId="46761F05"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(2,650.6)  </w:t>
            </w:r>
          </w:p>
        </w:tc>
        <w:tc>
          <w:tcPr>
            <w:tcW w:w="1537" w:type="dxa"/>
            <w:hideMark/>
          </w:tcPr>
          <w:p w14:paraId="3C90E7AC"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(351.8)  </w:t>
            </w:r>
          </w:p>
        </w:tc>
        <w:tc>
          <w:tcPr>
            <w:tcW w:w="1537" w:type="dxa"/>
            <w:hideMark/>
          </w:tcPr>
          <w:p w14:paraId="1E1477B2"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(4,310.5)  </w:t>
            </w:r>
          </w:p>
        </w:tc>
      </w:tr>
      <w:tr w:rsidR="00DF0333" w:rsidRPr="00DF0333" w14:paraId="5BEA6AE2" w14:textId="77777777" w:rsidTr="00E7337F">
        <w:trPr>
          <w:trHeight w:val="20"/>
          <w:jc w:val="center"/>
        </w:trPr>
        <w:tc>
          <w:tcPr>
            <w:tcW w:w="4739" w:type="dxa"/>
            <w:noWrap/>
            <w:vAlign w:val="center"/>
            <w:hideMark/>
          </w:tcPr>
          <w:p w14:paraId="54AED8B0"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Net (Income) Decrease in Loans Originated/Sold</w:t>
            </w:r>
          </w:p>
        </w:tc>
        <w:tc>
          <w:tcPr>
            <w:tcW w:w="1537" w:type="dxa"/>
            <w:hideMark/>
          </w:tcPr>
          <w:p w14:paraId="52BBB718"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w:t>
            </w:r>
          </w:p>
        </w:tc>
        <w:tc>
          <w:tcPr>
            <w:tcW w:w="1537" w:type="dxa"/>
            <w:hideMark/>
          </w:tcPr>
          <w:p w14:paraId="066C07C9"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w:t>
            </w:r>
          </w:p>
        </w:tc>
        <w:tc>
          <w:tcPr>
            <w:tcW w:w="1537" w:type="dxa"/>
            <w:hideMark/>
          </w:tcPr>
          <w:p w14:paraId="79736B5B"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w:t>
            </w:r>
          </w:p>
        </w:tc>
      </w:tr>
      <w:tr w:rsidR="00DF0333" w:rsidRPr="00DF0333" w14:paraId="03A90D98" w14:textId="77777777" w:rsidTr="00E7337F">
        <w:trPr>
          <w:trHeight w:val="20"/>
          <w:jc w:val="center"/>
        </w:trPr>
        <w:tc>
          <w:tcPr>
            <w:tcW w:w="4739" w:type="dxa"/>
            <w:noWrap/>
            <w:vAlign w:val="center"/>
            <w:hideMark/>
          </w:tcPr>
          <w:p w14:paraId="4B133E70"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Other Investing Activities</w:t>
            </w:r>
          </w:p>
        </w:tc>
        <w:tc>
          <w:tcPr>
            <w:tcW w:w="1537" w:type="dxa"/>
            <w:hideMark/>
          </w:tcPr>
          <w:p w14:paraId="3C4F1C77"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(573.2)  </w:t>
            </w:r>
          </w:p>
        </w:tc>
        <w:tc>
          <w:tcPr>
            <w:tcW w:w="1537" w:type="dxa"/>
            <w:hideMark/>
          </w:tcPr>
          <w:p w14:paraId="4203C989"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417.1 </w:t>
            </w:r>
          </w:p>
        </w:tc>
        <w:tc>
          <w:tcPr>
            <w:tcW w:w="1537" w:type="dxa"/>
            <w:hideMark/>
          </w:tcPr>
          <w:p w14:paraId="2657717A"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474.3 </w:t>
            </w:r>
          </w:p>
        </w:tc>
      </w:tr>
      <w:tr w:rsidR="00DF0333" w:rsidRPr="00DF0333" w14:paraId="4387A3E0" w14:textId="77777777" w:rsidTr="00E7337F">
        <w:trPr>
          <w:trHeight w:val="20"/>
          <w:jc w:val="center"/>
        </w:trPr>
        <w:tc>
          <w:tcPr>
            <w:tcW w:w="4739" w:type="dxa"/>
            <w:noWrap/>
            <w:vAlign w:val="center"/>
            <w:hideMark/>
          </w:tcPr>
          <w:p w14:paraId="077B4382" w14:textId="77777777" w:rsidR="00DF0333" w:rsidRPr="00DF0333" w:rsidRDefault="00DF0333" w:rsidP="00DF0333">
            <w:pPr>
              <w:rPr>
                <w:rFonts w:ascii="Arial" w:hAnsi="Arial" w:cs="Arial"/>
                <w:b/>
                <w:bCs/>
                <w:sz w:val="18"/>
                <w:szCs w:val="18"/>
                <w:lang w:val="en-GB"/>
              </w:rPr>
            </w:pPr>
            <w:r w:rsidRPr="00DF0333">
              <w:rPr>
                <w:rFonts w:ascii="Arial" w:hAnsi="Arial" w:cs="Arial"/>
                <w:b/>
                <w:bCs/>
                <w:sz w:val="18"/>
                <w:szCs w:val="18"/>
                <w:lang w:val="en-GB"/>
              </w:rPr>
              <w:t xml:space="preserve">  Cash from Investing</w:t>
            </w:r>
          </w:p>
        </w:tc>
        <w:tc>
          <w:tcPr>
            <w:tcW w:w="1537" w:type="dxa"/>
            <w:hideMark/>
          </w:tcPr>
          <w:p w14:paraId="1ED98A0D"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(3,501.9)  </w:t>
            </w:r>
          </w:p>
        </w:tc>
        <w:tc>
          <w:tcPr>
            <w:tcW w:w="1537" w:type="dxa"/>
            <w:hideMark/>
          </w:tcPr>
          <w:p w14:paraId="1A91D490"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6,711.5 </w:t>
            </w:r>
          </w:p>
        </w:tc>
        <w:tc>
          <w:tcPr>
            <w:tcW w:w="1537" w:type="dxa"/>
            <w:hideMark/>
          </w:tcPr>
          <w:p w14:paraId="679468DC" w14:textId="77777777" w:rsidR="00DF0333" w:rsidRPr="00DF0333" w:rsidRDefault="00DF0333" w:rsidP="00DF0333">
            <w:pPr>
              <w:jc w:val="right"/>
              <w:rPr>
                <w:rFonts w:ascii="Arial" w:hAnsi="Arial" w:cs="Arial"/>
                <w:b/>
                <w:bCs/>
                <w:sz w:val="18"/>
                <w:szCs w:val="18"/>
                <w:lang w:val="en-GB"/>
              </w:rPr>
            </w:pPr>
            <w:r w:rsidRPr="00DF0333">
              <w:rPr>
                <w:rFonts w:ascii="Arial" w:hAnsi="Arial" w:cs="Arial"/>
                <w:b/>
                <w:bCs/>
                <w:sz w:val="18"/>
                <w:szCs w:val="18"/>
                <w:lang w:val="en-GB"/>
              </w:rPr>
              <w:t xml:space="preserve">  (4,984.4)  </w:t>
            </w:r>
          </w:p>
        </w:tc>
      </w:tr>
      <w:tr w:rsidR="00DF0333" w:rsidRPr="00DF0333" w14:paraId="2A47CAE7" w14:textId="77777777" w:rsidTr="00E7337F">
        <w:trPr>
          <w:trHeight w:val="20"/>
          <w:jc w:val="center"/>
        </w:trPr>
        <w:tc>
          <w:tcPr>
            <w:tcW w:w="4739" w:type="dxa"/>
            <w:noWrap/>
            <w:vAlign w:val="center"/>
            <w:hideMark/>
          </w:tcPr>
          <w:p w14:paraId="45A6AE0D" w14:textId="77777777" w:rsidR="00DF0333" w:rsidRPr="00DF0333" w:rsidRDefault="00DF0333" w:rsidP="00DF0333">
            <w:pPr>
              <w:rPr>
                <w:rFonts w:ascii="Arial" w:hAnsi="Arial" w:cs="Arial"/>
                <w:b/>
                <w:bCs/>
                <w:sz w:val="18"/>
                <w:szCs w:val="18"/>
                <w:lang w:val="en-GB"/>
              </w:rPr>
            </w:pPr>
            <w:r w:rsidRPr="00DF0333">
              <w:rPr>
                <w:rFonts w:ascii="Arial" w:hAnsi="Arial" w:cs="Arial"/>
                <w:sz w:val="18"/>
                <w:szCs w:val="18"/>
                <w:lang w:val="en-GB"/>
              </w:rPr>
              <w:t>Short-Term Debt Issued</w:t>
            </w:r>
          </w:p>
        </w:tc>
        <w:tc>
          <w:tcPr>
            <w:tcW w:w="1537" w:type="dxa"/>
            <w:noWrap/>
            <w:hideMark/>
          </w:tcPr>
          <w:p w14:paraId="26701539"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3,323.8 </w:t>
            </w:r>
          </w:p>
        </w:tc>
        <w:tc>
          <w:tcPr>
            <w:tcW w:w="1537" w:type="dxa"/>
            <w:noWrap/>
            <w:hideMark/>
          </w:tcPr>
          <w:p w14:paraId="34EADFC8"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w:t>
            </w:r>
          </w:p>
        </w:tc>
        <w:tc>
          <w:tcPr>
            <w:tcW w:w="1537" w:type="dxa"/>
            <w:noWrap/>
            <w:hideMark/>
          </w:tcPr>
          <w:p w14:paraId="3197DEB6"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3,217.9 </w:t>
            </w:r>
          </w:p>
        </w:tc>
      </w:tr>
      <w:tr w:rsidR="00DF0333" w:rsidRPr="00DF0333" w14:paraId="231164A6" w14:textId="77777777" w:rsidTr="00E7337F">
        <w:trPr>
          <w:trHeight w:val="20"/>
          <w:jc w:val="center"/>
        </w:trPr>
        <w:tc>
          <w:tcPr>
            <w:tcW w:w="4739" w:type="dxa"/>
            <w:noWrap/>
            <w:vAlign w:val="center"/>
            <w:hideMark/>
          </w:tcPr>
          <w:p w14:paraId="1F3FD124"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Long-Term Debt Issued</w:t>
            </w:r>
          </w:p>
        </w:tc>
        <w:tc>
          <w:tcPr>
            <w:tcW w:w="1537" w:type="dxa"/>
            <w:hideMark/>
          </w:tcPr>
          <w:p w14:paraId="6E472805"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14,958.5 </w:t>
            </w:r>
          </w:p>
        </w:tc>
        <w:tc>
          <w:tcPr>
            <w:tcW w:w="1537" w:type="dxa"/>
            <w:hideMark/>
          </w:tcPr>
          <w:p w14:paraId="3AD72EC5"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11,483.2 </w:t>
            </w:r>
          </w:p>
        </w:tc>
        <w:tc>
          <w:tcPr>
            <w:tcW w:w="1537" w:type="dxa"/>
            <w:hideMark/>
          </w:tcPr>
          <w:p w14:paraId="6C2A0512"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25,750.2 </w:t>
            </w:r>
          </w:p>
        </w:tc>
      </w:tr>
      <w:tr w:rsidR="00DF0333" w:rsidRPr="00DF0333" w14:paraId="1CAFFDBC" w14:textId="77777777" w:rsidTr="00E7337F">
        <w:trPr>
          <w:trHeight w:val="20"/>
          <w:jc w:val="center"/>
        </w:trPr>
        <w:tc>
          <w:tcPr>
            <w:tcW w:w="4739" w:type="dxa"/>
            <w:noWrap/>
            <w:vAlign w:val="center"/>
            <w:hideMark/>
          </w:tcPr>
          <w:p w14:paraId="6D4EF75D" w14:textId="77777777" w:rsidR="00DF0333" w:rsidRPr="00DF0333" w:rsidRDefault="00DF0333" w:rsidP="00DF0333">
            <w:pPr>
              <w:rPr>
                <w:rFonts w:ascii="Arial" w:hAnsi="Arial" w:cs="Arial"/>
                <w:sz w:val="18"/>
                <w:szCs w:val="18"/>
                <w:lang w:val="en-GB"/>
              </w:rPr>
            </w:pPr>
            <w:r w:rsidRPr="00DF0333">
              <w:rPr>
                <w:rFonts w:ascii="Arial" w:hAnsi="Arial" w:cs="Arial"/>
                <w:b/>
                <w:bCs/>
                <w:sz w:val="18"/>
                <w:szCs w:val="18"/>
                <w:lang w:val="en-GB"/>
              </w:rPr>
              <w:t>Total Debt Issued</w:t>
            </w:r>
          </w:p>
        </w:tc>
        <w:tc>
          <w:tcPr>
            <w:tcW w:w="1537" w:type="dxa"/>
            <w:hideMark/>
          </w:tcPr>
          <w:p w14:paraId="09749A6F" w14:textId="77777777" w:rsidR="00DF0333" w:rsidRPr="00DF0333" w:rsidRDefault="00DF0333" w:rsidP="00DF0333">
            <w:pPr>
              <w:jc w:val="right"/>
              <w:rPr>
                <w:rFonts w:ascii="Arial" w:hAnsi="Arial" w:cs="Arial"/>
                <w:sz w:val="18"/>
                <w:szCs w:val="18"/>
                <w:lang w:val="en-GB"/>
              </w:rPr>
            </w:pPr>
            <w:r w:rsidRPr="00DF0333">
              <w:rPr>
                <w:rFonts w:ascii="Arial" w:hAnsi="Arial" w:cs="Arial"/>
                <w:b/>
                <w:bCs/>
                <w:sz w:val="18"/>
                <w:szCs w:val="18"/>
                <w:lang w:val="en-GB"/>
              </w:rPr>
              <w:t xml:space="preserve">  18,282.2 </w:t>
            </w:r>
          </w:p>
        </w:tc>
        <w:tc>
          <w:tcPr>
            <w:tcW w:w="1537" w:type="dxa"/>
            <w:hideMark/>
          </w:tcPr>
          <w:p w14:paraId="59553A29" w14:textId="77777777" w:rsidR="00DF0333" w:rsidRPr="00DF0333" w:rsidRDefault="00DF0333" w:rsidP="00DF0333">
            <w:pPr>
              <w:jc w:val="right"/>
              <w:rPr>
                <w:rFonts w:ascii="Arial" w:hAnsi="Arial" w:cs="Arial"/>
                <w:sz w:val="18"/>
                <w:szCs w:val="18"/>
                <w:lang w:val="en-GB"/>
              </w:rPr>
            </w:pPr>
            <w:r w:rsidRPr="00DF0333">
              <w:rPr>
                <w:rFonts w:ascii="Arial" w:hAnsi="Arial" w:cs="Arial"/>
                <w:b/>
                <w:bCs/>
                <w:sz w:val="18"/>
                <w:szCs w:val="18"/>
                <w:lang w:val="en-GB"/>
              </w:rPr>
              <w:t xml:space="preserve">  11,483.2 </w:t>
            </w:r>
          </w:p>
        </w:tc>
        <w:tc>
          <w:tcPr>
            <w:tcW w:w="1537" w:type="dxa"/>
            <w:hideMark/>
          </w:tcPr>
          <w:p w14:paraId="35A52CAF" w14:textId="77777777" w:rsidR="00DF0333" w:rsidRPr="00DF0333" w:rsidRDefault="00DF0333" w:rsidP="00DF0333">
            <w:pPr>
              <w:jc w:val="right"/>
              <w:rPr>
                <w:rFonts w:ascii="Arial" w:hAnsi="Arial" w:cs="Arial"/>
                <w:sz w:val="18"/>
                <w:szCs w:val="18"/>
                <w:lang w:val="en-GB"/>
              </w:rPr>
            </w:pPr>
            <w:r w:rsidRPr="00DF0333">
              <w:rPr>
                <w:rFonts w:ascii="Arial" w:hAnsi="Arial" w:cs="Arial"/>
                <w:b/>
                <w:bCs/>
                <w:sz w:val="18"/>
                <w:szCs w:val="18"/>
                <w:lang w:val="en-GB"/>
              </w:rPr>
              <w:t xml:space="preserve">  28,968.2 </w:t>
            </w:r>
          </w:p>
        </w:tc>
      </w:tr>
      <w:tr w:rsidR="00DF0333" w:rsidRPr="00DF0333" w14:paraId="5D726437" w14:textId="77777777" w:rsidTr="00E7337F">
        <w:trPr>
          <w:trHeight w:val="20"/>
          <w:jc w:val="center"/>
        </w:trPr>
        <w:tc>
          <w:tcPr>
            <w:tcW w:w="4739" w:type="dxa"/>
            <w:noWrap/>
            <w:vAlign w:val="center"/>
            <w:hideMark/>
          </w:tcPr>
          <w:p w14:paraId="26A5C5B4" w14:textId="77777777" w:rsidR="00DF0333" w:rsidRPr="00DF0333" w:rsidRDefault="00DF0333" w:rsidP="00DF0333">
            <w:pPr>
              <w:rPr>
                <w:rFonts w:ascii="Arial" w:hAnsi="Arial" w:cs="Arial"/>
                <w:b/>
                <w:bCs/>
                <w:sz w:val="18"/>
                <w:szCs w:val="18"/>
                <w:lang w:val="en-GB"/>
              </w:rPr>
            </w:pPr>
            <w:r w:rsidRPr="00DF0333">
              <w:rPr>
                <w:rFonts w:ascii="Arial" w:hAnsi="Arial" w:cs="Arial"/>
                <w:sz w:val="18"/>
                <w:szCs w:val="18"/>
                <w:lang w:val="en-GB"/>
              </w:rPr>
              <w:t>Short-Term Debt Repaid</w:t>
            </w:r>
          </w:p>
        </w:tc>
        <w:tc>
          <w:tcPr>
            <w:tcW w:w="1537" w:type="dxa"/>
            <w:hideMark/>
          </w:tcPr>
          <w:p w14:paraId="409E4AE7" w14:textId="77777777" w:rsidR="00DF0333" w:rsidRPr="00DF0333" w:rsidRDefault="00DF0333" w:rsidP="00DF0333">
            <w:pPr>
              <w:jc w:val="right"/>
              <w:rPr>
                <w:rFonts w:ascii="Arial" w:hAnsi="Arial" w:cs="Arial"/>
                <w:b/>
                <w:bCs/>
                <w:sz w:val="18"/>
                <w:szCs w:val="18"/>
                <w:lang w:val="en-GB"/>
              </w:rPr>
            </w:pPr>
            <w:r w:rsidRPr="00DF0333">
              <w:rPr>
                <w:rFonts w:ascii="Arial" w:hAnsi="Arial" w:cs="Arial"/>
                <w:sz w:val="18"/>
                <w:szCs w:val="18"/>
                <w:lang w:val="en-GB"/>
              </w:rPr>
              <w:t xml:space="preserve">  (3,150.0)  </w:t>
            </w:r>
          </w:p>
        </w:tc>
        <w:tc>
          <w:tcPr>
            <w:tcW w:w="1537" w:type="dxa"/>
            <w:hideMark/>
          </w:tcPr>
          <w:p w14:paraId="13AC68D2" w14:textId="77777777" w:rsidR="00DF0333" w:rsidRPr="00DF0333" w:rsidRDefault="00DF0333" w:rsidP="00DF0333">
            <w:pPr>
              <w:jc w:val="right"/>
              <w:rPr>
                <w:rFonts w:ascii="Arial" w:hAnsi="Arial" w:cs="Arial"/>
                <w:b/>
                <w:bCs/>
                <w:sz w:val="18"/>
                <w:szCs w:val="18"/>
                <w:lang w:val="en-GB"/>
              </w:rPr>
            </w:pPr>
            <w:r w:rsidRPr="00DF0333">
              <w:rPr>
                <w:rFonts w:ascii="Arial" w:hAnsi="Arial" w:cs="Arial"/>
                <w:sz w:val="18"/>
                <w:szCs w:val="18"/>
                <w:lang w:val="en-GB"/>
              </w:rPr>
              <w:t xml:space="preserve">  (2,988.2)  </w:t>
            </w:r>
          </w:p>
        </w:tc>
        <w:tc>
          <w:tcPr>
            <w:tcW w:w="1537" w:type="dxa"/>
            <w:hideMark/>
          </w:tcPr>
          <w:p w14:paraId="583DFF27" w14:textId="77777777" w:rsidR="00DF0333" w:rsidRPr="00DF0333" w:rsidRDefault="00DF0333" w:rsidP="00DF0333">
            <w:pPr>
              <w:jc w:val="right"/>
              <w:rPr>
                <w:rFonts w:ascii="Arial" w:hAnsi="Arial" w:cs="Arial"/>
                <w:b/>
                <w:bCs/>
                <w:sz w:val="18"/>
                <w:szCs w:val="18"/>
                <w:lang w:val="en-GB"/>
              </w:rPr>
            </w:pPr>
            <w:r w:rsidRPr="00DF0333">
              <w:rPr>
                <w:rFonts w:ascii="Arial" w:hAnsi="Arial" w:cs="Arial"/>
                <w:sz w:val="18"/>
                <w:szCs w:val="18"/>
                <w:lang w:val="en-GB"/>
              </w:rPr>
              <w:t>-</w:t>
            </w:r>
          </w:p>
        </w:tc>
      </w:tr>
      <w:tr w:rsidR="00DF0333" w:rsidRPr="00DF0333" w14:paraId="09152DDE" w14:textId="77777777" w:rsidTr="00E7337F">
        <w:trPr>
          <w:trHeight w:val="20"/>
          <w:jc w:val="center"/>
        </w:trPr>
        <w:tc>
          <w:tcPr>
            <w:tcW w:w="4739" w:type="dxa"/>
            <w:noWrap/>
            <w:vAlign w:val="center"/>
            <w:hideMark/>
          </w:tcPr>
          <w:p w14:paraId="087B8526"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Long-Term Debt Repaid</w:t>
            </w:r>
          </w:p>
        </w:tc>
        <w:tc>
          <w:tcPr>
            <w:tcW w:w="1537" w:type="dxa"/>
            <w:hideMark/>
          </w:tcPr>
          <w:p w14:paraId="05AFBD41"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(16,809.8)  </w:t>
            </w:r>
          </w:p>
        </w:tc>
        <w:tc>
          <w:tcPr>
            <w:tcW w:w="1537" w:type="dxa"/>
            <w:hideMark/>
          </w:tcPr>
          <w:p w14:paraId="41FC0DCD"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(18,695.2)  </w:t>
            </w:r>
          </w:p>
        </w:tc>
        <w:tc>
          <w:tcPr>
            <w:tcW w:w="1537" w:type="dxa"/>
            <w:hideMark/>
          </w:tcPr>
          <w:p w14:paraId="7DAA4B3C"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(16,958.8)  </w:t>
            </w:r>
          </w:p>
        </w:tc>
      </w:tr>
      <w:tr w:rsidR="00DF0333" w:rsidRPr="00DF0333" w14:paraId="3AC17A46" w14:textId="77777777" w:rsidTr="00E7337F">
        <w:trPr>
          <w:trHeight w:val="20"/>
          <w:jc w:val="center"/>
        </w:trPr>
        <w:tc>
          <w:tcPr>
            <w:tcW w:w="4739" w:type="dxa"/>
            <w:noWrap/>
            <w:vAlign w:val="center"/>
            <w:hideMark/>
          </w:tcPr>
          <w:p w14:paraId="0C8D54E0" w14:textId="77777777" w:rsidR="00DF0333" w:rsidRPr="00DF0333" w:rsidRDefault="00DF0333" w:rsidP="00DF0333">
            <w:pPr>
              <w:rPr>
                <w:rFonts w:ascii="Arial" w:hAnsi="Arial" w:cs="Arial"/>
                <w:sz w:val="18"/>
                <w:szCs w:val="18"/>
                <w:lang w:val="en-GB"/>
              </w:rPr>
            </w:pPr>
            <w:r w:rsidRPr="00DF0333">
              <w:rPr>
                <w:rFonts w:ascii="Arial" w:hAnsi="Arial" w:cs="Arial"/>
                <w:b/>
                <w:bCs/>
                <w:sz w:val="18"/>
                <w:szCs w:val="18"/>
                <w:lang w:val="en-GB"/>
              </w:rPr>
              <w:t xml:space="preserve">  Total Debt Repaid</w:t>
            </w:r>
          </w:p>
        </w:tc>
        <w:tc>
          <w:tcPr>
            <w:tcW w:w="1537" w:type="dxa"/>
            <w:hideMark/>
          </w:tcPr>
          <w:p w14:paraId="24FDC3D5" w14:textId="77777777" w:rsidR="00DF0333" w:rsidRPr="00DF0333" w:rsidRDefault="00DF0333" w:rsidP="00DF0333">
            <w:pPr>
              <w:jc w:val="right"/>
              <w:rPr>
                <w:rFonts w:ascii="Arial" w:hAnsi="Arial" w:cs="Arial"/>
                <w:sz w:val="18"/>
                <w:szCs w:val="18"/>
                <w:lang w:val="en-GB"/>
              </w:rPr>
            </w:pPr>
            <w:r w:rsidRPr="00DF0333">
              <w:rPr>
                <w:rFonts w:ascii="Arial" w:hAnsi="Arial" w:cs="Arial"/>
                <w:b/>
                <w:bCs/>
                <w:sz w:val="18"/>
                <w:szCs w:val="18"/>
                <w:lang w:val="en-GB"/>
              </w:rPr>
              <w:t xml:space="preserve">  (19,959.8)  </w:t>
            </w:r>
          </w:p>
        </w:tc>
        <w:tc>
          <w:tcPr>
            <w:tcW w:w="1537" w:type="dxa"/>
            <w:hideMark/>
          </w:tcPr>
          <w:p w14:paraId="364E8D88" w14:textId="77777777" w:rsidR="00DF0333" w:rsidRPr="00DF0333" w:rsidRDefault="00DF0333" w:rsidP="00DF0333">
            <w:pPr>
              <w:jc w:val="right"/>
              <w:rPr>
                <w:rFonts w:ascii="Arial" w:hAnsi="Arial" w:cs="Arial"/>
                <w:sz w:val="18"/>
                <w:szCs w:val="18"/>
                <w:lang w:val="en-GB"/>
              </w:rPr>
            </w:pPr>
            <w:r w:rsidRPr="00DF0333">
              <w:rPr>
                <w:rFonts w:ascii="Arial" w:hAnsi="Arial" w:cs="Arial"/>
                <w:b/>
                <w:bCs/>
                <w:sz w:val="18"/>
                <w:szCs w:val="18"/>
                <w:lang w:val="en-GB"/>
              </w:rPr>
              <w:t xml:space="preserve">  (21,683.4)  </w:t>
            </w:r>
          </w:p>
        </w:tc>
        <w:tc>
          <w:tcPr>
            <w:tcW w:w="1537" w:type="dxa"/>
            <w:hideMark/>
          </w:tcPr>
          <w:p w14:paraId="7E987B5C" w14:textId="77777777" w:rsidR="00DF0333" w:rsidRPr="00DF0333" w:rsidRDefault="00DF0333" w:rsidP="00DF0333">
            <w:pPr>
              <w:jc w:val="right"/>
              <w:rPr>
                <w:rFonts w:ascii="Arial" w:hAnsi="Arial" w:cs="Arial"/>
                <w:sz w:val="18"/>
                <w:szCs w:val="18"/>
                <w:lang w:val="en-GB"/>
              </w:rPr>
            </w:pPr>
            <w:r w:rsidRPr="00DF0333">
              <w:rPr>
                <w:rFonts w:ascii="Arial" w:hAnsi="Arial" w:cs="Arial"/>
                <w:b/>
                <w:bCs/>
                <w:sz w:val="18"/>
                <w:szCs w:val="18"/>
                <w:lang w:val="en-GB"/>
              </w:rPr>
              <w:t xml:space="preserve">  (16,958.8)  </w:t>
            </w:r>
          </w:p>
        </w:tc>
      </w:tr>
      <w:tr w:rsidR="00DF0333" w:rsidRPr="00DF0333" w14:paraId="3338B871" w14:textId="77777777" w:rsidTr="00E7337F">
        <w:trPr>
          <w:trHeight w:val="20"/>
          <w:jc w:val="center"/>
        </w:trPr>
        <w:tc>
          <w:tcPr>
            <w:tcW w:w="4739" w:type="dxa"/>
            <w:noWrap/>
            <w:vAlign w:val="center"/>
            <w:hideMark/>
          </w:tcPr>
          <w:p w14:paraId="2B7CA107" w14:textId="77777777" w:rsidR="00DF0333" w:rsidRPr="00DF0333" w:rsidRDefault="00DF0333" w:rsidP="00DF0333">
            <w:pPr>
              <w:rPr>
                <w:rFonts w:ascii="Arial" w:hAnsi="Arial" w:cs="Arial"/>
                <w:b/>
                <w:bCs/>
                <w:sz w:val="18"/>
                <w:szCs w:val="18"/>
                <w:lang w:val="en-GB"/>
              </w:rPr>
            </w:pPr>
          </w:p>
        </w:tc>
        <w:tc>
          <w:tcPr>
            <w:tcW w:w="1537" w:type="dxa"/>
            <w:hideMark/>
          </w:tcPr>
          <w:p w14:paraId="673A5BF6" w14:textId="77777777" w:rsidR="00DF0333" w:rsidRPr="00DF0333" w:rsidRDefault="00DF0333" w:rsidP="00DF0333">
            <w:pPr>
              <w:jc w:val="right"/>
              <w:rPr>
                <w:rFonts w:ascii="Arial" w:hAnsi="Arial" w:cs="Arial"/>
                <w:b/>
                <w:bCs/>
                <w:sz w:val="18"/>
                <w:szCs w:val="18"/>
                <w:lang w:val="en-GB"/>
              </w:rPr>
            </w:pPr>
          </w:p>
        </w:tc>
        <w:tc>
          <w:tcPr>
            <w:tcW w:w="1537" w:type="dxa"/>
            <w:hideMark/>
          </w:tcPr>
          <w:p w14:paraId="44E6E514" w14:textId="77777777" w:rsidR="00DF0333" w:rsidRPr="00DF0333" w:rsidRDefault="00DF0333" w:rsidP="00DF0333">
            <w:pPr>
              <w:jc w:val="right"/>
              <w:rPr>
                <w:rFonts w:ascii="Arial" w:hAnsi="Arial" w:cs="Arial"/>
                <w:b/>
                <w:bCs/>
                <w:sz w:val="18"/>
                <w:szCs w:val="18"/>
                <w:lang w:val="en-GB"/>
              </w:rPr>
            </w:pPr>
          </w:p>
        </w:tc>
        <w:tc>
          <w:tcPr>
            <w:tcW w:w="1537" w:type="dxa"/>
            <w:hideMark/>
          </w:tcPr>
          <w:p w14:paraId="68EEFBA4" w14:textId="77777777" w:rsidR="00DF0333" w:rsidRPr="00DF0333" w:rsidRDefault="00DF0333" w:rsidP="00DF0333">
            <w:pPr>
              <w:jc w:val="right"/>
              <w:rPr>
                <w:rFonts w:ascii="Arial" w:hAnsi="Arial" w:cs="Arial"/>
                <w:b/>
                <w:bCs/>
                <w:sz w:val="18"/>
                <w:szCs w:val="18"/>
                <w:lang w:val="en-GB"/>
              </w:rPr>
            </w:pPr>
          </w:p>
        </w:tc>
      </w:tr>
      <w:tr w:rsidR="00DF0333" w:rsidRPr="00DF0333" w14:paraId="1CC31713" w14:textId="77777777" w:rsidTr="00E7337F">
        <w:trPr>
          <w:trHeight w:val="20"/>
          <w:jc w:val="center"/>
        </w:trPr>
        <w:tc>
          <w:tcPr>
            <w:tcW w:w="4739" w:type="dxa"/>
            <w:noWrap/>
            <w:vAlign w:val="center"/>
            <w:hideMark/>
          </w:tcPr>
          <w:p w14:paraId="2208962D" w14:textId="77777777" w:rsidR="00DF0333" w:rsidRPr="00DF0333" w:rsidRDefault="00DF0333" w:rsidP="00DF0333">
            <w:pPr>
              <w:rPr>
                <w:rFonts w:ascii="Arial" w:hAnsi="Arial" w:cs="Arial"/>
                <w:b/>
                <w:bCs/>
                <w:sz w:val="18"/>
                <w:szCs w:val="18"/>
                <w:lang w:val="en-GB"/>
              </w:rPr>
            </w:pPr>
            <w:r w:rsidRPr="00DF0333">
              <w:rPr>
                <w:rFonts w:ascii="Arial" w:hAnsi="Arial" w:cs="Arial"/>
                <w:sz w:val="18"/>
                <w:szCs w:val="18"/>
                <w:lang w:val="en-GB"/>
              </w:rPr>
              <w:t>Issuance of Common Stock</w:t>
            </w:r>
          </w:p>
        </w:tc>
        <w:tc>
          <w:tcPr>
            <w:tcW w:w="1537" w:type="dxa"/>
            <w:noWrap/>
            <w:hideMark/>
          </w:tcPr>
          <w:p w14:paraId="3E760EFE"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33.9 </w:t>
            </w:r>
          </w:p>
        </w:tc>
        <w:tc>
          <w:tcPr>
            <w:tcW w:w="1537" w:type="dxa"/>
            <w:noWrap/>
            <w:hideMark/>
          </w:tcPr>
          <w:p w14:paraId="522A0D86"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2,126.7 </w:t>
            </w:r>
          </w:p>
        </w:tc>
        <w:tc>
          <w:tcPr>
            <w:tcW w:w="1537" w:type="dxa"/>
            <w:noWrap/>
            <w:hideMark/>
          </w:tcPr>
          <w:p w14:paraId="3255B30F"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111.6 </w:t>
            </w:r>
          </w:p>
        </w:tc>
      </w:tr>
      <w:tr w:rsidR="00DF0333" w:rsidRPr="00DF0333" w14:paraId="3CE10C05" w14:textId="77777777" w:rsidTr="00E7337F">
        <w:trPr>
          <w:trHeight w:val="20"/>
          <w:jc w:val="center"/>
        </w:trPr>
        <w:tc>
          <w:tcPr>
            <w:tcW w:w="4739" w:type="dxa"/>
            <w:noWrap/>
            <w:vAlign w:val="center"/>
            <w:hideMark/>
          </w:tcPr>
          <w:p w14:paraId="0358F877" w14:textId="77777777" w:rsidR="00DF0333" w:rsidRPr="00DF0333" w:rsidRDefault="00DF0333" w:rsidP="00DF0333">
            <w:pPr>
              <w:rPr>
                <w:rFonts w:ascii="Arial" w:hAnsi="Arial" w:cs="Arial"/>
                <w:sz w:val="18"/>
                <w:szCs w:val="18"/>
                <w:lang w:val="en-GB"/>
              </w:rPr>
            </w:pPr>
            <w:r w:rsidRPr="00DF0333">
              <w:rPr>
                <w:rFonts w:ascii="Arial" w:hAnsi="Arial" w:cs="Arial"/>
                <w:sz w:val="18"/>
                <w:szCs w:val="18"/>
                <w:lang w:val="en-GB"/>
              </w:rPr>
              <w:t>Common Dividends Paid</w:t>
            </w:r>
          </w:p>
        </w:tc>
        <w:tc>
          <w:tcPr>
            <w:tcW w:w="1537" w:type="dxa"/>
            <w:hideMark/>
          </w:tcPr>
          <w:p w14:paraId="0740A86D"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(589.0)  </w:t>
            </w:r>
          </w:p>
        </w:tc>
        <w:tc>
          <w:tcPr>
            <w:tcW w:w="1537" w:type="dxa"/>
            <w:hideMark/>
          </w:tcPr>
          <w:p w14:paraId="568A241B"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(164.0)  </w:t>
            </w:r>
          </w:p>
        </w:tc>
        <w:tc>
          <w:tcPr>
            <w:tcW w:w="1537" w:type="dxa"/>
            <w:hideMark/>
          </w:tcPr>
          <w:p w14:paraId="0C97F6BB"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(1,260.2)  </w:t>
            </w:r>
          </w:p>
        </w:tc>
      </w:tr>
      <w:tr w:rsidR="00DF0333" w:rsidRPr="00DF0333" w14:paraId="1C96036F" w14:textId="77777777" w:rsidTr="00E7337F">
        <w:trPr>
          <w:trHeight w:val="20"/>
          <w:jc w:val="center"/>
        </w:trPr>
        <w:tc>
          <w:tcPr>
            <w:tcW w:w="4739" w:type="dxa"/>
            <w:noWrap/>
            <w:vAlign w:val="center"/>
            <w:hideMark/>
          </w:tcPr>
          <w:p w14:paraId="2096FC7A" w14:textId="77777777" w:rsidR="00DF0333" w:rsidRPr="00DF0333" w:rsidRDefault="00DF0333" w:rsidP="00DF0333">
            <w:pPr>
              <w:rPr>
                <w:rFonts w:ascii="Arial" w:hAnsi="Arial" w:cs="Arial"/>
                <w:sz w:val="18"/>
                <w:szCs w:val="18"/>
                <w:lang w:val="en-GB"/>
              </w:rPr>
            </w:pPr>
            <w:r w:rsidRPr="00DF0333">
              <w:rPr>
                <w:rFonts w:ascii="Arial" w:hAnsi="Arial" w:cs="Arial"/>
                <w:b/>
                <w:bCs/>
                <w:sz w:val="18"/>
                <w:szCs w:val="18"/>
                <w:lang w:val="en-GB"/>
              </w:rPr>
              <w:t xml:space="preserve">  Total Dividends Paid</w:t>
            </w:r>
          </w:p>
        </w:tc>
        <w:tc>
          <w:tcPr>
            <w:tcW w:w="1537" w:type="dxa"/>
            <w:hideMark/>
          </w:tcPr>
          <w:p w14:paraId="5B6093EF" w14:textId="77777777" w:rsidR="00DF0333" w:rsidRPr="00DF0333" w:rsidRDefault="00DF0333" w:rsidP="00DF0333">
            <w:pPr>
              <w:jc w:val="right"/>
              <w:rPr>
                <w:rFonts w:ascii="Arial" w:hAnsi="Arial" w:cs="Arial"/>
                <w:sz w:val="18"/>
                <w:szCs w:val="18"/>
                <w:lang w:val="en-GB"/>
              </w:rPr>
            </w:pPr>
            <w:r w:rsidRPr="00DF0333">
              <w:rPr>
                <w:rFonts w:ascii="Arial" w:hAnsi="Arial" w:cs="Arial"/>
                <w:b/>
                <w:bCs/>
                <w:sz w:val="18"/>
                <w:szCs w:val="18"/>
                <w:lang w:val="en-GB"/>
              </w:rPr>
              <w:t xml:space="preserve"> (589.0)  </w:t>
            </w:r>
          </w:p>
        </w:tc>
        <w:tc>
          <w:tcPr>
            <w:tcW w:w="1537" w:type="dxa"/>
            <w:hideMark/>
          </w:tcPr>
          <w:p w14:paraId="231819D5" w14:textId="77777777" w:rsidR="00DF0333" w:rsidRPr="00DF0333" w:rsidRDefault="00DF0333" w:rsidP="00DF0333">
            <w:pPr>
              <w:jc w:val="right"/>
              <w:rPr>
                <w:rFonts w:ascii="Arial" w:hAnsi="Arial" w:cs="Arial"/>
                <w:sz w:val="18"/>
                <w:szCs w:val="18"/>
                <w:lang w:val="en-GB"/>
              </w:rPr>
            </w:pPr>
            <w:r w:rsidRPr="00DF0333">
              <w:rPr>
                <w:rFonts w:ascii="Arial" w:hAnsi="Arial" w:cs="Arial"/>
                <w:b/>
                <w:bCs/>
                <w:sz w:val="18"/>
                <w:szCs w:val="18"/>
                <w:lang w:val="en-GB"/>
              </w:rPr>
              <w:t xml:space="preserve"> (164.0)  </w:t>
            </w:r>
          </w:p>
        </w:tc>
        <w:tc>
          <w:tcPr>
            <w:tcW w:w="1537" w:type="dxa"/>
            <w:hideMark/>
          </w:tcPr>
          <w:p w14:paraId="6EA3CA55" w14:textId="77777777" w:rsidR="00DF0333" w:rsidRPr="00DF0333" w:rsidRDefault="00DF0333" w:rsidP="00DF0333">
            <w:pPr>
              <w:jc w:val="right"/>
              <w:rPr>
                <w:rFonts w:ascii="Arial" w:hAnsi="Arial" w:cs="Arial"/>
                <w:sz w:val="18"/>
                <w:szCs w:val="18"/>
                <w:lang w:val="en-GB"/>
              </w:rPr>
            </w:pPr>
            <w:r w:rsidRPr="00DF0333">
              <w:rPr>
                <w:rFonts w:ascii="Arial" w:hAnsi="Arial" w:cs="Arial"/>
                <w:b/>
                <w:bCs/>
                <w:sz w:val="18"/>
                <w:szCs w:val="18"/>
                <w:lang w:val="en-GB"/>
              </w:rPr>
              <w:t xml:space="preserve">  (1,260.2)  </w:t>
            </w:r>
          </w:p>
        </w:tc>
      </w:tr>
      <w:tr w:rsidR="00DF0333" w:rsidRPr="00DF0333" w14:paraId="2D09B6F9" w14:textId="77777777" w:rsidTr="00E7337F">
        <w:trPr>
          <w:trHeight w:val="20"/>
          <w:jc w:val="center"/>
        </w:trPr>
        <w:tc>
          <w:tcPr>
            <w:tcW w:w="4739" w:type="dxa"/>
            <w:noWrap/>
            <w:vAlign w:val="center"/>
            <w:hideMark/>
          </w:tcPr>
          <w:p w14:paraId="420E8A06" w14:textId="77777777" w:rsidR="00DF0333" w:rsidRPr="00DF0333" w:rsidRDefault="00DF0333" w:rsidP="00DF0333">
            <w:pPr>
              <w:rPr>
                <w:rFonts w:ascii="Arial" w:hAnsi="Arial" w:cs="Arial"/>
                <w:b/>
                <w:bCs/>
                <w:sz w:val="18"/>
                <w:szCs w:val="18"/>
                <w:lang w:val="en-GB"/>
              </w:rPr>
            </w:pPr>
          </w:p>
        </w:tc>
        <w:tc>
          <w:tcPr>
            <w:tcW w:w="1537" w:type="dxa"/>
            <w:hideMark/>
          </w:tcPr>
          <w:p w14:paraId="42D1D3B5" w14:textId="77777777" w:rsidR="00DF0333" w:rsidRPr="00DF0333" w:rsidRDefault="00DF0333" w:rsidP="00DF0333">
            <w:pPr>
              <w:jc w:val="right"/>
              <w:rPr>
                <w:rFonts w:ascii="Arial" w:hAnsi="Arial" w:cs="Arial"/>
                <w:b/>
                <w:bCs/>
                <w:sz w:val="18"/>
                <w:szCs w:val="18"/>
                <w:lang w:val="en-GB"/>
              </w:rPr>
            </w:pPr>
          </w:p>
        </w:tc>
        <w:tc>
          <w:tcPr>
            <w:tcW w:w="1537" w:type="dxa"/>
            <w:hideMark/>
          </w:tcPr>
          <w:p w14:paraId="06B3A431" w14:textId="77777777" w:rsidR="00DF0333" w:rsidRPr="00DF0333" w:rsidRDefault="00DF0333" w:rsidP="00DF0333">
            <w:pPr>
              <w:jc w:val="right"/>
              <w:rPr>
                <w:rFonts w:ascii="Arial" w:hAnsi="Arial" w:cs="Arial"/>
                <w:b/>
                <w:bCs/>
                <w:sz w:val="18"/>
                <w:szCs w:val="18"/>
                <w:lang w:val="en-GB"/>
              </w:rPr>
            </w:pPr>
          </w:p>
        </w:tc>
        <w:tc>
          <w:tcPr>
            <w:tcW w:w="1537" w:type="dxa"/>
            <w:hideMark/>
          </w:tcPr>
          <w:p w14:paraId="34AEB2AF" w14:textId="77777777" w:rsidR="00DF0333" w:rsidRPr="00DF0333" w:rsidRDefault="00DF0333" w:rsidP="00DF0333">
            <w:pPr>
              <w:jc w:val="right"/>
              <w:rPr>
                <w:rFonts w:ascii="Arial" w:hAnsi="Arial" w:cs="Arial"/>
                <w:b/>
                <w:bCs/>
                <w:sz w:val="18"/>
                <w:szCs w:val="18"/>
                <w:lang w:val="en-GB"/>
              </w:rPr>
            </w:pPr>
          </w:p>
        </w:tc>
      </w:tr>
      <w:tr w:rsidR="00DF0333" w:rsidRPr="00DF0333" w14:paraId="0C2BAE30" w14:textId="77777777" w:rsidTr="00E7337F">
        <w:trPr>
          <w:trHeight w:val="20"/>
          <w:jc w:val="center"/>
        </w:trPr>
        <w:tc>
          <w:tcPr>
            <w:tcW w:w="4739" w:type="dxa"/>
            <w:noWrap/>
            <w:vAlign w:val="center"/>
            <w:hideMark/>
          </w:tcPr>
          <w:p w14:paraId="68BD284D" w14:textId="77777777" w:rsidR="00DF0333" w:rsidRPr="00DF0333" w:rsidRDefault="00DF0333" w:rsidP="00DF0333">
            <w:pPr>
              <w:rPr>
                <w:rFonts w:ascii="Arial" w:hAnsi="Arial" w:cs="Arial"/>
                <w:b/>
                <w:bCs/>
                <w:sz w:val="18"/>
                <w:szCs w:val="18"/>
                <w:lang w:val="en-GB"/>
              </w:rPr>
            </w:pPr>
            <w:r w:rsidRPr="00DF0333">
              <w:rPr>
                <w:rFonts w:ascii="Arial" w:hAnsi="Arial" w:cs="Arial"/>
                <w:sz w:val="18"/>
                <w:szCs w:val="18"/>
                <w:lang w:val="en-GB"/>
              </w:rPr>
              <w:t>Other Financing Activities</w:t>
            </w:r>
          </w:p>
        </w:tc>
        <w:tc>
          <w:tcPr>
            <w:tcW w:w="1537" w:type="dxa"/>
            <w:noWrap/>
            <w:hideMark/>
          </w:tcPr>
          <w:p w14:paraId="3BBFF481"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(2,924.0)  </w:t>
            </w:r>
          </w:p>
        </w:tc>
        <w:tc>
          <w:tcPr>
            <w:tcW w:w="1537" w:type="dxa"/>
            <w:noWrap/>
            <w:hideMark/>
          </w:tcPr>
          <w:p w14:paraId="4E13CD3B"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(625.4)  </w:t>
            </w:r>
          </w:p>
        </w:tc>
        <w:tc>
          <w:tcPr>
            <w:tcW w:w="1537" w:type="dxa"/>
            <w:noWrap/>
            <w:hideMark/>
          </w:tcPr>
          <w:p w14:paraId="68B53E80"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(2,623.3)  </w:t>
            </w:r>
          </w:p>
        </w:tc>
      </w:tr>
      <w:tr w:rsidR="00DF0333" w:rsidRPr="00DF0333" w14:paraId="298FFD27" w14:textId="77777777" w:rsidTr="00E7337F">
        <w:trPr>
          <w:trHeight w:val="20"/>
          <w:jc w:val="center"/>
        </w:trPr>
        <w:tc>
          <w:tcPr>
            <w:tcW w:w="4739" w:type="dxa"/>
            <w:noWrap/>
            <w:vAlign w:val="center"/>
            <w:hideMark/>
          </w:tcPr>
          <w:p w14:paraId="02C61A51" w14:textId="77777777" w:rsidR="00DF0333" w:rsidRPr="00DF0333" w:rsidRDefault="00DF0333" w:rsidP="00DF0333">
            <w:pPr>
              <w:rPr>
                <w:rFonts w:ascii="Arial" w:hAnsi="Arial" w:cs="Arial"/>
                <w:sz w:val="18"/>
                <w:szCs w:val="18"/>
                <w:lang w:val="en-GB"/>
              </w:rPr>
            </w:pPr>
            <w:r w:rsidRPr="00DF0333">
              <w:rPr>
                <w:rFonts w:ascii="Arial" w:hAnsi="Arial" w:cs="Arial"/>
                <w:b/>
                <w:bCs/>
                <w:sz w:val="18"/>
                <w:szCs w:val="18"/>
                <w:lang w:val="en-GB"/>
              </w:rPr>
              <w:t xml:space="preserve">  Cash from Financing</w:t>
            </w:r>
          </w:p>
        </w:tc>
        <w:tc>
          <w:tcPr>
            <w:tcW w:w="1537" w:type="dxa"/>
            <w:hideMark/>
          </w:tcPr>
          <w:p w14:paraId="04EC55B8" w14:textId="77777777" w:rsidR="00DF0333" w:rsidRPr="00DF0333" w:rsidRDefault="00DF0333" w:rsidP="00DF0333">
            <w:pPr>
              <w:jc w:val="right"/>
              <w:rPr>
                <w:rFonts w:ascii="Arial" w:hAnsi="Arial" w:cs="Arial"/>
                <w:sz w:val="18"/>
                <w:szCs w:val="18"/>
                <w:lang w:val="en-GB"/>
              </w:rPr>
            </w:pPr>
            <w:r w:rsidRPr="00DF0333">
              <w:rPr>
                <w:rFonts w:ascii="Arial" w:hAnsi="Arial" w:cs="Arial"/>
                <w:b/>
                <w:bCs/>
                <w:sz w:val="18"/>
                <w:szCs w:val="18"/>
                <w:lang w:val="en-GB"/>
              </w:rPr>
              <w:t xml:space="preserve">  (5,156.7)  </w:t>
            </w:r>
          </w:p>
        </w:tc>
        <w:tc>
          <w:tcPr>
            <w:tcW w:w="1537" w:type="dxa"/>
            <w:hideMark/>
          </w:tcPr>
          <w:p w14:paraId="79A12179" w14:textId="77777777" w:rsidR="00DF0333" w:rsidRPr="00DF0333" w:rsidRDefault="00DF0333" w:rsidP="00DF0333">
            <w:pPr>
              <w:jc w:val="right"/>
              <w:rPr>
                <w:rFonts w:ascii="Arial" w:hAnsi="Arial" w:cs="Arial"/>
                <w:sz w:val="18"/>
                <w:szCs w:val="18"/>
                <w:lang w:val="en-GB"/>
              </w:rPr>
            </w:pPr>
            <w:r w:rsidRPr="00DF0333">
              <w:rPr>
                <w:rFonts w:ascii="Arial" w:hAnsi="Arial" w:cs="Arial"/>
                <w:b/>
                <w:bCs/>
                <w:sz w:val="18"/>
                <w:szCs w:val="18"/>
                <w:lang w:val="en-GB"/>
              </w:rPr>
              <w:t xml:space="preserve">  (8,862.8)  </w:t>
            </w:r>
          </w:p>
        </w:tc>
        <w:tc>
          <w:tcPr>
            <w:tcW w:w="1537" w:type="dxa"/>
            <w:hideMark/>
          </w:tcPr>
          <w:p w14:paraId="358E278C" w14:textId="77777777" w:rsidR="00DF0333" w:rsidRPr="00DF0333" w:rsidRDefault="00DF0333" w:rsidP="00DF0333">
            <w:pPr>
              <w:jc w:val="right"/>
              <w:rPr>
                <w:rFonts w:ascii="Arial" w:hAnsi="Arial" w:cs="Arial"/>
                <w:sz w:val="18"/>
                <w:szCs w:val="18"/>
                <w:lang w:val="en-GB"/>
              </w:rPr>
            </w:pPr>
            <w:r w:rsidRPr="00DF0333">
              <w:rPr>
                <w:rFonts w:ascii="Arial" w:hAnsi="Arial" w:cs="Arial"/>
                <w:b/>
                <w:bCs/>
                <w:sz w:val="18"/>
                <w:szCs w:val="18"/>
                <w:lang w:val="en-GB"/>
              </w:rPr>
              <w:t xml:space="preserve">  8,237.4 </w:t>
            </w:r>
          </w:p>
        </w:tc>
      </w:tr>
      <w:tr w:rsidR="00DF0333" w:rsidRPr="00DF0333" w14:paraId="38883EE7" w14:textId="77777777" w:rsidTr="00E7337F">
        <w:trPr>
          <w:trHeight w:val="20"/>
          <w:jc w:val="center"/>
        </w:trPr>
        <w:tc>
          <w:tcPr>
            <w:tcW w:w="4739" w:type="dxa"/>
            <w:noWrap/>
            <w:vAlign w:val="center"/>
            <w:hideMark/>
          </w:tcPr>
          <w:p w14:paraId="13EF8C19" w14:textId="77777777" w:rsidR="00DF0333" w:rsidRPr="00DF0333" w:rsidRDefault="00DF0333" w:rsidP="00DF0333">
            <w:pPr>
              <w:rPr>
                <w:rFonts w:ascii="Arial" w:hAnsi="Arial" w:cs="Arial"/>
                <w:b/>
                <w:bCs/>
                <w:sz w:val="18"/>
                <w:szCs w:val="18"/>
                <w:lang w:val="en-GB"/>
              </w:rPr>
            </w:pPr>
          </w:p>
        </w:tc>
        <w:tc>
          <w:tcPr>
            <w:tcW w:w="1537" w:type="dxa"/>
            <w:hideMark/>
          </w:tcPr>
          <w:p w14:paraId="67DE6722" w14:textId="77777777" w:rsidR="00DF0333" w:rsidRPr="00DF0333" w:rsidRDefault="00DF0333" w:rsidP="00DF0333">
            <w:pPr>
              <w:jc w:val="right"/>
              <w:rPr>
                <w:rFonts w:ascii="Arial" w:hAnsi="Arial" w:cs="Arial"/>
                <w:b/>
                <w:bCs/>
                <w:sz w:val="18"/>
                <w:szCs w:val="18"/>
                <w:lang w:val="en-GB"/>
              </w:rPr>
            </w:pPr>
          </w:p>
        </w:tc>
        <w:tc>
          <w:tcPr>
            <w:tcW w:w="1537" w:type="dxa"/>
            <w:hideMark/>
          </w:tcPr>
          <w:p w14:paraId="5A276B33" w14:textId="77777777" w:rsidR="00DF0333" w:rsidRPr="00DF0333" w:rsidRDefault="00DF0333" w:rsidP="00DF0333">
            <w:pPr>
              <w:jc w:val="right"/>
              <w:rPr>
                <w:rFonts w:ascii="Arial" w:hAnsi="Arial" w:cs="Arial"/>
                <w:b/>
                <w:bCs/>
                <w:sz w:val="18"/>
                <w:szCs w:val="18"/>
                <w:lang w:val="en-GB"/>
              </w:rPr>
            </w:pPr>
          </w:p>
        </w:tc>
        <w:tc>
          <w:tcPr>
            <w:tcW w:w="1537" w:type="dxa"/>
            <w:hideMark/>
          </w:tcPr>
          <w:p w14:paraId="35487A4A" w14:textId="77777777" w:rsidR="00DF0333" w:rsidRPr="00DF0333" w:rsidRDefault="00DF0333" w:rsidP="00DF0333">
            <w:pPr>
              <w:jc w:val="right"/>
              <w:rPr>
                <w:rFonts w:ascii="Arial" w:hAnsi="Arial" w:cs="Arial"/>
                <w:b/>
                <w:bCs/>
                <w:sz w:val="18"/>
                <w:szCs w:val="18"/>
                <w:lang w:val="en-GB"/>
              </w:rPr>
            </w:pPr>
          </w:p>
        </w:tc>
      </w:tr>
      <w:tr w:rsidR="00DF0333" w:rsidRPr="00DF0333" w14:paraId="2AE0420C" w14:textId="77777777" w:rsidTr="00E7337F">
        <w:trPr>
          <w:trHeight w:val="20"/>
          <w:jc w:val="center"/>
        </w:trPr>
        <w:tc>
          <w:tcPr>
            <w:tcW w:w="4739" w:type="dxa"/>
            <w:noWrap/>
            <w:vAlign w:val="center"/>
            <w:hideMark/>
          </w:tcPr>
          <w:p w14:paraId="5DE1EB79" w14:textId="77777777" w:rsidR="00DF0333" w:rsidRPr="00DF0333" w:rsidRDefault="00DF0333" w:rsidP="00DF0333">
            <w:pPr>
              <w:rPr>
                <w:rFonts w:ascii="Arial" w:hAnsi="Arial" w:cs="Arial"/>
                <w:b/>
                <w:bCs/>
                <w:sz w:val="18"/>
                <w:szCs w:val="18"/>
                <w:lang w:val="en-GB"/>
              </w:rPr>
            </w:pPr>
            <w:r w:rsidRPr="00DF0333">
              <w:rPr>
                <w:rFonts w:ascii="Arial" w:hAnsi="Arial" w:cs="Arial"/>
                <w:sz w:val="18"/>
                <w:szCs w:val="18"/>
                <w:lang w:val="en-GB"/>
              </w:rPr>
              <w:t>Foreign Exchange Rate Adjustment</w:t>
            </w:r>
          </w:p>
        </w:tc>
        <w:tc>
          <w:tcPr>
            <w:tcW w:w="1537" w:type="dxa"/>
            <w:noWrap/>
            <w:hideMark/>
          </w:tcPr>
          <w:p w14:paraId="3F136CB4"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(9.0)  </w:t>
            </w:r>
          </w:p>
        </w:tc>
        <w:tc>
          <w:tcPr>
            <w:tcW w:w="1537" w:type="dxa"/>
            <w:noWrap/>
            <w:hideMark/>
          </w:tcPr>
          <w:p w14:paraId="673E16DF"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0.0 </w:t>
            </w:r>
          </w:p>
        </w:tc>
        <w:tc>
          <w:tcPr>
            <w:tcW w:w="1537" w:type="dxa"/>
            <w:noWrap/>
            <w:hideMark/>
          </w:tcPr>
          <w:p w14:paraId="54004EEA" w14:textId="77777777" w:rsidR="00DF0333" w:rsidRPr="00DF0333" w:rsidRDefault="00DF0333" w:rsidP="00DF0333">
            <w:pPr>
              <w:jc w:val="right"/>
              <w:rPr>
                <w:rFonts w:ascii="Arial" w:hAnsi="Arial" w:cs="Arial"/>
                <w:sz w:val="18"/>
                <w:szCs w:val="18"/>
                <w:lang w:val="en-GB"/>
              </w:rPr>
            </w:pPr>
            <w:r w:rsidRPr="00DF0333">
              <w:rPr>
                <w:rFonts w:ascii="Arial" w:hAnsi="Arial" w:cs="Arial"/>
                <w:sz w:val="18"/>
                <w:szCs w:val="18"/>
                <w:lang w:val="en-GB"/>
              </w:rPr>
              <w:t xml:space="preserve"> (4.3)  </w:t>
            </w:r>
          </w:p>
        </w:tc>
      </w:tr>
      <w:tr w:rsidR="00DF0333" w:rsidRPr="00DF0333" w14:paraId="5FBFF24B" w14:textId="77777777" w:rsidTr="00E7337F">
        <w:trPr>
          <w:trHeight w:val="20"/>
          <w:jc w:val="center"/>
        </w:trPr>
        <w:tc>
          <w:tcPr>
            <w:tcW w:w="4739" w:type="dxa"/>
            <w:noWrap/>
            <w:vAlign w:val="center"/>
            <w:hideMark/>
          </w:tcPr>
          <w:p w14:paraId="7852946E" w14:textId="77777777" w:rsidR="00DF0333" w:rsidRPr="00DF0333" w:rsidRDefault="00DF0333" w:rsidP="00DF0333">
            <w:pPr>
              <w:rPr>
                <w:rFonts w:ascii="Arial" w:hAnsi="Arial" w:cs="Arial"/>
                <w:sz w:val="18"/>
                <w:szCs w:val="18"/>
                <w:lang w:val="en-GB"/>
              </w:rPr>
            </w:pPr>
            <w:r w:rsidRPr="00DF0333">
              <w:rPr>
                <w:rFonts w:ascii="Arial" w:hAnsi="Arial" w:cs="Arial"/>
                <w:b/>
                <w:bCs/>
                <w:sz w:val="18"/>
                <w:szCs w:val="18"/>
                <w:lang w:val="en-GB"/>
              </w:rPr>
              <w:t xml:space="preserve">  </w:t>
            </w:r>
            <w:r w:rsidRPr="00DF0333" w:rsidDel="00AF6475">
              <w:rPr>
                <w:rFonts w:ascii="Arial" w:hAnsi="Arial" w:cs="Arial"/>
                <w:b/>
                <w:bCs/>
                <w:sz w:val="18"/>
                <w:szCs w:val="18"/>
                <w:lang w:val="en-GB"/>
              </w:rPr>
              <w:t xml:space="preserve">  </w:t>
            </w:r>
            <w:r w:rsidRPr="00DF0333">
              <w:rPr>
                <w:rFonts w:ascii="Arial" w:hAnsi="Arial" w:cs="Arial"/>
                <w:b/>
                <w:bCs/>
                <w:sz w:val="18"/>
                <w:szCs w:val="18"/>
                <w:lang w:val="en-GB"/>
              </w:rPr>
              <w:t>Net Change in Cash</w:t>
            </w:r>
          </w:p>
        </w:tc>
        <w:tc>
          <w:tcPr>
            <w:tcW w:w="1537" w:type="dxa"/>
            <w:hideMark/>
          </w:tcPr>
          <w:p w14:paraId="13154A82" w14:textId="77777777" w:rsidR="00DF0333" w:rsidRPr="00DF0333" w:rsidRDefault="00DF0333" w:rsidP="00DF0333">
            <w:pPr>
              <w:jc w:val="right"/>
              <w:rPr>
                <w:rFonts w:ascii="Arial" w:hAnsi="Arial" w:cs="Arial"/>
                <w:sz w:val="18"/>
                <w:szCs w:val="18"/>
                <w:lang w:val="en-GB"/>
              </w:rPr>
            </w:pPr>
            <w:r w:rsidRPr="00DF0333">
              <w:rPr>
                <w:rFonts w:ascii="Arial" w:hAnsi="Arial" w:cs="Arial"/>
                <w:b/>
                <w:bCs/>
                <w:sz w:val="18"/>
                <w:szCs w:val="18"/>
                <w:u w:val="double"/>
                <w:lang w:val="en-GB"/>
              </w:rPr>
              <w:t xml:space="preserve">  (8,792.5)  </w:t>
            </w:r>
          </w:p>
        </w:tc>
        <w:tc>
          <w:tcPr>
            <w:tcW w:w="1537" w:type="dxa"/>
            <w:hideMark/>
          </w:tcPr>
          <w:p w14:paraId="32D80B29" w14:textId="77777777" w:rsidR="00DF0333" w:rsidRPr="00DF0333" w:rsidRDefault="00DF0333" w:rsidP="00DF0333">
            <w:pPr>
              <w:jc w:val="right"/>
              <w:rPr>
                <w:rFonts w:ascii="Arial" w:hAnsi="Arial" w:cs="Arial"/>
                <w:sz w:val="18"/>
                <w:szCs w:val="18"/>
                <w:lang w:val="en-GB"/>
              </w:rPr>
            </w:pPr>
            <w:r w:rsidRPr="00DF0333">
              <w:rPr>
                <w:rFonts w:ascii="Arial" w:hAnsi="Arial" w:cs="Arial"/>
                <w:b/>
                <w:bCs/>
                <w:sz w:val="18"/>
                <w:szCs w:val="18"/>
                <w:u w:val="double"/>
                <w:lang w:val="en-GB"/>
              </w:rPr>
              <w:t xml:space="preserve">  2,548.5 </w:t>
            </w:r>
          </w:p>
        </w:tc>
        <w:tc>
          <w:tcPr>
            <w:tcW w:w="1537" w:type="dxa"/>
            <w:hideMark/>
          </w:tcPr>
          <w:p w14:paraId="2530E4A2" w14:textId="77777777" w:rsidR="00DF0333" w:rsidRPr="00DF0333" w:rsidRDefault="00DF0333" w:rsidP="00DF0333">
            <w:pPr>
              <w:jc w:val="right"/>
              <w:rPr>
                <w:rFonts w:ascii="Arial" w:hAnsi="Arial" w:cs="Arial"/>
                <w:sz w:val="18"/>
                <w:szCs w:val="18"/>
                <w:lang w:val="en-GB"/>
              </w:rPr>
            </w:pPr>
            <w:r w:rsidRPr="00DF0333">
              <w:rPr>
                <w:rFonts w:ascii="Arial" w:hAnsi="Arial" w:cs="Arial"/>
                <w:b/>
                <w:bCs/>
                <w:sz w:val="18"/>
                <w:szCs w:val="18"/>
                <w:u w:val="double"/>
                <w:lang w:val="en-GB"/>
              </w:rPr>
              <w:t xml:space="preserve">  4,522.4 </w:t>
            </w:r>
          </w:p>
        </w:tc>
      </w:tr>
    </w:tbl>
    <w:p w14:paraId="61BF001C" w14:textId="77777777" w:rsidR="00DF0333" w:rsidRPr="00DF0333" w:rsidRDefault="00DF0333" w:rsidP="00DF0333">
      <w:pPr>
        <w:jc w:val="both"/>
        <w:rPr>
          <w:rFonts w:ascii="Arial" w:hAnsi="Arial" w:cs="Arial"/>
          <w:sz w:val="17"/>
          <w:szCs w:val="17"/>
          <w:lang w:val="en-GB"/>
        </w:rPr>
      </w:pPr>
    </w:p>
    <w:p w14:paraId="77741C58" w14:textId="77777777" w:rsidR="00DF0333" w:rsidRPr="00DF0333" w:rsidRDefault="00DF0333" w:rsidP="00DF0333">
      <w:pPr>
        <w:jc w:val="both"/>
        <w:rPr>
          <w:rFonts w:ascii="Arial" w:hAnsi="Arial" w:cs="Arial"/>
          <w:sz w:val="17"/>
          <w:szCs w:val="17"/>
          <w:lang w:val="en-GB"/>
        </w:rPr>
      </w:pPr>
      <w:r w:rsidRPr="00DF0333">
        <w:rPr>
          <w:rFonts w:ascii="Arial" w:hAnsi="Arial" w:cs="Arial"/>
          <w:sz w:val="17"/>
          <w:szCs w:val="17"/>
          <w:lang w:val="en-GB"/>
        </w:rPr>
        <w:t>Note: EBT = earnings before tax; EPS = earnings per share; EBITDA = earnings before interest, tax, depreciation, and amortization; EBIT = earnings before interest and tax.</w:t>
      </w:r>
    </w:p>
    <w:p w14:paraId="3C704492" w14:textId="77777777" w:rsidR="00DF0333" w:rsidRPr="00DF0333" w:rsidRDefault="00DF0333" w:rsidP="00DF0333">
      <w:pPr>
        <w:jc w:val="both"/>
        <w:rPr>
          <w:rFonts w:ascii="Arial" w:hAnsi="Arial" w:cs="Arial"/>
          <w:sz w:val="17"/>
          <w:szCs w:val="17"/>
          <w:lang w:val="en-GB"/>
        </w:rPr>
      </w:pPr>
      <w:r w:rsidRPr="00DF0333">
        <w:rPr>
          <w:rFonts w:ascii="Arial" w:hAnsi="Arial" w:cs="Arial"/>
          <w:sz w:val="17"/>
          <w:szCs w:val="17"/>
          <w:lang w:val="en-GB"/>
        </w:rPr>
        <w:t>Source: Created by the case authors using data from S&amp;P Capital IQ, accessed November 20, 2018.</w:t>
      </w:r>
    </w:p>
    <w:p w14:paraId="3A035E65" w14:textId="77777777" w:rsidR="00DF0333" w:rsidRPr="00DF0333" w:rsidRDefault="00DF0333" w:rsidP="00DF0333">
      <w:pPr>
        <w:jc w:val="both"/>
        <w:rPr>
          <w:sz w:val="22"/>
          <w:szCs w:val="22"/>
          <w:lang w:val="en-GB"/>
        </w:rPr>
      </w:pPr>
      <w:r w:rsidRPr="00DF0333">
        <w:rPr>
          <w:sz w:val="22"/>
          <w:szCs w:val="22"/>
          <w:lang w:val="en-GB"/>
        </w:rPr>
        <w:br w:type="page"/>
      </w:r>
    </w:p>
    <w:p w14:paraId="2E491BDD" w14:textId="573A17F2" w:rsidR="00DF0333" w:rsidRPr="00DF0333" w:rsidRDefault="00DF0333" w:rsidP="00DF0333">
      <w:pPr>
        <w:jc w:val="center"/>
        <w:rPr>
          <w:rFonts w:ascii="Arial" w:hAnsi="Arial" w:cs="Arial"/>
          <w:b/>
          <w:caps/>
          <w:lang w:val="en-GB"/>
        </w:rPr>
      </w:pPr>
      <w:r w:rsidRPr="00DF0333">
        <w:rPr>
          <w:rFonts w:ascii="Arial" w:hAnsi="Arial" w:cs="Arial"/>
          <w:b/>
          <w:caps/>
          <w:lang w:val="en-GB"/>
        </w:rPr>
        <w:lastRenderedPageBreak/>
        <w:t>Exhibit 4: VOLATILITY OF GREENTOWN Hong Kong SHARES As compared TO</w:t>
      </w:r>
      <w:r w:rsidRPr="00DF0333">
        <w:rPr>
          <w:rFonts w:ascii="Arial" w:hAnsi="Arial" w:cs="Arial"/>
          <w:b/>
          <w:caps/>
          <w:lang w:val="en-GB"/>
        </w:rPr>
        <w:br/>
        <w:t>HANG S</w:t>
      </w:r>
      <w:r w:rsidR="00240B1D">
        <w:rPr>
          <w:rFonts w:ascii="Arial" w:hAnsi="Arial" w:cs="Arial"/>
          <w:b/>
          <w:caps/>
          <w:lang w:val="en-GB"/>
        </w:rPr>
        <w:t>e</w:t>
      </w:r>
      <w:r w:rsidRPr="00DF0333">
        <w:rPr>
          <w:rFonts w:ascii="Arial" w:hAnsi="Arial" w:cs="Arial"/>
          <w:b/>
          <w:caps/>
          <w:lang w:val="en-GB"/>
        </w:rPr>
        <w:t>NG INDEX</w:t>
      </w:r>
    </w:p>
    <w:p w14:paraId="45BEB897" w14:textId="77777777" w:rsidR="00DF0333" w:rsidRPr="00DF0333" w:rsidRDefault="00DF0333" w:rsidP="00DF0333">
      <w:pPr>
        <w:jc w:val="both"/>
        <w:rPr>
          <w:sz w:val="22"/>
          <w:szCs w:val="22"/>
          <w:lang w:val="en-GB"/>
        </w:rPr>
      </w:pPr>
    </w:p>
    <w:p w14:paraId="40BC4163" w14:textId="77777777" w:rsidR="00DF0333" w:rsidRPr="00DF0333" w:rsidRDefault="00DF0333" w:rsidP="00DF0333">
      <w:pPr>
        <w:jc w:val="both"/>
        <w:rPr>
          <w:sz w:val="22"/>
          <w:szCs w:val="22"/>
          <w:lang w:val="en-GB"/>
        </w:rPr>
      </w:pPr>
      <w:r w:rsidRPr="00DF0333">
        <w:rPr>
          <w:noProof/>
          <w:sz w:val="22"/>
          <w:szCs w:val="22"/>
          <w:lang w:val="en-GB" w:eastAsia="en-GB"/>
        </w:rPr>
        <w:drawing>
          <wp:inline distT="0" distB="0" distL="0" distR="0" wp14:anchorId="24BADB6D" wp14:editId="2F80BCCA">
            <wp:extent cx="5943600" cy="319087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1254637" w14:textId="77777777" w:rsidR="00DF0333" w:rsidRPr="00DF0333" w:rsidRDefault="00DF0333" w:rsidP="00DF0333">
      <w:pPr>
        <w:tabs>
          <w:tab w:val="left" w:pos="-1440"/>
          <w:tab w:val="left" w:pos="-720"/>
          <w:tab w:val="left" w:pos="1"/>
          <w:tab w:val="right" w:pos="9000"/>
        </w:tabs>
        <w:jc w:val="both"/>
        <w:rPr>
          <w:rFonts w:ascii="Arial" w:hAnsi="Arial" w:cs="Arial"/>
          <w:iCs/>
          <w:sz w:val="17"/>
          <w:szCs w:val="17"/>
          <w:lang w:val="en-GB"/>
        </w:rPr>
      </w:pPr>
    </w:p>
    <w:p w14:paraId="5E0357E3" w14:textId="77777777" w:rsidR="00DF0333" w:rsidRPr="00DF0333" w:rsidRDefault="00DF0333" w:rsidP="00DF0333">
      <w:pPr>
        <w:jc w:val="both"/>
        <w:rPr>
          <w:rFonts w:ascii="Arial" w:hAnsi="Arial" w:cs="Arial"/>
          <w:sz w:val="17"/>
          <w:szCs w:val="17"/>
          <w:lang w:val="en-GB"/>
        </w:rPr>
      </w:pPr>
      <w:r w:rsidRPr="00DF0333">
        <w:rPr>
          <w:rFonts w:ascii="Arial" w:hAnsi="Arial" w:cs="Arial"/>
          <w:sz w:val="17"/>
          <w:szCs w:val="17"/>
          <w:lang w:val="en-GB"/>
        </w:rPr>
        <w:t xml:space="preserve">Source: Created by the case author using data from Yahoo! Finance. </w:t>
      </w:r>
    </w:p>
    <w:p w14:paraId="414F8A3D" w14:textId="77777777" w:rsidR="00DF0333" w:rsidRPr="00DF0333" w:rsidRDefault="00DF0333" w:rsidP="00DF0333">
      <w:pPr>
        <w:rPr>
          <w:lang w:val="en-GB"/>
        </w:rPr>
      </w:pPr>
    </w:p>
    <w:p w14:paraId="2F16C5E5" w14:textId="77777777" w:rsidR="001768E6" w:rsidRDefault="007938B0">
      <w:pPr>
        <w:spacing w:after="200" w:line="276" w:lineRule="auto"/>
        <w:sectPr w:rsidR="001768E6" w:rsidSect="0021764E">
          <w:headerReference w:type="default" r:id="rId14"/>
          <w:endnotePr>
            <w:numFmt w:val="decimal"/>
          </w:endnotePr>
          <w:type w:val="continuous"/>
          <w:pgSz w:w="12240" w:h="15840" w:code="1"/>
          <w:pgMar w:top="1080" w:right="1440" w:bottom="1440" w:left="1440" w:header="1080" w:footer="720" w:gutter="0"/>
          <w:cols w:space="720"/>
          <w:titlePg/>
          <w:docGrid w:linePitch="360"/>
        </w:sectPr>
      </w:pPr>
      <w:r>
        <w:br w:type="page"/>
      </w:r>
    </w:p>
    <w:p w14:paraId="2D647A2F" w14:textId="77777777" w:rsidR="001768E6" w:rsidRPr="00684336" w:rsidRDefault="001768E6" w:rsidP="001768E6">
      <w:pPr>
        <w:pStyle w:val="Casehead1"/>
        <w:jc w:val="center"/>
        <w:rPr>
          <w:lang w:val="en-GB"/>
        </w:rPr>
      </w:pPr>
      <w:r w:rsidRPr="00684336">
        <w:rPr>
          <w:lang w:val="en-GB"/>
        </w:rPr>
        <w:lastRenderedPageBreak/>
        <w:t>Exhibit 5: COMPARABLE VALUATIONS OF Hong Kong–LISTED CHINESE REAL ESTATE COMPANIES, AS OF march 31, 2014</w:t>
      </w:r>
    </w:p>
    <w:p w14:paraId="02B01640" w14:textId="77777777" w:rsidR="001768E6" w:rsidRPr="00684336" w:rsidRDefault="001768E6" w:rsidP="001768E6">
      <w:pPr>
        <w:pStyle w:val="BodyTextMain"/>
        <w:rPr>
          <w:lang w:val="en-GB"/>
        </w:rPr>
      </w:pPr>
    </w:p>
    <w:tbl>
      <w:tblPr>
        <w:tblStyle w:val="GridTable4-Accent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1366"/>
        <w:gridCol w:w="1436"/>
        <w:gridCol w:w="1396"/>
        <w:gridCol w:w="1440"/>
        <w:gridCol w:w="1386"/>
        <w:gridCol w:w="1327"/>
        <w:gridCol w:w="1420"/>
        <w:gridCol w:w="1525"/>
      </w:tblGrid>
      <w:tr w:rsidR="001768E6" w:rsidRPr="00684336" w14:paraId="4A9C014A" w14:textId="77777777" w:rsidTr="00E7337F">
        <w:trPr>
          <w:cnfStyle w:val="100000000000" w:firstRow="1" w:lastRow="0" w:firstColumn="0" w:lastColumn="0" w:oddVBand="0" w:evenVBand="0" w:oddHBand="0"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auto"/>
          </w:tcPr>
          <w:p w14:paraId="38523911" w14:textId="77777777" w:rsidR="001768E6" w:rsidRPr="00684336" w:rsidRDefault="001768E6" w:rsidP="00E7337F">
            <w:pPr>
              <w:spacing w:after="160" w:line="259" w:lineRule="auto"/>
              <w:jc w:val="center"/>
              <w:rPr>
                <w:rFonts w:ascii="Arial" w:hAnsi="Arial" w:cs="Arial"/>
                <w:color w:val="auto"/>
                <w:sz w:val="18"/>
                <w:lang w:val="en-GB"/>
              </w:rPr>
            </w:pPr>
          </w:p>
        </w:tc>
        <w:tc>
          <w:tcPr>
            <w:tcW w:w="0" w:type="auto"/>
            <w:tcBorders>
              <w:top w:val="none" w:sz="0" w:space="0" w:color="auto"/>
              <w:left w:val="none" w:sz="0" w:space="0" w:color="auto"/>
              <w:bottom w:val="none" w:sz="0" w:space="0" w:color="auto"/>
              <w:right w:val="none" w:sz="0" w:space="0" w:color="auto"/>
            </w:tcBorders>
            <w:shd w:val="clear" w:color="auto" w:fill="auto"/>
            <w:vAlign w:val="bottom"/>
          </w:tcPr>
          <w:p w14:paraId="45641446" w14:textId="77777777" w:rsidR="001768E6" w:rsidRPr="00684336" w:rsidRDefault="001768E6" w:rsidP="00E7337F">
            <w:pPr>
              <w:spacing w:before="6" w:after="6"/>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lang w:val="en-GB"/>
              </w:rPr>
            </w:pPr>
            <w:r w:rsidRPr="00684336">
              <w:rPr>
                <w:rFonts w:ascii="Arial" w:hAnsi="Arial" w:cs="Arial"/>
                <w:color w:val="auto"/>
                <w:sz w:val="18"/>
                <w:lang w:val="en-GB"/>
              </w:rPr>
              <w:t xml:space="preserve">Greentown </w:t>
            </w:r>
            <w:r w:rsidRPr="00684336">
              <w:rPr>
                <w:rFonts w:ascii="Arial" w:hAnsi="Arial" w:cs="Arial"/>
                <w:b w:val="0"/>
                <w:color w:val="auto"/>
                <w:sz w:val="18"/>
                <w:lang w:val="en-GB"/>
              </w:rPr>
              <w:t>HKEX: 3900</w:t>
            </w:r>
          </w:p>
        </w:tc>
        <w:tc>
          <w:tcPr>
            <w:tcW w:w="0" w:type="auto"/>
            <w:tcBorders>
              <w:top w:val="none" w:sz="0" w:space="0" w:color="auto"/>
              <w:left w:val="none" w:sz="0" w:space="0" w:color="auto"/>
              <w:bottom w:val="none" w:sz="0" w:space="0" w:color="auto"/>
              <w:right w:val="none" w:sz="0" w:space="0" w:color="auto"/>
            </w:tcBorders>
            <w:shd w:val="clear" w:color="auto" w:fill="auto"/>
            <w:vAlign w:val="bottom"/>
          </w:tcPr>
          <w:p w14:paraId="2B6A9CC5" w14:textId="77777777" w:rsidR="001768E6" w:rsidRPr="00684336" w:rsidRDefault="001768E6" w:rsidP="00E7337F">
            <w:pPr>
              <w:spacing w:before="6" w:after="6"/>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lang w:val="en-GB"/>
              </w:rPr>
            </w:pPr>
            <w:r w:rsidRPr="00684336">
              <w:rPr>
                <w:rFonts w:ascii="Arial" w:hAnsi="Arial" w:cs="Arial"/>
                <w:color w:val="auto"/>
                <w:sz w:val="18"/>
                <w:lang w:val="en-GB"/>
              </w:rPr>
              <w:t>China Evergrande Group</w:t>
            </w:r>
            <w:r w:rsidRPr="00684336">
              <w:rPr>
                <w:rFonts w:ascii="Arial" w:hAnsi="Arial" w:cs="Arial"/>
                <w:color w:val="auto"/>
                <w:sz w:val="18"/>
                <w:lang w:val="en-GB"/>
              </w:rPr>
              <w:br/>
            </w:r>
            <w:r w:rsidRPr="00684336">
              <w:rPr>
                <w:rFonts w:ascii="Arial" w:hAnsi="Arial" w:cs="Arial"/>
                <w:b w:val="0"/>
                <w:color w:val="auto"/>
                <w:sz w:val="18"/>
                <w:lang w:val="en-GB"/>
              </w:rPr>
              <w:t>HKEX: 3333</w:t>
            </w:r>
          </w:p>
        </w:tc>
        <w:tc>
          <w:tcPr>
            <w:tcW w:w="0" w:type="auto"/>
            <w:tcBorders>
              <w:top w:val="none" w:sz="0" w:space="0" w:color="auto"/>
              <w:left w:val="none" w:sz="0" w:space="0" w:color="auto"/>
              <w:bottom w:val="none" w:sz="0" w:space="0" w:color="auto"/>
              <w:right w:val="none" w:sz="0" w:space="0" w:color="auto"/>
            </w:tcBorders>
            <w:shd w:val="clear" w:color="auto" w:fill="auto"/>
            <w:vAlign w:val="bottom"/>
          </w:tcPr>
          <w:p w14:paraId="340CF527" w14:textId="77777777" w:rsidR="001768E6" w:rsidRPr="00684336" w:rsidRDefault="001768E6" w:rsidP="00E7337F">
            <w:pPr>
              <w:spacing w:before="6" w:after="6"/>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lang w:val="en-GB"/>
              </w:rPr>
            </w:pPr>
            <w:r w:rsidRPr="00684336">
              <w:rPr>
                <w:rFonts w:ascii="Arial" w:hAnsi="Arial" w:cs="Arial"/>
                <w:color w:val="auto"/>
                <w:sz w:val="18"/>
                <w:lang w:val="en-GB"/>
              </w:rPr>
              <w:t>Sino-Ocean Group Holding Ltd.</w:t>
            </w:r>
            <w:r w:rsidRPr="00684336">
              <w:rPr>
                <w:rFonts w:ascii="Arial" w:hAnsi="Arial" w:cs="Arial"/>
                <w:color w:val="auto"/>
                <w:sz w:val="18"/>
                <w:lang w:val="en-GB"/>
              </w:rPr>
              <w:br/>
            </w:r>
            <w:r w:rsidRPr="00684336">
              <w:rPr>
                <w:rFonts w:ascii="Arial" w:hAnsi="Arial" w:cs="Arial"/>
                <w:b w:val="0"/>
                <w:color w:val="auto"/>
                <w:sz w:val="18"/>
                <w:lang w:val="en-GB"/>
              </w:rPr>
              <w:t>HKEX: 3377</w:t>
            </w:r>
          </w:p>
        </w:tc>
        <w:tc>
          <w:tcPr>
            <w:tcW w:w="0" w:type="auto"/>
            <w:tcBorders>
              <w:top w:val="none" w:sz="0" w:space="0" w:color="auto"/>
              <w:left w:val="none" w:sz="0" w:space="0" w:color="auto"/>
              <w:bottom w:val="none" w:sz="0" w:space="0" w:color="auto"/>
              <w:right w:val="none" w:sz="0" w:space="0" w:color="auto"/>
            </w:tcBorders>
            <w:shd w:val="clear" w:color="auto" w:fill="auto"/>
            <w:vAlign w:val="bottom"/>
          </w:tcPr>
          <w:p w14:paraId="7025ACDC" w14:textId="77777777" w:rsidR="001768E6" w:rsidRPr="00684336" w:rsidRDefault="001768E6" w:rsidP="00E7337F">
            <w:pPr>
              <w:spacing w:before="6" w:after="6"/>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lang w:val="en-GB"/>
              </w:rPr>
            </w:pPr>
            <w:r w:rsidRPr="00684336">
              <w:rPr>
                <w:rFonts w:ascii="Arial" w:hAnsi="Arial" w:cs="Arial"/>
                <w:color w:val="auto"/>
                <w:sz w:val="18"/>
                <w:lang w:val="en-GB"/>
              </w:rPr>
              <w:t>Country Garden Holdings Co. Ltd.</w:t>
            </w:r>
            <w:r w:rsidRPr="00684336">
              <w:rPr>
                <w:rFonts w:ascii="Arial" w:hAnsi="Arial" w:cs="Arial"/>
                <w:color w:val="auto"/>
                <w:sz w:val="18"/>
                <w:lang w:val="en-GB"/>
              </w:rPr>
              <w:br/>
            </w:r>
            <w:r w:rsidRPr="00684336">
              <w:rPr>
                <w:rFonts w:ascii="Arial" w:hAnsi="Arial" w:cs="Arial"/>
                <w:b w:val="0"/>
                <w:color w:val="auto"/>
                <w:sz w:val="18"/>
                <w:lang w:val="en-GB"/>
              </w:rPr>
              <w:t>HKEX: 2007</w:t>
            </w:r>
          </w:p>
        </w:tc>
        <w:tc>
          <w:tcPr>
            <w:tcW w:w="0" w:type="auto"/>
            <w:tcBorders>
              <w:top w:val="none" w:sz="0" w:space="0" w:color="auto"/>
              <w:left w:val="none" w:sz="0" w:space="0" w:color="auto"/>
              <w:bottom w:val="none" w:sz="0" w:space="0" w:color="auto"/>
              <w:right w:val="none" w:sz="0" w:space="0" w:color="auto"/>
            </w:tcBorders>
            <w:shd w:val="clear" w:color="auto" w:fill="auto"/>
            <w:vAlign w:val="bottom"/>
          </w:tcPr>
          <w:p w14:paraId="70657000" w14:textId="77777777" w:rsidR="001768E6" w:rsidRPr="00684336" w:rsidRDefault="001768E6" w:rsidP="00E7337F">
            <w:pPr>
              <w:spacing w:before="6" w:after="6"/>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lang w:val="en-GB"/>
              </w:rPr>
            </w:pPr>
            <w:proofErr w:type="spellStart"/>
            <w:r w:rsidRPr="00684336">
              <w:rPr>
                <w:rFonts w:ascii="Arial" w:hAnsi="Arial" w:cs="Arial"/>
                <w:color w:val="auto"/>
                <w:sz w:val="18"/>
                <w:lang w:val="en-GB"/>
              </w:rPr>
              <w:t>Shimao</w:t>
            </w:r>
            <w:proofErr w:type="spellEnd"/>
            <w:r w:rsidRPr="00684336">
              <w:rPr>
                <w:rFonts w:ascii="Arial" w:hAnsi="Arial" w:cs="Arial"/>
                <w:color w:val="auto"/>
                <w:sz w:val="18"/>
                <w:lang w:val="en-GB"/>
              </w:rPr>
              <w:t xml:space="preserve"> Property Holdings Ltd.</w:t>
            </w:r>
            <w:r w:rsidRPr="00684336">
              <w:rPr>
                <w:rFonts w:ascii="Arial" w:hAnsi="Arial" w:cs="Arial"/>
                <w:color w:val="auto"/>
                <w:sz w:val="18"/>
                <w:lang w:val="en-GB"/>
              </w:rPr>
              <w:br/>
            </w:r>
            <w:r w:rsidRPr="00684336">
              <w:rPr>
                <w:rFonts w:ascii="Arial" w:hAnsi="Arial" w:cs="Arial"/>
                <w:b w:val="0"/>
                <w:color w:val="auto"/>
                <w:sz w:val="18"/>
                <w:lang w:val="en-GB"/>
              </w:rPr>
              <w:t>HKEX: 0813</w:t>
            </w:r>
          </w:p>
        </w:tc>
        <w:tc>
          <w:tcPr>
            <w:tcW w:w="0" w:type="auto"/>
            <w:tcBorders>
              <w:top w:val="none" w:sz="0" w:space="0" w:color="auto"/>
              <w:left w:val="none" w:sz="0" w:space="0" w:color="auto"/>
              <w:bottom w:val="none" w:sz="0" w:space="0" w:color="auto"/>
              <w:right w:val="none" w:sz="0" w:space="0" w:color="auto"/>
            </w:tcBorders>
            <w:shd w:val="clear" w:color="auto" w:fill="auto"/>
            <w:vAlign w:val="bottom"/>
          </w:tcPr>
          <w:p w14:paraId="7E86A868" w14:textId="77777777" w:rsidR="001768E6" w:rsidRPr="00684336" w:rsidRDefault="001768E6" w:rsidP="00E7337F">
            <w:pPr>
              <w:spacing w:before="6" w:after="6"/>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lang w:val="en-GB"/>
              </w:rPr>
            </w:pPr>
            <w:proofErr w:type="spellStart"/>
            <w:r w:rsidRPr="00684336">
              <w:rPr>
                <w:rFonts w:ascii="Arial" w:hAnsi="Arial" w:cs="Arial"/>
                <w:color w:val="auto"/>
                <w:sz w:val="18"/>
                <w:lang w:val="en-GB"/>
              </w:rPr>
              <w:t>Longfor</w:t>
            </w:r>
            <w:proofErr w:type="spellEnd"/>
            <w:r w:rsidRPr="00684336">
              <w:rPr>
                <w:rFonts w:ascii="Arial" w:hAnsi="Arial" w:cs="Arial"/>
                <w:color w:val="auto"/>
                <w:sz w:val="18"/>
                <w:lang w:val="en-GB"/>
              </w:rPr>
              <w:t xml:space="preserve"> Group Holdings Ltd.</w:t>
            </w:r>
            <w:r w:rsidRPr="00684336">
              <w:rPr>
                <w:rFonts w:ascii="Arial" w:hAnsi="Arial" w:cs="Arial"/>
                <w:color w:val="auto"/>
                <w:sz w:val="18"/>
                <w:lang w:val="en-GB"/>
              </w:rPr>
              <w:br/>
            </w:r>
            <w:r w:rsidRPr="00684336">
              <w:rPr>
                <w:rFonts w:ascii="Arial" w:hAnsi="Arial" w:cs="Arial"/>
                <w:b w:val="0"/>
                <w:color w:val="auto"/>
                <w:sz w:val="18"/>
                <w:lang w:val="en-GB"/>
              </w:rPr>
              <w:t>HKEX: 0960</w:t>
            </w:r>
          </w:p>
        </w:tc>
        <w:tc>
          <w:tcPr>
            <w:tcW w:w="0" w:type="auto"/>
            <w:tcBorders>
              <w:top w:val="none" w:sz="0" w:space="0" w:color="auto"/>
              <w:left w:val="none" w:sz="0" w:space="0" w:color="auto"/>
              <w:bottom w:val="none" w:sz="0" w:space="0" w:color="auto"/>
              <w:right w:val="none" w:sz="0" w:space="0" w:color="auto"/>
            </w:tcBorders>
            <w:shd w:val="clear" w:color="auto" w:fill="auto"/>
            <w:vAlign w:val="bottom"/>
          </w:tcPr>
          <w:p w14:paraId="0EF79A17" w14:textId="77777777" w:rsidR="001768E6" w:rsidRPr="00684336" w:rsidRDefault="001768E6" w:rsidP="00E7337F">
            <w:pPr>
              <w:spacing w:before="6" w:after="6"/>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lang w:val="en-GB"/>
              </w:rPr>
            </w:pPr>
            <w:r w:rsidRPr="00684336">
              <w:rPr>
                <w:rFonts w:ascii="Arial" w:hAnsi="Arial" w:cs="Arial"/>
                <w:color w:val="auto"/>
                <w:sz w:val="18"/>
                <w:lang w:val="en-GB"/>
              </w:rPr>
              <w:t>China Resources Land Ltd.</w:t>
            </w:r>
            <w:r w:rsidRPr="00684336">
              <w:rPr>
                <w:rFonts w:ascii="Arial" w:hAnsi="Arial" w:cs="Arial"/>
                <w:color w:val="auto"/>
                <w:sz w:val="18"/>
                <w:lang w:val="en-GB"/>
              </w:rPr>
              <w:br/>
            </w:r>
            <w:r w:rsidRPr="00684336">
              <w:rPr>
                <w:rFonts w:ascii="Arial" w:hAnsi="Arial" w:cs="Arial"/>
                <w:b w:val="0"/>
                <w:color w:val="auto"/>
                <w:sz w:val="18"/>
                <w:lang w:val="en-GB"/>
              </w:rPr>
              <w:t>HKEX: 1109</w:t>
            </w:r>
          </w:p>
        </w:tc>
        <w:tc>
          <w:tcPr>
            <w:tcW w:w="0" w:type="auto"/>
            <w:tcBorders>
              <w:top w:val="none" w:sz="0" w:space="0" w:color="auto"/>
              <w:left w:val="none" w:sz="0" w:space="0" w:color="auto"/>
              <w:bottom w:val="none" w:sz="0" w:space="0" w:color="auto"/>
              <w:right w:val="none" w:sz="0" w:space="0" w:color="auto"/>
            </w:tcBorders>
            <w:shd w:val="clear" w:color="auto" w:fill="auto"/>
            <w:vAlign w:val="bottom"/>
          </w:tcPr>
          <w:p w14:paraId="4BDF2505" w14:textId="77777777" w:rsidR="001768E6" w:rsidRPr="00684336" w:rsidRDefault="001768E6" w:rsidP="00E7337F">
            <w:pPr>
              <w:spacing w:before="6" w:after="6"/>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lang w:val="en-GB"/>
              </w:rPr>
            </w:pPr>
            <w:proofErr w:type="spellStart"/>
            <w:r w:rsidRPr="00684336">
              <w:rPr>
                <w:rFonts w:ascii="Arial" w:hAnsi="Arial" w:cs="Arial"/>
                <w:color w:val="auto"/>
                <w:sz w:val="18"/>
                <w:lang w:val="en-GB"/>
              </w:rPr>
              <w:t>Sunac</w:t>
            </w:r>
            <w:proofErr w:type="spellEnd"/>
            <w:r w:rsidRPr="00684336">
              <w:rPr>
                <w:rFonts w:ascii="Arial" w:hAnsi="Arial" w:cs="Arial"/>
                <w:color w:val="auto"/>
                <w:sz w:val="18"/>
                <w:lang w:val="en-GB"/>
              </w:rPr>
              <w:t xml:space="preserve"> China Holdings Ltd. </w:t>
            </w:r>
            <w:r w:rsidRPr="00684336">
              <w:rPr>
                <w:rFonts w:ascii="Arial" w:hAnsi="Arial" w:cs="Arial"/>
                <w:b w:val="0"/>
                <w:color w:val="auto"/>
                <w:sz w:val="18"/>
                <w:lang w:val="en-GB"/>
              </w:rPr>
              <w:t>HKEX: 1918</w:t>
            </w:r>
          </w:p>
        </w:tc>
      </w:tr>
      <w:tr w:rsidR="001768E6" w:rsidRPr="00684336" w14:paraId="218CA8AA" w14:textId="77777777" w:rsidTr="00E7337F">
        <w:trPr>
          <w:cnfStyle w:val="000000100000" w:firstRow="0" w:lastRow="0" w:firstColumn="0" w:lastColumn="0" w:oddVBand="0" w:evenVBand="0" w:oddHBand="1"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5DEA50DE" w14:textId="77777777" w:rsidR="001768E6" w:rsidRPr="00684336" w:rsidRDefault="001768E6" w:rsidP="00E7337F">
            <w:pPr>
              <w:rPr>
                <w:rFonts w:ascii="Arial" w:hAnsi="Arial" w:cs="Arial"/>
                <w:sz w:val="18"/>
                <w:lang w:val="en-GB"/>
              </w:rPr>
            </w:pPr>
            <w:r w:rsidRPr="00684336">
              <w:rPr>
                <w:rFonts w:ascii="Arial" w:hAnsi="Arial" w:cs="Arial"/>
                <w:sz w:val="18"/>
                <w:lang w:val="en-GB"/>
              </w:rPr>
              <w:t>Last Price (in HK$)</w:t>
            </w:r>
          </w:p>
        </w:tc>
        <w:tc>
          <w:tcPr>
            <w:tcW w:w="0" w:type="auto"/>
            <w:shd w:val="clear" w:color="auto" w:fill="auto"/>
            <w:vAlign w:val="center"/>
          </w:tcPr>
          <w:p w14:paraId="012D3E74"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8.38</w:t>
            </w:r>
          </w:p>
        </w:tc>
        <w:tc>
          <w:tcPr>
            <w:tcW w:w="0" w:type="auto"/>
            <w:shd w:val="clear" w:color="auto" w:fill="auto"/>
            <w:vAlign w:val="center"/>
          </w:tcPr>
          <w:p w14:paraId="3FC18789"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3.66</w:t>
            </w:r>
          </w:p>
        </w:tc>
        <w:tc>
          <w:tcPr>
            <w:tcW w:w="0" w:type="auto"/>
            <w:shd w:val="clear" w:color="auto" w:fill="auto"/>
            <w:vAlign w:val="center"/>
          </w:tcPr>
          <w:p w14:paraId="7E7970BA"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4.24</w:t>
            </w:r>
          </w:p>
        </w:tc>
        <w:tc>
          <w:tcPr>
            <w:tcW w:w="0" w:type="auto"/>
            <w:shd w:val="clear" w:color="auto" w:fill="auto"/>
            <w:vAlign w:val="center"/>
          </w:tcPr>
          <w:p w14:paraId="13E692B3"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3.19</w:t>
            </w:r>
          </w:p>
        </w:tc>
        <w:tc>
          <w:tcPr>
            <w:tcW w:w="0" w:type="auto"/>
            <w:shd w:val="clear" w:color="auto" w:fill="auto"/>
            <w:vAlign w:val="center"/>
          </w:tcPr>
          <w:p w14:paraId="0F968B90"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17</w:t>
            </w:r>
          </w:p>
        </w:tc>
        <w:tc>
          <w:tcPr>
            <w:tcW w:w="0" w:type="auto"/>
            <w:shd w:val="clear" w:color="auto" w:fill="auto"/>
            <w:vAlign w:val="center"/>
          </w:tcPr>
          <w:p w14:paraId="1D74BF13"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10.7</w:t>
            </w:r>
          </w:p>
        </w:tc>
        <w:tc>
          <w:tcPr>
            <w:tcW w:w="0" w:type="auto"/>
            <w:shd w:val="clear" w:color="auto" w:fill="auto"/>
            <w:vAlign w:val="center"/>
          </w:tcPr>
          <w:p w14:paraId="22D2F261"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17.02</w:t>
            </w:r>
          </w:p>
        </w:tc>
        <w:tc>
          <w:tcPr>
            <w:tcW w:w="0" w:type="auto"/>
            <w:shd w:val="clear" w:color="auto" w:fill="auto"/>
            <w:vAlign w:val="center"/>
          </w:tcPr>
          <w:p w14:paraId="11A928BE"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4.50</w:t>
            </w:r>
          </w:p>
        </w:tc>
      </w:tr>
      <w:tr w:rsidR="001768E6" w:rsidRPr="00684336" w14:paraId="2900C450" w14:textId="77777777" w:rsidTr="00E7337F">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2C2F389B" w14:textId="77777777" w:rsidR="001768E6" w:rsidRPr="00684336" w:rsidRDefault="001768E6" w:rsidP="00E7337F">
            <w:pPr>
              <w:rPr>
                <w:rFonts w:ascii="Arial" w:hAnsi="Arial" w:cs="Arial"/>
                <w:sz w:val="18"/>
                <w:lang w:val="en-GB"/>
              </w:rPr>
            </w:pPr>
            <w:r w:rsidRPr="00684336">
              <w:rPr>
                <w:rFonts w:ascii="Arial" w:hAnsi="Arial" w:cs="Arial"/>
                <w:sz w:val="18"/>
                <w:lang w:val="en-GB"/>
              </w:rPr>
              <w:t>Market Capitalization (in HK$ millions)</w:t>
            </w:r>
          </w:p>
        </w:tc>
        <w:tc>
          <w:tcPr>
            <w:tcW w:w="0" w:type="auto"/>
            <w:shd w:val="clear" w:color="auto" w:fill="auto"/>
            <w:vAlign w:val="center"/>
          </w:tcPr>
          <w:p w14:paraId="2A9B6AA7"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18,088.81</w:t>
            </w:r>
          </w:p>
        </w:tc>
        <w:tc>
          <w:tcPr>
            <w:tcW w:w="0" w:type="auto"/>
            <w:shd w:val="clear" w:color="auto" w:fill="auto"/>
            <w:vAlign w:val="center"/>
          </w:tcPr>
          <w:p w14:paraId="27574211"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53,297.11</w:t>
            </w:r>
          </w:p>
        </w:tc>
        <w:tc>
          <w:tcPr>
            <w:tcW w:w="0" w:type="auto"/>
            <w:shd w:val="clear" w:color="auto" w:fill="auto"/>
            <w:vAlign w:val="center"/>
          </w:tcPr>
          <w:p w14:paraId="598E3EE5"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30,880.14</w:t>
            </w:r>
          </w:p>
        </w:tc>
        <w:tc>
          <w:tcPr>
            <w:tcW w:w="0" w:type="auto"/>
            <w:shd w:val="clear" w:color="auto" w:fill="auto"/>
            <w:vAlign w:val="center"/>
          </w:tcPr>
          <w:p w14:paraId="410FC44A"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59,802.41</w:t>
            </w:r>
          </w:p>
        </w:tc>
        <w:tc>
          <w:tcPr>
            <w:tcW w:w="0" w:type="auto"/>
            <w:shd w:val="clear" w:color="auto" w:fill="auto"/>
            <w:vAlign w:val="center"/>
          </w:tcPr>
          <w:p w14:paraId="14EA1058"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59,033.72</w:t>
            </w:r>
          </w:p>
        </w:tc>
        <w:tc>
          <w:tcPr>
            <w:tcW w:w="0" w:type="auto"/>
            <w:shd w:val="clear" w:color="auto" w:fill="auto"/>
            <w:vAlign w:val="center"/>
          </w:tcPr>
          <w:p w14:paraId="7281C20E"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58,224.4</w:t>
            </w:r>
          </w:p>
        </w:tc>
        <w:tc>
          <w:tcPr>
            <w:tcW w:w="0" w:type="auto"/>
            <w:shd w:val="clear" w:color="auto" w:fill="auto"/>
            <w:vAlign w:val="center"/>
          </w:tcPr>
          <w:p w14:paraId="76FE74DD"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99,241.9</w:t>
            </w:r>
          </w:p>
        </w:tc>
        <w:tc>
          <w:tcPr>
            <w:tcW w:w="0" w:type="auto"/>
            <w:shd w:val="clear" w:color="auto" w:fill="auto"/>
            <w:vAlign w:val="center"/>
          </w:tcPr>
          <w:p w14:paraId="1AD64423"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14,972.27</w:t>
            </w:r>
          </w:p>
        </w:tc>
      </w:tr>
      <w:tr w:rsidR="001768E6" w:rsidRPr="00684336" w14:paraId="0E61BC68" w14:textId="77777777" w:rsidTr="00E733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D78037C" w14:textId="77777777" w:rsidR="001768E6" w:rsidRPr="00684336" w:rsidRDefault="001768E6" w:rsidP="00E7337F">
            <w:pPr>
              <w:rPr>
                <w:rFonts w:ascii="Arial" w:hAnsi="Arial" w:cs="Arial"/>
                <w:sz w:val="18"/>
                <w:lang w:val="en-GB"/>
              </w:rPr>
            </w:pPr>
            <w:r w:rsidRPr="00684336">
              <w:rPr>
                <w:rFonts w:ascii="Arial" w:hAnsi="Arial" w:cs="Arial"/>
                <w:sz w:val="18"/>
                <w:lang w:val="en-GB"/>
              </w:rPr>
              <w:t>Earnings per Share (in HK$)</w:t>
            </w:r>
          </w:p>
        </w:tc>
        <w:tc>
          <w:tcPr>
            <w:tcW w:w="0" w:type="auto"/>
            <w:shd w:val="clear" w:color="auto" w:fill="auto"/>
            <w:vAlign w:val="center"/>
          </w:tcPr>
          <w:p w14:paraId="202A7E65"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1.36</w:t>
            </w:r>
          </w:p>
        </w:tc>
        <w:tc>
          <w:tcPr>
            <w:tcW w:w="0" w:type="auto"/>
            <w:shd w:val="clear" w:color="auto" w:fill="auto"/>
            <w:vAlign w:val="center"/>
          </w:tcPr>
          <w:p w14:paraId="193FB412"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0.39</w:t>
            </w:r>
          </w:p>
        </w:tc>
        <w:tc>
          <w:tcPr>
            <w:tcW w:w="0" w:type="auto"/>
            <w:shd w:val="clear" w:color="auto" w:fill="auto"/>
            <w:vAlign w:val="center"/>
          </w:tcPr>
          <w:p w14:paraId="3BEBE60A"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0.40</w:t>
            </w:r>
          </w:p>
        </w:tc>
        <w:tc>
          <w:tcPr>
            <w:tcW w:w="0" w:type="auto"/>
            <w:shd w:val="clear" w:color="auto" w:fill="auto"/>
            <w:vAlign w:val="center"/>
          </w:tcPr>
          <w:p w14:paraId="63E4DCC1"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0.22</w:t>
            </w:r>
          </w:p>
        </w:tc>
        <w:tc>
          <w:tcPr>
            <w:tcW w:w="0" w:type="auto"/>
            <w:shd w:val="clear" w:color="auto" w:fill="auto"/>
            <w:vAlign w:val="center"/>
          </w:tcPr>
          <w:p w14:paraId="5DF5D11F"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1.13</w:t>
            </w:r>
          </w:p>
        </w:tc>
        <w:tc>
          <w:tcPr>
            <w:tcW w:w="0" w:type="auto"/>
            <w:shd w:val="clear" w:color="auto" w:fill="auto"/>
            <w:vAlign w:val="center"/>
          </w:tcPr>
          <w:p w14:paraId="3A647983"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0.77</w:t>
            </w:r>
          </w:p>
        </w:tc>
        <w:tc>
          <w:tcPr>
            <w:tcW w:w="0" w:type="auto"/>
            <w:shd w:val="clear" w:color="auto" w:fill="auto"/>
            <w:vAlign w:val="center"/>
          </w:tcPr>
          <w:p w14:paraId="3B967BF8"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1.76</w:t>
            </w:r>
          </w:p>
        </w:tc>
        <w:tc>
          <w:tcPr>
            <w:tcW w:w="0" w:type="auto"/>
            <w:shd w:val="clear" w:color="auto" w:fill="auto"/>
            <w:vAlign w:val="center"/>
          </w:tcPr>
          <w:p w14:paraId="171EA9B8"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0.72</w:t>
            </w:r>
          </w:p>
        </w:tc>
      </w:tr>
      <w:tr w:rsidR="001768E6" w:rsidRPr="00684336" w14:paraId="38BCAADF" w14:textId="77777777" w:rsidTr="00E7337F">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56859CF9" w14:textId="77777777" w:rsidR="001768E6" w:rsidRPr="00684336" w:rsidRDefault="001768E6" w:rsidP="00E7337F">
            <w:pPr>
              <w:rPr>
                <w:rFonts w:ascii="Arial" w:hAnsi="Arial" w:cs="Arial"/>
                <w:sz w:val="18"/>
                <w:lang w:val="en-GB"/>
              </w:rPr>
            </w:pPr>
            <w:r w:rsidRPr="00684336">
              <w:rPr>
                <w:rFonts w:ascii="Arial" w:hAnsi="Arial" w:cs="Arial"/>
                <w:sz w:val="18"/>
                <w:lang w:val="en-GB"/>
              </w:rPr>
              <w:t>Price/Earnings Ratio</w:t>
            </w:r>
          </w:p>
        </w:tc>
        <w:tc>
          <w:tcPr>
            <w:tcW w:w="0" w:type="auto"/>
            <w:shd w:val="clear" w:color="auto" w:fill="auto"/>
            <w:vAlign w:val="center"/>
          </w:tcPr>
          <w:p w14:paraId="5EE3E954"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3.07</w:t>
            </w:r>
          </w:p>
        </w:tc>
        <w:tc>
          <w:tcPr>
            <w:tcW w:w="0" w:type="auto"/>
            <w:shd w:val="clear" w:color="auto" w:fill="auto"/>
            <w:vAlign w:val="center"/>
          </w:tcPr>
          <w:p w14:paraId="687B126E"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3.72</w:t>
            </w:r>
          </w:p>
        </w:tc>
        <w:tc>
          <w:tcPr>
            <w:tcW w:w="0" w:type="auto"/>
            <w:shd w:val="clear" w:color="auto" w:fill="auto"/>
            <w:vAlign w:val="center"/>
          </w:tcPr>
          <w:p w14:paraId="547EFAC6"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5.79</w:t>
            </w:r>
          </w:p>
        </w:tc>
        <w:tc>
          <w:tcPr>
            <w:tcW w:w="0" w:type="auto"/>
            <w:shd w:val="clear" w:color="auto" w:fill="auto"/>
            <w:vAlign w:val="center"/>
          </w:tcPr>
          <w:p w14:paraId="26675E97"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5.64</w:t>
            </w:r>
          </w:p>
        </w:tc>
        <w:tc>
          <w:tcPr>
            <w:tcW w:w="0" w:type="auto"/>
            <w:shd w:val="clear" w:color="auto" w:fill="auto"/>
            <w:vAlign w:val="center"/>
          </w:tcPr>
          <w:p w14:paraId="66A48678"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6.39</w:t>
            </w:r>
          </w:p>
        </w:tc>
        <w:tc>
          <w:tcPr>
            <w:tcW w:w="0" w:type="auto"/>
            <w:shd w:val="clear" w:color="auto" w:fill="auto"/>
            <w:vAlign w:val="center"/>
          </w:tcPr>
          <w:p w14:paraId="50C78B99"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5.79</w:t>
            </w:r>
          </w:p>
        </w:tc>
        <w:tc>
          <w:tcPr>
            <w:tcW w:w="0" w:type="auto"/>
            <w:shd w:val="clear" w:color="auto" w:fill="auto"/>
            <w:vAlign w:val="center"/>
          </w:tcPr>
          <w:p w14:paraId="12435CE7"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6.75</w:t>
            </w:r>
          </w:p>
        </w:tc>
        <w:tc>
          <w:tcPr>
            <w:tcW w:w="0" w:type="auto"/>
            <w:shd w:val="clear" w:color="auto" w:fill="auto"/>
            <w:vAlign w:val="center"/>
          </w:tcPr>
          <w:p w14:paraId="3D4FC81C"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3.76</w:t>
            </w:r>
          </w:p>
        </w:tc>
      </w:tr>
      <w:tr w:rsidR="001768E6" w:rsidRPr="00684336" w14:paraId="495C4914" w14:textId="77777777" w:rsidTr="00E733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8F3F88A" w14:textId="77777777" w:rsidR="001768E6" w:rsidRPr="00684336" w:rsidRDefault="001768E6" w:rsidP="00E7337F">
            <w:pPr>
              <w:rPr>
                <w:rFonts w:ascii="Arial" w:hAnsi="Arial" w:cs="Arial"/>
                <w:sz w:val="18"/>
                <w:lang w:val="en-GB"/>
              </w:rPr>
            </w:pPr>
            <w:r w:rsidRPr="00684336">
              <w:rPr>
                <w:rFonts w:ascii="Arial" w:hAnsi="Arial" w:cs="Arial"/>
                <w:sz w:val="18"/>
                <w:lang w:val="en-GB"/>
              </w:rPr>
              <w:t>Price/Book Ratio</w:t>
            </w:r>
          </w:p>
        </w:tc>
        <w:tc>
          <w:tcPr>
            <w:tcW w:w="0" w:type="auto"/>
            <w:shd w:val="clear" w:color="auto" w:fill="auto"/>
            <w:vAlign w:val="center"/>
          </w:tcPr>
          <w:p w14:paraId="0292A393"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0.58</w:t>
            </w:r>
          </w:p>
        </w:tc>
        <w:tc>
          <w:tcPr>
            <w:tcW w:w="0" w:type="auto"/>
            <w:shd w:val="clear" w:color="auto" w:fill="auto"/>
            <w:vAlign w:val="center"/>
          </w:tcPr>
          <w:p w14:paraId="4E99DEEC"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0.97</w:t>
            </w:r>
          </w:p>
        </w:tc>
        <w:tc>
          <w:tcPr>
            <w:tcW w:w="0" w:type="auto"/>
            <w:shd w:val="clear" w:color="auto" w:fill="auto"/>
            <w:vAlign w:val="center"/>
          </w:tcPr>
          <w:p w14:paraId="0009D723"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0.65</w:t>
            </w:r>
          </w:p>
        </w:tc>
        <w:tc>
          <w:tcPr>
            <w:tcW w:w="0" w:type="auto"/>
            <w:shd w:val="clear" w:color="auto" w:fill="auto"/>
            <w:vAlign w:val="center"/>
          </w:tcPr>
          <w:p w14:paraId="148F0434"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1.09</w:t>
            </w:r>
          </w:p>
        </w:tc>
        <w:tc>
          <w:tcPr>
            <w:tcW w:w="0" w:type="auto"/>
            <w:shd w:val="clear" w:color="auto" w:fill="auto"/>
            <w:vAlign w:val="center"/>
          </w:tcPr>
          <w:p w14:paraId="4DA0F1FE"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1.13</w:t>
            </w:r>
          </w:p>
        </w:tc>
        <w:tc>
          <w:tcPr>
            <w:tcW w:w="0" w:type="auto"/>
            <w:shd w:val="clear" w:color="auto" w:fill="auto"/>
            <w:vAlign w:val="center"/>
          </w:tcPr>
          <w:p w14:paraId="32708020"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1.26</w:t>
            </w:r>
          </w:p>
        </w:tc>
        <w:tc>
          <w:tcPr>
            <w:tcW w:w="0" w:type="auto"/>
            <w:shd w:val="clear" w:color="auto" w:fill="auto"/>
            <w:vAlign w:val="center"/>
          </w:tcPr>
          <w:p w14:paraId="20F00DA4"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1.17</w:t>
            </w:r>
          </w:p>
        </w:tc>
        <w:tc>
          <w:tcPr>
            <w:tcW w:w="0" w:type="auto"/>
            <w:shd w:val="clear" w:color="auto" w:fill="auto"/>
            <w:vAlign w:val="center"/>
          </w:tcPr>
          <w:p w14:paraId="34480107"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0.88</w:t>
            </w:r>
          </w:p>
        </w:tc>
      </w:tr>
      <w:tr w:rsidR="001768E6" w:rsidRPr="00684336" w14:paraId="496A107B" w14:textId="77777777" w:rsidTr="00E7337F">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746C4E71" w14:textId="77777777" w:rsidR="001768E6" w:rsidRPr="00684336" w:rsidRDefault="001768E6" w:rsidP="00E7337F">
            <w:pPr>
              <w:rPr>
                <w:rFonts w:ascii="Arial" w:hAnsi="Arial" w:cs="Arial"/>
                <w:sz w:val="18"/>
                <w:lang w:val="en-GB"/>
              </w:rPr>
            </w:pPr>
            <w:r w:rsidRPr="00684336">
              <w:rPr>
                <w:rFonts w:ascii="Arial" w:hAnsi="Arial" w:cs="Arial"/>
                <w:sz w:val="18"/>
                <w:lang w:val="en-GB"/>
              </w:rPr>
              <w:t>Dividend Yield</w:t>
            </w:r>
          </w:p>
        </w:tc>
        <w:tc>
          <w:tcPr>
            <w:tcW w:w="0" w:type="auto"/>
            <w:shd w:val="clear" w:color="auto" w:fill="auto"/>
            <w:vAlign w:val="center"/>
          </w:tcPr>
          <w:p w14:paraId="7A0A3E82"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6.22</w:t>
            </w:r>
          </w:p>
        </w:tc>
        <w:tc>
          <w:tcPr>
            <w:tcW w:w="0" w:type="auto"/>
            <w:shd w:val="clear" w:color="auto" w:fill="auto"/>
            <w:vAlign w:val="center"/>
          </w:tcPr>
          <w:p w14:paraId="760CEBFF"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16.09</w:t>
            </w:r>
          </w:p>
        </w:tc>
        <w:tc>
          <w:tcPr>
            <w:tcW w:w="0" w:type="auto"/>
            <w:shd w:val="clear" w:color="auto" w:fill="auto"/>
            <w:vAlign w:val="center"/>
          </w:tcPr>
          <w:p w14:paraId="68C68FB1"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5.85</w:t>
            </w:r>
          </w:p>
        </w:tc>
        <w:tc>
          <w:tcPr>
            <w:tcW w:w="0" w:type="auto"/>
            <w:shd w:val="clear" w:color="auto" w:fill="auto"/>
            <w:vAlign w:val="center"/>
          </w:tcPr>
          <w:p w14:paraId="24837575"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6.07</w:t>
            </w:r>
          </w:p>
        </w:tc>
        <w:tc>
          <w:tcPr>
            <w:tcW w:w="0" w:type="auto"/>
            <w:shd w:val="clear" w:color="auto" w:fill="auto"/>
            <w:vAlign w:val="center"/>
          </w:tcPr>
          <w:p w14:paraId="623DE284"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5.43</w:t>
            </w:r>
          </w:p>
        </w:tc>
        <w:tc>
          <w:tcPr>
            <w:tcW w:w="0" w:type="auto"/>
            <w:shd w:val="clear" w:color="auto" w:fill="auto"/>
            <w:vAlign w:val="center"/>
          </w:tcPr>
          <w:p w14:paraId="7B27DA0F"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2.90</w:t>
            </w:r>
          </w:p>
        </w:tc>
        <w:tc>
          <w:tcPr>
            <w:tcW w:w="0" w:type="auto"/>
            <w:shd w:val="clear" w:color="auto" w:fill="auto"/>
            <w:vAlign w:val="center"/>
          </w:tcPr>
          <w:p w14:paraId="42E5782C"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2.66</w:t>
            </w:r>
          </w:p>
        </w:tc>
        <w:tc>
          <w:tcPr>
            <w:tcW w:w="0" w:type="auto"/>
            <w:shd w:val="clear" w:color="auto" w:fill="auto"/>
            <w:vAlign w:val="center"/>
          </w:tcPr>
          <w:p w14:paraId="783FFA16"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6.06</w:t>
            </w:r>
          </w:p>
        </w:tc>
      </w:tr>
      <w:tr w:rsidR="001768E6" w:rsidRPr="00684336" w14:paraId="54E34360" w14:textId="77777777" w:rsidTr="00E733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5072D82" w14:textId="77777777" w:rsidR="001768E6" w:rsidRPr="00684336" w:rsidRDefault="001768E6" w:rsidP="00E7337F">
            <w:pPr>
              <w:rPr>
                <w:rFonts w:ascii="Arial" w:hAnsi="Arial" w:cs="Arial"/>
                <w:sz w:val="18"/>
                <w:lang w:val="en-GB"/>
              </w:rPr>
            </w:pPr>
            <w:r w:rsidRPr="00684336">
              <w:rPr>
                <w:rFonts w:ascii="Arial" w:hAnsi="Arial" w:cs="Arial"/>
                <w:sz w:val="18"/>
                <w:lang w:val="en-GB"/>
              </w:rPr>
              <w:t>Net Income (in HK$ millions)</w:t>
            </w:r>
          </w:p>
        </w:tc>
        <w:tc>
          <w:tcPr>
            <w:tcW w:w="0" w:type="auto"/>
            <w:shd w:val="clear" w:color="auto" w:fill="auto"/>
            <w:vAlign w:val="center"/>
          </w:tcPr>
          <w:p w14:paraId="7F697A23"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3,030.59</w:t>
            </w:r>
          </w:p>
        </w:tc>
        <w:tc>
          <w:tcPr>
            <w:tcW w:w="0" w:type="auto"/>
            <w:shd w:val="clear" w:color="auto" w:fill="auto"/>
            <w:vAlign w:val="center"/>
          </w:tcPr>
          <w:p w14:paraId="0C7F8D79"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7,031.06</w:t>
            </w:r>
          </w:p>
        </w:tc>
        <w:tc>
          <w:tcPr>
            <w:tcW w:w="0" w:type="auto"/>
            <w:shd w:val="clear" w:color="auto" w:fill="auto"/>
            <w:vAlign w:val="center"/>
          </w:tcPr>
          <w:p w14:paraId="14631F12"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2,657.68</w:t>
            </w:r>
          </w:p>
        </w:tc>
        <w:tc>
          <w:tcPr>
            <w:tcW w:w="0" w:type="auto"/>
            <w:shd w:val="clear" w:color="auto" w:fill="auto"/>
            <w:vAlign w:val="center"/>
          </w:tcPr>
          <w:p w14:paraId="39ABAD49"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4,197.91</w:t>
            </w:r>
          </w:p>
        </w:tc>
        <w:tc>
          <w:tcPr>
            <w:tcW w:w="0" w:type="auto"/>
            <w:shd w:val="clear" w:color="auto" w:fill="auto"/>
            <w:vAlign w:val="center"/>
          </w:tcPr>
          <w:p w14:paraId="0A23A8C2"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3,919.69</w:t>
            </w:r>
          </w:p>
        </w:tc>
        <w:tc>
          <w:tcPr>
            <w:tcW w:w="0" w:type="auto"/>
            <w:shd w:val="clear" w:color="auto" w:fill="auto"/>
            <w:vAlign w:val="center"/>
          </w:tcPr>
          <w:p w14:paraId="150DC8C9"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4,191.55</w:t>
            </w:r>
          </w:p>
        </w:tc>
        <w:tc>
          <w:tcPr>
            <w:tcW w:w="0" w:type="auto"/>
            <w:shd w:val="clear" w:color="auto" w:fill="auto"/>
            <w:vAlign w:val="center"/>
          </w:tcPr>
          <w:p w14:paraId="4CDC843C"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10,311.61</w:t>
            </w:r>
          </w:p>
        </w:tc>
        <w:tc>
          <w:tcPr>
            <w:tcW w:w="0" w:type="auto"/>
            <w:shd w:val="clear" w:color="auto" w:fill="auto"/>
            <w:vAlign w:val="center"/>
          </w:tcPr>
          <w:p w14:paraId="42C9DAFF"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2,425.98</w:t>
            </w:r>
          </w:p>
        </w:tc>
      </w:tr>
      <w:tr w:rsidR="001768E6" w:rsidRPr="00684336" w14:paraId="6ACB88F2" w14:textId="77777777" w:rsidTr="00E7337F">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2D9C9271" w14:textId="77777777" w:rsidR="001768E6" w:rsidRPr="00684336" w:rsidRDefault="001768E6" w:rsidP="00E7337F">
            <w:pPr>
              <w:rPr>
                <w:rFonts w:ascii="Arial" w:hAnsi="Arial" w:cs="Arial"/>
                <w:sz w:val="18"/>
                <w:lang w:val="en-GB"/>
              </w:rPr>
            </w:pPr>
            <w:r w:rsidRPr="00684336">
              <w:rPr>
                <w:rFonts w:ascii="Arial" w:hAnsi="Arial" w:cs="Arial"/>
                <w:sz w:val="18"/>
                <w:lang w:val="en-GB"/>
              </w:rPr>
              <w:t>EBIT (in HK$ millions)</w:t>
            </w:r>
          </w:p>
        </w:tc>
        <w:tc>
          <w:tcPr>
            <w:tcW w:w="0" w:type="auto"/>
            <w:shd w:val="clear" w:color="auto" w:fill="auto"/>
            <w:vAlign w:val="center"/>
          </w:tcPr>
          <w:p w14:paraId="6AAAC759"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4,396.57</w:t>
            </w:r>
          </w:p>
        </w:tc>
        <w:tc>
          <w:tcPr>
            <w:tcW w:w="0" w:type="auto"/>
            <w:shd w:val="clear" w:color="auto" w:fill="auto"/>
            <w:vAlign w:val="center"/>
          </w:tcPr>
          <w:p w14:paraId="34AE9A6B"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13,793.33</w:t>
            </w:r>
          </w:p>
        </w:tc>
        <w:tc>
          <w:tcPr>
            <w:tcW w:w="0" w:type="auto"/>
            <w:shd w:val="clear" w:color="auto" w:fill="auto"/>
            <w:vAlign w:val="center"/>
          </w:tcPr>
          <w:p w14:paraId="2966C2BB"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4,887.62</w:t>
            </w:r>
          </w:p>
        </w:tc>
        <w:tc>
          <w:tcPr>
            <w:tcW w:w="0" w:type="auto"/>
            <w:shd w:val="clear" w:color="auto" w:fill="auto"/>
            <w:vAlign w:val="center"/>
          </w:tcPr>
          <w:p w14:paraId="66493AD3"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5,930.89</w:t>
            </w:r>
          </w:p>
        </w:tc>
        <w:tc>
          <w:tcPr>
            <w:tcW w:w="0" w:type="auto"/>
            <w:shd w:val="clear" w:color="auto" w:fill="auto"/>
            <w:vAlign w:val="center"/>
          </w:tcPr>
          <w:p w14:paraId="2262A804"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6,365.51</w:t>
            </w:r>
          </w:p>
        </w:tc>
        <w:tc>
          <w:tcPr>
            <w:tcW w:w="0" w:type="auto"/>
            <w:shd w:val="clear" w:color="auto" w:fill="auto"/>
            <w:vAlign w:val="center"/>
          </w:tcPr>
          <w:p w14:paraId="3DD4627E"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6,552.00</w:t>
            </w:r>
          </w:p>
        </w:tc>
        <w:tc>
          <w:tcPr>
            <w:tcW w:w="0" w:type="auto"/>
            <w:shd w:val="clear" w:color="auto" w:fill="auto"/>
            <w:vAlign w:val="center"/>
          </w:tcPr>
          <w:p w14:paraId="17D348BA"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16,733.68</w:t>
            </w:r>
          </w:p>
        </w:tc>
        <w:tc>
          <w:tcPr>
            <w:tcW w:w="0" w:type="auto"/>
            <w:shd w:val="clear" w:color="auto" w:fill="auto"/>
            <w:vAlign w:val="center"/>
          </w:tcPr>
          <w:p w14:paraId="1F99CFF4"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4,683.30</w:t>
            </w:r>
          </w:p>
        </w:tc>
      </w:tr>
      <w:tr w:rsidR="001768E6" w:rsidRPr="00684336" w14:paraId="69B55F9A" w14:textId="77777777" w:rsidTr="00E733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D51ACCB" w14:textId="77777777" w:rsidR="001768E6" w:rsidRPr="00684336" w:rsidRDefault="001768E6" w:rsidP="00E7337F">
            <w:pPr>
              <w:rPr>
                <w:rFonts w:ascii="Arial" w:hAnsi="Arial" w:cs="Arial"/>
                <w:sz w:val="18"/>
                <w:lang w:val="en-GB"/>
              </w:rPr>
            </w:pPr>
            <w:r w:rsidRPr="00684336">
              <w:rPr>
                <w:rFonts w:ascii="Arial" w:hAnsi="Arial" w:cs="Arial"/>
                <w:sz w:val="18"/>
                <w:lang w:val="en-GB"/>
              </w:rPr>
              <w:t>EV/EBIT Ratio</w:t>
            </w:r>
          </w:p>
        </w:tc>
        <w:tc>
          <w:tcPr>
            <w:tcW w:w="0" w:type="auto"/>
            <w:shd w:val="clear" w:color="auto" w:fill="auto"/>
            <w:vAlign w:val="center"/>
          </w:tcPr>
          <w:p w14:paraId="615EAB68"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6.40</w:t>
            </w:r>
          </w:p>
        </w:tc>
        <w:tc>
          <w:tcPr>
            <w:tcW w:w="0" w:type="auto"/>
            <w:shd w:val="clear" w:color="auto" w:fill="auto"/>
            <w:vAlign w:val="center"/>
          </w:tcPr>
          <w:p w14:paraId="07E28F73"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5.81</w:t>
            </w:r>
          </w:p>
        </w:tc>
        <w:tc>
          <w:tcPr>
            <w:tcW w:w="0" w:type="auto"/>
            <w:shd w:val="clear" w:color="auto" w:fill="auto"/>
            <w:vAlign w:val="center"/>
          </w:tcPr>
          <w:p w14:paraId="19A5DA03"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7.54</w:t>
            </w:r>
          </w:p>
        </w:tc>
        <w:tc>
          <w:tcPr>
            <w:tcW w:w="0" w:type="auto"/>
            <w:shd w:val="clear" w:color="auto" w:fill="auto"/>
            <w:vAlign w:val="center"/>
          </w:tcPr>
          <w:p w14:paraId="0AA97784"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6.96</w:t>
            </w:r>
          </w:p>
        </w:tc>
        <w:tc>
          <w:tcPr>
            <w:tcW w:w="0" w:type="auto"/>
            <w:shd w:val="clear" w:color="auto" w:fill="auto"/>
            <w:vAlign w:val="center"/>
          </w:tcPr>
          <w:p w14:paraId="225AAEF0"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7.66</w:t>
            </w:r>
          </w:p>
        </w:tc>
        <w:tc>
          <w:tcPr>
            <w:tcW w:w="0" w:type="auto"/>
            <w:shd w:val="clear" w:color="auto" w:fill="auto"/>
            <w:vAlign w:val="center"/>
          </w:tcPr>
          <w:p w14:paraId="0BF5F892"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5.86</w:t>
            </w:r>
          </w:p>
        </w:tc>
        <w:tc>
          <w:tcPr>
            <w:tcW w:w="0" w:type="auto"/>
            <w:shd w:val="clear" w:color="auto" w:fill="auto"/>
            <w:vAlign w:val="center"/>
          </w:tcPr>
          <w:p w14:paraId="764DA22C"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6.21</w:t>
            </w:r>
          </w:p>
        </w:tc>
        <w:tc>
          <w:tcPr>
            <w:tcW w:w="0" w:type="auto"/>
            <w:shd w:val="clear" w:color="auto" w:fill="auto"/>
            <w:vAlign w:val="center"/>
          </w:tcPr>
          <w:p w14:paraId="1B536779"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5.30</w:t>
            </w:r>
          </w:p>
        </w:tc>
      </w:tr>
      <w:tr w:rsidR="001768E6" w:rsidRPr="00684336" w14:paraId="5D8C64D7" w14:textId="77777777" w:rsidTr="00E7337F">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E217E32" w14:textId="77777777" w:rsidR="001768E6" w:rsidRPr="00684336" w:rsidRDefault="001768E6" w:rsidP="00E7337F">
            <w:pPr>
              <w:rPr>
                <w:rFonts w:ascii="Arial" w:hAnsi="Arial" w:cs="Arial"/>
                <w:sz w:val="18"/>
                <w:lang w:val="en-GB"/>
              </w:rPr>
            </w:pPr>
          </w:p>
        </w:tc>
        <w:tc>
          <w:tcPr>
            <w:tcW w:w="0" w:type="auto"/>
            <w:shd w:val="clear" w:color="auto" w:fill="auto"/>
            <w:vAlign w:val="center"/>
          </w:tcPr>
          <w:p w14:paraId="15F3298C"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p>
        </w:tc>
        <w:tc>
          <w:tcPr>
            <w:tcW w:w="0" w:type="auto"/>
            <w:shd w:val="clear" w:color="auto" w:fill="auto"/>
            <w:vAlign w:val="center"/>
          </w:tcPr>
          <w:p w14:paraId="2C8D8A32"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p>
        </w:tc>
        <w:tc>
          <w:tcPr>
            <w:tcW w:w="0" w:type="auto"/>
            <w:shd w:val="clear" w:color="auto" w:fill="auto"/>
            <w:vAlign w:val="center"/>
          </w:tcPr>
          <w:p w14:paraId="4CFB6BB1"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p>
        </w:tc>
        <w:tc>
          <w:tcPr>
            <w:tcW w:w="0" w:type="auto"/>
            <w:shd w:val="clear" w:color="auto" w:fill="auto"/>
            <w:vAlign w:val="center"/>
          </w:tcPr>
          <w:p w14:paraId="645F42BC"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p>
        </w:tc>
        <w:tc>
          <w:tcPr>
            <w:tcW w:w="0" w:type="auto"/>
            <w:shd w:val="clear" w:color="auto" w:fill="auto"/>
            <w:vAlign w:val="center"/>
          </w:tcPr>
          <w:p w14:paraId="3590138B"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p>
        </w:tc>
        <w:tc>
          <w:tcPr>
            <w:tcW w:w="0" w:type="auto"/>
            <w:shd w:val="clear" w:color="auto" w:fill="auto"/>
            <w:vAlign w:val="center"/>
          </w:tcPr>
          <w:p w14:paraId="734A8EE3"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p>
        </w:tc>
        <w:tc>
          <w:tcPr>
            <w:tcW w:w="0" w:type="auto"/>
            <w:shd w:val="clear" w:color="auto" w:fill="auto"/>
            <w:vAlign w:val="center"/>
          </w:tcPr>
          <w:p w14:paraId="0E58A10A"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p>
        </w:tc>
        <w:tc>
          <w:tcPr>
            <w:tcW w:w="0" w:type="auto"/>
            <w:shd w:val="clear" w:color="auto" w:fill="auto"/>
            <w:vAlign w:val="center"/>
          </w:tcPr>
          <w:p w14:paraId="7926B8CC"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p>
        </w:tc>
      </w:tr>
      <w:tr w:rsidR="001768E6" w:rsidRPr="00684336" w14:paraId="26007447" w14:textId="77777777" w:rsidTr="00E733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E057A2C" w14:textId="77777777" w:rsidR="001768E6" w:rsidRPr="00684336" w:rsidRDefault="001768E6" w:rsidP="00E7337F">
            <w:pPr>
              <w:rPr>
                <w:rFonts w:ascii="Arial" w:hAnsi="Arial" w:cs="Arial"/>
                <w:sz w:val="18"/>
                <w:lang w:val="en-GB"/>
              </w:rPr>
            </w:pPr>
            <w:r w:rsidRPr="00684336">
              <w:rPr>
                <w:rFonts w:ascii="Arial" w:hAnsi="Arial" w:cs="Arial"/>
                <w:sz w:val="18"/>
                <w:lang w:val="en-GB"/>
              </w:rPr>
              <w:t>Debt to Equity</w:t>
            </w:r>
          </w:p>
        </w:tc>
        <w:tc>
          <w:tcPr>
            <w:tcW w:w="0" w:type="auto"/>
            <w:shd w:val="clear" w:color="auto" w:fill="auto"/>
            <w:vAlign w:val="center"/>
          </w:tcPr>
          <w:p w14:paraId="632CE3AB"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95.31</w:t>
            </w:r>
          </w:p>
        </w:tc>
        <w:tc>
          <w:tcPr>
            <w:tcW w:w="0" w:type="auto"/>
            <w:shd w:val="clear" w:color="auto" w:fill="auto"/>
            <w:vAlign w:val="center"/>
          </w:tcPr>
          <w:p w14:paraId="4C26F05C"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137.15</w:t>
            </w:r>
          </w:p>
        </w:tc>
        <w:tc>
          <w:tcPr>
            <w:tcW w:w="0" w:type="auto"/>
            <w:shd w:val="clear" w:color="auto" w:fill="auto"/>
            <w:vAlign w:val="center"/>
          </w:tcPr>
          <w:p w14:paraId="0CDFE014"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81.24</w:t>
            </w:r>
          </w:p>
        </w:tc>
        <w:tc>
          <w:tcPr>
            <w:tcW w:w="0" w:type="auto"/>
            <w:shd w:val="clear" w:color="auto" w:fill="auto"/>
            <w:vAlign w:val="center"/>
          </w:tcPr>
          <w:p w14:paraId="03A40CE7"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122.25</w:t>
            </w:r>
          </w:p>
        </w:tc>
        <w:tc>
          <w:tcPr>
            <w:tcW w:w="0" w:type="auto"/>
            <w:shd w:val="clear" w:color="auto" w:fill="auto"/>
            <w:vAlign w:val="center"/>
          </w:tcPr>
          <w:p w14:paraId="478F9EC8"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95.13</w:t>
            </w:r>
          </w:p>
        </w:tc>
        <w:tc>
          <w:tcPr>
            <w:tcW w:w="0" w:type="auto"/>
            <w:shd w:val="clear" w:color="auto" w:fill="auto"/>
            <w:vAlign w:val="center"/>
          </w:tcPr>
          <w:p w14:paraId="6BCB4694"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94.78</w:t>
            </w:r>
          </w:p>
        </w:tc>
        <w:tc>
          <w:tcPr>
            <w:tcW w:w="0" w:type="auto"/>
            <w:shd w:val="clear" w:color="auto" w:fill="auto"/>
            <w:vAlign w:val="center"/>
          </w:tcPr>
          <w:p w14:paraId="705F997E"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72.69</w:t>
            </w:r>
          </w:p>
        </w:tc>
        <w:tc>
          <w:tcPr>
            <w:tcW w:w="0" w:type="auto"/>
            <w:shd w:val="clear" w:color="auto" w:fill="auto"/>
            <w:vAlign w:val="center"/>
          </w:tcPr>
          <w:p w14:paraId="1E906F09" w14:textId="77777777" w:rsidR="001768E6" w:rsidRPr="00684336" w:rsidRDefault="001768E6" w:rsidP="00E7337F">
            <w:pPr>
              <w:spacing w:before="6" w:after="6"/>
              <w:jc w:val="right"/>
              <w:cnfStyle w:val="000000100000" w:firstRow="0" w:lastRow="0" w:firstColumn="0" w:lastColumn="0" w:oddVBand="0" w:evenVBand="0" w:oddHBand="1" w:evenHBand="0" w:firstRowFirstColumn="0" w:firstRowLastColumn="0" w:lastRowFirstColumn="0" w:lastRowLastColumn="0"/>
              <w:rPr>
                <w:rFonts w:ascii="Arial" w:hAnsi="Arial" w:cs="Arial"/>
                <w:sz w:val="18"/>
                <w:lang w:val="en-GB"/>
              </w:rPr>
            </w:pPr>
            <w:r w:rsidRPr="00684336">
              <w:rPr>
                <w:rFonts w:ascii="Arial" w:hAnsi="Arial" w:cs="Arial"/>
                <w:sz w:val="18"/>
                <w:lang w:val="en-GB"/>
              </w:rPr>
              <w:t>157.62</w:t>
            </w:r>
          </w:p>
        </w:tc>
      </w:tr>
      <w:tr w:rsidR="001768E6" w:rsidRPr="00684336" w14:paraId="7019CDDB" w14:textId="77777777" w:rsidTr="00E7337F">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7A79909F" w14:textId="77777777" w:rsidR="001768E6" w:rsidRPr="00684336" w:rsidRDefault="001768E6" w:rsidP="00E7337F">
            <w:pPr>
              <w:rPr>
                <w:rFonts w:ascii="Arial" w:hAnsi="Arial" w:cs="Arial"/>
                <w:sz w:val="18"/>
                <w:lang w:val="en-GB"/>
              </w:rPr>
            </w:pPr>
            <w:r w:rsidRPr="00684336">
              <w:rPr>
                <w:rFonts w:ascii="Arial" w:hAnsi="Arial" w:cs="Arial"/>
                <w:sz w:val="18"/>
                <w:lang w:val="en-GB"/>
              </w:rPr>
              <w:t>WACC</w:t>
            </w:r>
          </w:p>
        </w:tc>
        <w:tc>
          <w:tcPr>
            <w:tcW w:w="0" w:type="auto"/>
            <w:shd w:val="clear" w:color="auto" w:fill="auto"/>
            <w:vAlign w:val="center"/>
          </w:tcPr>
          <w:p w14:paraId="24AE12E2"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6.88</w:t>
            </w:r>
          </w:p>
        </w:tc>
        <w:tc>
          <w:tcPr>
            <w:tcW w:w="0" w:type="auto"/>
            <w:shd w:val="clear" w:color="auto" w:fill="auto"/>
            <w:vAlign w:val="center"/>
          </w:tcPr>
          <w:p w14:paraId="451729F7"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4.60</w:t>
            </w:r>
          </w:p>
        </w:tc>
        <w:tc>
          <w:tcPr>
            <w:tcW w:w="0" w:type="auto"/>
            <w:shd w:val="clear" w:color="auto" w:fill="auto"/>
            <w:vAlign w:val="center"/>
          </w:tcPr>
          <w:p w14:paraId="24B1B59C"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6.49</w:t>
            </w:r>
          </w:p>
        </w:tc>
        <w:tc>
          <w:tcPr>
            <w:tcW w:w="0" w:type="auto"/>
            <w:shd w:val="clear" w:color="auto" w:fill="auto"/>
            <w:vAlign w:val="center"/>
          </w:tcPr>
          <w:p w14:paraId="5090E315"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8.63</w:t>
            </w:r>
          </w:p>
        </w:tc>
        <w:tc>
          <w:tcPr>
            <w:tcW w:w="0" w:type="auto"/>
            <w:shd w:val="clear" w:color="auto" w:fill="auto"/>
            <w:vAlign w:val="center"/>
          </w:tcPr>
          <w:p w14:paraId="61648C6C"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8.29</w:t>
            </w:r>
          </w:p>
        </w:tc>
        <w:tc>
          <w:tcPr>
            <w:tcW w:w="0" w:type="auto"/>
            <w:shd w:val="clear" w:color="auto" w:fill="auto"/>
            <w:vAlign w:val="center"/>
          </w:tcPr>
          <w:p w14:paraId="696BE55F"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7.77</w:t>
            </w:r>
          </w:p>
        </w:tc>
        <w:tc>
          <w:tcPr>
            <w:tcW w:w="0" w:type="auto"/>
            <w:shd w:val="clear" w:color="auto" w:fill="auto"/>
            <w:vAlign w:val="center"/>
          </w:tcPr>
          <w:p w14:paraId="6B4B5B0E"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8.63</w:t>
            </w:r>
          </w:p>
        </w:tc>
        <w:tc>
          <w:tcPr>
            <w:tcW w:w="0" w:type="auto"/>
            <w:shd w:val="clear" w:color="auto" w:fill="auto"/>
            <w:vAlign w:val="center"/>
          </w:tcPr>
          <w:p w14:paraId="44F1175B" w14:textId="77777777" w:rsidR="001768E6" w:rsidRPr="00684336" w:rsidRDefault="001768E6" w:rsidP="00E7337F">
            <w:pPr>
              <w:spacing w:before="6" w:after="6"/>
              <w:jc w:val="right"/>
              <w:cnfStyle w:val="000000000000" w:firstRow="0" w:lastRow="0" w:firstColumn="0" w:lastColumn="0" w:oddVBand="0" w:evenVBand="0" w:oddHBand="0" w:evenHBand="0" w:firstRowFirstColumn="0" w:firstRowLastColumn="0" w:lastRowFirstColumn="0" w:lastRowLastColumn="0"/>
              <w:rPr>
                <w:rFonts w:ascii="Arial" w:hAnsi="Arial" w:cs="Arial"/>
                <w:sz w:val="18"/>
                <w:lang w:val="en-GB"/>
              </w:rPr>
            </w:pPr>
            <w:r w:rsidRPr="00684336">
              <w:rPr>
                <w:rFonts w:ascii="Arial" w:hAnsi="Arial" w:cs="Arial"/>
                <w:sz w:val="18"/>
                <w:lang w:val="en-GB"/>
              </w:rPr>
              <w:t>6.19</w:t>
            </w:r>
          </w:p>
        </w:tc>
      </w:tr>
    </w:tbl>
    <w:p w14:paraId="28FB358F" w14:textId="77777777" w:rsidR="001768E6" w:rsidRPr="00684336" w:rsidRDefault="001768E6" w:rsidP="001768E6">
      <w:pPr>
        <w:pStyle w:val="FootnoteText1"/>
        <w:rPr>
          <w:lang w:val="en-GB"/>
        </w:rPr>
      </w:pPr>
    </w:p>
    <w:p w14:paraId="4842711C" w14:textId="77777777" w:rsidR="001768E6" w:rsidRPr="00684336" w:rsidRDefault="001768E6" w:rsidP="001768E6">
      <w:pPr>
        <w:pStyle w:val="FootnoteText1"/>
        <w:rPr>
          <w:lang w:val="en-GB"/>
        </w:rPr>
      </w:pPr>
      <w:r w:rsidRPr="00684336">
        <w:rPr>
          <w:lang w:val="en-GB"/>
        </w:rPr>
        <w:t>Note: EBIT = earnings before interest and taxes; EV = enterprise value</w:t>
      </w:r>
      <w:r>
        <w:rPr>
          <w:lang w:val="en-GB"/>
        </w:rPr>
        <w:t xml:space="preserve">; WACC = weighted average cost of capital. </w:t>
      </w:r>
    </w:p>
    <w:p w14:paraId="37FA27EC" w14:textId="77777777" w:rsidR="001768E6" w:rsidRPr="00684336" w:rsidRDefault="001768E6" w:rsidP="001768E6">
      <w:pPr>
        <w:pStyle w:val="FootnoteText1"/>
        <w:rPr>
          <w:lang w:val="en-GB"/>
        </w:rPr>
      </w:pPr>
      <w:r w:rsidRPr="00684336">
        <w:rPr>
          <w:lang w:val="en-GB"/>
        </w:rPr>
        <w:t xml:space="preserve">Source: Created by the case author using data from Bloomberg </w:t>
      </w:r>
      <w:r>
        <w:rPr>
          <w:lang w:val="en-GB"/>
        </w:rPr>
        <w:t xml:space="preserve">Terminal </w:t>
      </w:r>
      <w:r w:rsidRPr="00684336">
        <w:rPr>
          <w:lang w:val="en-GB"/>
        </w:rPr>
        <w:t xml:space="preserve">and </w:t>
      </w:r>
      <w:r>
        <w:rPr>
          <w:lang w:val="en-GB"/>
        </w:rPr>
        <w:t>S&amp;P Capital IQ</w:t>
      </w:r>
      <w:r w:rsidRPr="00684336">
        <w:rPr>
          <w:lang w:val="en-GB"/>
        </w:rPr>
        <w:t>.</w:t>
      </w:r>
    </w:p>
    <w:p w14:paraId="2C183161" w14:textId="3DDF002E" w:rsidR="007938B0" w:rsidRPr="001768E6" w:rsidRDefault="007938B0" w:rsidP="001768E6">
      <w:pPr>
        <w:jc w:val="both"/>
        <w:rPr>
          <w:sz w:val="22"/>
          <w:szCs w:val="22"/>
          <w:lang w:val="en-GB"/>
        </w:rPr>
      </w:pPr>
    </w:p>
    <w:p w14:paraId="5CAC0777" w14:textId="77777777" w:rsidR="00B87DC0" w:rsidRDefault="00B87DC0" w:rsidP="00B318F2">
      <w:pPr>
        <w:pStyle w:val="BodyTextMain"/>
      </w:pPr>
    </w:p>
    <w:p w14:paraId="5EA2B778" w14:textId="77777777" w:rsidR="001768E6" w:rsidRDefault="001768E6" w:rsidP="00B318F2">
      <w:pPr>
        <w:pStyle w:val="BodyTextMain"/>
        <w:sectPr w:rsidR="001768E6" w:rsidSect="001768E6">
          <w:headerReference w:type="default" r:id="rId15"/>
          <w:pgSz w:w="15840" w:h="12240" w:orient="landscape" w:code="1"/>
          <w:pgMar w:top="1440" w:right="1440" w:bottom="1440" w:left="1440" w:header="1080" w:footer="720" w:gutter="0"/>
          <w:cols w:space="720"/>
          <w:docGrid w:linePitch="360"/>
        </w:sectPr>
      </w:pPr>
    </w:p>
    <w:p w14:paraId="39F76948" w14:textId="305A9EA7" w:rsidR="00B318F2" w:rsidRDefault="001768E6" w:rsidP="001768E6">
      <w:pPr>
        <w:pStyle w:val="Casehead1"/>
      </w:pPr>
      <w:r>
        <w:lastRenderedPageBreak/>
        <w:t>Endnotes</w:t>
      </w:r>
    </w:p>
    <w:sectPr w:rsidR="00B318F2" w:rsidSect="001768E6">
      <w:headerReference w:type="default" r:id="rId16"/>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E7337F" w:rsidRDefault="00E7337F" w:rsidP="00D75295">
      <w:r>
        <w:separator/>
      </w:r>
    </w:p>
  </w:endnote>
  <w:endnote w:type="continuationSeparator" w:id="0">
    <w:p w14:paraId="6B71D05B" w14:textId="77777777" w:rsidR="00E7337F" w:rsidRDefault="00E7337F" w:rsidP="00D75295">
      <w:r>
        <w:continuationSeparator/>
      </w:r>
    </w:p>
  </w:endnote>
  <w:endnote w:id="1">
    <w:p w14:paraId="4690B686" w14:textId="1D56C9F0" w:rsidR="00E7337F" w:rsidRPr="009F1077" w:rsidRDefault="00E7337F" w:rsidP="009F1077">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Greentown China Holdings or any of its employees.</w:t>
      </w:r>
    </w:p>
  </w:endnote>
  <w:endnote w:id="2">
    <w:p w14:paraId="7EB0AB0F"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Daniel Ren, “Greentown China Boss Song Weiping Blasts ‘Stupid’ Policymakers,” </w:t>
      </w:r>
      <w:r w:rsidRPr="00684336">
        <w:rPr>
          <w:i/>
          <w:lang w:val="en-GB"/>
        </w:rPr>
        <w:t>South China Morning Post</w:t>
      </w:r>
      <w:r w:rsidRPr="00684336">
        <w:rPr>
          <w:lang w:val="en-GB"/>
        </w:rPr>
        <w:t>, May 24, 2014, accessed August 8, 2018, www.scmp.com/property/hong-kong-china/article/1519186/greentown-china-boss-song-weiping-blasts-stupid.</w:t>
      </w:r>
    </w:p>
  </w:endnote>
  <w:endnote w:id="3">
    <w:p w14:paraId="5A9F65FE"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Frank Chen, “</w:t>
      </w:r>
      <w:r w:rsidRPr="00E477D9">
        <w:rPr>
          <w:lang w:val="en-GB"/>
        </w:rPr>
        <w:t>The Real Reason Why Greentown Founder Has Bowed Out</w:t>
      </w:r>
      <w:r w:rsidRPr="00684336">
        <w:rPr>
          <w:lang w:val="en-GB"/>
        </w:rPr>
        <w:t>,” Ejinsight, May 26, 2014, accessed August 7, 2018, www.ejinsight.com/20140526-greentowns-song-talks-about-his-pullback/.</w:t>
      </w:r>
    </w:p>
  </w:endnote>
  <w:endnote w:id="4">
    <w:p w14:paraId="3018B1BE"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Michael Cole, “Find Out Which Developer Led China’s Top 10 for 2014,” Mingtiandi, January 6, 2015, accessed August 8, 2018, www.mingtiandi.com/real-estate/finance-real-estate/find-out-which-developer-leads-chinas-top-10-for-2014/.</w:t>
      </w:r>
    </w:p>
  </w:endnote>
  <w:endnote w:id="5">
    <w:p w14:paraId="3E679227" w14:textId="77777777" w:rsidR="00E7337F" w:rsidRPr="00D97491" w:rsidRDefault="00E7337F" w:rsidP="00DF0333">
      <w:pPr>
        <w:pStyle w:val="FootnoteText1"/>
        <w:rPr>
          <w:spacing w:val="-4"/>
        </w:rPr>
      </w:pPr>
      <w:r w:rsidRPr="00D97491">
        <w:rPr>
          <w:rStyle w:val="EndnoteReference"/>
          <w:spacing w:val="-4"/>
        </w:rPr>
        <w:endnoteRef/>
      </w:r>
      <w:r w:rsidRPr="00D97491">
        <w:rPr>
          <w:spacing w:val="-4"/>
        </w:rPr>
        <w:t xml:space="preserve"> “Parties acting in concert” were people who co-operated to obtain or consolidate control of a company through their voting rights in the company. Securities and Futures Commission, The Codes on Takeovers and Mergers and Share Repurchases, 1992, accessed August 8, 2018, www.sfc.hk/web/EN/assets/components/codes/files-previous/web/codes/the-codes-on-takeovers-and-mergers-and-share-buy-backs/The%20Codes%20on%20Takeovers%20and%20Mergers%20and%20Share%20Buy-backs%20-%202010-06-25%2000:00:00.pdf. </w:t>
      </w:r>
    </w:p>
  </w:endnote>
  <w:endnote w:id="6">
    <w:p w14:paraId="265EAAA0"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According to the Stock Exchange of Hong Kong’s listing rules, “controlling shareholders” were any persons who held at least 30 per cent of voting power or controlled the majority of seats on the board of directors. Since Song’s family and Shou were parties acting in concert, with their combined 42.9 per cent voting rights in Greentown, they were deemed to be controlling shareholders. The Stock Exchange of Hong Kong Limited, </w:t>
      </w:r>
      <w:r w:rsidRPr="00684336">
        <w:rPr>
          <w:i/>
          <w:lang w:val="en-GB"/>
        </w:rPr>
        <w:t>Consolidated Main Board Listing Rules</w:t>
      </w:r>
      <w:r w:rsidRPr="00684336">
        <w:rPr>
          <w:lang w:val="en-GB"/>
        </w:rPr>
        <w:t>, accessed August 8, 2018, http://en-rules.hkex.com.hk/net_file_store/new_rulebooks/c/o/consol_mb.pdf.</w:t>
      </w:r>
    </w:p>
  </w:endnote>
  <w:endnote w:id="7">
    <w:p w14:paraId="18C48868" w14:textId="77777777" w:rsidR="00E7337F" w:rsidRPr="0056619B" w:rsidRDefault="00E7337F" w:rsidP="00DF0333">
      <w:pPr>
        <w:pStyle w:val="Footnote"/>
        <w:rPr>
          <w:spacing w:val="-2"/>
          <w:lang w:val="en-GB"/>
        </w:rPr>
      </w:pPr>
      <w:r w:rsidRPr="0056619B">
        <w:rPr>
          <w:rStyle w:val="EndnoteReference"/>
          <w:spacing w:val="-2"/>
          <w:lang w:val="en-GB"/>
        </w:rPr>
        <w:endnoteRef/>
      </w:r>
      <w:r w:rsidRPr="0056619B">
        <w:rPr>
          <w:spacing w:val="-2"/>
          <w:lang w:val="en-GB"/>
        </w:rPr>
        <w:t xml:space="preserve"> HK$ = HKD = Hong Kong dollars; US$1 = HK$7.75 on May 1, 2014; Data from Yahoo! Finance, accessed November 19, 2018.</w:t>
      </w:r>
    </w:p>
  </w:endnote>
  <w:endnote w:id="8">
    <w:p w14:paraId="46B1ADCF" w14:textId="38CE570B"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w:t>
      </w:r>
      <w:r w:rsidRPr="00387AF6">
        <w:rPr>
          <w:lang w:val="en-GB"/>
        </w:rPr>
        <w:t>Fan</w:t>
      </w:r>
      <w:r w:rsidRPr="00387AF6">
        <w:rPr>
          <w:rFonts w:ascii="Cambria Math" w:hAnsi="Cambria Math" w:cs="Cambria Math"/>
          <w:lang w:val="en-GB"/>
        </w:rPr>
        <w:t>‐</w:t>
      </w:r>
      <w:r w:rsidRPr="00387AF6">
        <w:rPr>
          <w:lang w:val="en-GB"/>
        </w:rPr>
        <w:t>yu Meng</w:t>
      </w:r>
      <w:r>
        <w:rPr>
          <w:lang w:val="en-GB"/>
        </w:rPr>
        <w:t xml:space="preserve"> et al., </w:t>
      </w:r>
      <w:r w:rsidRPr="00684336">
        <w:rPr>
          <w:lang w:val="en-GB"/>
        </w:rPr>
        <w:t>“</w:t>
      </w:r>
      <w:r w:rsidRPr="00387AF6">
        <w:rPr>
          <w:lang w:val="en-GB"/>
        </w:rPr>
        <w:t>Economical Housing Provision in China (1998–2002)</w:t>
      </w:r>
      <w:r>
        <w:rPr>
          <w:lang w:val="en-GB"/>
        </w:rPr>
        <w:t>: A</w:t>
      </w:r>
      <w:r w:rsidRPr="00387AF6">
        <w:rPr>
          <w:lang w:val="en-GB"/>
        </w:rPr>
        <w:t xml:space="preserve"> Case Study of Beijing</w:t>
      </w:r>
      <w:r>
        <w:rPr>
          <w:lang w:val="en-GB"/>
        </w:rPr>
        <w:t>,</w:t>
      </w:r>
      <w:r w:rsidRPr="00684336">
        <w:rPr>
          <w:lang w:val="en-GB"/>
        </w:rPr>
        <w:t xml:space="preserve">” </w:t>
      </w:r>
      <w:r w:rsidRPr="000A5C45">
        <w:rPr>
          <w:i/>
          <w:lang w:val="en-GB"/>
        </w:rPr>
        <w:t>International Journal of Strategic Property Management</w:t>
      </w:r>
      <w:r w:rsidRPr="00684336">
        <w:rPr>
          <w:lang w:val="en-GB"/>
        </w:rPr>
        <w:t xml:space="preserve"> 8, </w:t>
      </w:r>
      <w:r>
        <w:rPr>
          <w:lang w:val="en-GB"/>
        </w:rPr>
        <w:t xml:space="preserve">no. 2 (2004): </w:t>
      </w:r>
      <w:r w:rsidRPr="00684336">
        <w:rPr>
          <w:lang w:val="en-GB"/>
        </w:rPr>
        <w:t>87</w:t>
      </w:r>
      <w:r>
        <w:rPr>
          <w:lang w:val="en-GB"/>
        </w:rPr>
        <w:t>–</w:t>
      </w:r>
      <w:r w:rsidRPr="00684336">
        <w:rPr>
          <w:lang w:val="en-GB"/>
        </w:rPr>
        <w:t>104.</w:t>
      </w:r>
    </w:p>
  </w:endnote>
  <w:endnote w:id="9">
    <w:p w14:paraId="2965C899" w14:textId="5EEE143D"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Besides private housing, there were several types of social housing available in China, which were fully or partly subsidized, namely economically affordable housing, low-rent housing, public rental housing, and shanty-town resettlements. This case focuses on the private housing segment, which was also the primary focus for property developers.</w:t>
      </w:r>
    </w:p>
  </w:endnote>
  <w:endnote w:id="10">
    <w:p w14:paraId="40CD6CB9" w14:textId="77777777" w:rsidR="00E7337F" w:rsidRPr="0084117C" w:rsidRDefault="00E7337F" w:rsidP="00DF0333">
      <w:pPr>
        <w:pStyle w:val="FootnoteText1"/>
        <w:rPr>
          <w:spacing w:val="-2"/>
          <w:lang w:val="en-GB"/>
        </w:rPr>
      </w:pPr>
      <w:r w:rsidRPr="0084117C">
        <w:rPr>
          <w:rStyle w:val="EndnoteReference"/>
          <w:spacing w:val="-2"/>
          <w:sz w:val="18"/>
          <w:lang w:val="en-GB"/>
        </w:rPr>
        <w:endnoteRef/>
      </w:r>
      <w:r w:rsidRPr="0084117C">
        <w:rPr>
          <w:spacing w:val="-2"/>
          <w:lang w:val="en-GB"/>
        </w:rPr>
        <w:t xml:space="preserve"> “Per Capita Living Space in China in Urban and Rural Areas from 2002 to 2012 (in Square Meters),” Statista, September 2014, accessed August 8, 2018, www.statista.com/statistics/225016/per-capita-living-space-in-china-in-urban-and-rural-areas/.</w:t>
      </w:r>
    </w:p>
  </w:endnote>
  <w:endnote w:id="11">
    <w:p w14:paraId="23D0D890" w14:textId="77777777" w:rsidR="00E7337F" w:rsidRPr="0084117C" w:rsidRDefault="00E7337F" w:rsidP="00DF0333">
      <w:pPr>
        <w:pStyle w:val="FootnoteText1"/>
        <w:rPr>
          <w:spacing w:val="-4"/>
          <w:lang w:val="en-GB"/>
        </w:rPr>
      </w:pPr>
      <w:r w:rsidRPr="0084117C">
        <w:rPr>
          <w:rStyle w:val="EndnoteReference"/>
          <w:spacing w:val="-4"/>
          <w:lang w:val="en-GB"/>
        </w:rPr>
        <w:endnoteRef/>
      </w:r>
      <w:r w:rsidRPr="0084117C">
        <w:rPr>
          <w:spacing w:val="-4"/>
          <w:lang w:val="en-GB"/>
        </w:rPr>
        <w:t xml:space="preserve"> Alidad Vassigh and Tann vom Hove, “Urbanisation in Selected Countries between 1050 and 2030,” City Mayors Statistics, August 7, 2012 accessed November 19, 2018, www.citymayors.com/statistics/urban-population-intro.html#Anchor-Urbanisation-49575; Karen C. Seto, “What Should We Understand About Urbanization in China?,” Yale Insights, November 1, 2013, accessed November 19, 2018, https://insights.som.yale.edu/insights/what-should-we-understand-about-urbanization-in-china.</w:t>
      </w:r>
    </w:p>
  </w:endnote>
  <w:endnote w:id="12">
    <w:p w14:paraId="1E10E09C" w14:textId="77777777" w:rsidR="00E7337F" w:rsidRDefault="00E7337F" w:rsidP="00DF0333">
      <w:pPr>
        <w:pStyle w:val="FootnoteText1"/>
        <w:rPr>
          <w:lang w:val="en-GB"/>
        </w:rPr>
      </w:pPr>
      <w:r w:rsidRPr="00684336">
        <w:rPr>
          <w:rStyle w:val="EndnoteReference"/>
          <w:lang w:val="en-GB"/>
        </w:rPr>
        <w:endnoteRef/>
      </w:r>
      <w:r w:rsidRPr="00684336">
        <w:rPr>
          <w:lang w:val="en-GB"/>
        </w:rPr>
        <w:t xml:space="preserve"> </w:t>
      </w:r>
      <w:r>
        <w:rPr>
          <w:lang w:val="en-GB"/>
        </w:rPr>
        <w:t xml:space="preserve">Société Générale, Economic Studies Department, </w:t>
      </w:r>
      <w:r w:rsidRPr="00684336">
        <w:rPr>
          <w:lang w:val="en-GB"/>
        </w:rPr>
        <w:t xml:space="preserve">“China: Housing Property Prices: Failing to See the Forest for the Trees,” </w:t>
      </w:r>
      <w:r>
        <w:rPr>
          <w:i/>
          <w:lang w:val="en-GB"/>
        </w:rPr>
        <w:t>ECONOTE,</w:t>
      </w:r>
      <w:r w:rsidRPr="00684336">
        <w:rPr>
          <w:lang w:val="en-GB"/>
        </w:rPr>
        <w:t xml:space="preserve"> 14, April 2013, accessed August 8, 2018, </w:t>
      </w:r>
      <w:r w:rsidRPr="00D97491">
        <w:rPr>
          <w:lang w:val="en-GB"/>
        </w:rPr>
        <w:t>www.societegenerale.com/sites/default/files/documents/Eco</w:t>
      </w:r>
    </w:p>
    <w:p w14:paraId="0885816A" w14:textId="77777777" w:rsidR="00E7337F" w:rsidRPr="00684336" w:rsidRDefault="00E7337F" w:rsidP="00DF0333">
      <w:pPr>
        <w:pStyle w:val="FootnoteText1"/>
        <w:rPr>
          <w:lang w:val="en-GB"/>
        </w:rPr>
      </w:pPr>
      <w:r w:rsidRPr="00684336">
        <w:rPr>
          <w:lang w:val="en-GB"/>
        </w:rPr>
        <w:t>note/130405%20Econote14_CN_Immo_EN.pdf.</w:t>
      </w:r>
    </w:p>
  </w:endnote>
  <w:endnote w:id="13">
    <w:p w14:paraId="04C27097" w14:textId="77777777" w:rsidR="00E7337F" w:rsidRPr="00684336" w:rsidRDefault="00E7337F" w:rsidP="00DF0333">
      <w:pPr>
        <w:pStyle w:val="FootnoteText1"/>
        <w:rPr>
          <w:lang w:val="en-GB"/>
        </w:rPr>
      </w:pPr>
      <w:r w:rsidRPr="00684336">
        <w:rPr>
          <w:rStyle w:val="EndnoteReference"/>
          <w:sz w:val="18"/>
          <w:lang w:val="en-GB"/>
        </w:rPr>
        <w:endnoteRef/>
      </w:r>
      <w:r w:rsidRPr="00684336">
        <w:rPr>
          <w:lang w:val="en-GB"/>
        </w:rPr>
        <w:t xml:space="preserve"> “Home Ownership Rate,” Trading Economics, accessed August 8, 2018, https://tradingeconomics.com/country-list/home-ownership-rate.</w:t>
      </w:r>
    </w:p>
  </w:endnote>
  <w:endnote w:id="14">
    <w:p w14:paraId="3266035C"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“China GDP,” CEIC Data, accessed August 7, 2018, www.ceicdata.com/en/china/gross-domestic-product-quarterly/gdp. </w:t>
      </w:r>
    </w:p>
  </w:endnote>
  <w:endnote w:id="15">
    <w:p w14:paraId="0E9BA43C"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Sumeet Chatterjee and Patturaja Murugaboopathy, “Property Loans, the Glass Chin of China Banks,” </w:t>
      </w:r>
      <w:r>
        <w:rPr>
          <w:lang w:val="en-GB"/>
        </w:rPr>
        <w:t>Reuters,</w:t>
      </w:r>
      <w:r w:rsidRPr="00684336">
        <w:rPr>
          <w:lang w:val="en-GB"/>
        </w:rPr>
        <w:t xml:space="preserve"> May 24, 2016, accessed November 19, 2018, www.reuters.com/article/us-china-banks-realestate-idUSKCN0YG05Z accessed November 19, 2018.</w:t>
      </w:r>
    </w:p>
  </w:endnote>
  <w:endnote w:id="16">
    <w:p w14:paraId="03F8540A" w14:textId="77777777" w:rsidR="00E7337F" w:rsidRPr="00684336" w:rsidRDefault="00E7337F" w:rsidP="00DF0333">
      <w:pPr>
        <w:pStyle w:val="FootnoteText1"/>
        <w:rPr>
          <w:lang w:val="en-GB"/>
        </w:rPr>
      </w:pPr>
      <w:r w:rsidRPr="00684336">
        <w:rPr>
          <w:rStyle w:val="EndnoteReference"/>
          <w:sz w:val="18"/>
          <w:lang w:val="en-GB"/>
        </w:rPr>
        <w:endnoteRef/>
      </w:r>
      <w:r w:rsidRPr="00684336">
        <w:rPr>
          <w:lang w:val="en-GB"/>
        </w:rPr>
        <w:t xml:space="preserve"> Alexander Cooper and Arianna Cowling, “China’s Property Sector,” </w:t>
      </w:r>
      <w:r w:rsidRPr="000A5C45">
        <w:rPr>
          <w:i/>
          <w:lang w:val="en-GB"/>
        </w:rPr>
        <w:t>Reserve Bank of Australia Bulletin</w:t>
      </w:r>
      <w:r w:rsidRPr="00684336">
        <w:rPr>
          <w:lang w:val="en-GB"/>
        </w:rPr>
        <w:t xml:space="preserve">, </w:t>
      </w:r>
      <w:r>
        <w:rPr>
          <w:lang w:val="en-GB"/>
        </w:rPr>
        <w:t xml:space="preserve">p. 50, </w:t>
      </w:r>
      <w:r w:rsidRPr="00684336">
        <w:rPr>
          <w:lang w:val="en-GB"/>
        </w:rPr>
        <w:t>March 2015, accessed August 8, 2018, www.rba.gov.au/publications/bulletin/2015/mar/pdf/bu-0315-5.pdf</w:t>
      </w:r>
      <w:r>
        <w:rPr>
          <w:lang w:val="en-GB"/>
        </w:rPr>
        <w:t>.</w:t>
      </w:r>
      <w:r w:rsidRPr="00684336">
        <w:rPr>
          <w:lang w:val="en-GB"/>
        </w:rPr>
        <w:t xml:space="preserve"> </w:t>
      </w:r>
    </w:p>
  </w:endnote>
  <w:endnote w:id="17">
    <w:p w14:paraId="68BCA69F" w14:textId="77777777" w:rsidR="00E7337F" w:rsidRPr="00D97491" w:rsidRDefault="00E7337F" w:rsidP="00DF0333">
      <w:pPr>
        <w:pStyle w:val="FootnoteText1"/>
        <w:rPr>
          <w:spacing w:val="-2"/>
          <w:lang w:val="en-GB"/>
        </w:rPr>
      </w:pPr>
      <w:r w:rsidRPr="00D97491">
        <w:rPr>
          <w:rStyle w:val="EndnoteReference"/>
          <w:spacing w:val="-2"/>
          <w:sz w:val="18"/>
          <w:lang w:val="en-GB"/>
        </w:rPr>
        <w:endnoteRef/>
      </w:r>
      <w:r w:rsidRPr="00D97491">
        <w:rPr>
          <w:spacing w:val="-2"/>
          <w:lang w:val="en-GB"/>
        </w:rPr>
        <w:t xml:space="preserve"> Li-Gang Liu, “Is China’s Property Market Heading toward Collapse?,” Policy Brief Number PB14-21, Peterson Institute for International Economics, Washington, DC, August 2014, 16, accessed August 8, 2018, https://piie.com/publications/pb/pb14-21.pdf.</w:t>
      </w:r>
    </w:p>
  </w:endnote>
  <w:endnote w:id="18">
    <w:p w14:paraId="28511B4C"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Cooper and Cowling, </w:t>
      </w:r>
      <w:r>
        <w:rPr>
          <w:lang w:val="en-GB"/>
        </w:rPr>
        <w:t>op. cit.</w:t>
      </w:r>
    </w:p>
  </w:endnote>
  <w:endnote w:id="19">
    <w:p w14:paraId="4A90FDE9"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Esther Fung, “China’s Property Market Fueled Growth in 2013, </w:t>
      </w:r>
      <w:r w:rsidRPr="000A5C45">
        <w:rPr>
          <w:i/>
          <w:lang w:val="en-GB"/>
        </w:rPr>
        <w:t>The Wall Street Journal</w:t>
      </w:r>
      <w:r w:rsidRPr="00684336">
        <w:rPr>
          <w:lang w:val="en-GB"/>
        </w:rPr>
        <w:t>, January 20, 2014, accessed November 19, 2018, https://blogs.wsj.com/chinarealtime/2014/01/20/chinas-property-market-fueled-growth-in-2013/.</w:t>
      </w:r>
    </w:p>
  </w:endnote>
  <w:endnote w:id="20">
    <w:p w14:paraId="3769C28A"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Major Tian, “Real Estate in China: </w:t>
      </w:r>
      <w:r>
        <w:rPr>
          <w:lang w:val="en-GB"/>
        </w:rPr>
        <w:t>The</w:t>
      </w:r>
      <w:r w:rsidRPr="00684336">
        <w:rPr>
          <w:lang w:val="en-GB"/>
        </w:rPr>
        <w:t xml:space="preserve"> Good, the Bad and the Ugly, CKGSB Knowledge, July 8, 2014, accessed December 17, 2018, http://knowledge.ckgsb.edu.cn/2014/07/08/china/real-estate-in-china-the-good-the-bad-and-the-ugly/</w:t>
      </w:r>
      <w:r>
        <w:rPr>
          <w:lang w:val="en-GB"/>
        </w:rPr>
        <w:t>.</w:t>
      </w:r>
    </w:p>
  </w:endnote>
  <w:endnote w:id="21">
    <w:p w14:paraId="6F58FB60"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Linda Yueh, “</w:t>
      </w:r>
      <w:r w:rsidRPr="00A30EBB">
        <w:rPr>
          <w:lang w:val="en-GB"/>
        </w:rPr>
        <w:t>China’s Economy Grows 7.4% in 2014 Q1, Better than Forecast</w:t>
      </w:r>
      <w:r w:rsidRPr="00684336">
        <w:rPr>
          <w:lang w:val="en-GB"/>
        </w:rPr>
        <w:t>,</w:t>
      </w:r>
      <w:r>
        <w:rPr>
          <w:lang w:val="en-GB"/>
        </w:rPr>
        <w:t>”</w:t>
      </w:r>
      <w:r w:rsidRPr="00684336">
        <w:rPr>
          <w:lang w:val="en-GB"/>
        </w:rPr>
        <w:t xml:space="preserve"> BBC News, April 16, 2014, accessed December 17, 2018, www.bbc.com/news/business-27045527</w:t>
      </w:r>
      <w:r>
        <w:rPr>
          <w:lang w:val="en-GB"/>
        </w:rPr>
        <w:t>.</w:t>
      </w:r>
    </w:p>
  </w:endnote>
  <w:endnote w:id="22">
    <w:p w14:paraId="43B08A82"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Tian, </w:t>
      </w:r>
      <w:r>
        <w:rPr>
          <w:lang w:val="en-GB"/>
        </w:rPr>
        <w:t xml:space="preserve">op. cit. </w:t>
      </w:r>
    </w:p>
  </w:endnote>
  <w:endnote w:id="23">
    <w:p w14:paraId="66BE87FF" w14:textId="77777777" w:rsidR="00E7337F" w:rsidRPr="00684336" w:rsidRDefault="00E7337F" w:rsidP="00DF0333">
      <w:pPr>
        <w:pStyle w:val="FootnoteText1"/>
        <w:rPr>
          <w:lang w:val="en-GB"/>
        </w:rPr>
      </w:pPr>
      <w:r w:rsidRPr="00684336">
        <w:rPr>
          <w:rStyle w:val="EndnoteReference"/>
          <w:lang w:val="en-GB"/>
        </w:rPr>
        <w:endnoteRef/>
      </w:r>
      <w:r w:rsidRPr="00684336">
        <w:rPr>
          <w:lang w:val="en-GB" w:eastAsia="zh-CN"/>
        </w:rPr>
        <w:t>Song was born in June 1958</w:t>
      </w:r>
      <w:r>
        <w:rPr>
          <w:lang w:val="en-GB" w:eastAsia="zh-CN"/>
        </w:rPr>
        <w:t>,</w:t>
      </w:r>
      <w:r w:rsidRPr="00684336">
        <w:rPr>
          <w:lang w:val="en-GB" w:eastAsia="zh-CN"/>
        </w:rPr>
        <w:t xml:space="preserve"> according to Greentown China’s official website</w:t>
      </w:r>
      <w:r>
        <w:rPr>
          <w:lang w:val="en-GB" w:eastAsia="zh-CN"/>
        </w:rPr>
        <w:t>.</w:t>
      </w:r>
      <w:r w:rsidRPr="00684336">
        <w:rPr>
          <w:lang w:val="en-GB" w:eastAsia="zh-CN"/>
        </w:rPr>
        <w:t xml:space="preserve"> </w:t>
      </w:r>
      <w:r>
        <w:rPr>
          <w:lang w:val="en-GB" w:eastAsia="zh-CN"/>
        </w:rPr>
        <w:t xml:space="preserve">“About Us,” Greentown China Holdings Limited, </w:t>
      </w:r>
      <w:r w:rsidRPr="00684336">
        <w:rPr>
          <w:lang w:val="en-GB" w:eastAsia="zh-CN"/>
        </w:rPr>
        <w:t xml:space="preserve">accessed December 17, 2018 </w:t>
      </w:r>
      <w:r w:rsidRPr="00684336">
        <w:rPr>
          <w:lang w:val="en-GB"/>
        </w:rPr>
        <w:t xml:space="preserve">www.greentownchina.com/en/about/songweiping.php. </w:t>
      </w:r>
    </w:p>
  </w:endnote>
  <w:endnote w:id="24">
    <w:p w14:paraId="36743B9F"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“Weiping Song,” Prabook, accessed August 8, 2018, https://prabook.com/web/#!profile/1719976.</w:t>
      </w:r>
    </w:p>
  </w:endnote>
  <w:endnote w:id="25">
    <w:p w14:paraId="24201183"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Song, Xia</w:t>
      </w:r>
      <w:r>
        <w:rPr>
          <w:lang w:val="en-GB"/>
        </w:rPr>
        <w:t>,</w:t>
      </w:r>
      <w:r w:rsidRPr="00684336">
        <w:rPr>
          <w:lang w:val="en-GB"/>
        </w:rPr>
        <w:t xml:space="preserve"> and Shou were parties acting in concert. See page 78 in Greentown </w:t>
      </w:r>
      <w:r>
        <w:rPr>
          <w:lang w:val="en-GB"/>
        </w:rPr>
        <w:t xml:space="preserve">Service Group Cp. Ltd., </w:t>
      </w:r>
      <w:r w:rsidRPr="000A5C45">
        <w:rPr>
          <w:i/>
          <w:lang w:val="en-GB"/>
        </w:rPr>
        <w:t>Global Offering</w:t>
      </w:r>
      <w:r w:rsidRPr="00684336">
        <w:rPr>
          <w:lang w:val="en-GB"/>
        </w:rPr>
        <w:t>, accessed December 17, 2018,</w:t>
      </w:r>
      <w:r>
        <w:rPr>
          <w:rStyle w:val="Hyperlink"/>
          <w:color w:val="auto"/>
          <w:u w:val="none"/>
          <w:lang w:val="en-GB"/>
        </w:rPr>
        <w:t xml:space="preserve"> </w:t>
      </w:r>
      <w:r w:rsidRPr="00684336">
        <w:rPr>
          <w:rStyle w:val="Hyperlink"/>
          <w:color w:val="auto"/>
          <w:u w:val="none"/>
          <w:lang w:val="en-GB"/>
        </w:rPr>
        <w:t>www.hkexnews.hk/listedco/listconews/sehk/2016/0628/LTN20160628023.pdf</w:t>
      </w:r>
      <w:r>
        <w:rPr>
          <w:rStyle w:val="Hyperlink"/>
          <w:color w:val="auto"/>
          <w:u w:val="none"/>
          <w:lang w:val="en-GB"/>
        </w:rPr>
        <w:t>.</w:t>
      </w:r>
    </w:p>
  </w:endnote>
  <w:endnote w:id="26">
    <w:p w14:paraId="7D4CA4C1" w14:textId="77777777" w:rsidR="00E7337F" w:rsidRPr="00684336" w:rsidRDefault="00E7337F" w:rsidP="00DF0333">
      <w:pPr>
        <w:pStyle w:val="FootnoteText1"/>
        <w:rPr>
          <w:lang w:val="en-GB"/>
        </w:rPr>
      </w:pPr>
      <w:r w:rsidRPr="00684336">
        <w:rPr>
          <w:rStyle w:val="EndnoteReference"/>
          <w:lang w:val="en-GB"/>
        </w:rPr>
        <w:endnoteRef/>
      </w:r>
      <w:r>
        <w:rPr>
          <w:lang w:val="en-GB"/>
        </w:rPr>
        <w:t xml:space="preserve"> </w:t>
      </w:r>
      <w:r w:rsidRPr="00684336">
        <w:rPr>
          <w:lang w:val="en-GB" w:eastAsia="zh-CN"/>
        </w:rPr>
        <w:t>“The Ten Years of the Defender Song Weiping</w:t>
      </w:r>
      <w:r>
        <w:rPr>
          <w:lang w:val="en-GB" w:eastAsia="zh-CN"/>
        </w:rPr>
        <w:t>,</w:t>
      </w:r>
      <w:r w:rsidRPr="00684336">
        <w:rPr>
          <w:lang w:val="en-GB" w:eastAsia="zh-CN"/>
        </w:rPr>
        <w:t xml:space="preserve">” China Enterprises News, November 2011, accessed December 17, 2018, </w:t>
      </w:r>
      <w:r w:rsidRPr="00684336">
        <w:rPr>
          <w:lang w:val="en-GB"/>
        </w:rPr>
        <w:t>http://finance.ifeng.com/leadership/jdrw/20111122/5112295.shtml.</w:t>
      </w:r>
    </w:p>
  </w:endnote>
  <w:endnote w:id="27">
    <w:p w14:paraId="00597BF9" w14:textId="77777777" w:rsidR="00E7337F" w:rsidRPr="00684336" w:rsidRDefault="00E7337F" w:rsidP="00DF0333">
      <w:pPr>
        <w:pStyle w:val="FootnoteText1"/>
        <w:rPr>
          <w:lang w:val="en-GB"/>
        </w:rPr>
      </w:pPr>
      <w:r w:rsidRPr="00684336">
        <w:rPr>
          <w:rStyle w:val="EndnoteReference"/>
          <w:lang w:val="en-GB"/>
        </w:rPr>
        <w:endnoteRef/>
      </w:r>
      <w:r>
        <w:rPr>
          <w:lang w:val="en-GB"/>
        </w:rPr>
        <w:t xml:space="preserve"> Greentown China Holdings Limited, </w:t>
      </w:r>
      <w:r w:rsidRPr="000A5C45">
        <w:rPr>
          <w:i/>
          <w:lang w:val="en-GB"/>
        </w:rPr>
        <w:t>Annual Report 2014</w:t>
      </w:r>
      <w:r>
        <w:rPr>
          <w:lang w:val="en-GB"/>
        </w:rPr>
        <w:t>,</w:t>
      </w:r>
      <w:r w:rsidRPr="00684336">
        <w:rPr>
          <w:lang w:val="en-GB"/>
        </w:rPr>
        <w:t xml:space="preserve"> accessed December 17, 2018, http://file.irasia.com/listco/hk/greentownchina/annual/2014/ar2014.pdf</w:t>
      </w:r>
      <w:r>
        <w:rPr>
          <w:lang w:val="en-GB"/>
        </w:rPr>
        <w:t>.</w:t>
      </w:r>
      <w:r w:rsidRPr="00684336">
        <w:rPr>
          <w:lang w:val="en-GB"/>
        </w:rPr>
        <w:t xml:space="preserve"> </w:t>
      </w:r>
    </w:p>
  </w:endnote>
  <w:endnote w:id="28">
    <w:p w14:paraId="03F5BCAD" w14:textId="77777777" w:rsidR="00E7337F" w:rsidRPr="00D97491" w:rsidRDefault="00E7337F" w:rsidP="00DF0333">
      <w:pPr>
        <w:pStyle w:val="FootnoteText1"/>
        <w:rPr>
          <w:spacing w:val="-2"/>
          <w:lang w:val="en-GB"/>
        </w:rPr>
      </w:pPr>
      <w:r w:rsidRPr="00D97491">
        <w:rPr>
          <w:rStyle w:val="EndnoteReference"/>
          <w:spacing w:val="-2"/>
          <w:lang w:val="en-GB"/>
        </w:rPr>
        <w:endnoteRef/>
      </w:r>
      <w:r w:rsidRPr="00D97491">
        <w:rPr>
          <w:spacing w:val="-2"/>
          <w:lang w:val="en-GB"/>
        </w:rPr>
        <w:t xml:space="preserve"> Luo Tao, “Greentown Co-founder Quits Developer, Sells Entire Stake for USD269 Million,” YiCai Global, January 30, 2018, accessed August 8, 2018, www.yicaiglobal.com/news/co-founder-sells-his-8-stake-greentown-resigns-executive-director.</w:t>
      </w:r>
    </w:p>
  </w:endnote>
  <w:endnote w:id="29">
    <w:p w14:paraId="0553FBB0"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Greentown</w:t>
      </w:r>
      <w:r>
        <w:rPr>
          <w:lang w:val="en-GB"/>
        </w:rPr>
        <w:t xml:space="preserve"> China Holdings Limited,</w:t>
      </w:r>
      <w:r w:rsidRPr="00684336">
        <w:rPr>
          <w:lang w:val="en-GB"/>
        </w:rPr>
        <w:t xml:space="preserve"> </w:t>
      </w:r>
      <w:r w:rsidRPr="000A5C45">
        <w:rPr>
          <w:i/>
          <w:lang w:val="en-GB"/>
        </w:rPr>
        <w:t>2013 Interim Report</w:t>
      </w:r>
      <w:r w:rsidRPr="00684336">
        <w:rPr>
          <w:lang w:val="en-GB"/>
        </w:rPr>
        <w:t xml:space="preserve">, accessed December 17, 2018, http://file.irasia.com/listco/hk/greentownchina/interim/2013/intrep.pdf. </w:t>
      </w:r>
    </w:p>
  </w:endnote>
  <w:endnote w:id="30">
    <w:p w14:paraId="01EB51B0"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Demystifying Song Weiping's Financing History: Greentown China's Leveraged Survival</w:t>
      </w:r>
      <w:r>
        <w:rPr>
          <w:lang w:val="en-GB"/>
        </w:rPr>
        <w:t>,</w:t>
      </w:r>
      <w:r w:rsidRPr="00684336">
        <w:rPr>
          <w:lang w:val="en-GB"/>
        </w:rPr>
        <w:t>” New Fortune</w:t>
      </w:r>
      <w:r w:rsidRPr="00684336">
        <w:rPr>
          <w:rFonts w:ascii="PMingLiU" w:eastAsia="PMingLiU" w:hAnsi="PMingLiU" w:cs="PMingLiU"/>
          <w:lang w:val="en-GB" w:eastAsia="zh-CN"/>
        </w:rPr>
        <w:t>,</w:t>
      </w:r>
      <w:r w:rsidRPr="00684336">
        <w:rPr>
          <w:lang w:val="en-GB"/>
        </w:rPr>
        <w:t xml:space="preserve"> January 2011, accessed December 17, 2018, http://news.winshang.com/html/010/6407.html.</w:t>
      </w:r>
    </w:p>
  </w:endnote>
  <w:endnote w:id="31">
    <w:p w14:paraId="3BA989D2"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Tao,</w:t>
      </w:r>
      <w:r>
        <w:rPr>
          <w:lang w:val="en-GB"/>
        </w:rPr>
        <w:t xml:space="preserve"> op. cit.</w:t>
      </w:r>
    </w:p>
  </w:endnote>
  <w:endnote w:id="32">
    <w:p w14:paraId="721921F1"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w:t>
      </w:r>
      <w:r>
        <w:rPr>
          <w:lang w:val="en-GB"/>
        </w:rPr>
        <w:t>CICC Research</w:t>
      </w:r>
      <w:r w:rsidRPr="00684336">
        <w:rPr>
          <w:lang w:val="en-GB"/>
        </w:rPr>
        <w:t>,</w:t>
      </w:r>
      <w:r>
        <w:rPr>
          <w:lang w:val="en-GB"/>
        </w:rPr>
        <w:t xml:space="preserve"> </w:t>
      </w:r>
      <w:r w:rsidRPr="000A5C45">
        <w:rPr>
          <w:i/>
          <w:lang w:val="en-GB"/>
        </w:rPr>
        <w:t>Greentown Service Group</w:t>
      </w:r>
      <w:r>
        <w:rPr>
          <w:lang w:val="en-GB"/>
        </w:rPr>
        <w:t>,</w:t>
      </w:r>
      <w:r w:rsidRPr="00684336">
        <w:rPr>
          <w:lang w:val="en-GB"/>
        </w:rPr>
        <w:t xml:space="preserve"> October 14, 2016, accessed August 8, 2018, </w:t>
      </w:r>
      <w:r w:rsidRPr="00492D9A">
        <w:rPr>
          <w:rStyle w:val="Hyperlink"/>
          <w:color w:val="auto"/>
          <w:u w:val="none"/>
          <w:lang w:val="en-GB"/>
        </w:rPr>
        <w:t>www.lvchengfuwu.com/upload/2017/12/12/15130569179594j532r.pdf</w:t>
      </w:r>
      <w:r w:rsidRPr="00684336">
        <w:rPr>
          <w:lang w:val="en-GB"/>
        </w:rPr>
        <w:t xml:space="preserve">. </w:t>
      </w:r>
    </w:p>
  </w:endnote>
  <w:endnote w:id="33">
    <w:p w14:paraId="493808FF" w14:textId="038051D3" w:rsidR="00E7337F" w:rsidRPr="00EF1226" w:rsidRDefault="00E7337F" w:rsidP="00DF0333">
      <w:pPr>
        <w:pStyle w:val="FootnoteText1"/>
      </w:pPr>
      <w:r w:rsidRPr="00684336">
        <w:rPr>
          <w:rStyle w:val="EndnoteReference"/>
          <w:lang w:val="en-GB"/>
        </w:rPr>
        <w:endnoteRef/>
      </w:r>
      <w:r w:rsidRPr="00684336">
        <w:rPr>
          <w:lang w:val="en-GB"/>
        </w:rPr>
        <w:t xml:space="preserve"> </w:t>
      </w:r>
      <w:r w:rsidRPr="00EF1226">
        <w:t>“Greentown Service Group,” CICC Equity Research, October 14, 2016, accessed August 8, 2018, www.lvchengfuwu.com/upload/2017/12/12/15130569179594j532r.pdf.</w:t>
      </w:r>
    </w:p>
  </w:endnote>
  <w:endnote w:id="34">
    <w:p w14:paraId="05BDEE70"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Zhang Feng, “Bribe-Taking Referees Face Legal Sending-Off,” China Daily, January 7, 2002, accessed August 8, 2018, www.china.org.cn/epaper/html/cd/2002/200201/20020107/20020107001_3.html.</w:t>
      </w:r>
    </w:p>
  </w:endnote>
  <w:endnote w:id="35">
    <w:p w14:paraId="62710352" w14:textId="77777777" w:rsidR="00E7337F" w:rsidRPr="00684336" w:rsidRDefault="00E7337F" w:rsidP="00DF0333">
      <w:pPr>
        <w:pStyle w:val="Footnote"/>
        <w:rPr>
          <w:lang w:val="en-GB"/>
        </w:rPr>
      </w:pPr>
      <w:r w:rsidRPr="00684336">
        <w:rPr>
          <w:rStyle w:val="EndnoteReference"/>
          <w:lang w:val="en-GB"/>
        </w:rPr>
        <w:endnoteRef/>
      </w:r>
      <w:r w:rsidRPr="00684336">
        <w:rPr>
          <w:lang w:val="en-GB"/>
        </w:rPr>
        <w:t xml:space="preserve"> ¥ = CNY = Chinese yuan renminbi; US$1 = ¥6.22 </w:t>
      </w:r>
      <w:r>
        <w:rPr>
          <w:lang w:val="en-GB"/>
        </w:rPr>
        <w:t>on</w:t>
      </w:r>
      <w:r w:rsidRPr="00684336">
        <w:rPr>
          <w:lang w:val="en-GB"/>
        </w:rPr>
        <w:t xml:space="preserve"> May 14, 2014</w:t>
      </w:r>
      <w:r>
        <w:rPr>
          <w:lang w:val="en-GB"/>
        </w:rPr>
        <w:t>.</w:t>
      </w:r>
    </w:p>
  </w:endnote>
  <w:endnote w:id="36">
    <w:p w14:paraId="24994951"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Huang Chen, “</w:t>
      </w:r>
      <w:r w:rsidRPr="00DA3E3C">
        <w:rPr>
          <w:lang w:val="en-GB"/>
        </w:rPr>
        <w:t>In 2013, China’s 100-City Residential Average Price Rose More than 10%</w:t>
      </w:r>
      <w:r>
        <w:rPr>
          <w:lang w:val="en-GB"/>
        </w:rPr>
        <w:t xml:space="preserve"> </w:t>
      </w:r>
      <w:r w:rsidRPr="00684336">
        <w:rPr>
          <w:lang w:val="en-GB"/>
        </w:rPr>
        <w:t>[in Chinese],” Caixin, January 2, 2014, accessed August 8, 2018, http://datanews.caixin.com/2014-01-02/100624533.html.</w:t>
      </w:r>
    </w:p>
  </w:endnote>
  <w:endnote w:id="37">
    <w:p w14:paraId="279E6AD0"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Justine Lau, “Greentown China Makes Strong HK Debut,” </w:t>
      </w:r>
      <w:r w:rsidRPr="00684336">
        <w:rPr>
          <w:i/>
          <w:lang w:val="en-GB"/>
        </w:rPr>
        <w:t>Financial Times</w:t>
      </w:r>
      <w:r w:rsidRPr="00684336">
        <w:rPr>
          <w:lang w:val="en-GB"/>
        </w:rPr>
        <w:t>, July 13, 2006, accessed August 8, 2018, www.ft.com/content/c7d1a436-1265-11db-aecf-0000779e2340.</w:t>
      </w:r>
    </w:p>
  </w:endnote>
  <w:endnote w:id="38">
    <w:p w14:paraId="037484DC"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Greentown China Holdings Limited, </w:t>
      </w:r>
      <w:r w:rsidRPr="00684336">
        <w:rPr>
          <w:i/>
          <w:lang w:val="en-GB"/>
        </w:rPr>
        <w:t>Annual Report 2006</w:t>
      </w:r>
      <w:r w:rsidRPr="00684336">
        <w:rPr>
          <w:lang w:val="en-GB"/>
        </w:rPr>
        <w:t>, accessed August 8, 2018, http://greentownchina.com/eng/ir/reports.php, CEO’s review section pp-10-13.</w:t>
      </w:r>
    </w:p>
  </w:endnote>
  <w:endnote w:id="39">
    <w:p w14:paraId="2819907D" w14:textId="6C9CEA6F"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Greentown China Holdings Limited, </w:t>
      </w:r>
      <w:r w:rsidRPr="00684336">
        <w:rPr>
          <w:i/>
          <w:lang w:val="en-GB"/>
        </w:rPr>
        <w:t>Annual Report 2008</w:t>
      </w:r>
      <w:r w:rsidRPr="00684336">
        <w:rPr>
          <w:lang w:val="en-GB"/>
        </w:rPr>
        <w:t xml:space="preserve">, accessed August 8, 2018, </w:t>
      </w:r>
      <w:hyperlink w:history="1"/>
      <w:r w:rsidRPr="00684336">
        <w:rPr>
          <w:lang w:val="en-GB"/>
        </w:rPr>
        <w:t xml:space="preserve">http://greentownchina.com/eng/ir/reports.php. </w:t>
      </w:r>
    </w:p>
  </w:endnote>
  <w:endnote w:id="40">
    <w:p w14:paraId="77C8D776"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Laura Santini, “Greentown Buys Back Its Foreign Bonds,” </w:t>
      </w:r>
      <w:r w:rsidRPr="00684336">
        <w:rPr>
          <w:i/>
          <w:lang w:val="en-GB"/>
        </w:rPr>
        <w:t>Wall Street Journal</w:t>
      </w:r>
      <w:r w:rsidRPr="00684336">
        <w:rPr>
          <w:lang w:val="en-GB"/>
        </w:rPr>
        <w:t>, May 6, 2009, accessed August 8, 2018, www.wsj.com/articles/SB124155359838788625.</w:t>
      </w:r>
    </w:p>
  </w:endnote>
  <w:endnote w:id="41">
    <w:p w14:paraId="6EFEB1B7" w14:textId="77777777" w:rsidR="00E7337F" w:rsidRPr="00684336" w:rsidRDefault="00E7337F" w:rsidP="00DF0333">
      <w:pPr>
        <w:pStyle w:val="FootnoteText1"/>
        <w:rPr>
          <w:highlight w:val="yellow"/>
          <w:lang w:val="en-GB"/>
        </w:rPr>
      </w:pPr>
      <w:r w:rsidRPr="00684336">
        <w:rPr>
          <w:rStyle w:val="EndnoteReference"/>
          <w:lang w:val="en-GB"/>
        </w:rPr>
        <w:endnoteRef/>
      </w:r>
      <w:r w:rsidRPr="00684336">
        <w:rPr>
          <w:lang w:val="en-GB"/>
        </w:rPr>
        <w:t xml:space="preserve"> Sandy Li, “Developers See Trust Finance as Debt Option,” </w:t>
      </w:r>
      <w:r w:rsidRPr="000A5C45">
        <w:rPr>
          <w:i/>
          <w:lang w:val="en-GB"/>
        </w:rPr>
        <w:t>South China Morning Post</w:t>
      </w:r>
      <w:r w:rsidRPr="00684336">
        <w:rPr>
          <w:lang w:val="en-GB"/>
        </w:rPr>
        <w:t>, May 11, 2009, accessed August 8, 2018, www.scmp.com/article/679862/developers-see-trust-finance-debt-option.</w:t>
      </w:r>
    </w:p>
  </w:endnote>
  <w:endnote w:id="42">
    <w:p w14:paraId="3BF4B03E" w14:textId="77777777" w:rsidR="00E7337F" w:rsidRPr="00684336" w:rsidRDefault="00E7337F" w:rsidP="00DF0333">
      <w:pPr>
        <w:pStyle w:val="FootnoteText1"/>
        <w:rPr>
          <w:highlight w:val="yellow"/>
          <w:lang w:val="en-GB"/>
        </w:rPr>
      </w:pPr>
      <w:r w:rsidRPr="00684336">
        <w:rPr>
          <w:rStyle w:val="EndnoteReference"/>
          <w:lang w:val="en-GB"/>
        </w:rPr>
        <w:endnoteRef/>
      </w:r>
      <w:r w:rsidRPr="00684336">
        <w:rPr>
          <w:lang w:val="en-GB"/>
        </w:rPr>
        <w:t xml:space="preserve"> “China’s Banking Regulator Reviews Trust Loans to Developers,</w:t>
      </w:r>
      <w:r>
        <w:rPr>
          <w:lang w:val="en-GB"/>
        </w:rPr>
        <w:t>”</w:t>
      </w:r>
      <w:r w:rsidRPr="00684336">
        <w:rPr>
          <w:lang w:val="en-GB"/>
        </w:rPr>
        <w:t xml:space="preserve"> Bloomberg News, September 23, 2011, accessed August 8, 2018, www.bloomberg.com/news/articles/2011-09-22/greentown-says-it-nas-no-trouble-financing-loans.</w:t>
      </w:r>
    </w:p>
  </w:endnote>
  <w:endnote w:id="43">
    <w:p w14:paraId="351A109E"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Alex Frew McMillan, “Greentown China to Raise $657 Million from Sales to Wharf,” Reuters, June 8, 2012, accessed August 8, 2018, www.reuters.com/article/us-greentown-wharf-sale/greentown-china-to-raise-657-million-from-sales-to-wharf-idUSBRE8570J620120608.</w:t>
      </w:r>
    </w:p>
  </w:endnote>
  <w:endnote w:id="44">
    <w:p w14:paraId="43FC4BEC"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Ibid.</w:t>
      </w:r>
    </w:p>
  </w:endnote>
  <w:endnote w:id="45">
    <w:p w14:paraId="40F9845C" w14:textId="77777777" w:rsidR="00E7337F" w:rsidRPr="00684336" w:rsidRDefault="00E7337F" w:rsidP="00DF0333">
      <w:pPr>
        <w:pStyle w:val="FootnoteText1"/>
        <w:rPr>
          <w:lang w:val="en-GB"/>
        </w:rPr>
      </w:pPr>
      <w:r w:rsidRPr="00684336">
        <w:rPr>
          <w:rStyle w:val="EndnoteReference"/>
          <w:sz w:val="18"/>
          <w:lang w:val="en-GB"/>
        </w:rPr>
        <w:endnoteRef/>
      </w:r>
      <w:r w:rsidRPr="00684336">
        <w:rPr>
          <w:lang w:val="en-GB"/>
        </w:rPr>
        <w:t xml:space="preserve"> Ibid.</w:t>
      </w:r>
    </w:p>
  </w:endnote>
  <w:endnote w:id="46">
    <w:p w14:paraId="3F579F47"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Ben Kwok, “An Unusual Sale of a Chinese Real Estate Developer,</w:t>
      </w:r>
      <w:r>
        <w:rPr>
          <w:lang w:val="en-GB"/>
        </w:rPr>
        <w:t>”</w:t>
      </w:r>
      <w:r w:rsidRPr="00684336">
        <w:rPr>
          <w:lang w:val="en-GB"/>
        </w:rPr>
        <w:t xml:space="preserve"> </w:t>
      </w:r>
      <w:r w:rsidRPr="00684336">
        <w:rPr>
          <w:i/>
          <w:lang w:val="en-GB"/>
        </w:rPr>
        <w:t>Forbes Asia</w:t>
      </w:r>
      <w:r w:rsidRPr="00684336">
        <w:rPr>
          <w:lang w:val="en-GB"/>
        </w:rPr>
        <w:t>, May 19, 2014, accessed August 8, 2018, www.forbes.com/sites/benkwok/2014/05/19/an-unusual-sale-of-a-chinese-real-estate-developer/; Michael Cole, “Greentown and Sunac Buying Shanghai Site for RMB5.68 Billion,” Mingtiandi, June 2, 2013, accessed August 8, 2018</w:t>
      </w:r>
      <w:r>
        <w:rPr>
          <w:lang w:val="en-GB"/>
        </w:rPr>
        <w:t xml:space="preserve">, </w:t>
      </w:r>
      <w:r w:rsidRPr="00B854E3">
        <w:rPr>
          <w:lang w:val="en-GB"/>
        </w:rPr>
        <w:t>www.mingtiandi.com/real-estate/property-developer/greentown-and-sunac-buying-shanghai-site-for-rmb-5-68-billion/</w:t>
      </w:r>
      <w:r>
        <w:rPr>
          <w:lang w:val="en-GB"/>
        </w:rPr>
        <w:t>.</w:t>
      </w:r>
    </w:p>
  </w:endnote>
  <w:endnote w:id="47">
    <w:p w14:paraId="1F86492D"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Daniel Ren, “Sun Hongbin of Sunac, from Jailbird to Billionaire,” </w:t>
      </w:r>
      <w:r w:rsidRPr="00684336">
        <w:rPr>
          <w:i/>
          <w:lang w:val="en-GB"/>
        </w:rPr>
        <w:t>South China Morning Post</w:t>
      </w:r>
      <w:r w:rsidRPr="00684336">
        <w:rPr>
          <w:lang w:val="en-GB"/>
        </w:rPr>
        <w:t>, March 4, 2013, accessed August 8, 2018, www.scmp.com/business/china-business/article/1173838/sun-hongbin-sunac-jailbird-billionaire.</w:t>
      </w:r>
    </w:p>
  </w:endnote>
  <w:endnote w:id="48">
    <w:p w14:paraId="7DB209C7" w14:textId="77777777" w:rsidR="00E7337F" w:rsidRPr="00684336" w:rsidRDefault="00E7337F" w:rsidP="00DF0333">
      <w:pPr>
        <w:pStyle w:val="FootnoteText1"/>
        <w:tabs>
          <w:tab w:val="clear" w:pos="9000"/>
          <w:tab w:val="right" w:pos="9360"/>
        </w:tabs>
        <w:rPr>
          <w:lang w:val="en-GB"/>
        </w:rPr>
      </w:pPr>
      <w:r w:rsidRPr="00684336">
        <w:rPr>
          <w:rStyle w:val="EndnoteReference"/>
          <w:lang w:val="en-GB"/>
        </w:rPr>
        <w:endnoteRef/>
      </w:r>
      <w:r w:rsidRPr="00684336">
        <w:rPr>
          <w:lang w:val="en-GB"/>
        </w:rPr>
        <w:t xml:space="preserve"> These values were obtained from Bloomberg. To give an example of the most recent WACC, on April 15, 2014</w:t>
      </w:r>
      <w:r>
        <w:rPr>
          <w:lang w:val="en-GB"/>
        </w:rPr>
        <w:t>,</w:t>
      </w:r>
      <w:r w:rsidRPr="00684336">
        <w:rPr>
          <w:lang w:val="en-GB"/>
        </w:rPr>
        <w:t xml:space="preserve"> Greentown’s WACC could be calculated as </w:t>
      </w:r>
      <w:r w:rsidRPr="00684336">
        <w:rPr>
          <w:iCs w:val="0"/>
          <w:lang w:val="en-GB"/>
        </w:rPr>
        <w:t>follows: kc = (D ÷ V) × kd × (1 − t) + (E ÷ V) × ke</w:t>
      </w:r>
      <w:r>
        <w:rPr>
          <w:iCs w:val="0"/>
          <w:lang w:val="en-GB"/>
        </w:rPr>
        <w:t>,</w:t>
      </w:r>
      <w:r w:rsidRPr="00684336">
        <w:rPr>
          <w:iCs w:val="0"/>
          <w:lang w:val="en-GB"/>
        </w:rPr>
        <w:t xml:space="preserve"> </w:t>
      </w:r>
      <w:r w:rsidRPr="00684336">
        <w:rPr>
          <w:lang w:val="en-GB"/>
        </w:rPr>
        <w:t>where kc = Cost of New Equity; D = Market Value of Debt; V = Total Market Value of Equity and Debt; kd = Cost of Debt; t = Tax Rate; E = Market Value of Equity; and ke = Cost of Equity; and where its capital structure was 0.60 D ÷ V; kd = 3.4%; t = 38%; and ke was calculated using the capital asset pricing model (CAPM) as ke = 2.2% + 1.6 × 7.5%.</w:t>
      </w:r>
    </w:p>
  </w:endnote>
  <w:endnote w:id="49">
    <w:p w14:paraId="322E0D9B"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Value obtained from Bloomberg </w:t>
      </w:r>
      <w:r>
        <w:rPr>
          <w:lang w:val="en-GB"/>
        </w:rPr>
        <w:t>Terminal,</w:t>
      </w:r>
      <w:r w:rsidRPr="00684336">
        <w:rPr>
          <w:lang w:val="en-GB"/>
        </w:rPr>
        <w:t xml:space="preserve"> accessed April 3</w:t>
      </w:r>
      <w:r>
        <w:rPr>
          <w:lang w:val="en-GB"/>
        </w:rPr>
        <w:t>,</w:t>
      </w:r>
      <w:r w:rsidRPr="00684336">
        <w:rPr>
          <w:lang w:val="en-GB"/>
        </w:rPr>
        <w:t xml:space="preserve"> 2018.</w:t>
      </w:r>
    </w:p>
  </w:endnote>
  <w:endnote w:id="50">
    <w:p w14:paraId="2BCCC5F5"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Greentown China Holdings, Limited, </w:t>
      </w:r>
      <w:r w:rsidRPr="00684336">
        <w:rPr>
          <w:i/>
          <w:lang w:val="en-GB"/>
        </w:rPr>
        <w:t>Annual Report 2014</w:t>
      </w:r>
      <w:r w:rsidRPr="00684336">
        <w:rPr>
          <w:lang w:val="en-GB"/>
        </w:rPr>
        <w:t xml:space="preserve">, </w:t>
      </w:r>
      <w:r>
        <w:rPr>
          <w:lang w:val="en-GB"/>
        </w:rPr>
        <w:t>op. cit.</w:t>
      </w:r>
    </w:p>
  </w:endnote>
  <w:endnote w:id="51">
    <w:p w14:paraId="69D308E4"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w:t>
      </w:r>
      <w:r>
        <w:rPr>
          <w:lang w:val="en-GB"/>
        </w:rPr>
        <w:t>Ibid.</w:t>
      </w:r>
    </w:p>
  </w:endnote>
  <w:endnote w:id="52">
    <w:p w14:paraId="6008F834" w14:textId="36AFA109" w:rsidR="00E7337F" w:rsidRPr="0056619B" w:rsidRDefault="00E7337F" w:rsidP="00DF0333">
      <w:pPr>
        <w:pStyle w:val="FootnoteText1"/>
        <w:rPr>
          <w:spacing w:val="-4"/>
        </w:rPr>
      </w:pPr>
      <w:r w:rsidRPr="0056619B">
        <w:rPr>
          <w:rStyle w:val="EndnoteReference"/>
          <w:spacing w:val="-4"/>
          <w:lang w:val="en-GB"/>
        </w:rPr>
        <w:endnoteRef/>
      </w:r>
      <w:r w:rsidRPr="0056619B">
        <w:rPr>
          <w:spacing w:val="-4"/>
          <w:lang w:val="en-GB"/>
        </w:rPr>
        <w:t xml:space="preserve"> </w:t>
      </w:r>
      <w:r w:rsidRPr="0056619B">
        <w:rPr>
          <w:spacing w:val="-4"/>
        </w:rPr>
        <w:t>The Wharf (Holdings) Limited, Annual Report 2013, 10, accessed August 8, 2018, www.wharfholdings.com/sites/default/files/2018-02/E140478N_Wharf-10m.pdf.</w:t>
      </w:r>
    </w:p>
  </w:endnote>
  <w:endnote w:id="53">
    <w:p w14:paraId="5326D9E0"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w:t>
      </w:r>
      <w:r w:rsidRPr="0085152E">
        <w:rPr>
          <w:lang w:val="en-GB"/>
        </w:rPr>
        <w:t>The Wharf (Holdings) Limited</w:t>
      </w:r>
      <w:r w:rsidRPr="00684336">
        <w:rPr>
          <w:lang w:val="en-GB"/>
        </w:rPr>
        <w:t xml:space="preserve">, </w:t>
      </w:r>
      <w:r>
        <w:rPr>
          <w:lang w:val="en-GB"/>
        </w:rPr>
        <w:t xml:space="preserve">news release, </w:t>
      </w:r>
      <w:r w:rsidRPr="00684336">
        <w:rPr>
          <w:lang w:val="en-GB"/>
        </w:rPr>
        <w:t xml:space="preserve">July 6, 2012, accessed August 8, 2018, www.wharfholdings.com/file/120706%20Wharf%20clarification%20ef.doc. </w:t>
      </w:r>
    </w:p>
  </w:endnote>
  <w:endnote w:id="54">
    <w:p w14:paraId="1481514D"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Chen, op. cit.</w:t>
      </w:r>
    </w:p>
  </w:endnote>
  <w:endnote w:id="55">
    <w:p w14:paraId="4018B22B"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Ren, op. cit. </w:t>
      </w:r>
    </w:p>
  </w:endnote>
  <w:endnote w:id="56">
    <w:p w14:paraId="0E77E222"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w:t>
      </w:r>
      <w:r>
        <w:rPr>
          <w:lang w:val="en-GB"/>
        </w:rPr>
        <w:t>Ibid.</w:t>
      </w:r>
    </w:p>
  </w:endnote>
  <w:endnote w:id="57">
    <w:p w14:paraId="282AE2E8" w14:textId="77777777" w:rsidR="00E7337F" w:rsidRPr="0056619B" w:rsidRDefault="00E7337F" w:rsidP="00DF0333">
      <w:pPr>
        <w:pStyle w:val="FootnoteText1"/>
        <w:rPr>
          <w:spacing w:val="-4"/>
          <w:lang w:val="en-GB"/>
        </w:rPr>
      </w:pPr>
      <w:r w:rsidRPr="0056619B">
        <w:rPr>
          <w:rStyle w:val="EndnoteReference"/>
          <w:spacing w:val="-4"/>
          <w:lang w:val="en-GB"/>
        </w:rPr>
        <w:endnoteRef/>
      </w:r>
      <w:r w:rsidRPr="0056619B">
        <w:rPr>
          <w:spacing w:val="-4"/>
          <w:lang w:val="en-GB"/>
        </w:rPr>
        <w:t xml:space="preserve"> Sunac China Holdings Limited, </w:t>
      </w:r>
      <w:r w:rsidRPr="0056619B">
        <w:rPr>
          <w:i/>
          <w:spacing w:val="-4"/>
          <w:lang w:val="en-GB"/>
        </w:rPr>
        <w:t>Annual Report 2013</w:t>
      </w:r>
      <w:r w:rsidRPr="0056619B">
        <w:rPr>
          <w:spacing w:val="-4"/>
          <w:lang w:val="en-GB"/>
        </w:rPr>
        <w:t>, 11, 19, accessed December 17, 2018, http://quote.morningstar.com/stock-filing/Annual-Report/2013/12/31/t.aspx?t=XHKG:01918&amp;ft=&amp;d=7be3208f7183cec5dd7c7afc8a2cf789.</w:t>
      </w:r>
    </w:p>
  </w:endnote>
  <w:endnote w:id="58">
    <w:p w14:paraId="104FACBC" w14:textId="77777777" w:rsidR="00E7337F" w:rsidRPr="00684336" w:rsidRDefault="00E7337F" w:rsidP="00DF0333">
      <w:pPr>
        <w:pStyle w:val="FootnoteText1"/>
        <w:rPr>
          <w:lang w:val="en-GB"/>
        </w:rPr>
      </w:pPr>
      <w:r w:rsidRPr="00684336">
        <w:rPr>
          <w:rStyle w:val="EndnoteReference"/>
          <w:lang w:val="en-GB"/>
        </w:rPr>
        <w:endnoteRef/>
      </w:r>
      <w:r>
        <w:rPr>
          <w:lang w:val="en-GB"/>
        </w:rPr>
        <w:t xml:space="preserve"> Ibid, 5–7.</w:t>
      </w:r>
    </w:p>
  </w:endnote>
  <w:endnote w:id="59">
    <w:p w14:paraId="5BA26297" w14:textId="77777777" w:rsidR="00E7337F" w:rsidRPr="00492D9A" w:rsidRDefault="00E7337F" w:rsidP="00DF0333">
      <w:pPr>
        <w:pStyle w:val="FootnoteText1"/>
        <w:rPr>
          <w:spacing w:val="-4"/>
          <w:lang w:val="en-GB"/>
        </w:rPr>
      </w:pPr>
      <w:r w:rsidRPr="00492D9A">
        <w:rPr>
          <w:rStyle w:val="EndnoteReference"/>
          <w:spacing w:val="-4"/>
          <w:lang w:val="en-GB"/>
        </w:rPr>
        <w:endnoteRef/>
      </w:r>
      <w:r w:rsidRPr="00492D9A">
        <w:rPr>
          <w:spacing w:val="-4"/>
          <w:lang w:val="en-GB"/>
        </w:rPr>
        <w:t xml:space="preserve"> Bloomberg News, “Sunac China Says Sales to Exceed $8.2 Billion as Rich Buy,” Bloomberg, October 21, 2013, accessed August 8, 2018, www.bloomberg.com/news/articles/2013-10-21/sunac-china-says-home-sales-to-exceed-8-2-billion-as-rich-buy.</w:t>
      </w:r>
    </w:p>
  </w:endnote>
  <w:endnote w:id="60">
    <w:p w14:paraId="7FAD20D4" w14:textId="6D213028"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This is generous relative to their plans in their </w:t>
      </w:r>
      <w:r>
        <w:rPr>
          <w:lang w:val="en-GB"/>
        </w:rPr>
        <w:t>annual report</w:t>
      </w:r>
      <w:r w:rsidRPr="00684336">
        <w:rPr>
          <w:lang w:val="en-GB"/>
        </w:rPr>
        <w:t>: “In consideration of the complicated and highly uncertain economic environment, the Group takes a prudent approach towards the use of funds to secure the capital chain. Currently there is no material capital expenditure plan.”</w:t>
      </w:r>
      <w:r w:rsidR="00893EBD">
        <w:rPr>
          <w:lang w:val="en-GB"/>
        </w:rPr>
        <w:t xml:space="preserve"> Greentown China Holdings Limited 2013 Annual Report, accessed August 8, 2018. Case author estimates based on data from the 2013 annual report.</w:t>
      </w:r>
    </w:p>
  </w:endnote>
  <w:endnote w:id="61">
    <w:p w14:paraId="2FD16D63"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Peggy Sito, “China Vanke Makes its First Acquisitions in Hangzhou,” </w:t>
      </w:r>
      <w:r w:rsidRPr="00684336">
        <w:rPr>
          <w:i/>
          <w:lang w:val="en-GB"/>
        </w:rPr>
        <w:t>South China Morning Post</w:t>
      </w:r>
      <w:r w:rsidRPr="00684336">
        <w:rPr>
          <w:lang w:val="en-GB"/>
        </w:rPr>
        <w:t>, May 31, 2006, accessed August 8, 2018, www.scmp.com/article/550868/china-vanke-makes-its-first-acquisitions-hangzhou.</w:t>
      </w:r>
    </w:p>
  </w:endnote>
  <w:endnote w:id="62">
    <w:p w14:paraId="105E38EC" w14:textId="77777777" w:rsidR="00E7337F" w:rsidRPr="00684336" w:rsidRDefault="00E7337F" w:rsidP="00DF0333">
      <w:pPr>
        <w:pStyle w:val="FootnoteText1"/>
        <w:rPr>
          <w:lang w:val="en-GB"/>
        </w:rPr>
      </w:pPr>
      <w:r w:rsidRPr="00684336">
        <w:rPr>
          <w:rStyle w:val="EndnoteReference"/>
          <w:sz w:val="18"/>
          <w:lang w:val="en-GB"/>
        </w:rPr>
        <w:endnoteRef/>
      </w:r>
      <w:r w:rsidRPr="00684336">
        <w:rPr>
          <w:lang w:val="en-GB"/>
        </w:rPr>
        <w:t xml:space="preserve"> Xie Hongling, </w:t>
      </w:r>
      <w:r>
        <w:rPr>
          <w:lang w:val="en-GB"/>
        </w:rPr>
        <w:t>“</w:t>
      </w:r>
      <w:r w:rsidRPr="00684336">
        <w:rPr>
          <w:lang w:val="en-GB"/>
        </w:rPr>
        <w:t>The Largest M&amp;A Case in China’s Real Estate Industry: Vanke Nandu ‘Lightning Marriage’ [in Chinese],” People’s Network, August 13, 2006, accessed August 8, 2018, http://finance.people.com.cn/GB/1038/4696057.html.</w:t>
      </w:r>
    </w:p>
  </w:endnote>
  <w:endnote w:id="63">
    <w:p w14:paraId="09BA73EE"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Di Chan, “Road King Acquires Sunco [in Chinese],” </w:t>
      </w:r>
      <w:r w:rsidRPr="000A5C45">
        <w:rPr>
          <w:i/>
          <w:lang w:val="en-GB"/>
        </w:rPr>
        <w:t>China Daily</w:t>
      </w:r>
      <w:r w:rsidRPr="00684336">
        <w:rPr>
          <w:lang w:val="en-GB"/>
        </w:rPr>
        <w:t>, January 30, 2007, accessed August 8, 2018, www.chinadaily.com.cn/bizchina/2007-01/30/content_796132.htm.</w:t>
      </w:r>
    </w:p>
  </w:endnote>
  <w:endnote w:id="64">
    <w:p w14:paraId="50FE1BCB" w14:textId="77777777" w:rsidR="00E7337F" w:rsidRDefault="00E7337F" w:rsidP="00DF0333">
      <w:pPr>
        <w:pStyle w:val="FootnoteText1"/>
        <w:rPr>
          <w:lang w:val="en-GB"/>
        </w:rPr>
      </w:pPr>
      <w:r w:rsidRPr="00684336">
        <w:rPr>
          <w:rStyle w:val="EndnoteReference"/>
          <w:lang w:val="en-GB"/>
        </w:rPr>
        <w:endnoteRef/>
      </w:r>
      <w:r w:rsidRPr="00684336">
        <w:rPr>
          <w:lang w:val="en-GB"/>
        </w:rPr>
        <w:t xml:space="preserve"> “Asian Daily,” Credit Suisse Securities Research &amp; Analytics, November 24, 2014, accessed August 8, 2018, </w:t>
      </w:r>
      <w:r w:rsidRPr="00492D9A">
        <w:rPr>
          <w:lang w:val="en-GB"/>
        </w:rPr>
        <w:t>https://research-doc.credit-suisse.com/docView?language=ENG&amp;format=PDF&amp;document_id=1040965371&amp;source_id=emc</w:t>
      </w:r>
    </w:p>
    <w:p w14:paraId="3F7D2CA3" w14:textId="77777777" w:rsidR="00E7337F" w:rsidRPr="00684336" w:rsidRDefault="00E7337F" w:rsidP="00DF0333">
      <w:pPr>
        <w:pStyle w:val="FootnoteText1"/>
        <w:rPr>
          <w:lang w:val="en-GB"/>
        </w:rPr>
      </w:pPr>
      <w:r w:rsidRPr="00684336">
        <w:rPr>
          <w:lang w:val="en-GB"/>
        </w:rPr>
        <w:t>splus&amp;serialid=DVqo6PT437K%2BOYF6iZiUYnmfP%2FySgP%2Fhxurl5mIIW9k%3D.</w:t>
      </w:r>
    </w:p>
  </w:endnote>
  <w:endnote w:id="65">
    <w:p w14:paraId="402646A7" w14:textId="77777777" w:rsidR="00E7337F" w:rsidRPr="00684336" w:rsidRDefault="00E7337F" w:rsidP="00DF0333">
      <w:pPr>
        <w:pStyle w:val="FootnoteText1"/>
        <w:rPr>
          <w:lang w:val="en-GB"/>
        </w:rPr>
      </w:pPr>
      <w:r w:rsidRPr="00684336">
        <w:rPr>
          <w:rStyle w:val="EndnoteReference"/>
          <w:lang w:val="en-GB"/>
        </w:rPr>
        <w:endnoteRef/>
      </w:r>
      <w:r w:rsidRPr="00684336">
        <w:rPr>
          <w:lang w:val="en-GB"/>
        </w:rPr>
        <w:t xml:space="preserve"> Esther Fung, “Anbang Insurance Group Owns 5% Stake in China Vanke,” MarketScreener, September 12, 2015, accessed August 8, 2018, www.marketscreener.com/CHINA-VANKE-CO-LTD-13491314/news/Anbang-Insurance-Group-Owns-5-Stake-in-China-Vanke-21528993/.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E7337F" w:rsidRDefault="00E7337F" w:rsidP="00D75295">
      <w:r>
        <w:separator/>
      </w:r>
    </w:p>
  </w:footnote>
  <w:footnote w:type="continuationSeparator" w:id="0">
    <w:p w14:paraId="31BC9002" w14:textId="77777777" w:rsidR="00E7337F" w:rsidRDefault="00E7337F"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BCCA91A" w:rsidR="00E7337F" w:rsidRPr="00C92CC4" w:rsidRDefault="00E7337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40B1D">
      <w:rPr>
        <w:rFonts w:ascii="Arial" w:hAnsi="Arial"/>
        <w:b/>
        <w:noProof/>
      </w:rPr>
      <w:t>2</w:t>
    </w:r>
    <w:r>
      <w:rPr>
        <w:rFonts w:ascii="Arial" w:hAnsi="Arial"/>
        <w:b/>
      </w:rPr>
      <w:fldChar w:fldCharType="end"/>
    </w:r>
    <w:r>
      <w:rPr>
        <w:rFonts w:ascii="Arial" w:hAnsi="Arial"/>
        <w:b/>
      </w:rPr>
      <w:tab/>
      <w:t>9B19N008</w:t>
    </w:r>
  </w:p>
  <w:p w14:paraId="2B53C0A0" w14:textId="77777777" w:rsidR="00E7337F" w:rsidRDefault="00E7337F" w:rsidP="00D13667">
    <w:pPr>
      <w:pStyle w:val="Header"/>
      <w:tabs>
        <w:tab w:val="clear" w:pos="4680"/>
      </w:tabs>
      <w:rPr>
        <w:sz w:val="18"/>
        <w:szCs w:val="18"/>
      </w:rPr>
    </w:pPr>
  </w:p>
  <w:p w14:paraId="47119730" w14:textId="77777777" w:rsidR="00E7337F" w:rsidRPr="00C92CC4" w:rsidRDefault="00E7337F"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54914" w14:textId="77777777" w:rsidR="00E7337F" w:rsidRPr="00C92CC4" w:rsidRDefault="00E7337F" w:rsidP="001768E6">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40B1D">
      <w:rPr>
        <w:rFonts w:ascii="Arial" w:hAnsi="Arial"/>
        <w:b/>
        <w:noProof/>
      </w:rPr>
      <w:t>13</w:t>
    </w:r>
    <w:r>
      <w:rPr>
        <w:rFonts w:ascii="Arial" w:hAnsi="Arial"/>
        <w:b/>
      </w:rPr>
      <w:fldChar w:fldCharType="end"/>
    </w:r>
    <w:r>
      <w:rPr>
        <w:rFonts w:ascii="Arial" w:hAnsi="Arial"/>
        <w:b/>
      </w:rPr>
      <w:tab/>
      <w:t>9B19N008</w:t>
    </w:r>
  </w:p>
  <w:p w14:paraId="3EB17D6D" w14:textId="77777777" w:rsidR="00E7337F" w:rsidRDefault="00E7337F" w:rsidP="001768E6">
    <w:pPr>
      <w:pStyle w:val="Header"/>
      <w:tabs>
        <w:tab w:val="clear" w:pos="4680"/>
        <w:tab w:val="clear" w:pos="9360"/>
        <w:tab w:val="right" w:pos="12960"/>
      </w:tabs>
      <w:rPr>
        <w:sz w:val="18"/>
        <w:szCs w:val="18"/>
      </w:rPr>
    </w:pPr>
  </w:p>
  <w:p w14:paraId="3A258D7F" w14:textId="77777777" w:rsidR="00E7337F" w:rsidRPr="00C92CC4" w:rsidRDefault="00E7337F" w:rsidP="001768E6">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50AA8" w14:textId="77777777" w:rsidR="00E7337F" w:rsidRPr="00C92CC4" w:rsidRDefault="00E7337F" w:rsidP="001768E6">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40B1D">
      <w:rPr>
        <w:rFonts w:ascii="Arial" w:hAnsi="Arial"/>
        <w:b/>
        <w:noProof/>
      </w:rPr>
      <w:t>16</w:t>
    </w:r>
    <w:r>
      <w:rPr>
        <w:rFonts w:ascii="Arial" w:hAnsi="Arial"/>
        <w:b/>
      </w:rPr>
      <w:fldChar w:fldCharType="end"/>
    </w:r>
    <w:r>
      <w:rPr>
        <w:rFonts w:ascii="Arial" w:hAnsi="Arial"/>
        <w:b/>
      </w:rPr>
      <w:tab/>
      <w:t>9B19N008</w:t>
    </w:r>
  </w:p>
  <w:p w14:paraId="17E6923F" w14:textId="77777777" w:rsidR="00E7337F" w:rsidRDefault="00E7337F" w:rsidP="001768E6">
    <w:pPr>
      <w:pStyle w:val="Header"/>
      <w:tabs>
        <w:tab w:val="clear" w:pos="4680"/>
      </w:tabs>
      <w:rPr>
        <w:sz w:val="18"/>
        <w:szCs w:val="18"/>
      </w:rPr>
    </w:pPr>
  </w:p>
  <w:p w14:paraId="03852BBE" w14:textId="77777777" w:rsidR="00E7337F" w:rsidRPr="00C92CC4" w:rsidRDefault="00E7337F" w:rsidP="001768E6">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77455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AC9A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3A8B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ECA2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DE47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D4E7A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C260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0DEC4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FE70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6859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7"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13"/>
  </w:num>
  <w:num w:numId="4">
    <w:abstractNumId w:val="24"/>
  </w:num>
  <w:num w:numId="5">
    <w:abstractNumId w:val="15"/>
  </w:num>
  <w:num w:numId="6">
    <w:abstractNumId w:val="22"/>
  </w:num>
  <w:num w:numId="7">
    <w:abstractNumId w:val="10"/>
  </w:num>
  <w:num w:numId="8">
    <w:abstractNumId w:val="26"/>
  </w:num>
  <w:num w:numId="9">
    <w:abstractNumId w:val="23"/>
  </w:num>
  <w:num w:numId="10">
    <w:abstractNumId w:val="12"/>
  </w:num>
  <w:num w:numId="11">
    <w:abstractNumId w:val="20"/>
  </w:num>
  <w:num w:numId="12">
    <w:abstractNumId w:val="21"/>
  </w:num>
  <w:num w:numId="13">
    <w:abstractNumId w:val="14"/>
  </w:num>
  <w:num w:numId="14">
    <w:abstractNumId w:val="18"/>
  </w:num>
  <w:num w:numId="15">
    <w:abstractNumId w:val="17"/>
  </w:num>
  <w:num w:numId="16">
    <w:abstractNumId w:val="11"/>
  </w:num>
  <w:num w:numId="17">
    <w:abstractNumId w:val="16"/>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355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5566"/>
    <w:rsid w:val="0012732D"/>
    <w:rsid w:val="00143F25"/>
    <w:rsid w:val="00152682"/>
    <w:rsid w:val="00154FC9"/>
    <w:rsid w:val="001768E6"/>
    <w:rsid w:val="001901C0"/>
    <w:rsid w:val="0019241A"/>
    <w:rsid w:val="00192A18"/>
    <w:rsid w:val="001A22D1"/>
    <w:rsid w:val="001A752D"/>
    <w:rsid w:val="001A757E"/>
    <w:rsid w:val="001B5032"/>
    <w:rsid w:val="001C7777"/>
    <w:rsid w:val="001D344B"/>
    <w:rsid w:val="001E364F"/>
    <w:rsid w:val="001F4222"/>
    <w:rsid w:val="00203AA1"/>
    <w:rsid w:val="00213E98"/>
    <w:rsid w:val="0021764E"/>
    <w:rsid w:val="00230150"/>
    <w:rsid w:val="0023081A"/>
    <w:rsid w:val="00233111"/>
    <w:rsid w:val="00240B1D"/>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19B"/>
    <w:rsid w:val="00566771"/>
    <w:rsid w:val="00575657"/>
    <w:rsid w:val="00581E2E"/>
    <w:rsid w:val="00584F15"/>
    <w:rsid w:val="0059514B"/>
    <w:rsid w:val="005A1B0F"/>
    <w:rsid w:val="005B4CE6"/>
    <w:rsid w:val="005B5EFE"/>
    <w:rsid w:val="006136D1"/>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938B0"/>
    <w:rsid w:val="007A130D"/>
    <w:rsid w:val="007A3A11"/>
    <w:rsid w:val="007D1A2D"/>
    <w:rsid w:val="007D32E6"/>
    <w:rsid w:val="007D4102"/>
    <w:rsid w:val="007E54A7"/>
    <w:rsid w:val="007F43B7"/>
    <w:rsid w:val="00821FFC"/>
    <w:rsid w:val="008271CA"/>
    <w:rsid w:val="0084117C"/>
    <w:rsid w:val="008467D5"/>
    <w:rsid w:val="00893EBD"/>
    <w:rsid w:val="008A4DC4"/>
    <w:rsid w:val="008B438C"/>
    <w:rsid w:val="008D06CA"/>
    <w:rsid w:val="008D3A46"/>
    <w:rsid w:val="008F2385"/>
    <w:rsid w:val="009067A4"/>
    <w:rsid w:val="00930885"/>
    <w:rsid w:val="00933D68"/>
    <w:rsid w:val="009340DB"/>
    <w:rsid w:val="0094618C"/>
    <w:rsid w:val="0095684B"/>
    <w:rsid w:val="00964C08"/>
    <w:rsid w:val="00972498"/>
    <w:rsid w:val="0097481F"/>
    <w:rsid w:val="00974CC6"/>
    <w:rsid w:val="00976AD4"/>
    <w:rsid w:val="00995547"/>
    <w:rsid w:val="009A312F"/>
    <w:rsid w:val="009A5348"/>
    <w:rsid w:val="009B0AB7"/>
    <w:rsid w:val="009C76D5"/>
    <w:rsid w:val="009F1077"/>
    <w:rsid w:val="009F48B4"/>
    <w:rsid w:val="009F7AA4"/>
    <w:rsid w:val="00A10AD7"/>
    <w:rsid w:val="00A323B0"/>
    <w:rsid w:val="00A559DB"/>
    <w:rsid w:val="00A569EA"/>
    <w:rsid w:val="00A676A0"/>
    <w:rsid w:val="00AF35FC"/>
    <w:rsid w:val="00AF5556"/>
    <w:rsid w:val="00B03639"/>
    <w:rsid w:val="00B0652A"/>
    <w:rsid w:val="00B318F2"/>
    <w:rsid w:val="00B40937"/>
    <w:rsid w:val="00B423EF"/>
    <w:rsid w:val="00B453DE"/>
    <w:rsid w:val="00B5266D"/>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08B9"/>
    <w:rsid w:val="00DE7A98"/>
    <w:rsid w:val="00DF0333"/>
    <w:rsid w:val="00DF32C2"/>
    <w:rsid w:val="00E471A7"/>
    <w:rsid w:val="00E635CF"/>
    <w:rsid w:val="00E7337F"/>
    <w:rsid w:val="00EB1E3B"/>
    <w:rsid w:val="00EC6E0A"/>
    <w:rsid w:val="00ED4E18"/>
    <w:rsid w:val="00ED7922"/>
    <w:rsid w:val="00EE02C4"/>
    <w:rsid w:val="00EE1F37"/>
    <w:rsid w:val="00EF1226"/>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779AA937"/>
  <w15:docId w15:val="{ED7A7F85-05CE-48C8-BC86-9CC2A1D1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uiPriority w:val="99"/>
    <w:qFormat/>
    <w:rsid w:val="00752BCD"/>
  </w:style>
  <w:style w:type="character" w:customStyle="1" w:styleId="CaseTitleChar">
    <w:name w:val="Case Title Char"/>
    <w:basedOn w:val="MainTitleChar"/>
    <w:link w:val="CaseTitle"/>
    <w:uiPriority w:val="99"/>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DF0333"/>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DF0333"/>
    <w:pPr>
      <w:spacing w:after="0" w:line="240" w:lineRule="auto"/>
    </w:pPr>
    <w:rPr>
      <w:rFonts w:eastAsiaTheme="minorEastAsia"/>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DF0333"/>
    <w:pPr>
      <w:spacing w:after="0" w:line="240" w:lineRule="auto"/>
    </w:pPr>
    <w:rPr>
      <w:rFonts w:eastAsia="SimSu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DF0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3.hkexnews.hk/listedco/listconews/SEHK/2014/0522/LTN20140522779.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SSapp\Text\Cases\Hong%20Kong\Greentown\Greentown%20China_2014_Exhibits.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sz="1000">
                <a:solidFill>
                  <a:sysClr val="windowText" lastClr="000000"/>
                </a:solidFill>
                <a:latin typeface="Arial" panose="020B0604020202020204" pitchFamily="34" charset="0"/>
                <a:cs typeface="Arial" panose="020B0604020202020204" pitchFamily="34" charset="0"/>
              </a:rPr>
              <a:t>Square Footage Sold (m</a:t>
            </a:r>
            <a:r>
              <a:rPr lang="en-US" sz="1000" baseline="30000">
                <a:solidFill>
                  <a:sysClr val="windowText" lastClr="000000"/>
                </a:solidFill>
                <a:latin typeface="Arial" panose="020B0604020202020204" pitchFamily="34" charset="0"/>
                <a:cs typeface="Arial" panose="020B0604020202020204" pitchFamily="34" charset="0"/>
              </a:rPr>
              <a:t>2</a:t>
            </a:r>
            <a:r>
              <a:rPr lang="en-US" sz="1000">
                <a:solidFill>
                  <a:sysClr val="windowText" lastClr="000000"/>
                </a:solidFill>
                <a:latin typeface="Arial" panose="020B0604020202020204" pitchFamily="34" charset="0"/>
                <a:cs typeface="Arial" panose="020B0604020202020204" pitchFamily="34" charset="0"/>
              </a:rPr>
              <a:t>)</a:t>
            </a:r>
          </a:p>
        </c:rich>
      </c:tx>
      <c:layout>
        <c:manualLayout>
          <c:xMode val="edge"/>
          <c:yMode val="edge"/>
          <c:x val="0.16593257874015749"/>
          <c:y val="4.065040650406504E-2"/>
        </c:manualLayout>
      </c:layout>
      <c:overlay val="0"/>
      <c:spPr>
        <a:noFill/>
        <a:ln>
          <a:noFill/>
        </a:ln>
        <a:effectLst/>
      </c:spPr>
    </c:title>
    <c:autoTitleDeleted val="0"/>
    <c:plotArea>
      <c:layout>
        <c:manualLayout>
          <c:layoutTarget val="inner"/>
          <c:xMode val="edge"/>
          <c:yMode val="edge"/>
          <c:x val="5.6195037475985608E-2"/>
          <c:y val="0.18274821937930211"/>
          <c:w val="0.90950289867612699"/>
          <c:h val="0.66512091262029749"/>
        </c:manualLayout>
      </c:layout>
      <c:lineChart>
        <c:grouping val="standard"/>
        <c:varyColors val="0"/>
        <c:ser>
          <c:idx val="0"/>
          <c:order val="0"/>
          <c:tx>
            <c:strRef>
              <c:f>'Ex 1 China RE Market'!$E$1</c:f>
              <c:strCache>
                <c:ptCount val="1"/>
                <c:pt idx="0">
                  <c:v>Square Footage Sold (Mm2)</c:v>
                </c:pt>
              </c:strCache>
            </c:strRef>
          </c:tx>
          <c:spPr>
            <a:ln w="28575" cap="rnd">
              <a:solidFill>
                <a:schemeClr val="tx1"/>
              </a:solidFill>
              <a:round/>
            </a:ln>
            <a:effectLst/>
          </c:spPr>
          <c:marker>
            <c:symbol val="none"/>
          </c:marker>
          <c:cat>
            <c:strRef>
              <c:f>'Ex 1 China RE Market'!$D$2:$D$18</c:f>
              <c:strCache>
                <c:ptCount val="17"/>
                <c:pt idx="0">
                  <c:v>2006H1</c:v>
                </c:pt>
                <c:pt idx="1">
                  <c:v>2006H2</c:v>
                </c:pt>
                <c:pt idx="2">
                  <c:v>2007H1</c:v>
                </c:pt>
                <c:pt idx="3">
                  <c:v>2007H2</c:v>
                </c:pt>
                <c:pt idx="4">
                  <c:v>2008H1</c:v>
                </c:pt>
                <c:pt idx="5">
                  <c:v>2008H2</c:v>
                </c:pt>
                <c:pt idx="6">
                  <c:v>2009H1</c:v>
                </c:pt>
                <c:pt idx="7">
                  <c:v>2009H2</c:v>
                </c:pt>
                <c:pt idx="8">
                  <c:v>2010H1</c:v>
                </c:pt>
                <c:pt idx="9">
                  <c:v>2010H2</c:v>
                </c:pt>
                <c:pt idx="10">
                  <c:v>2011H1</c:v>
                </c:pt>
                <c:pt idx="11">
                  <c:v>2011H2</c:v>
                </c:pt>
                <c:pt idx="12">
                  <c:v>2012H1</c:v>
                </c:pt>
                <c:pt idx="13">
                  <c:v>2012H2</c:v>
                </c:pt>
                <c:pt idx="14">
                  <c:v>2013H1</c:v>
                </c:pt>
                <c:pt idx="15">
                  <c:v>2013H2</c:v>
                </c:pt>
                <c:pt idx="16">
                  <c:v>2014H1</c:v>
                </c:pt>
              </c:strCache>
            </c:strRef>
          </c:cat>
          <c:val>
            <c:numRef>
              <c:f>'Ex 1 China RE Market'!$E$2:$E$18</c:f>
              <c:numCache>
                <c:formatCode>General</c:formatCode>
                <c:ptCount val="17"/>
                <c:pt idx="0">
                  <c:v>40</c:v>
                </c:pt>
                <c:pt idx="1">
                  <c:v>60</c:v>
                </c:pt>
                <c:pt idx="2">
                  <c:v>70</c:v>
                </c:pt>
                <c:pt idx="3">
                  <c:v>50</c:v>
                </c:pt>
                <c:pt idx="4">
                  <c:v>42</c:v>
                </c:pt>
                <c:pt idx="5">
                  <c:v>45</c:v>
                </c:pt>
                <c:pt idx="6">
                  <c:v>55</c:v>
                </c:pt>
                <c:pt idx="7">
                  <c:v>70</c:v>
                </c:pt>
                <c:pt idx="8">
                  <c:v>82</c:v>
                </c:pt>
                <c:pt idx="9">
                  <c:v>75</c:v>
                </c:pt>
                <c:pt idx="10">
                  <c:v>70</c:v>
                </c:pt>
                <c:pt idx="11">
                  <c:v>70</c:v>
                </c:pt>
                <c:pt idx="12">
                  <c:v>80</c:v>
                </c:pt>
                <c:pt idx="13">
                  <c:v>82</c:v>
                </c:pt>
                <c:pt idx="14">
                  <c:v>100</c:v>
                </c:pt>
                <c:pt idx="15">
                  <c:v>95</c:v>
                </c:pt>
                <c:pt idx="16">
                  <c:v>88</c:v>
                </c:pt>
              </c:numCache>
            </c:numRef>
          </c:val>
          <c:smooth val="0"/>
          <c:extLst>
            <c:ext xmlns:c16="http://schemas.microsoft.com/office/drawing/2014/chart" uri="{C3380CC4-5D6E-409C-BE32-E72D297353CC}">
              <c16:uniqueId val="{00000000-AD8C-4FBB-AEA8-F55099787E24}"/>
            </c:ext>
          </c:extLst>
        </c:ser>
        <c:dLbls>
          <c:showLegendKey val="0"/>
          <c:showVal val="0"/>
          <c:showCatName val="0"/>
          <c:showSerName val="0"/>
          <c:showPercent val="0"/>
          <c:showBubbleSize val="0"/>
        </c:dLbls>
        <c:smooth val="0"/>
        <c:axId val="75252096"/>
        <c:axId val="75254016"/>
      </c:lineChart>
      <c:catAx>
        <c:axId val="75252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75254016"/>
        <c:crosses val="autoZero"/>
        <c:auto val="1"/>
        <c:lblAlgn val="ctr"/>
        <c:lblOffset val="100"/>
        <c:noMultiLvlLbl val="0"/>
      </c:catAx>
      <c:valAx>
        <c:axId val="7525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75252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000">
                <a:solidFill>
                  <a:sysClr val="windowText" lastClr="000000"/>
                </a:solidFill>
                <a:latin typeface="Arial" panose="020B0604020202020204" pitchFamily="34" charset="0"/>
                <a:cs typeface="Arial" panose="020B0604020202020204" pitchFamily="34" charset="0"/>
              </a:rPr>
              <a:t>Price</a:t>
            </a:r>
            <a:r>
              <a:rPr lang="en-CA" sz="1000">
                <a:latin typeface="Arial" panose="020B0604020202020204" pitchFamily="34" charset="0"/>
                <a:cs typeface="Arial" panose="020B0604020202020204" pitchFamily="34" charset="0"/>
              </a:rPr>
              <a:t> Index (%)</a:t>
            </a:r>
          </a:p>
        </c:rich>
      </c:tx>
      <c:overlay val="0"/>
      <c:spPr>
        <a:noFill/>
        <a:ln>
          <a:noFill/>
        </a:ln>
        <a:effectLst/>
      </c:spPr>
    </c:title>
    <c:autoTitleDeleted val="0"/>
    <c:plotArea>
      <c:layout/>
      <c:lineChart>
        <c:grouping val="standard"/>
        <c:varyColors val="0"/>
        <c:ser>
          <c:idx val="0"/>
          <c:order val="0"/>
          <c:tx>
            <c:strRef>
              <c:f>'Ex 1 China RE Market'!$B$1</c:f>
              <c:strCache>
                <c:ptCount val="1"/>
                <c:pt idx="0">
                  <c:v>Price Index (prcnt)</c:v>
                </c:pt>
              </c:strCache>
            </c:strRef>
          </c:tx>
          <c:spPr>
            <a:ln w="28575" cap="rnd">
              <a:solidFill>
                <a:schemeClr val="tx1"/>
              </a:solidFill>
              <a:round/>
            </a:ln>
            <a:effectLst/>
          </c:spPr>
          <c:marker>
            <c:symbol val="none"/>
          </c:marker>
          <c:cat>
            <c:strRef>
              <c:f>'Ex 1 China RE Market'!$A$2:$A$18</c:f>
              <c:strCache>
                <c:ptCount val="17"/>
                <c:pt idx="0">
                  <c:v>2006H1</c:v>
                </c:pt>
                <c:pt idx="1">
                  <c:v>2006H2</c:v>
                </c:pt>
                <c:pt idx="2">
                  <c:v>2007H1</c:v>
                </c:pt>
                <c:pt idx="3">
                  <c:v>2007H2</c:v>
                </c:pt>
                <c:pt idx="4">
                  <c:v>2008H1</c:v>
                </c:pt>
                <c:pt idx="5">
                  <c:v>2008H2</c:v>
                </c:pt>
                <c:pt idx="6">
                  <c:v>2009H1</c:v>
                </c:pt>
                <c:pt idx="7">
                  <c:v>2009H2</c:v>
                </c:pt>
                <c:pt idx="8">
                  <c:v>2010H1</c:v>
                </c:pt>
                <c:pt idx="9">
                  <c:v>2010H2</c:v>
                </c:pt>
                <c:pt idx="10">
                  <c:v>2011H1</c:v>
                </c:pt>
                <c:pt idx="11">
                  <c:v>2011H2</c:v>
                </c:pt>
                <c:pt idx="12">
                  <c:v>2012H1</c:v>
                </c:pt>
                <c:pt idx="13">
                  <c:v>2012H2</c:v>
                </c:pt>
                <c:pt idx="14">
                  <c:v>2013H1</c:v>
                </c:pt>
                <c:pt idx="15">
                  <c:v>2013H2</c:v>
                </c:pt>
                <c:pt idx="16">
                  <c:v>2014H1</c:v>
                </c:pt>
              </c:strCache>
            </c:strRef>
          </c:cat>
          <c:val>
            <c:numRef>
              <c:f>'Ex 1 China RE Market'!$B$2:$B$18</c:f>
              <c:numCache>
                <c:formatCode>General</c:formatCode>
                <c:ptCount val="17"/>
                <c:pt idx="0">
                  <c:v>5.5</c:v>
                </c:pt>
                <c:pt idx="1">
                  <c:v>7</c:v>
                </c:pt>
                <c:pt idx="2">
                  <c:v>12</c:v>
                </c:pt>
                <c:pt idx="3">
                  <c:v>9</c:v>
                </c:pt>
                <c:pt idx="4">
                  <c:v>-2</c:v>
                </c:pt>
                <c:pt idx="5">
                  <c:v>0</c:v>
                </c:pt>
                <c:pt idx="6">
                  <c:v>2</c:v>
                </c:pt>
                <c:pt idx="7">
                  <c:v>9</c:v>
                </c:pt>
                <c:pt idx="8">
                  <c:v>5</c:v>
                </c:pt>
                <c:pt idx="9">
                  <c:v>1</c:v>
                </c:pt>
                <c:pt idx="10">
                  <c:v>0</c:v>
                </c:pt>
                <c:pt idx="11">
                  <c:v>-1</c:v>
                </c:pt>
                <c:pt idx="12">
                  <c:v>0</c:v>
                </c:pt>
                <c:pt idx="13">
                  <c:v>5</c:v>
                </c:pt>
                <c:pt idx="14">
                  <c:v>10</c:v>
                </c:pt>
                <c:pt idx="15">
                  <c:v>5</c:v>
                </c:pt>
                <c:pt idx="16">
                  <c:v>-5</c:v>
                </c:pt>
              </c:numCache>
            </c:numRef>
          </c:val>
          <c:smooth val="0"/>
          <c:extLst>
            <c:ext xmlns:c16="http://schemas.microsoft.com/office/drawing/2014/chart" uri="{C3380CC4-5D6E-409C-BE32-E72D297353CC}">
              <c16:uniqueId val="{00000000-0466-47B5-BEB2-DA93F3ED06DE}"/>
            </c:ext>
          </c:extLst>
        </c:ser>
        <c:dLbls>
          <c:showLegendKey val="0"/>
          <c:showVal val="0"/>
          <c:showCatName val="0"/>
          <c:showSerName val="0"/>
          <c:showPercent val="0"/>
          <c:showBubbleSize val="0"/>
        </c:dLbls>
        <c:smooth val="0"/>
        <c:axId val="113064960"/>
        <c:axId val="118368896"/>
      </c:lineChart>
      <c:catAx>
        <c:axId val="11306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18368896"/>
        <c:crosses val="autoZero"/>
        <c:auto val="1"/>
        <c:lblAlgn val="ctr"/>
        <c:lblOffset val="100"/>
        <c:noMultiLvlLbl val="0"/>
      </c:catAx>
      <c:valAx>
        <c:axId val="118368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13064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5.9583526734286241E-2"/>
          <c:y val="2.7860696517412936E-2"/>
          <c:w val="0.90333673415244398"/>
          <c:h val="0.79983125280071699"/>
        </c:manualLayout>
      </c:layout>
      <c:lineChart>
        <c:grouping val="standard"/>
        <c:varyColors val="0"/>
        <c:ser>
          <c:idx val="2"/>
          <c:order val="0"/>
          <c:tx>
            <c:strRef>
              <c:f>'Ex 4 Monthly Prices'!$D$1</c:f>
              <c:strCache>
                <c:ptCount val="1"/>
              </c:strCache>
            </c:strRef>
          </c:tx>
          <c:spPr>
            <a:ln w="28575" cap="rnd">
              <a:solidFill>
                <a:schemeClr val="accent3"/>
              </a:solidFill>
              <a:round/>
            </a:ln>
            <a:effectLst/>
          </c:spPr>
          <c:marker>
            <c:symbol val="none"/>
          </c:marker>
          <c:cat>
            <c:numRef>
              <c:f>'Ex 4 Monthly Prices'!$A$2:$A$40</c:f>
              <c:numCache>
                <c:formatCode>m/d/yyyy</c:formatCode>
                <c:ptCount val="39"/>
                <c:pt idx="0">
                  <c:v>40574</c:v>
                </c:pt>
                <c:pt idx="1">
                  <c:v>40602</c:v>
                </c:pt>
                <c:pt idx="2">
                  <c:v>40633</c:v>
                </c:pt>
                <c:pt idx="3">
                  <c:v>40662</c:v>
                </c:pt>
                <c:pt idx="4">
                  <c:v>40694</c:v>
                </c:pt>
                <c:pt idx="5">
                  <c:v>40724</c:v>
                </c:pt>
                <c:pt idx="6">
                  <c:v>40753</c:v>
                </c:pt>
                <c:pt idx="7">
                  <c:v>40786</c:v>
                </c:pt>
                <c:pt idx="8">
                  <c:v>40816</c:v>
                </c:pt>
                <c:pt idx="9">
                  <c:v>40847</c:v>
                </c:pt>
                <c:pt idx="10">
                  <c:v>40877</c:v>
                </c:pt>
                <c:pt idx="11">
                  <c:v>40907</c:v>
                </c:pt>
                <c:pt idx="12">
                  <c:v>40939</c:v>
                </c:pt>
                <c:pt idx="13">
                  <c:v>40968</c:v>
                </c:pt>
                <c:pt idx="14">
                  <c:v>40998</c:v>
                </c:pt>
                <c:pt idx="15">
                  <c:v>41029</c:v>
                </c:pt>
                <c:pt idx="16">
                  <c:v>41060</c:v>
                </c:pt>
                <c:pt idx="17">
                  <c:v>41089</c:v>
                </c:pt>
                <c:pt idx="18">
                  <c:v>41121</c:v>
                </c:pt>
                <c:pt idx="19">
                  <c:v>41152</c:v>
                </c:pt>
                <c:pt idx="20">
                  <c:v>41180</c:v>
                </c:pt>
                <c:pt idx="21">
                  <c:v>41213</c:v>
                </c:pt>
                <c:pt idx="22">
                  <c:v>41243</c:v>
                </c:pt>
                <c:pt idx="23">
                  <c:v>41274</c:v>
                </c:pt>
                <c:pt idx="24">
                  <c:v>41305</c:v>
                </c:pt>
                <c:pt idx="25">
                  <c:v>41333</c:v>
                </c:pt>
                <c:pt idx="26">
                  <c:v>41361</c:v>
                </c:pt>
                <c:pt idx="27">
                  <c:v>41394</c:v>
                </c:pt>
                <c:pt idx="28">
                  <c:v>41425</c:v>
                </c:pt>
                <c:pt idx="29">
                  <c:v>41453</c:v>
                </c:pt>
                <c:pt idx="30">
                  <c:v>41486</c:v>
                </c:pt>
                <c:pt idx="31">
                  <c:v>41516</c:v>
                </c:pt>
                <c:pt idx="32">
                  <c:v>41547</c:v>
                </c:pt>
                <c:pt idx="33">
                  <c:v>41578</c:v>
                </c:pt>
                <c:pt idx="34">
                  <c:v>41607</c:v>
                </c:pt>
                <c:pt idx="35">
                  <c:v>41639</c:v>
                </c:pt>
                <c:pt idx="36">
                  <c:v>41669</c:v>
                </c:pt>
                <c:pt idx="37">
                  <c:v>41698</c:v>
                </c:pt>
                <c:pt idx="38">
                  <c:v>41729</c:v>
                </c:pt>
              </c:numCache>
            </c:numRef>
          </c:cat>
          <c:val>
            <c:numRef>
              <c:f>'Ex 4 Monthly Prices'!$D$2:$D$40</c:f>
              <c:numCache>
                <c:formatCode>General</c:formatCode>
                <c:ptCount val="39"/>
              </c:numCache>
            </c:numRef>
          </c:val>
          <c:smooth val="0"/>
          <c:extLst>
            <c:ext xmlns:c16="http://schemas.microsoft.com/office/drawing/2014/chart" uri="{C3380CC4-5D6E-409C-BE32-E72D297353CC}">
              <c16:uniqueId val="{00000000-C489-4521-8D69-707C5E2B36CA}"/>
            </c:ext>
          </c:extLst>
        </c:ser>
        <c:ser>
          <c:idx val="3"/>
          <c:order val="1"/>
          <c:tx>
            <c:strRef>
              <c:f>'Ex 4 Monthly Prices'!$E$1</c:f>
              <c:strCache>
                <c:ptCount val="1"/>
                <c:pt idx="0">
                  <c:v>Greentown</c:v>
                </c:pt>
              </c:strCache>
            </c:strRef>
          </c:tx>
          <c:spPr>
            <a:ln w="31750" cap="rnd">
              <a:solidFill>
                <a:schemeClr val="tx1"/>
              </a:solidFill>
              <a:round/>
            </a:ln>
            <a:effectLst/>
          </c:spPr>
          <c:marker>
            <c:symbol val="none"/>
          </c:marker>
          <c:cat>
            <c:numRef>
              <c:f>'Ex 4 Monthly Prices'!$A$2:$A$40</c:f>
              <c:numCache>
                <c:formatCode>m/d/yyyy</c:formatCode>
                <c:ptCount val="39"/>
                <c:pt idx="0">
                  <c:v>40574</c:v>
                </c:pt>
                <c:pt idx="1">
                  <c:v>40602</c:v>
                </c:pt>
                <c:pt idx="2">
                  <c:v>40633</c:v>
                </c:pt>
                <c:pt idx="3">
                  <c:v>40662</c:v>
                </c:pt>
                <c:pt idx="4">
                  <c:v>40694</c:v>
                </c:pt>
                <c:pt idx="5">
                  <c:v>40724</c:v>
                </c:pt>
                <c:pt idx="6">
                  <c:v>40753</c:v>
                </c:pt>
                <c:pt idx="7">
                  <c:v>40786</c:v>
                </c:pt>
                <c:pt idx="8">
                  <c:v>40816</c:v>
                </c:pt>
                <c:pt idx="9">
                  <c:v>40847</c:v>
                </c:pt>
                <c:pt idx="10">
                  <c:v>40877</c:v>
                </c:pt>
                <c:pt idx="11">
                  <c:v>40907</c:v>
                </c:pt>
                <c:pt idx="12">
                  <c:v>40939</c:v>
                </c:pt>
                <c:pt idx="13">
                  <c:v>40968</c:v>
                </c:pt>
                <c:pt idx="14">
                  <c:v>40998</c:v>
                </c:pt>
                <c:pt idx="15">
                  <c:v>41029</c:v>
                </c:pt>
                <c:pt idx="16">
                  <c:v>41060</c:v>
                </c:pt>
                <c:pt idx="17">
                  <c:v>41089</c:v>
                </c:pt>
                <c:pt idx="18">
                  <c:v>41121</c:v>
                </c:pt>
                <c:pt idx="19">
                  <c:v>41152</c:v>
                </c:pt>
                <c:pt idx="20">
                  <c:v>41180</c:v>
                </c:pt>
                <c:pt idx="21">
                  <c:v>41213</c:v>
                </c:pt>
                <c:pt idx="22">
                  <c:v>41243</c:v>
                </c:pt>
                <c:pt idx="23">
                  <c:v>41274</c:v>
                </c:pt>
                <c:pt idx="24">
                  <c:v>41305</c:v>
                </c:pt>
                <c:pt idx="25">
                  <c:v>41333</c:v>
                </c:pt>
                <c:pt idx="26">
                  <c:v>41361</c:v>
                </c:pt>
                <c:pt idx="27">
                  <c:v>41394</c:v>
                </c:pt>
                <c:pt idx="28">
                  <c:v>41425</c:v>
                </c:pt>
                <c:pt idx="29">
                  <c:v>41453</c:v>
                </c:pt>
                <c:pt idx="30">
                  <c:v>41486</c:v>
                </c:pt>
                <c:pt idx="31">
                  <c:v>41516</c:v>
                </c:pt>
                <c:pt idx="32">
                  <c:v>41547</c:v>
                </c:pt>
                <c:pt idx="33">
                  <c:v>41578</c:v>
                </c:pt>
                <c:pt idx="34">
                  <c:v>41607</c:v>
                </c:pt>
                <c:pt idx="35">
                  <c:v>41639</c:v>
                </c:pt>
                <c:pt idx="36">
                  <c:v>41669</c:v>
                </c:pt>
                <c:pt idx="37">
                  <c:v>41698</c:v>
                </c:pt>
                <c:pt idx="38">
                  <c:v>41729</c:v>
                </c:pt>
              </c:numCache>
            </c:numRef>
          </c:cat>
          <c:val>
            <c:numRef>
              <c:f>'Ex 4 Monthly Prices'!$E$2:$E$40</c:f>
              <c:numCache>
                <c:formatCode>0.0%</c:formatCode>
                <c:ptCount val="39"/>
                <c:pt idx="0">
                  <c:v>1</c:v>
                </c:pt>
                <c:pt idx="1">
                  <c:v>0.87331838565022424</c:v>
                </c:pt>
                <c:pt idx="2">
                  <c:v>0.9170403587443946</c:v>
                </c:pt>
                <c:pt idx="3">
                  <c:v>0.87219730941704043</c:v>
                </c:pt>
                <c:pt idx="4">
                  <c:v>0.90807174887892372</c:v>
                </c:pt>
                <c:pt idx="5">
                  <c:v>0.83632286995515692</c:v>
                </c:pt>
                <c:pt idx="6">
                  <c:v>0.78251121076233188</c:v>
                </c:pt>
                <c:pt idx="7">
                  <c:v>0.655829596412556</c:v>
                </c:pt>
                <c:pt idx="8">
                  <c:v>0.41479820627802694</c:v>
                </c:pt>
                <c:pt idx="9">
                  <c:v>0.56502242152466364</c:v>
                </c:pt>
                <c:pt idx="10">
                  <c:v>0.38340807174887892</c:v>
                </c:pt>
                <c:pt idx="11">
                  <c:v>0.37780269058295968</c:v>
                </c:pt>
                <c:pt idx="12">
                  <c:v>0.3934977578475336</c:v>
                </c:pt>
                <c:pt idx="13">
                  <c:v>0.66143497757847536</c:v>
                </c:pt>
                <c:pt idx="14">
                  <c:v>0.54932735426008972</c:v>
                </c:pt>
                <c:pt idx="15">
                  <c:v>0.6065022421524664</c:v>
                </c:pt>
                <c:pt idx="16">
                  <c:v>0.54596412556053808</c:v>
                </c:pt>
                <c:pt idx="17">
                  <c:v>0.9035874439461884</c:v>
                </c:pt>
                <c:pt idx="18">
                  <c:v>0.91816143497757841</c:v>
                </c:pt>
                <c:pt idx="19">
                  <c:v>0.91031390134529144</c:v>
                </c:pt>
                <c:pt idx="20">
                  <c:v>0.94394618834080712</c:v>
                </c:pt>
                <c:pt idx="21">
                  <c:v>1.0706278026905831</c:v>
                </c:pt>
                <c:pt idx="22">
                  <c:v>1.3632286995515694</c:v>
                </c:pt>
                <c:pt idx="23">
                  <c:v>1.5919282511210762</c:v>
                </c:pt>
                <c:pt idx="24">
                  <c:v>1.789237668161435</c:v>
                </c:pt>
                <c:pt idx="25">
                  <c:v>1.688340807174888</c:v>
                </c:pt>
                <c:pt idx="26">
                  <c:v>1.6367713004484306</c:v>
                </c:pt>
                <c:pt idx="27">
                  <c:v>1.6905829596412556</c:v>
                </c:pt>
                <c:pt idx="28">
                  <c:v>1.5493273542600898</c:v>
                </c:pt>
                <c:pt idx="29">
                  <c:v>1.4215246636771299</c:v>
                </c:pt>
                <c:pt idx="30">
                  <c:v>1.7264573991031391</c:v>
                </c:pt>
                <c:pt idx="31">
                  <c:v>1.6233183856502242</c:v>
                </c:pt>
                <c:pt idx="32">
                  <c:v>1.6345291479820627</c:v>
                </c:pt>
                <c:pt idx="33">
                  <c:v>1.688340807174888</c:v>
                </c:pt>
                <c:pt idx="34">
                  <c:v>1.5089686098654709</c:v>
                </c:pt>
                <c:pt idx="35">
                  <c:v>1.3273542600896862</c:v>
                </c:pt>
                <c:pt idx="36">
                  <c:v>1.2488789237668163</c:v>
                </c:pt>
                <c:pt idx="37">
                  <c:v>1.1390134529147982</c:v>
                </c:pt>
                <c:pt idx="38">
                  <c:v>0.9394618834080718</c:v>
                </c:pt>
              </c:numCache>
            </c:numRef>
          </c:val>
          <c:smooth val="0"/>
          <c:extLst>
            <c:ext xmlns:c16="http://schemas.microsoft.com/office/drawing/2014/chart" uri="{C3380CC4-5D6E-409C-BE32-E72D297353CC}">
              <c16:uniqueId val="{00000001-C489-4521-8D69-707C5E2B36CA}"/>
            </c:ext>
          </c:extLst>
        </c:ser>
        <c:ser>
          <c:idx val="4"/>
          <c:order val="2"/>
          <c:tx>
            <c:strRef>
              <c:f>'Ex 4 Monthly Prices'!$F$1</c:f>
              <c:strCache>
                <c:ptCount val="1"/>
                <c:pt idx="0">
                  <c:v>Hang Seng China Enterprises Index (HSCEI)</c:v>
                </c:pt>
              </c:strCache>
            </c:strRef>
          </c:tx>
          <c:spPr>
            <a:ln w="28575" cap="rnd">
              <a:solidFill>
                <a:schemeClr val="tx1"/>
              </a:solidFill>
              <a:prstDash val="dash"/>
              <a:round/>
            </a:ln>
            <a:effectLst/>
          </c:spPr>
          <c:marker>
            <c:symbol val="none"/>
          </c:marker>
          <c:cat>
            <c:numRef>
              <c:f>'Ex 4 Monthly Prices'!$A$2:$A$40</c:f>
              <c:numCache>
                <c:formatCode>m/d/yyyy</c:formatCode>
                <c:ptCount val="39"/>
                <c:pt idx="0">
                  <c:v>40574</c:v>
                </c:pt>
                <c:pt idx="1">
                  <c:v>40602</c:v>
                </c:pt>
                <c:pt idx="2">
                  <c:v>40633</c:v>
                </c:pt>
                <c:pt idx="3">
                  <c:v>40662</c:v>
                </c:pt>
                <c:pt idx="4">
                  <c:v>40694</c:v>
                </c:pt>
                <c:pt idx="5">
                  <c:v>40724</c:v>
                </c:pt>
                <c:pt idx="6">
                  <c:v>40753</c:v>
                </c:pt>
                <c:pt idx="7">
                  <c:v>40786</c:v>
                </c:pt>
                <c:pt idx="8">
                  <c:v>40816</c:v>
                </c:pt>
                <c:pt idx="9">
                  <c:v>40847</c:v>
                </c:pt>
                <c:pt idx="10">
                  <c:v>40877</c:v>
                </c:pt>
                <c:pt idx="11">
                  <c:v>40907</c:v>
                </c:pt>
                <c:pt idx="12">
                  <c:v>40939</c:v>
                </c:pt>
                <c:pt idx="13">
                  <c:v>40968</c:v>
                </c:pt>
                <c:pt idx="14">
                  <c:v>40998</c:v>
                </c:pt>
                <c:pt idx="15">
                  <c:v>41029</c:v>
                </c:pt>
                <c:pt idx="16">
                  <c:v>41060</c:v>
                </c:pt>
                <c:pt idx="17">
                  <c:v>41089</c:v>
                </c:pt>
                <c:pt idx="18">
                  <c:v>41121</c:v>
                </c:pt>
                <c:pt idx="19">
                  <c:v>41152</c:v>
                </c:pt>
                <c:pt idx="20">
                  <c:v>41180</c:v>
                </c:pt>
                <c:pt idx="21">
                  <c:v>41213</c:v>
                </c:pt>
                <c:pt idx="22">
                  <c:v>41243</c:v>
                </c:pt>
                <c:pt idx="23">
                  <c:v>41274</c:v>
                </c:pt>
                <c:pt idx="24">
                  <c:v>41305</c:v>
                </c:pt>
                <c:pt idx="25">
                  <c:v>41333</c:v>
                </c:pt>
                <c:pt idx="26">
                  <c:v>41361</c:v>
                </c:pt>
                <c:pt idx="27">
                  <c:v>41394</c:v>
                </c:pt>
                <c:pt idx="28">
                  <c:v>41425</c:v>
                </c:pt>
                <c:pt idx="29">
                  <c:v>41453</c:v>
                </c:pt>
                <c:pt idx="30">
                  <c:v>41486</c:v>
                </c:pt>
                <c:pt idx="31">
                  <c:v>41516</c:v>
                </c:pt>
                <c:pt idx="32">
                  <c:v>41547</c:v>
                </c:pt>
                <c:pt idx="33">
                  <c:v>41578</c:v>
                </c:pt>
                <c:pt idx="34">
                  <c:v>41607</c:v>
                </c:pt>
                <c:pt idx="35">
                  <c:v>41639</c:v>
                </c:pt>
                <c:pt idx="36">
                  <c:v>41669</c:v>
                </c:pt>
                <c:pt idx="37">
                  <c:v>41698</c:v>
                </c:pt>
                <c:pt idx="38">
                  <c:v>41729</c:v>
                </c:pt>
              </c:numCache>
            </c:numRef>
          </c:cat>
          <c:val>
            <c:numRef>
              <c:f>'Ex 4 Monthly Prices'!$F$2:$F$40</c:f>
              <c:numCache>
                <c:formatCode>0.0%</c:formatCode>
                <c:ptCount val="39"/>
                <c:pt idx="0">
                  <c:v>1</c:v>
                </c:pt>
                <c:pt idx="1">
                  <c:v>1.0081197978152467</c:v>
                </c:pt>
                <c:pt idx="2">
                  <c:v>1.0164020351209122</c:v>
                </c:pt>
                <c:pt idx="3">
                  <c:v>1.0148303641420926</c:v>
                </c:pt>
                <c:pt idx="4">
                  <c:v>0.95972580617856196</c:v>
                </c:pt>
                <c:pt idx="5">
                  <c:v>0.96153188877884477</c:v>
                </c:pt>
                <c:pt idx="6">
                  <c:v>0.87988826908484941</c:v>
                </c:pt>
                <c:pt idx="7">
                  <c:v>0.7538090424781726</c:v>
                </c:pt>
                <c:pt idx="8">
                  <c:v>0.8511805860224515</c:v>
                </c:pt>
                <c:pt idx="9">
                  <c:v>0.77081731742938442</c:v>
                </c:pt>
                <c:pt idx="10">
                  <c:v>0.78988667399620227</c:v>
                </c:pt>
                <c:pt idx="11">
                  <c:v>0.87370268102292126</c:v>
                </c:pt>
                <c:pt idx="12">
                  <c:v>0.92895971953413814</c:v>
                </c:pt>
                <c:pt idx="13">
                  <c:v>0.88077653935870281</c:v>
                </c:pt>
                <c:pt idx="14">
                  <c:v>0.90385608384552341</c:v>
                </c:pt>
                <c:pt idx="15">
                  <c:v>0.79824766220005616</c:v>
                </c:pt>
                <c:pt idx="16">
                  <c:v>0.83303816385001372</c:v>
                </c:pt>
                <c:pt idx="17">
                  <c:v>0.84826437481997152</c:v>
                </c:pt>
                <c:pt idx="18">
                  <c:v>0.83479964043740773</c:v>
                </c:pt>
                <c:pt idx="19">
                  <c:v>0.89297983624178667</c:v>
                </c:pt>
                <c:pt idx="20">
                  <c:v>0.92732034456707302</c:v>
                </c:pt>
                <c:pt idx="21">
                  <c:v>0.94397001406811443</c:v>
                </c:pt>
                <c:pt idx="22">
                  <c:v>0.97081587800990166</c:v>
                </c:pt>
                <c:pt idx="23">
                  <c:v>1.016775620805354</c:v>
                </c:pt>
                <c:pt idx="24">
                  <c:v>0.9863848772781284</c:v>
                </c:pt>
                <c:pt idx="25">
                  <c:v>0.95550656427291514</c:v>
                </c:pt>
                <c:pt idx="26">
                  <c:v>0.97424761067657528</c:v>
                </c:pt>
                <c:pt idx="27">
                  <c:v>0.95947130930524716</c:v>
                </c:pt>
                <c:pt idx="28">
                  <c:v>0.89139050703796407</c:v>
                </c:pt>
                <c:pt idx="29">
                  <c:v>0.93768282809652437</c:v>
                </c:pt>
                <c:pt idx="30">
                  <c:v>0.93115738086233579</c:v>
                </c:pt>
                <c:pt idx="31">
                  <c:v>0.97951153672809044</c:v>
                </c:pt>
                <c:pt idx="32">
                  <c:v>0.99435897335568124</c:v>
                </c:pt>
                <c:pt idx="33">
                  <c:v>1.0232783047969589</c:v>
                </c:pt>
                <c:pt idx="34">
                  <c:v>0.99864474764201872</c:v>
                </c:pt>
                <c:pt idx="35">
                  <c:v>0.9441855120881294</c:v>
                </c:pt>
                <c:pt idx="36">
                  <c:v>0.97853037219655925</c:v>
                </c:pt>
                <c:pt idx="37">
                  <c:v>0.94914054371994339</c:v>
                </c:pt>
                <c:pt idx="38">
                  <c:v>0.94840952423573488</c:v>
                </c:pt>
              </c:numCache>
            </c:numRef>
          </c:val>
          <c:smooth val="0"/>
          <c:extLst>
            <c:ext xmlns:c16="http://schemas.microsoft.com/office/drawing/2014/chart" uri="{C3380CC4-5D6E-409C-BE32-E72D297353CC}">
              <c16:uniqueId val="{00000002-C489-4521-8D69-707C5E2B36CA}"/>
            </c:ext>
          </c:extLst>
        </c:ser>
        <c:dLbls>
          <c:showLegendKey val="0"/>
          <c:showVal val="0"/>
          <c:showCatName val="0"/>
          <c:showSerName val="0"/>
          <c:showPercent val="0"/>
          <c:showBubbleSize val="0"/>
        </c:dLbls>
        <c:smooth val="0"/>
        <c:axId val="225741440"/>
        <c:axId val="230782848"/>
      </c:lineChart>
      <c:dateAx>
        <c:axId val="225741440"/>
        <c:scaling>
          <c:orientation val="minMax"/>
        </c:scaling>
        <c:delete val="0"/>
        <c:axPos val="b"/>
        <c:numFmt formatCode="m/d/yyyy" sourceLinked="1"/>
        <c:majorTickMark val="out"/>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30782848"/>
        <c:crosses val="autoZero"/>
        <c:auto val="1"/>
        <c:lblOffset val="100"/>
        <c:baseTimeUnit val="months"/>
        <c:majorUnit val="1"/>
        <c:majorTimeUnit val="years"/>
        <c:minorUnit val="1"/>
        <c:minorTimeUnit val="months"/>
      </c:dateAx>
      <c:valAx>
        <c:axId val="23078284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225741440"/>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573A6-D2F9-4432-B0B8-E7FEDC7B8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16</Pages>
  <Words>5375</Words>
  <Characters>30640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18</cp:revision>
  <cp:lastPrinted>2015-03-04T20:34:00Z</cp:lastPrinted>
  <dcterms:created xsi:type="dcterms:W3CDTF">2019-04-18T12:20:00Z</dcterms:created>
  <dcterms:modified xsi:type="dcterms:W3CDTF">2019-10-09T14:18:00Z</dcterms:modified>
</cp:coreProperties>
</file>